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E380F" w:rsidRPr="00CE10D3" w14:paraId="1CBF8738" w14:textId="77777777" w:rsidTr="00D870F8">
        <w:trPr>
          <w:trHeight w:hRule="exact" w:val="418"/>
          <w:jc w:val="center"/>
        </w:trPr>
        <w:tc>
          <w:tcPr>
            <w:tcW w:w="8721" w:type="dxa"/>
            <w:gridSpan w:val="2"/>
          </w:tcPr>
          <w:p w14:paraId="1364CAAA" w14:textId="77777777" w:rsidR="007E380F" w:rsidRPr="00CE10D3" w:rsidRDefault="007E380F" w:rsidP="00B93F90">
            <w:pPr>
              <w:pStyle w:val="a3"/>
              <w:jc w:val="center"/>
              <w:rPr>
                <w:rFonts w:ascii="Tahoma" w:hAnsi="Tahoma" w:cs="Tahoma"/>
                <w:color w:val="000080"/>
                <w:rtl/>
              </w:rPr>
            </w:pPr>
            <w:r w:rsidRPr="00CE10D3">
              <w:rPr>
                <w:rFonts w:ascii="Tahoma" w:hAnsi="Tahoma" w:cs="Tahoma"/>
                <w:b/>
                <w:bCs/>
                <w:color w:val="000080"/>
                <w:rtl/>
              </w:rPr>
              <w:t>בית משפט השלום ברחובות</w:t>
            </w:r>
          </w:p>
        </w:tc>
      </w:tr>
      <w:tr w:rsidR="007E380F" w:rsidRPr="00CE10D3" w14:paraId="0BA51DF2" w14:textId="77777777" w:rsidTr="00D870F8">
        <w:trPr>
          <w:trHeight w:val="337"/>
          <w:jc w:val="center"/>
        </w:trPr>
        <w:tc>
          <w:tcPr>
            <w:tcW w:w="5054" w:type="dxa"/>
          </w:tcPr>
          <w:p w14:paraId="7AB3304E" w14:textId="77777777" w:rsidR="007E380F" w:rsidRPr="00CE10D3" w:rsidRDefault="007E380F" w:rsidP="00B93F90">
            <w:pPr>
              <w:rPr>
                <w:rFonts w:cs="FrankRuehl"/>
                <w:sz w:val="28"/>
                <w:szCs w:val="28"/>
                <w:rtl/>
              </w:rPr>
            </w:pPr>
            <w:r w:rsidRPr="00CE10D3">
              <w:rPr>
                <w:rFonts w:cs="FrankRuehl"/>
                <w:sz w:val="28"/>
                <w:szCs w:val="28"/>
                <w:rtl/>
              </w:rPr>
              <w:t>ת"פ</w:t>
            </w:r>
            <w:r w:rsidRPr="00CE10D3">
              <w:rPr>
                <w:rFonts w:cs="FrankRuehl" w:hint="cs"/>
                <w:sz w:val="28"/>
                <w:szCs w:val="28"/>
                <w:rtl/>
              </w:rPr>
              <w:t xml:space="preserve"> </w:t>
            </w:r>
            <w:r w:rsidRPr="00CE10D3">
              <w:rPr>
                <w:rFonts w:cs="FrankRuehl"/>
                <w:sz w:val="28"/>
                <w:szCs w:val="28"/>
                <w:rtl/>
              </w:rPr>
              <w:t>39665-05-18</w:t>
            </w:r>
            <w:r w:rsidRPr="00CE10D3">
              <w:rPr>
                <w:rFonts w:cs="FrankRuehl" w:hint="cs"/>
                <w:sz w:val="28"/>
                <w:szCs w:val="28"/>
                <w:rtl/>
              </w:rPr>
              <w:t xml:space="preserve"> </w:t>
            </w:r>
            <w:r w:rsidRPr="00CE10D3">
              <w:rPr>
                <w:rFonts w:cs="FrankRuehl"/>
                <w:sz w:val="28"/>
                <w:szCs w:val="28"/>
                <w:rtl/>
              </w:rPr>
              <w:t>מדינת ישראל נ' הרוש</w:t>
            </w:r>
          </w:p>
          <w:p w14:paraId="47510CAF" w14:textId="77777777" w:rsidR="007E380F" w:rsidRPr="00CE10D3" w:rsidRDefault="007E380F" w:rsidP="00B93F90">
            <w:pPr>
              <w:pStyle w:val="a3"/>
              <w:rPr>
                <w:rFonts w:cs="FrankRuehl"/>
                <w:sz w:val="28"/>
                <w:szCs w:val="28"/>
                <w:rtl/>
              </w:rPr>
            </w:pPr>
          </w:p>
        </w:tc>
        <w:tc>
          <w:tcPr>
            <w:tcW w:w="3667" w:type="dxa"/>
          </w:tcPr>
          <w:p w14:paraId="0B60623B" w14:textId="77777777" w:rsidR="007E380F" w:rsidRPr="00CE10D3" w:rsidRDefault="007E380F" w:rsidP="00B93F90">
            <w:pPr>
              <w:pStyle w:val="a3"/>
              <w:jc w:val="right"/>
              <w:rPr>
                <w:rFonts w:cs="FrankRuehl"/>
                <w:sz w:val="28"/>
                <w:szCs w:val="28"/>
                <w:rtl/>
              </w:rPr>
            </w:pPr>
          </w:p>
        </w:tc>
      </w:tr>
    </w:tbl>
    <w:p w14:paraId="587A7C58" w14:textId="77777777" w:rsidR="007E380F" w:rsidRPr="00CE10D3" w:rsidRDefault="007E380F" w:rsidP="007E380F">
      <w:pPr>
        <w:pStyle w:val="a3"/>
        <w:rPr>
          <w:rtl/>
        </w:rPr>
      </w:pPr>
      <w:r w:rsidRPr="00CE10D3">
        <w:rPr>
          <w:rFonts w:hint="cs"/>
          <w:rtl/>
        </w:rPr>
        <w:t xml:space="preserve"> </w:t>
      </w:r>
    </w:p>
    <w:p w14:paraId="6E0114FB" w14:textId="77777777" w:rsidR="007E380F" w:rsidRPr="00CE10D3" w:rsidRDefault="007E380F" w:rsidP="007E380F">
      <w:pPr>
        <w:rPr>
          <w:rtl/>
        </w:rPr>
      </w:pPr>
    </w:p>
    <w:p w14:paraId="3A8ED94B" w14:textId="77777777" w:rsidR="007E380F" w:rsidRPr="00CE10D3" w:rsidRDefault="007E380F" w:rsidP="007E380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E380F" w:rsidRPr="00CE10D3" w14:paraId="50EDEF21" w14:textId="77777777" w:rsidTr="007E380F">
        <w:trPr>
          <w:trHeight w:val="295"/>
          <w:jc w:val="center"/>
        </w:trPr>
        <w:tc>
          <w:tcPr>
            <w:tcW w:w="923" w:type="dxa"/>
            <w:tcBorders>
              <w:top w:val="nil"/>
              <w:left w:val="nil"/>
              <w:bottom w:val="nil"/>
              <w:right w:val="nil"/>
            </w:tcBorders>
            <w:shd w:val="clear" w:color="auto" w:fill="auto"/>
          </w:tcPr>
          <w:p w14:paraId="1532F2AF" w14:textId="77777777" w:rsidR="007E380F" w:rsidRPr="00CE10D3" w:rsidRDefault="007E380F" w:rsidP="007E380F">
            <w:pPr>
              <w:jc w:val="both"/>
              <w:rPr>
                <w:rFonts w:ascii="Arial" w:hAnsi="Arial" w:cs="FrankRuehl"/>
                <w:sz w:val="28"/>
                <w:szCs w:val="28"/>
              </w:rPr>
            </w:pPr>
            <w:r w:rsidRPr="00CE10D3">
              <w:rPr>
                <w:rFonts w:ascii="Arial" w:hAnsi="Arial" w:cs="FrankRuehl" w:hint="cs"/>
                <w:sz w:val="28"/>
                <w:szCs w:val="28"/>
                <w:rtl/>
              </w:rPr>
              <w:t>ב</w:t>
            </w:r>
            <w:r w:rsidRPr="00CE10D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E94CE48" w14:textId="77777777" w:rsidR="007E380F" w:rsidRPr="00CE10D3" w:rsidRDefault="007E380F" w:rsidP="00B93F90">
            <w:pPr>
              <w:rPr>
                <w:rFonts w:ascii="Arial" w:hAnsi="Arial"/>
                <w:b/>
                <w:bCs/>
                <w:rtl/>
              </w:rPr>
            </w:pPr>
            <w:r w:rsidRPr="00CE10D3">
              <w:rPr>
                <w:rFonts w:ascii="Arial" w:hAnsi="Arial" w:hint="cs"/>
                <w:b/>
                <w:bCs/>
                <w:rtl/>
              </w:rPr>
              <w:t>כבוד ה</w:t>
            </w:r>
            <w:r w:rsidRPr="00CE10D3">
              <w:rPr>
                <w:rFonts w:ascii="Arial" w:hAnsi="Arial"/>
                <w:b/>
                <w:bCs/>
                <w:rtl/>
              </w:rPr>
              <w:t>שופטת, סגנית הנשיאה</w:t>
            </w:r>
            <w:r w:rsidRPr="00CE10D3">
              <w:rPr>
                <w:rFonts w:ascii="Arial" w:hAnsi="Arial" w:hint="cs"/>
                <w:b/>
                <w:bCs/>
                <w:rtl/>
              </w:rPr>
              <w:t xml:space="preserve">  </w:t>
            </w:r>
            <w:r w:rsidRPr="00CE10D3">
              <w:rPr>
                <w:rFonts w:ascii="Arial" w:hAnsi="Arial"/>
                <w:b/>
                <w:bCs/>
                <w:rtl/>
              </w:rPr>
              <w:t>אפרת פינק</w:t>
            </w:r>
          </w:p>
          <w:p w14:paraId="0DBA8E87" w14:textId="77777777" w:rsidR="007E380F" w:rsidRPr="00CE10D3" w:rsidRDefault="007E380F" w:rsidP="00B93F90">
            <w:pPr>
              <w:rPr>
                <w:rtl/>
              </w:rPr>
            </w:pPr>
          </w:p>
          <w:p w14:paraId="48FA99E0" w14:textId="77777777" w:rsidR="007E380F" w:rsidRPr="00CE10D3" w:rsidRDefault="007E380F" w:rsidP="007E380F">
            <w:pPr>
              <w:jc w:val="both"/>
              <w:rPr>
                <w:rFonts w:ascii="Arial" w:hAnsi="Arial" w:cs="FrankRuehl"/>
                <w:sz w:val="28"/>
                <w:szCs w:val="28"/>
              </w:rPr>
            </w:pPr>
          </w:p>
        </w:tc>
      </w:tr>
      <w:tr w:rsidR="007E380F" w:rsidRPr="00CE10D3" w14:paraId="57D8CC78" w14:textId="77777777" w:rsidTr="007E380F">
        <w:trPr>
          <w:trHeight w:val="355"/>
          <w:jc w:val="center"/>
        </w:trPr>
        <w:tc>
          <w:tcPr>
            <w:tcW w:w="923" w:type="dxa"/>
            <w:tcBorders>
              <w:top w:val="nil"/>
              <w:left w:val="nil"/>
              <w:bottom w:val="nil"/>
              <w:right w:val="nil"/>
            </w:tcBorders>
            <w:shd w:val="clear" w:color="auto" w:fill="auto"/>
          </w:tcPr>
          <w:p w14:paraId="52FBAD23" w14:textId="77777777" w:rsidR="007E380F" w:rsidRPr="00CE10D3" w:rsidRDefault="007E380F" w:rsidP="007E380F">
            <w:pPr>
              <w:jc w:val="both"/>
              <w:rPr>
                <w:rFonts w:ascii="Arial" w:hAnsi="Arial" w:cs="FrankRuehl"/>
                <w:sz w:val="28"/>
                <w:szCs w:val="28"/>
              </w:rPr>
            </w:pPr>
            <w:bookmarkStart w:id="0" w:name="FirstAppellant"/>
            <w:bookmarkStart w:id="1" w:name="LastJudge"/>
            <w:bookmarkEnd w:id="1"/>
            <w:r w:rsidRPr="00CE10D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C2E03FD" w14:textId="77777777" w:rsidR="007E380F" w:rsidRPr="00CE10D3" w:rsidRDefault="007E380F" w:rsidP="00B93F90">
            <w:r w:rsidRPr="00CE10D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C5BC672" w14:textId="77777777" w:rsidR="007E380F" w:rsidRPr="00CE10D3" w:rsidRDefault="007E380F" w:rsidP="007E380F">
            <w:pPr>
              <w:jc w:val="both"/>
              <w:rPr>
                <w:rFonts w:ascii="Arial" w:hAnsi="Arial" w:cs="FrankRuehl"/>
                <w:sz w:val="28"/>
                <w:szCs w:val="28"/>
              </w:rPr>
            </w:pPr>
          </w:p>
        </w:tc>
      </w:tr>
      <w:bookmarkEnd w:id="0"/>
      <w:tr w:rsidR="007E380F" w:rsidRPr="00CE10D3" w14:paraId="2D49A51C" w14:textId="77777777" w:rsidTr="007E380F">
        <w:trPr>
          <w:trHeight w:val="355"/>
          <w:jc w:val="center"/>
        </w:trPr>
        <w:tc>
          <w:tcPr>
            <w:tcW w:w="923" w:type="dxa"/>
            <w:tcBorders>
              <w:top w:val="nil"/>
              <w:left w:val="nil"/>
              <w:bottom w:val="nil"/>
              <w:right w:val="nil"/>
            </w:tcBorders>
            <w:shd w:val="clear" w:color="auto" w:fill="auto"/>
          </w:tcPr>
          <w:p w14:paraId="3328F541" w14:textId="77777777" w:rsidR="007E380F" w:rsidRPr="00CE10D3" w:rsidRDefault="007E380F" w:rsidP="007E380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559A67" w14:textId="77777777" w:rsidR="007E380F" w:rsidRPr="00CE10D3" w:rsidRDefault="007E380F" w:rsidP="007E380F">
            <w:pPr>
              <w:jc w:val="both"/>
              <w:rPr>
                <w:rtl/>
              </w:rPr>
            </w:pPr>
          </w:p>
        </w:tc>
        <w:tc>
          <w:tcPr>
            <w:tcW w:w="3771" w:type="dxa"/>
            <w:tcBorders>
              <w:top w:val="nil"/>
              <w:left w:val="nil"/>
              <w:bottom w:val="nil"/>
              <w:right w:val="nil"/>
            </w:tcBorders>
            <w:shd w:val="clear" w:color="auto" w:fill="auto"/>
          </w:tcPr>
          <w:p w14:paraId="00112874" w14:textId="77777777" w:rsidR="007E380F" w:rsidRPr="00CE10D3" w:rsidRDefault="007E380F" w:rsidP="007E380F">
            <w:pPr>
              <w:jc w:val="right"/>
              <w:rPr>
                <w:rFonts w:ascii="Arial" w:hAnsi="Arial" w:cs="FrankRuehl"/>
                <w:sz w:val="28"/>
                <w:szCs w:val="28"/>
                <w:rtl/>
              </w:rPr>
            </w:pPr>
            <w:r w:rsidRPr="00CE10D3">
              <w:rPr>
                <w:rFonts w:ascii="Arial" w:hAnsi="Arial" w:cs="FrankRuehl" w:hint="cs"/>
                <w:sz w:val="28"/>
                <w:szCs w:val="28"/>
                <w:rtl/>
              </w:rPr>
              <w:t>ה</w:t>
            </w:r>
            <w:r w:rsidRPr="00CE10D3">
              <w:rPr>
                <w:rFonts w:ascii="Arial" w:hAnsi="Arial" w:cs="FrankRuehl"/>
                <w:sz w:val="28"/>
                <w:szCs w:val="28"/>
                <w:rtl/>
              </w:rPr>
              <w:t>מאשימה</w:t>
            </w:r>
          </w:p>
        </w:tc>
      </w:tr>
      <w:tr w:rsidR="007E380F" w:rsidRPr="00CE10D3" w14:paraId="2820881B" w14:textId="77777777" w:rsidTr="007E380F">
        <w:trPr>
          <w:trHeight w:val="355"/>
          <w:jc w:val="center"/>
        </w:trPr>
        <w:tc>
          <w:tcPr>
            <w:tcW w:w="923" w:type="dxa"/>
            <w:tcBorders>
              <w:top w:val="nil"/>
              <w:left w:val="nil"/>
              <w:bottom w:val="nil"/>
              <w:right w:val="nil"/>
            </w:tcBorders>
            <w:shd w:val="clear" w:color="auto" w:fill="auto"/>
          </w:tcPr>
          <w:p w14:paraId="7D4FFB23" w14:textId="77777777" w:rsidR="007E380F" w:rsidRPr="00CE10D3" w:rsidRDefault="007E380F" w:rsidP="007E380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0625EA3" w14:textId="77777777" w:rsidR="007E380F" w:rsidRPr="00CE10D3" w:rsidRDefault="007E380F" w:rsidP="007E380F">
            <w:pPr>
              <w:jc w:val="center"/>
              <w:rPr>
                <w:rFonts w:ascii="Arial" w:hAnsi="Arial" w:cs="FrankRuehl"/>
                <w:b/>
                <w:bCs/>
                <w:sz w:val="28"/>
                <w:szCs w:val="28"/>
                <w:rtl/>
              </w:rPr>
            </w:pPr>
          </w:p>
          <w:p w14:paraId="58D53C80" w14:textId="77777777" w:rsidR="007E380F" w:rsidRPr="00CE10D3" w:rsidRDefault="007E380F" w:rsidP="007E380F">
            <w:pPr>
              <w:jc w:val="center"/>
              <w:rPr>
                <w:rFonts w:ascii="Arial" w:hAnsi="Arial" w:cs="FrankRuehl"/>
                <w:b/>
                <w:bCs/>
                <w:sz w:val="28"/>
                <w:szCs w:val="28"/>
                <w:rtl/>
              </w:rPr>
            </w:pPr>
            <w:r w:rsidRPr="00CE10D3">
              <w:rPr>
                <w:rFonts w:ascii="Arial" w:hAnsi="Arial" w:cs="FrankRuehl"/>
                <w:b/>
                <w:bCs/>
                <w:sz w:val="28"/>
                <w:szCs w:val="28"/>
                <w:rtl/>
              </w:rPr>
              <w:t>נגד</w:t>
            </w:r>
          </w:p>
          <w:p w14:paraId="077ED791" w14:textId="77777777" w:rsidR="007E380F" w:rsidRPr="00CE10D3" w:rsidRDefault="007E380F" w:rsidP="007E380F">
            <w:pPr>
              <w:jc w:val="both"/>
              <w:rPr>
                <w:rFonts w:ascii="Arial" w:hAnsi="Arial" w:cs="FrankRuehl"/>
                <w:sz w:val="28"/>
                <w:szCs w:val="28"/>
              </w:rPr>
            </w:pPr>
          </w:p>
        </w:tc>
      </w:tr>
      <w:tr w:rsidR="007E380F" w:rsidRPr="00CE10D3" w14:paraId="7DA74872" w14:textId="77777777" w:rsidTr="007E380F">
        <w:trPr>
          <w:trHeight w:val="355"/>
          <w:jc w:val="center"/>
        </w:trPr>
        <w:tc>
          <w:tcPr>
            <w:tcW w:w="923" w:type="dxa"/>
            <w:tcBorders>
              <w:top w:val="nil"/>
              <w:left w:val="nil"/>
              <w:bottom w:val="nil"/>
              <w:right w:val="nil"/>
            </w:tcBorders>
            <w:shd w:val="clear" w:color="auto" w:fill="auto"/>
          </w:tcPr>
          <w:p w14:paraId="031230A8" w14:textId="77777777" w:rsidR="007E380F" w:rsidRPr="00CE10D3" w:rsidRDefault="007E380F" w:rsidP="00B93F90">
            <w:pPr>
              <w:rPr>
                <w:rFonts w:ascii="Arial" w:hAnsi="Arial" w:cs="FrankRuehl"/>
                <w:sz w:val="28"/>
                <w:szCs w:val="28"/>
                <w:rtl/>
              </w:rPr>
            </w:pPr>
          </w:p>
        </w:tc>
        <w:tc>
          <w:tcPr>
            <w:tcW w:w="4126" w:type="dxa"/>
            <w:tcBorders>
              <w:top w:val="nil"/>
              <w:left w:val="nil"/>
              <w:bottom w:val="nil"/>
              <w:right w:val="nil"/>
            </w:tcBorders>
            <w:shd w:val="clear" w:color="auto" w:fill="auto"/>
          </w:tcPr>
          <w:p w14:paraId="6BE13D06" w14:textId="77777777" w:rsidR="007E380F" w:rsidRPr="00CE10D3" w:rsidRDefault="007E380F" w:rsidP="00B93F90">
            <w:pPr>
              <w:rPr>
                <w:rtl/>
              </w:rPr>
            </w:pPr>
            <w:r w:rsidRPr="00CE10D3">
              <w:rPr>
                <w:rFonts w:ascii="Arial" w:hAnsi="Arial" w:cs="FrankRuehl"/>
                <w:sz w:val="28"/>
                <w:szCs w:val="28"/>
                <w:rtl/>
              </w:rPr>
              <w:t>אביעד הרוש</w:t>
            </w:r>
          </w:p>
        </w:tc>
        <w:tc>
          <w:tcPr>
            <w:tcW w:w="3771" w:type="dxa"/>
            <w:tcBorders>
              <w:top w:val="nil"/>
              <w:left w:val="nil"/>
              <w:bottom w:val="nil"/>
              <w:right w:val="nil"/>
            </w:tcBorders>
            <w:shd w:val="clear" w:color="auto" w:fill="auto"/>
          </w:tcPr>
          <w:p w14:paraId="3AEEFE87" w14:textId="77777777" w:rsidR="007E380F" w:rsidRPr="00CE10D3" w:rsidRDefault="007E380F" w:rsidP="007E380F">
            <w:pPr>
              <w:jc w:val="right"/>
              <w:rPr>
                <w:rFonts w:ascii="Arial" w:hAnsi="Arial" w:cs="FrankRuehl"/>
                <w:sz w:val="28"/>
                <w:szCs w:val="28"/>
              </w:rPr>
            </w:pPr>
          </w:p>
        </w:tc>
      </w:tr>
      <w:tr w:rsidR="007E380F" w:rsidRPr="00CE10D3" w14:paraId="2A377A6F" w14:textId="77777777" w:rsidTr="007E380F">
        <w:trPr>
          <w:trHeight w:val="355"/>
          <w:jc w:val="center"/>
        </w:trPr>
        <w:tc>
          <w:tcPr>
            <w:tcW w:w="923" w:type="dxa"/>
            <w:tcBorders>
              <w:top w:val="nil"/>
              <w:left w:val="nil"/>
              <w:bottom w:val="nil"/>
              <w:right w:val="nil"/>
            </w:tcBorders>
            <w:shd w:val="clear" w:color="auto" w:fill="auto"/>
          </w:tcPr>
          <w:p w14:paraId="15934197" w14:textId="77777777" w:rsidR="007E380F" w:rsidRPr="00CE10D3" w:rsidRDefault="007E380F" w:rsidP="007E380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D480137" w14:textId="77777777" w:rsidR="007E380F" w:rsidRPr="00CE10D3" w:rsidRDefault="007E380F" w:rsidP="007E380F">
            <w:pPr>
              <w:jc w:val="both"/>
              <w:rPr>
                <w:rtl/>
              </w:rPr>
            </w:pPr>
          </w:p>
        </w:tc>
        <w:tc>
          <w:tcPr>
            <w:tcW w:w="3771" w:type="dxa"/>
            <w:tcBorders>
              <w:top w:val="nil"/>
              <w:left w:val="nil"/>
              <w:bottom w:val="nil"/>
              <w:right w:val="nil"/>
            </w:tcBorders>
            <w:shd w:val="clear" w:color="auto" w:fill="auto"/>
          </w:tcPr>
          <w:p w14:paraId="5E638022" w14:textId="77777777" w:rsidR="007E380F" w:rsidRPr="00CE10D3" w:rsidRDefault="007E380F" w:rsidP="007E380F">
            <w:pPr>
              <w:jc w:val="right"/>
              <w:rPr>
                <w:rFonts w:ascii="Arial" w:hAnsi="Arial" w:cs="FrankRuehl"/>
                <w:sz w:val="28"/>
                <w:szCs w:val="28"/>
              </w:rPr>
            </w:pPr>
            <w:r w:rsidRPr="00CE10D3">
              <w:rPr>
                <w:rFonts w:ascii="Arial" w:hAnsi="Arial" w:cs="FrankRuehl" w:hint="cs"/>
                <w:sz w:val="28"/>
                <w:szCs w:val="28"/>
                <w:rtl/>
              </w:rPr>
              <w:t>ה</w:t>
            </w:r>
            <w:r w:rsidRPr="00CE10D3">
              <w:rPr>
                <w:rFonts w:ascii="Arial" w:hAnsi="Arial" w:cs="FrankRuehl"/>
                <w:sz w:val="28"/>
                <w:szCs w:val="28"/>
                <w:rtl/>
              </w:rPr>
              <w:t>נאש</w:t>
            </w:r>
            <w:r w:rsidRPr="00CE10D3">
              <w:rPr>
                <w:rFonts w:ascii="Arial" w:hAnsi="Arial" w:cs="FrankRuehl" w:hint="cs"/>
                <w:sz w:val="28"/>
                <w:szCs w:val="28"/>
                <w:rtl/>
              </w:rPr>
              <w:t>ם</w:t>
            </w:r>
          </w:p>
        </w:tc>
      </w:tr>
    </w:tbl>
    <w:p w14:paraId="2D60C540" w14:textId="77777777" w:rsidR="007E380F" w:rsidRPr="00CE10D3" w:rsidRDefault="007E380F" w:rsidP="007E380F">
      <w:pPr>
        <w:spacing w:line="360" w:lineRule="auto"/>
      </w:pPr>
      <w:bookmarkStart w:id="2" w:name="FirstLawyer"/>
      <w:r w:rsidRPr="00CE10D3">
        <w:rPr>
          <w:rFonts w:hint="cs"/>
          <w:rtl/>
        </w:rPr>
        <w:t>ב"כ</w:t>
      </w:r>
      <w:bookmarkEnd w:id="2"/>
      <w:r w:rsidRPr="00CE10D3">
        <w:rPr>
          <w:rFonts w:hint="cs"/>
          <w:rtl/>
        </w:rPr>
        <w:t xml:space="preserve"> המאשימה עו"ד שירלי ברזילי, עו"ד עדי סעדיה ועו"ד צליל משיח</w:t>
      </w:r>
    </w:p>
    <w:p w14:paraId="747BE251" w14:textId="77777777" w:rsidR="007E380F" w:rsidRPr="00CE10D3" w:rsidRDefault="007E380F" w:rsidP="007E380F">
      <w:pPr>
        <w:pStyle w:val="12"/>
        <w:rPr>
          <w:b w:val="0"/>
          <w:bCs w:val="0"/>
          <w:u w:val="none"/>
          <w:rtl/>
        </w:rPr>
      </w:pPr>
      <w:r w:rsidRPr="00CE10D3">
        <w:rPr>
          <w:b w:val="0"/>
          <w:bCs w:val="0"/>
          <w:u w:val="none"/>
          <w:rtl/>
        </w:rPr>
        <w:t xml:space="preserve">הנאשם בעצמו </w:t>
      </w:r>
    </w:p>
    <w:p w14:paraId="4FA634DC" w14:textId="77777777" w:rsidR="007E380F" w:rsidRPr="00CE10D3" w:rsidRDefault="007E380F" w:rsidP="007E380F">
      <w:pPr>
        <w:pStyle w:val="12"/>
        <w:rPr>
          <w:sz w:val="4"/>
          <w:szCs w:val="4"/>
          <w:u w:val="none"/>
          <w:rtl/>
        </w:rPr>
      </w:pPr>
      <w:r w:rsidRPr="00CE10D3">
        <w:rPr>
          <w:b w:val="0"/>
          <w:bCs w:val="0"/>
          <w:sz w:val="4"/>
          <w:szCs w:val="4"/>
          <w:u w:val="none"/>
          <w:rtl/>
        </w:rPr>
        <w:t xml:space="preserve"> </w:t>
      </w:r>
    </w:p>
    <w:p w14:paraId="3646CA71" w14:textId="77777777" w:rsidR="00D870F8" w:rsidRDefault="007E380F" w:rsidP="007E380F">
      <w:pPr>
        <w:pStyle w:val="12"/>
        <w:rPr>
          <w:b w:val="0"/>
          <w:bCs w:val="0"/>
          <w:u w:val="none"/>
          <w:rtl/>
        </w:rPr>
      </w:pPr>
      <w:r w:rsidRPr="00CE10D3">
        <w:rPr>
          <w:b w:val="0"/>
          <w:bCs w:val="0"/>
          <w:u w:val="none"/>
          <w:rtl/>
        </w:rPr>
        <w:t xml:space="preserve">בא כוח הנאשם עו"ד דורון שטרן  </w:t>
      </w:r>
      <w:bookmarkStart w:id="3" w:name="LawTable"/>
      <w:bookmarkEnd w:id="3"/>
    </w:p>
    <w:p w14:paraId="54D127D1" w14:textId="77777777" w:rsidR="00D870F8" w:rsidRPr="00D870F8" w:rsidRDefault="00D870F8" w:rsidP="00D870F8">
      <w:pPr>
        <w:pStyle w:val="12"/>
        <w:spacing w:after="120" w:line="240" w:lineRule="exact"/>
        <w:ind w:left="283" w:hanging="283"/>
        <w:jc w:val="both"/>
        <w:rPr>
          <w:rFonts w:ascii="FrankRuehl" w:hAnsi="FrankRuehl" w:cs="FrankRuehl"/>
          <w:b w:val="0"/>
          <w:bCs w:val="0"/>
          <w:u w:val="none"/>
          <w:rtl/>
        </w:rPr>
      </w:pPr>
    </w:p>
    <w:p w14:paraId="76F163CD" w14:textId="77777777" w:rsidR="00D870F8" w:rsidRPr="00D870F8" w:rsidRDefault="00D870F8" w:rsidP="00D870F8">
      <w:pPr>
        <w:pStyle w:val="12"/>
        <w:spacing w:after="120" w:line="240" w:lineRule="exact"/>
        <w:ind w:left="283" w:hanging="283"/>
        <w:jc w:val="both"/>
        <w:rPr>
          <w:rFonts w:ascii="FrankRuehl" w:hAnsi="FrankRuehl" w:cs="FrankRuehl"/>
          <w:b w:val="0"/>
          <w:bCs w:val="0"/>
          <w:u w:val="none"/>
          <w:rtl/>
        </w:rPr>
      </w:pPr>
      <w:r w:rsidRPr="00D870F8">
        <w:rPr>
          <w:rFonts w:ascii="FrankRuehl" w:hAnsi="FrankRuehl" w:cs="FrankRuehl"/>
          <w:b w:val="0"/>
          <w:bCs w:val="0"/>
          <w:u w:val="none"/>
          <w:rtl/>
        </w:rPr>
        <w:t xml:space="preserve">חקיקה שאוזכרה: </w:t>
      </w:r>
    </w:p>
    <w:p w14:paraId="258E9860" w14:textId="77777777" w:rsidR="00D870F8" w:rsidRPr="00D870F8" w:rsidRDefault="00D870F8" w:rsidP="00D870F8">
      <w:pPr>
        <w:pStyle w:val="12"/>
        <w:spacing w:after="120" w:line="240" w:lineRule="exact"/>
        <w:ind w:left="283" w:hanging="283"/>
        <w:jc w:val="both"/>
        <w:rPr>
          <w:rFonts w:ascii="FrankRuehl" w:hAnsi="FrankRuehl" w:cs="FrankRuehl"/>
          <w:b w:val="0"/>
          <w:bCs w:val="0"/>
          <w:color w:val="0000FF"/>
          <w:rtl/>
        </w:rPr>
      </w:pPr>
      <w:hyperlink r:id="rId7" w:history="1">
        <w:r w:rsidRPr="00D870F8">
          <w:rPr>
            <w:rStyle w:val="Hyperlink"/>
            <w:rFonts w:ascii="FrankRuehl" w:hAnsi="FrankRuehl" w:cs="FrankRuehl"/>
            <w:b w:val="0"/>
            <w:bCs w:val="0"/>
            <w:rtl/>
          </w:rPr>
          <w:t>פקודת הסמים המסוכנים [נוסח חדש], תשל"ג-1973</w:t>
        </w:r>
      </w:hyperlink>
      <w:r w:rsidRPr="00D870F8">
        <w:rPr>
          <w:rFonts w:ascii="FrankRuehl" w:hAnsi="FrankRuehl" w:cs="FrankRuehl"/>
          <w:b w:val="0"/>
          <w:bCs w:val="0"/>
          <w:color w:val="0000FF"/>
          <w:rtl/>
        </w:rPr>
        <w:t xml:space="preserve">: סע'  </w:t>
      </w:r>
      <w:hyperlink r:id="rId8" w:history="1">
        <w:r w:rsidRPr="00D870F8">
          <w:rPr>
            <w:rStyle w:val="Hyperlink"/>
            <w:rFonts w:ascii="FrankRuehl" w:hAnsi="FrankRuehl" w:cs="FrankRuehl"/>
            <w:b w:val="0"/>
            <w:bCs w:val="0"/>
          </w:rPr>
          <w:t>6</w:t>
        </w:r>
      </w:hyperlink>
    </w:p>
    <w:p w14:paraId="6A7859BD" w14:textId="77777777" w:rsidR="00D870F8" w:rsidRPr="00D870F8" w:rsidRDefault="00D870F8" w:rsidP="00D870F8">
      <w:pPr>
        <w:pStyle w:val="12"/>
        <w:spacing w:after="120" w:line="240" w:lineRule="exact"/>
        <w:ind w:left="283" w:hanging="283"/>
        <w:jc w:val="both"/>
        <w:rPr>
          <w:rFonts w:ascii="FrankRuehl" w:hAnsi="FrankRuehl" w:cs="FrankRuehl"/>
          <w:b w:val="0"/>
          <w:bCs w:val="0"/>
          <w:u w:val="none"/>
          <w:rtl/>
        </w:rPr>
      </w:pPr>
    </w:p>
    <w:p w14:paraId="261790B6" w14:textId="77777777" w:rsidR="00D870F8" w:rsidRPr="00D870F8" w:rsidRDefault="00D870F8" w:rsidP="007E380F">
      <w:pPr>
        <w:pStyle w:val="12"/>
        <w:rPr>
          <w:b w:val="0"/>
          <w:bCs w:val="0"/>
          <w:u w:val="none"/>
          <w:rtl/>
        </w:rPr>
      </w:pPr>
      <w:bookmarkStart w:id="4" w:name="LawTable_End"/>
      <w:bookmarkEnd w:id="4"/>
    </w:p>
    <w:p w14:paraId="711762EB" w14:textId="77777777" w:rsidR="00D870F8" w:rsidRPr="00D870F8" w:rsidRDefault="00D870F8" w:rsidP="007E380F">
      <w:pPr>
        <w:pStyle w:val="12"/>
        <w:rPr>
          <w:b w:val="0"/>
          <w:bCs w:val="0"/>
          <w:u w:val="none"/>
          <w:rtl/>
        </w:rPr>
      </w:pPr>
    </w:p>
    <w:p w14:paraId="293AB22E" w14:textId="77777777" w:rsidR="007E380F" w:rsidRPr="00D870F8" w:rsidRDefault="007E380F" w:rsidP="007E380F">
      <w:pPr>
        <w:pStyle w:val="12"/>
        <w:rPr>
          <w:u w:val="none"/>
          <w:rtl/>
        </w:rPr>
      </w:pPr>
    </w:p>
    <w:p w14:paraId="4BD25C43" w14:textId="77777777" w:rsidR="00CE10D3" w:rsidRPr="00CE10D3" w:rsidRDefault="00CE10D3" w:rsidP="00CE10D3">
      <w:pPr>
        <w:rPr>
          <w:rtl/>
        </w:rPr>
      </w:pPr>
    </w:p>
    <w:p w14:paraId="602A501A" w14:textId="77777777" w:rsidR="007E380F" w:rsidRPr="00CE10D3" w:rsidRDefault="007E380F" w:rsidP="007E380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380F" w14:paraId="00426C4D" w14:textId="77777777" w:rsidTr="007E380F">
        <w:trPr>
          <w:trHeight w:val="355"/>
          <w:jc w:val="center"/>
        </w:trPr>
        <w:tc>
          <w:tcPr>
            <w:tcW w:w="8820" w:type="dxa"/>
            <w:tcBorders>
              <w:top w:val="nil"/>
              <w:left w:val="nil"/>
              <w:bottom w:val="nil"/>
              <w:right w:val="nil"/>
            </w:tcBorders>
            <w:shd w:val="clear" w:color="auto" w:fill="auto"/>
          </w:tcPr>
          <w:p w14:paraId="524FE683" w14:textId="77777777" w:rsidR="00CE10D3" w:rsidRPr="00CE10D3" w:rsidRDefault="00CE10D3" w:rsidP="00CE10D3">
            <w:pPr>
              <w:jc w:val="center"/>
              <w:rPr>
                <w:rFonts w:ascii="Arial" w:hAnsi="Arial" w:cs="FrankRuehl"/>
                <w:b/>
                <w:bCs/>
                <w:sz w:val="32"/>
                <w:szCs w:val="32"/>
                <w:u w:val="single"/>
                <w:rtl/>
              </w:rPr>
            </w:pPr>
            <w:bookmarkStart w:id="5" w:name="PsakDin" w:colFirst="0" w:colLast="0"/>
            <w:r w:rsidRPr="00CE10D3">
              <w:rPr>
                <w:rFonts w:ascii="Arial" w:hAnsi="Arial" w:cs="FrankRuehl"/>
                <w:b/>
                <w:bCs/>
                <w:sz w:val="32"/>
                <w:szCs w:val="32"/>
                <w:u w:val="single"/>
                <w:rtl/>
              </w:rPr>
              <w:t>גזר דין</w:t>
            </w:r>
          </w:p>
          <w:p w14:paraId="5E4B0D19" w14:textId="77777777" w:rsidR="007E380F" w:rsidRPr="00CE10D3" w:rsidRDefault="007E380F" w:rsidP="00CE10D3">
            <w:pPr>
              <w:jc w:val="center"/>
              <w:rPr>
                <w:rFonts w:ascii="Arial" w:hAnsi="Arial" w:cs="FrankRuehl"/>
                <w:bCs/>
                <w:sz w:val="32"/>
                <w:szCs w:val="32"/>
                <w:u w:val="single"/>
                <w:rtl/>
              </w:rPr>
            </w:pPr>
          </w:p>
        </w:tc>
      </w:tr>
      <w:bookmarkEnd w:id="5"/>
    </w:tbl>
    <w:p w14:paraId="0F416EE3" w14:textId="77777777" w:rsidR="007E380F" w:rsidRPr="00B05847" w:rsidRDefault="007E380F" w:rsidP="007E380F">
      <w:pPr>
        <w:rPr>
          <w:rFonts w:ascii="Arial" w:hAnsi="Arial"/>
          <w:rtl/>
        </w:rPr>
      </w:pPr>
    </w:p>
    <w:p w14:paraId="5C47B4AF" w14:textId="77777777" w:rsidR="007E380F" w:rsidRPr="00B05847" w:rsidRDefault="007E380F" w:rsidP="007E380F">
      <w:pPr>
        <w:rPr>
          <w:rFonts w:ascii="Arial" w:hAnsi="Arial"/>
          <w:rtl/>
        </w:rPr>
      </w:pPr>
    </w:p>
    <w:p w14:paraId="45EB8AF3" w14:textId="77777777" w:rsidR="007E380F" w:rsidRDefault="007E380F" w:rsidP="007E380F">
      <w:pPr>
        <w:spacing w:line="360" w:lineRule="auto"/>
        <w:jc w:val="both"/>
        <w:rPr>
          <w:rFonts w:ascii="David" w:hAnsi="David"/>
          <w:b/>
          <w:bCs/>
          <w:u w:val="single"/>
          <w:rtl/>
        </w:rPr>
      </w:pPr>
      <w:r>
        <w:rPr>
          <w:rFonts w:ascii="David" w:hAnsi="David"/>
          <w:b/>
          <w:bCs/>
          <w:u w:val="single"/>
          <w:rtl/>
        </w:rPr>
        <w:t>מבוא</w:t>
      </w:r>
    </w:p>
    <w:p w14:paraId="783E7579" w14:textId="77777777" w:rsidR="007E380F" w:rsidRDefault="007E380F" w:rsidP="007E380F">
      <w:pPr>
        <w:pStyle w:val="aa"/>
        <w:numPr>
          <w:ilvl w:val="0"/>
          <w:numId w:val="1"/>
        </w:numPr>
        <w:spacing w:after="0" w:line="360" w:lineRule="auto"/>
        <w:ind w:left="509" w:hanging="509"/>
        <w:jc w:val="both"/>
        <w:rPr>
          <w:rFonts w:ascii="David" w:hAnsi="David" w:cs="David"/>
          <w:sz w:val="24"/>
          <w:szCs w:val="24"/>
          <w:rtl/>
        </w:rPr>
      </w:pPr>
      <w:bookmarkStart w:id="6" w:name="ABSTRACT_START"/>
      <w:bookmarkEnd w:id="6"/>
      <w:r>
        <w:rPr>
          <w:rFonts w:ascii="David" w:hAnsi="David" w:cs="David"/>
          <w:sz w:val="24"/>
          <w:szCs w:val="24"/>
          <w:rtl/>
        </w:rPr>
        <w:t xml:space="preserve">בהכרעת דין מיום 29.10.18 הורשע הנאשם, לפי הודאתו בעובדות כתב האישום המתוקן, בעבירה של גידול סמים, לפי </w:t>
      </w:r>
      <w:hyperlink r:id="rId9" w:history="1">
        <w:r w:rsidR="00D870F8" w:rsidRPr="00D870F8">
          <w:rPr>
            <w:rStyle w:val="Hyperlink"/>
            <w:rFonts w:ascii="David" w:hAnsi="David" w:cs="David"/>
            <w:color w:val="0000FF"/>
            <w:sz w:val="24"/>
            <w:szCs w:val="24"/>
            <w:rtl/>
          </w:rPr>
          <w:t>סעיף 6</w:t>
        </w:r>
      </w:hyperlink>
      <w:r>
        <w:rPr>
          <w:rFonts w:ascii="David" w:hAnsi="David" w:cs="David"/>
          <w:sz w:val="24"/>
          <w:szCs w:val="24"/>
          <w:rtl/>
        </w:rPr>
        <w:t xml:space="preserve"> ל</w:t>
      </w:r>
      <w:hyperlink r:id="rId10" w:history="1">
        <w:r w:rsidR="00CE10D3" w:rsidRPr="00CE10D3">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w:t>
      </w:r>
    </w:p>
    <w:p w14:paraId="0F2DA410" w14:textId="77777777" w:rsidR="007E380F" w:rsidRDefault="007E380F" w:rsidP="007E380F">
      <w:pPr>
        <w:pStyle w:val="aa"/>
        <w:spacing w:after="0" w:line="360" w:lineRule="auto"/>
        <w:ind w:left="509"/>
        <w:jc w:val="both"/>
        <w:rPr>
          <w:rFonts w:ascii="David" w:hAnsi="David" w:cs="David"/>
          <w:sz w:val="24"/>
          <w:szCs w:val="24"/>
        </w:rPr>
      </w:pPr>
      <w:r>
        <w:rPr>
          <w:rFonts w:ascii="David" w:hAnsi="David" w:cs="David"/>
          <w:sz w:val="24"/>
          <w:szCs w:val="24"/>
          <w:rtl/>
        </w:rPr>
        <w:t>לפי כתב האישום, לפני יום 28.6.17 העמיד הנאשם מחסן במרפסת הדירה והתקין בו מנורה, רפלקטור וצינור פליטה שהוציא מבעד לפתח המחסן. בערב יום 28.6.17 גידל הנאשם במחסן סם מסוכן מסוג קנבוס במשקל 199.20 גרם בשלושה עציצים.</w:t>
      </w:r>
    </w:p>
    <w:p w14:paraId="64FBAC16" w14:textId="77777777" w:rsidR="007E380F" w:rsidRDefault="007E380F" w:rsidP="007E380F">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2605C3A0" w14:textId="77777777" w:rsidR="007E380F" w:rsidRDefault="007E380F" w:rsidP="007E380F">
      <w:pPr>
        <w:spacing w:line="360" w:lineRule="auto"/>
        <w:jc w:val="both"/>
        <w:rPr>
          <w:rFonts w:ascii="David" w:hAnsi="David"/>
        </w:rPr>
      </w:pPr>
      <w:bookmarkStart w:id="7" w:name="ABSTRACT_END"/>
      <w:bookmarkEnd w:id="7"/>
    </w:p>
    <w:p w14:paraId="462E9FBA" w14:textId="77777777" w:rsidR="007E380F" w:rsidRDefault="007E380F" w:rsidP="007E380F">
      <w:pPr>
        <w:spacing w:line="360" w:lineRule="auto"/>
        <w:jc w:val="both"/>
        <w:rPr>
          <w:rFonts w:ascii="David" w:hAnsi="David"/>
          <w:b/>
          <w:bCs/>
          <w:u w:val="single"/>
        </w:rPr>
      </w:pPr>
      <w:r>
        <w:rPr>
          <w:rFonts w:ascii="David" w:hAnsi="David"/>
          <w:b/>
          <w:bCs/>
          <w:u w:val="single"/>
          <w:rtl/>
        </w:rPr>
        <w:t>תסקירי שירות מבחן</w:t>
      </w:r>
    </w:p>
    <w:p w14:paraId="05B26ACE" w14:textId="77777777" w:rsidR="007E380F" w:rsidRPr="007E380F" w:rsidRDefault="007E380F" w:rsidP="007E380F">
      <w:pPr>
        <w:pStyle w:val="aa"/>
        <w:numPr>
          <w:ilvl w:val="0"/>
          <w:numId w:val="1"/>
        </w:numPr>
        <w:spacing w:after="0" w:line="360" w:lineRule="auto"/>
        <w:ind w:left="509" w:hanging="509"/>
        <w:jc w:val="both"/>
        <w:rPr>
          <w:rFonts w:cs="David"/>
          <w:sz w:val="24"/>
          <w:szCs w:val="24"/>
          <w:rtl/>
        </w:rPr>
      </w:pPr>
      <w:r>
        <w:rPr>
          <w:rFonts w:cs="David"/>
          <w:sz w:val="24"/>
          <w:szCs w:val="24"/>
          <w:rtl/>
        </w:rPr>
        <w:lastRenderedPageBreak/>
        <w:t>בעניינו של הנאשם נערכו מספר תסקירים והדיונים נדחו מפעם לפעם לשם שילובו של הנאשם בהליך טיפולי במסגרת שירות המבחן.</w:t>
      </w:r>
    </w:p>
    <w:p w14:paraId="28B81836" w14:textId="77777777" w:rsidR="007E380F" w:rsidRDefault="007E380F" w:rsidP="007E380F">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בתסקירו מיום 12.6.19, ציין שירות המבחן, כי הנאשם בן 32, נשוי ואב לשני בנים קטינים מנישואיו הקודמים. הנאשם מסר, כי מגיל צעיר נחשף לאירועי טרור ואלימות בסביבת מגוריו, ובגיל 18 נאלצו הנאשם ומשפחתו להתמודד עם פינוי גוש קטיף ומעבר לישוב יד בנימין. לדברי הנאשם, הפינוי והמעבר היוו רגע משברי בחייו. הנאשם סיים 12 שנות לימוד ושירת שירות צבאי מלא כלוחם בחטיבת גולני. לאחר שחרורו נרשם הנאשם למכינה קדם אקדמית בבית ספר "בצלאל" ולאחר מכן השתלב בלימודי תואר ראשון בעיצוב תעשייתי</w:t>
      </w:r>
      <w:r>
        <w:rPr>
          <w:rFonts w:cs="David"/>
          <w:sz w:val="24"/>
          <w:szCs w:val="24"/>
          <w:rtl/>
        </w:rPr>
        <w:t xml:space="preserve">, אולם לא סיים את  לימודיו. במסגרת הלימודים הוכשר הנאשם כצלם מקצועי והחל לעבוד בתחום הצילום. בשל קשיים כלכליים הנאשם סגר את עסקו כעצמאי והחל לעבוד כעורך ומפיק בחברת הפקות. הנאשם גדל במשפחה המנהלת אורח חיים דתי, תיאר קשר חיובי עם הוריו. הנאשם נישא בשנת 2009 והתגרש בשנת 2016. לאחר הגירושין שקע הנאשם במשבר נפשי והחל לצרוך טיפול תרופתי פסיכיאטרי נוגדי דכאון וסמים. בשנת 2019 הנאשם נישא בשנית, אשתו סייעה לו להיגמל מסמים והיוותה גורם תמיכה עבורו. שירות המבחן מסר, כי הנאשם החל לצרוך סמים עקב גירושיו ובמשך הזמן פיתח דפוסי התמכרות ותלות. בשל מצבו הכלכלי הקשה ומבוקשו לחסוך בעלויות, החליט הנאשם לגדל סמים ומכאן ביצוע העבירה. בחודש פברואר 2019 הנאשם פנה ביוזמתו לטיפול פרטני ופסיכותרפי. הגורם הטיפולי מסר, כי הנאשם הגיע באופן סדיר לפגישות, שיתף פעולה, הביע מוטיבציה לשינוי, שיתף בגילוי לב על אודות אירועים טראומתיים מילדותו ומנישואיו. במהלך החודשים מרץ – יוני 2019 הנאשם מסר בדיקות שתן שנמצאו ללא שרידי סם. </w:t>
      </w:r>
    </w:p>
    <w:p w14:paraId="39858C03" w14:textId="77777777" w:rsidR="007E380F" w:rsidRDefault="007E380F" w:rsidP="007E380F">
      <w:pPr>
        <w:pStyle w:val="aa"/>
        <w:spacing w:after="0" w:line="360" w:lineRule="auto"/>
        <w:ind w:left="509"/>
        <w:jc w:val="both"/>
        <w:rPr>
          <w:rFonts w:cs="David"/>
          <w:sz w:val="24"/>
          <w:szCs w:val="24"/>
        </w:rPr>
      </w:pPr>
      <w:r>
        <w:rPr>
          <w:rFonts w:cs="David"/>
          <w:sz w:val="24"/>
          <w:szCs w:val="24"/>
          <w:rtl/>
        </w:rPr>
        <w:t>להתרשמות שירות המבחן, לנאשם אין דפוסים עבריינים והוא בעל תפקוד וכישורים חיוביים. להערכת שירות המבחן, טיפול ייעודי בתחום ההתמכרויות יכול לסייע לנאשם בשימור הישגיו והרחבת מודעותו כלפי התמכרותו. אולם, הנאשם כיום אינו מבטא נזקקות טיפולית. מכאן, ששירות המבחן לא בא בהמלצה טיפולית והמליץ על הטלת צו שירות לתועלת הציבור בהיקף של 140 שעות. שירות המבחן לא בא בהמלצה בעניין אי הרשעת הנאשם, הואיל ולא הציג אישורים בדבר פגיעה בתעסוקתו.</w:t>
      </w:r>
    </w:p>
    <w:p w14:paraId="53591200" w14:textId="77777777" w:rsidR="007E380F" w:rsidRDefault="007E380F" w:rsidP="007E380F">
      <w:pPr>
        <w:pStyle w:val="aa"/>
        <w:numPr>
          <w:ilvl w:val="0"/>
          <w:numId w:val="1"/>
        </w:numPr>
        <w:spacing w:after="0" w:line="360" w:lineRule="auto"/>
        <w:ind w:left="509" w:hanging="509"/>
        <w:jc w:val="both"/>
        <w:rPr>
          <w:rFonts w:cs="David"/>
          <w:sz w:val="24"/>
          <w:szCs w:val="24"/>
        </w:rPr>
      </w:pPr>
      <w:r>
        <w:rPr>
          <w:rFonts w:cs="David"/>
          <w:sz w:val="24"/>
          <w:szCs w:val="24"/>
          <w:rtl/>
        </w:rPr>
        <w:t xml:space="preserve">בתסקיר משלים מיום 2.9.19 הוסיף שירות המבחן, כי הנאשם הביע רצון להשתלב בטיפול בתחום הסמים בנפגעי התמכרויות. מכאן, המליץ שירות המבחן לדחות את הדיון לשם  השתלבותו של הנאשם בהליך טיפולי. </w:t>
      </w:r>
    </w:p>
    <w:p w14:paraId="1B146BB6" w14:textId="77777777" w:rsidR="007E380F" w:rsidRDefault="007E380F" w:rsidP="007E380F">
      <w:pPr>
        <w:pStyle w:val="aa"/>
        <w:numPr>
          <w:ilvl w:val="0"/>
          <w:numId w:val="1"/>
        </w:numPr>
        <w:spacing w:after="0" w:line="360" w:lineRule="auto"/>
        <w:ind w:left="509" w:hanging="509"/>
        <w:jc w:val="both"/>
        <w:rPr>
          <w:rFonts w:cs="David"/>
          <w:sz w:val="24"/>
          <w:szCs w:val="24"/>
        </w:rPr>
      </w:pPr>
      <w:r>
        <w:rPr>
          <w:rFonts w:cs="David"/>
          <w:sz w:val="24"/>
          <w:szCs w:val="24"/>
          <w:rtl/>
        </w:rPr>
        <w:t xml:space="preserve">בתסקיר משלים מיום 27.11.19 הוסיף שירות המבחן, כי בתקופת הדחיה פנה הנאשם למחלקת לשירותים חברתיים על מנת לקדם השתלבותו בטיפול ייעודי, אולם בשל מגבלות כוח אדם טרם השתלב. הנאשם מסר בדיקות שתן שנמצאו ללא שרידי סמים. גורמי הטיפול בגדרה מסרו, כי נערך מפגש ראשוני עם הנאשם וקליטתו תתאפשר בסוף חודש נובמבר. </w:t>
      </w:r>
    </w:p>
    <w:p w14:paraId="7974D332" w14:textId="77777777" w:rsidR="007E380F" w:rsidRDefault="007E380F" w:rsidP="007E380F">
      <w:pPr>
        <w:pStyle w:val="aa"/>
        <w:numPr>
          <w:ilvl w:val="0"/>
          <w:numId w:val="1"/>
        </w:numPr>
        <w:spacing w:after="0" w:line="360" w:lineRule="auto"/>
        <w:ind w:left="509" w:hanging="509"/>
        <w:jc w:val="both"/>
        <w:rPr>
          <w:rFonts w:cs="David"/>
          <w:sz w:val="24"/>
          <w:szCs w:val="24"/>
        </w:rPr>
      </w:pPr>
      <w:r>
        <w:rPr>
          <w:rFonts w:cs="David"/>
          <w:sz w:val="24"/>
          <w:szCs w:val="24"/>
          <w:rtl/>
        </w:rPr>
        <w:t xml:space="preserve">שירות המבחן הוסיף בתסקיר משלים מיום 26.2.20 ומיום 3.5.20, כי בחודש נובמבר 2019 השתלב הנאשם בטיפול פרטני. תחילה גילה קושי בהגעה למפגשים באופן רציף, אך בהמשך </w:t>
      </w:r>
      <w:r>
        <w:rPr>
          <w:rFonts w:cs="David"/>
          <w:sz w:val="24"/>
          <w:szCs w:val="24"/>
          <w:rtl/>
        </w:rPr>
        <w:lastRenderedPageBreak/>
        <w:t>החל להגיע בקביעות, והפגין מוטיבציה ומחויבות ראשונית לבחון קשייו. הנאשם מסר בדיקות שתן שנמצאו ללא שרידי סם. להתרשמות שירות המבחן, לנאשם רקע התמכרותי וקושי מסוים בהיענות לטיפול. לצד זאת, לא התרשם מקיומם של קווים שוליים או עברייניים. מכאן, חזר שירות המבחן על המלצתו.</w:t>
      </w:r>
    </w:p>
    <w:p w14:paraId="11D71A35" w14:textId="77777777" w:rsidR="007E380F" w:rsidRDefault="007E380F" w:rsidP="007E380F">
      <w:pPr>
        <w:pStyle w:val="aa"/>
        <w:numPr>
          <w:ilvl w:val="0"/>
          <w:numId w:val="1"/>
        </w:numPr>
        <w:spacing w:after="0" w:line="360" w:lineRule="auto"/>
        <w:ind w:left="509" w:hanging="509"/>
        <w:jc w:val="both"/>
        <w:rPr>
          <w:rFonts w:cs="David"/>
          <w:sz w:val="24"/>
          <w:szCs w:val="24"/>
          <w:rtl/>
        </w:rPr>
      </w:pPr>
      <w:r>
        <w:rPr>
          <w:rFonts w:cs="David"/>
          <w:sz w:val="24"/>
          <w:szCs w:val="24"/>
          <w:rtl/>
        </w:rPr>
        <w:t>בתסקיר אחרון מיום 26.7.20 ציין שירות המבחן, כי בשל מגפת הקורונה הנאשם אינו עובד ונמצא בחופשה ללא תשלום. הנאשם תיאר מתחים בינו ובין גרושתו סביב מחלוקות כלכליות, אולם בת זוגו הנוכחית מסייעת לו ומהווה עבורו גורם תמיכה. גורמי הטיפול במחלקה לשירותים חברתיים בגדרה תיארו, כי הנאשם נרתם להליך הטיפולי, שיתף פעולה באופן חיובי, ביטא אחריות על מעשיו ונכונות לשיקום עצמי. הנאשם הציג מכתב מיום 19.5.20 מטעם מעסיקו, לפיו הוא משמש כצלם ועורך פרויקטים במוסדות חינוך שונים ואחד התנאים להעסקתו הוא היעדר הרשעה בפלילים. המעסיק הדגיש, כי אם הנאשם יורשע תאלץ החברה לפטרו. מכאן העריך שירות המבחן, כי הרשעת הנאשם תסב לו נזק מקצועי, אישי וכלכלי ועלולה לפגוע בעתידו. לאור האמור, המליץ שירות המבחן לסיים ההליך ללא הרשעת הנאשם ולהטיל עליו צו מבחן למשך שנה וצו שירות לתועלת הציבור בהיקף של 140 שעות.</w:t>
      </w:r>
    </w:p>
    <w:p w14:paraId="04150C3E" w14:textId="77777777" w:rsidR="007E380F" w:rsidRDefault="007E380F" w:rsidP="007E380F">
      <w:pPr>
        <w:pStyle w:val="aa"/>
        <w:spacing w:after="0" w:line="360" w:lineRule="auto"/>
        <w:ind w:left="0"/>
        <w:jc w:val="both"/>
        <w:rPr>
          <w:rFonts w:cs="David"/>
          <w:b/>
          <w:bCs/>
          <w:sz w:val="24"/>
          <w:szCs w:val="24"/>
          <w:u w:val="single"/>
        </w:rPr>
      </w:pPr>
    </w:p>
    <w:p w14:paraId="368367B6" w14:textId="77777777" w:rsidR="007E380F" w:rsidRDefault="007E380F" w:rsidP="007E380F">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6A2E8C01" w14:textId="77777777" w:rsidR="007E380F" w:rsidRDefault="007E380F" w:rsidP="007E380F">
      <w:pPr>
        <w:pStyle w:val="aa"/>
        <w:numPr>
          <w:ilvl w:val="0"/>
          <w:numId w:val="1"/>
        </w:numPr>
        <w:spacing w:before="120" w:after="120" w:line="360" w:lineRule="auto"/>
        <w:ind w:left="509" w:hanging="567"/>
        <w:jc w:val="both"/>
        <w:rPr>
          <w:rFonts w:cs="David"/>
          <w:sz w:val="24"/>
          <w:szCs w:val="24"/>
          <w:rtl/>
        </w:rPr>
      </w:pPr>
      <w:r>
        <w:rPr>
          <w:rFonts w:cs="David"/>
          <w:sz w:val="24"/>
          <w:szCs w:val="24"/>
          <w:rtl/>
        </w:rPr>
        <w:t>באת כוח התביעה טענה, כי אין לבטל את הרשעתו של הנאשם, משום שלא הציג אישורים מספקים להוכחת נזק קונקרטי, וגם שירות המבחן הציג עמדה אמביוולנטית בשאלת אי ההרשעה, לאורך ההליך.</w:t>
      </w:r>
    </w:p>
    <w:p w14:paraId="16BDE8DE"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שכתוצאה מביצוע העבירה בה הורשע הנאשם נפגעו הערכים החברתיים של הגנה על הציבור מנגע הסמים. לטענתה, אין מדובר בגידול אקראי אלא בגידול שיטתי הדורש השקעת זמן, משאבים, כספים ועבודה. הנאשם גידל סם בשלושה עציצים במשקל של 199.2 גרם, משמע במשקל שאינו מבוטל.</w:t>
      </w:r>
    </w:p>
    <w:p w14:paraId="0E9B52B6"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העבירה מושא כתב האישום נע בין מאסר קצר, שיכול ויבוצע בדרך של עבודות שירות, ובין מאסר לתקופה של 8 חודשים.</w:t>
      </w:r>
    </w:p>
    <w:p w14:paraId="77C0BD39"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העבירה: הנאשם הודה במיוחס לו וחסך בזמן שיפוטי; הנאשם נעדר עבר פלילי; מהתסקירים עולה כי הנאשם נגמל בכוחות עצמו בסיוע בת זוגו. שירות המבחן התרשם מהיעדר דפוסים עבריינים. תחילה שלל הנאשם טיפול למרות המלצת שירות המבחן.</w:t>
      </w:r>
    </w:p>
    <w:p w14:paraId="38281AE2"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לאחר הגשת תסקיר משלים טענה באת כוח התביעה, כי השינוי בתסקיר האחרון אינו נהיר וכי הנאשם עם מחויבות ראשונית בלבד ומכאן שאין מקום לסיים ההליך ללא הרשעה. לטענתה, גם עמדת החברה בה מועסק הנאשם אינה נהירה. מכאן חזרה התובעת על עמדתה כי יש להרשיע את הנאשם. </w:t>
      </w:r>
    </w:p>
    <w:p w14:paraId="759C2E95"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לאור האמור, עתרה באת כוח התביעה להטיל על הנאשם מאסר לתקופה של 5 חודשים, שיכול ויבוצע בדרך של עבודות שירות, מאסר על תנאי, קנס, התחייבות, פסילת רישיון בפועל ועל תנאי. </w:t>
      </w:r>
    </w:p>
    <w:p w14:paraId="03B40C35"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בא כוח הנאשם טען, לעומת זאת, כי יש לסיים ההליך ללא הרשעתו של הנאשם, וזאת לאור הנזק הקונקרטי שייגרם לנאשם, כפי שעולה מהמסמכים שהגיש.</w:t>
      </w:r>
    </w:p>
    <w:p w14:paraId="2D450D52" w14:textId="77777777" w:rsidR="007E380F" w:rsidRDefault="007E380F" w:rsidP="007E380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לטענתו, נסיבות ביצוע העבירה, כמו גם תסקירי שירות המבחן, מלמדים, כי הנאשם גידל את הסמים על רקע משבר אישי קשה ולצריכתו העצמית.</w:t>
      </w:r>
    </w:p>
    <w:p w14:paraId="4D1CC1E1" w14:textId="77777777" w:rsidR="007E380F" w:rsidRDefault="007E380F" w:rsidP="007E380F">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עוד טען בא כוח הנאשם, יש לקחת בחשבון את נסיבותיו האישיות ושיקומו של הנאשם, כדלקמן: הנאשם בן 33, נשוי בשנית ואב לתאומים מנישואיו קודמים; הנאשם שירת שירות מלא כחייל קרבי; הנאשם נחשף לפגיעות כתוצאה מטרור ולפינוי מגוש קטיף וחווה תקופה זו כתקופה משברית; בשנת 2016 עת התגרש הנאשם מאשתו חווה משבר אישי נוסף. בעקבות מצבו הנפשי הפסיק את לימודיו והתחיל לצרוך סמים; הנאשם נעדר עבר פלילי; מעצרו של הנאשם גרם לתפנית, הוא הבין את הפסול במעשיו, הפסיק לצרוך סמים ובכל בדיקות השתן לא נמצאו שרידי סם;  מהתסקירים עולה כי הנאשם גדל במשפחה נורמטיבית, אביו מנהל תיכון ואמו מורה. הנאשם התקשה אמנם בתחילה להירתם להליך טיפולי, אולם בהמשך נרתם להליך ושירות המבחן המליץ לסיים ההליך ללא הרשעה באפיק שיקומי. </w:t>
      </w:r>
    </w:p>
    <w:p w14:paraId="6346AC54"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 בא כוח הנאשם לסיים ההליך ללא הרשעת הנאשם ולאמץ את המלצת שירות המבחן. לחלופין עתר, שככל שבית המשפט יחליט להרשיע את הנאשם, עתר להטיל על הנאשם צו מבחן וצו שירות לתועלת הציבור בלבד.</w:t>
      </w:r>
    </w:p>
    <w:p w14:paraId="294DF952" w14:textId="77777777" w:rsidR="007E380F" w:rsidRDefault="007E380F" w:rsidP="007E380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בדברו האחרון מסר הנאשם, כי העבירה בוצעה על רקע נסיבות אישיות, בתקופה לא קלה, ושלא במטרה לפגוע בחוק. הנאשם הוסיף, שככל שיורשע יפוטר מהחברה בה הוא מועסק כשנה וחצי, שלא תוכל עוד להעסיקו. לדבריו, אם תיפגע תעסוקתו גם תיפגע יכולתו לשלם מזונות.</w:t>
      </w:r>
    </w:p>
    <w:p w14:paraId="2F627A5C" w14:textId="77777777" w:rsidR="007E380F" w:rsidRDefault="007E380F" w:rsidP="007E380F">
      <w:pPr>
        <w:spacing w:before="120" w:after="120" w:line="360" w:lineRule="auto"/>
        <w:ind w:left="-58"/>
        <w:jc w:val="both"/>
        <w:rPr>
          <w:rtl/>
        </w:rPr>
      </w:pPr>
    </w:p>
    <w:p w14:paraId="6FFCDE68" w14:textId="77777777" w:rsidR="007E380F" w:rsidRDefault="007E380F" w:rsidP="007E380F">
      <w:pPr>
        <w:spacing w:before="120" w:after="120"/>
        <w:ind w:left="-58"/>
        <w:jc w:val="both"/>
        <w:rPr>
          <w:b/>
          <w:bCs/>
          <w:u w:val="single"/>
          <w:rtl/>
        </w:rPr>
      </w:pPr>
      <w:r>
        <w:rPr>
          <w:b/>
          <w:bCs/>
          <w:u w:val="single"/>
          <w:rtl/>
        </w:rPr>
        <w:t>דיון והכרעה</w:t>
      </w:r>
    </w:p>
    <w:p w14:paraId="52ED2475" w14:textId="77777777" w:rsidR="007E380F" w:rsidRDefault="007E380F" w:rsidP="007E380F">
      <w:pPr>
        <w:pStyle w:val="aa"/>
        <w:numPr>
          <w:ilvl w:val="0"/>
          <w:numId w:val="1"/>
        </w:numPr>
        <w:spacing w:before="120" w:after="120" w:line="360" w:lineRule="auto"/>
        <w:ind w:left="509" w:hanging="567"/>
        <w:jc w:val="both"/>
        <w:rPr>
          <w:rFonts w:cs="David"/>
          <w:sz w:val="24"/>
          <w:szCs w:val="24"/>
          <w:u w:val="single"/>
          <w:rtl/>
        </w:rPr>
      </w:pPr>
      <w:r>
        <w:rPr>
          <w:rFonts w:cs="David"/>
          <w:sz w:val="24"/>
          <w:szCs w:val="24"/>
          <w:rtl/>
        </w:rPr>
        <w:t>כידוע, בעניינו של בגיר, ההרשעה היא הכלל וביטולה הוא החריג, וזאת בהתאם להלכה אשר נקבעה זה מכבר ב</w:t>
      </w:r>
      <w:hyperlink r:id="rId11" w:history="1">
        <w:r w:rsidR="00CE10D3" w:rsidRPr="00CE10D3">
          <w:rPr>
            <w:rFonts w:cs="David" w:hint="cs"/>
            <w:color w:val="0000FF"/>
            <w:sz w:val="24"/>
            <w:szCs w:val="24"/>
            <w:u w:val="single"/>
            <w:rtl/>
          </w:rPr>
          <w:t>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2083/96 </w:t>
        </w:r>
        <w:r w:rsidR="00CE10D3" w:rsidRPr="00CE10D3">
          <w:rPr>
            <w:rFonts w:cs="David" w:hint="cs"/>
            <w:color w:val="0000FF"/>
            <w:sz w:val="24"/>
            <w:szCs w:val="24"/>
            <w:u w:val="single"/>
            <w:rtl/>
          </w:rPr>
          <w:t>כתב</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נ</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מדינת</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ישראל</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פ</w:t>
        </w:r>
        <w:r w:rsidR="00CE10D3" w:rsidRPr="00CE10D3">
          <w:rPr>
            <w:rFonts w:cs="David"/>
            <w:color w:val="0000FF"/>
            <w:sz w:val="24"/>
            <w:szCs w:val="24"/>
            <w:u w:val="single"/>
            <w:rtl/>
          </w:rPr>
          <w:t>"</w:t>
        </w:r>
        <w:r w:rsidR="00CE10D3" w:rsidRPr="00CE10D3">
          <w:rPr>
            <w:rFonts w:cs="David" w:hint="cs"/>
            <w:color w:val="0000FF"/>
            <w:sz w:val="24"/>
            <w:szCs w:val="24"/>
            <w:u w:val="single"/>
            <w:rtl/>
          </w:rPr>
          <w:t>ד</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נב</w:t>
        </w:r>
      </w:hyperlink>
      <w:r>
        <w:rPr>
          <w:rFonts w:cs="David"/>
          <w:sz w:val="24"/>
          <w:szCs w:val="24"/>
          <w:rtl/>
        </w:rPr>
        <w:t xml:space="preserve">(3) 337 (1997). בית המשפט העליון קבע שלושה תנאים מצטברים לסיום הליך ללא הרשעה: האחד, סוג העבירה מאפשר לוותר בנסיבות המקרה המסוים על ההרשעה מבלי לפגוע באופן מהותי בשיקולי ענישה אחרים; השני, ההרשעה תפגע פגיעה חמורה בשיקום הנאשם (ראו גם: </w:t>
      </w:r>
      <w:hyperlink r:id="rId12" w:history="1">
        <w:r w:rsidR="00CE10D3" w:rsidRPr="00CE10D3">
          <w:rPr>
            <w:rFonts w:cs="David" w:hint="cs"/>
            <w:color w:val="0000FF"/>
            <w:sz w:val="24"/>
            <w:szCs w:val="24"/>
            <w:u w:val="single"/>
            <w:rtl/>
          </w:rPr>
          <w:t>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8528/12</w:t>
        </w:r>
      </w:hyperlink>
      <w:r>
        <w:rPr>
          <w:rFonts w:cs="David"/>
          <w:sz w:val="24"/>
          <w:szCs w:val="24"/>
          <w:rtl/>
        </w:rPr>
        <w:t xml:space="preserve"> </w:t>
      </w:r>
      <w:r>
        <w:rPr>
          <w:rFonts w:cs="David"/>
          <w:b/>
          <w:bCs/>
          <w:sz w:val="24"/>
          <w:szCs w:val="24"/>
          <w:rtl/>
        </w:rPr>
        <w:t>צפורה נ' מדינת ישראל</w:t>
      </w:r>
      <w:r>
        <w:rPr>
          <w:rFonts w:cs="David"/>
          <w:sz w:val="24"/>
          <w:szCs w:val="24"/>
          <w:rtl/>
        </w:rPr>
        <w:t xml:space="preserve"> (3.3.13); </w:t>
      </w:r>
      <w:hyperlink r:id="rId13" w:history="1">
        <w:r w:rsidR="00CE10D3" w:rsidRPr="00CE10D3">
          <w:rPr>
            <w:rFonts w:cs="David" w:hint="cs"/>
            <w:color w:val="0000FF"/>
            <w:sz w:val="24"/>
            <w:szCs w:val="24"/>
            <w:u w:val="single"/>
            <w:rtl/>
          </w:rPr>
          <w:t>רע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9118/12</w:t>
        </w:r>
      </w:hyperlink>
      <w:r>
        <w:rPr>
          <w:rFonts w:cs="David"/>
          <w:sz w:val="24"/>
          <w:szCs w:val="24"/>
          <w:rtl/>
        </w:rPr>
        <w:t xml:space="preserve"> </w:t>
      </w:r>
      <w:r>
        <w:rPr>
          <w:rFonts w:cs="David"/>
          <w:b/>
          <w:bCs/>
          <w:sz w:val="24"/>
          <w:szCs w:val="24"/>
          <w:rtl/>
        </w:rPr>
        <w:t>פריגין נ' מדינת ישראל</w:t>
      </w:r>
      <w:r>
        <w:rPr>
          <w:rFonts w:cs="David"/>
          <w:sz w:val="24"/>
          <w:szCs w:val="24"/>
          <w:rtl/>
        </w:rPr>
        <w:t xml:space="preserve">  (1.1.13); </w:t>
      </w:r>
      <w:hyperlink r:id="rId14" w:history="1">
        <w:r w:rsidR="00CE10D3" w:rsidRPr="00CE10D3">
          <w:rPr>
            <w:rFonts w:cs="David" w:hint="cs"/>
            <w:color w:val="0000FF"/>
            <w:sz w:val="24"/>
            <w:szCs w:val="24"/>
            <w:u w:val="single"/>
            <w:rtl/>
          </w:rPr>
          <w:t>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5102/03</w:t>
        </w:r>
      </w:hyperlink>
      <w:r>
        <w:rPr>
          <w:rFonts w:cs="David"/>
          <w:sz w:val="24"/>
          <w:szCs w:val="24"/>
          <w:rtl/>
        </w:rPr>
        <w:t xml:space="preserve"> </w:t>
      </w:r>
      <w:r>
        <w:rPr>
          <w:rFonts w:cs="David"/>
          <w:b/>
          <w:bCs/>
          <w:sz w:val="24"/>
          <w:szCs w:val="24"/>
          <w:rtl/>
        </w:rPr>
        <w:t>מדינת ישראל נ' קליין</w:t>
      </w:r>
      <w:r>
        <w:rPr>
          <w:rFonts w:cs="David"/>
          <w:sz w:val="24"/>
          <w:szCs w:val="24"/>
          <w:rtl/>
        </w:rPr>
        <w:t xml:space="preserve"> (4.9.09); </w:t>
      </w:r>
      <w:hyperlink r:id="rId15" w:history="1">
        <w:r w:rsidR="00CE10D3" w:rsidRPr="00CE10D3">
          <w:rPr>
            <w:rFonts w:cs="David" w:hint="cs"/>
            <w:color w:val="0000FF"/>
            <w:sz w:val="24"/>
            <w:szCs w:val="24"/>
            <w:u w:val="single"/>
            <w:rtl/>
          </w:rPr>
          <w:t>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9893/06</w:t>
        </w:r>
      </w:hyperlink>
      <w:r>
        <w:rPr>
          <w:rFonts w:cs="David"/>
          <w:sz w:val="24"/>
          <w:szCs w:val="24"/>
          <w:rtl/>
        </w:rPr>
        <w:t xml:space="preserve"> </w:t>
      </w:r>
      <w:r>
        <w:rPr>
          <w:rFonts w:cs="David"/>
          <w:b/>
          <w:bCs/>
          <w:sz w:val="24"/>
          <w:szCs w:val="24"/>
          <w:rtl/>
        </w:rPr>
        <w:t>לאופר נ' מדינת ישראל</w:t>
      </w:r>
      <w:r>
        <w:rPr>
          <w:rFonts w:cs="David"/>
          <w:sz w:val="24"/>
          <w:szCs w:val="24"/>
          <w:rtl/>
        </w:rPr>
        <w:t xml:space="preserve"> (31.12.07)). השלישי, עלה בידי הנאשם להראות כי הותרת ההרשעה על כנה תפגע בו באופן קונקרטי וממשי (</w:t>
      </w:r>
      <w:hyperlink r:id="rId16" w:history="1">
        <w:r w:rsidR="00CE10D3" w:rsidRPr="00CE10D3">
          <w:rPr>
            <w:rFonts w:cs="David" w:hint="cs"/>
            <w:color w:val="0000FF"/>
            <w:sz w:val="24"/>
            <w:szCs w:val="24"/>
            <w:u w:val="single"/>
            <w:rtl/>
          </w:rPr>
          <w:t>רע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5018/18</w:t>
        </w:r>
      </w:hyperlink>
      <w:r>
        <w:rPr>
          <w:rFonts w:cs="David"/>
          <w:sz w:val="24"/>
          <w:szCs w:val="24"/>
          <w:rtl/>
        </w:rPr>
        <w:t xml:space="preserve"> </w:t>
      </w:r>
      <w:r>
        <w:rPr>
          <w:rFonts w:cs="David"/>
          <w:b/>
          <w:bCs/>
          <w:sz w:val="24"/>
          <w:szCs w:val="24"/>
          <w:rtl/>
        </w:rPr>
        <w:t>בוזגלו נ' מדינת ישראל,</w:t>
      </w:r>
      <w:r>
        <w:rPr>
          <w:rFonts w:cs="David"/>
          <w:sz w:val="24"/>
          <w:szCs w:val="24"/>
          <w:rtl/>
        </w:rPr>
        <w:t xml:space="preserve"> בפסקה 9 (21.10.18); </w:t>
      </w:r>
      <w:hyperlink r:id="rId17" w:history="1">
        <w:r w:rsidR="00CE10D3" w:rsidRPr="00CE10D3">
          <w:rPr>
            <w:rFonts w:cs="David" w:hint="cs"/>
            <w:color w:val="0000FF"/>
            <w:sz w:val="24"/>
            <w:szCs w:val="24"/>
            <w:u w:val="single"/>
            <w:rtl/>
          </w:rPr>
          <w:t>רע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1097/18</w:t>
        </w:r>
      </w:hyperlink>
      <w:r>
        <w:rPr>
          <w:rFonts w:cs="David"/>
          <w:sz w:val="24"/>
          <w:szCs w:val="24"/>
          <w:rtl/>
        </w:rPr>
        <w:t xml:space="preserve"> </w:t>
      </w:r>
      <w:r>
        <w:rPr>
          <w:rFonts w:cs="David"/>
          <w:b/>
          <w:bCs/>
          <w:sz w:val="24"/>
          <w:szCs w:val="24"/>
          <w:rtl/>
        </w:rPr>
        <w:t>בצלאל נ' מדינת ישראל</w:t>
      </w:r>
      <w:r>
        <w:rPr>
          <w:rFonts w:cs="David"/>
          <w:sz w:val="24"/>
          <w:szCs w:val="24"/>
          <w:rtl/>
        </w:rPr>
        <w:t xml:space="preserve">, בפסקה 9 (18.4.18); </w:t>
      </w:r>
      <w:hyperlink r:id="rId18" w:history="1">
        <w:r w:rsidR="00CE10D3" w:rsidRPr="00CE10D3">
          <w:rPr>
            <w:rFonts w:cs="David" w:hint="cs"/>
            <w:color w:val="0000FF"/>
            <w:sz w:val="24"/>
            <w:szCs w:val="24"/>
            <w:u w:val="single"/>
            <w:rtl/>
          </w:rPr>
          <w:t>רע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2180/14</w:t>
        </w:r>
      </w:hyperlink>
      <w:r>
        <w:rPr>
          <w:rFonts w:cs="David"/>
          <w:sz w:val="24"/>
          <w:szCs w:val="24"/>
          <w:rtl/>
        </w:rPr>
        <w:t xml:space="preserve"> </w:t>
      </w:r>
      <w:r>
        <w:rPr>
          <w:rFonts w:cs="David"/>
          <w:b/>
          <w:bCs/>
          <w:sz w:val="24"/>
          <w:szCs w:val="24"/>
          <w:rtl/>
        </w:rPr>
        <w:t>שמואלי נ' מדינת ישראל</w:t>
      </w:r>
      <w:r>
        <w:rPr>
          <w:rFonts w:cs="David"/>
          <w:sz w:val="24"/>
          <w:szCs w:val="24"/>
          <w:rtl/>
        </w:rPr>
        <w:t xml:space="preserve"> (24.4.14); </w:t>
      </w:r>
      <w:hyperlink r:id="rId19" w:history="1">
        <w:r w:rsidR="00CE10D3" w:rsidRPr="00CE10D3">
          <w:rPr>
            <w:rFonts w:cs="David" w:hint="cs"/>
            <w:color w:val="0000FF"/>
            <w:sz w:val="24"/>
            <w:szCs w:val="24"/>
            <w:u w:val="single"/>
            <w:rtl/>
          </w:rPr>
          <w:t>רע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1439/13</w:t>
        </w:r>
      </w:hyperlink>
      <w:r>
        <w:rPr>
          <w:rFonts w:cs="David"/>
          <w:sz w:val="24"/>
          <w:szCs w:val="24"/>
          <w:rtl/>
        </w:rPr>
        <w:t xml:space="preserve"> </w:t>
      </w:r>
      <w:r>
        <w:rPr>
          <w:rFonts w:cs="David"/>
          <w:b/>
          <w:bCs/>
          <w:sz w:val="24"/>
          <w:szCs w:val="24"/>
          <w:rtl/>
        </w:rPr>
        <w:t>קשת נ' מדינת ישראל</w:t>
      </w:r>
      <w:r>
        <w:rPr>
          <w:rFonts w:cs="David"/>
          <w:sz w:val="24"/>
          <w:szCs w:val="24"/>
          <w:rtl/>
        </w:rPr>
        <w:t xml:space="preserve"> (4.3.13); </w:t>
      </w:r>
      <w:hyperlink r:id="rId20" w:history="1">
        <w:r w:rsidR="00CE10D3" w:rsidRPr="00CE10D3">
          <w:rPr>
            <w:rFonts w:cs="David" w:hint="cs"/>
            <w:color w:val="0000FF"/>
            <w:sz w:val="24"/>
            <w:szCs w:val="24"/>
            <w:u w:val="single"/>
            <w:rtl/>
          </w:rPr>
          <w:t>רע</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8627/12</w:t>
        </w:r>
      </w:hyperlink>
      <w:r>
        <w:rPr>
          <w:rFonts w:cs="David"/>
          <w:sz w:val="24"/>
          <w:szCs w:val="24"/>
          <w:rtl/>
        </w:rPr>
        <w:t xml:space="preserve"> </w:t>
      </w:r>
      <w:r>
        <w:rPr>
          <w:rFonts w:cs="David"/>
          <w:b/>
          <w:bCs/>
          <w:sz w:val="24"/>
          <w:szCs w:val="24"/>
          <w:rtl/>
        </w:rPr>
        <w:t>הנסב נ' מדינת ישראל</w:t>
      </w:r>
      <w:r>
        <w:rPr>
          <w:rFonts w:cs="David"/>
          <w:sz w:val="24"/>
          <w:szCs w:val="24"/>
          <w:rtl/>
        </w:rPr>
        <w:t xml:space="preserve"> (31.12.12)).</w:t>
      </w:r>
    </w:p>
    <w:p w14:paraId="6E9C6CE6"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האם סוג העבירה מאפשר לוותר על הרשעה מבלי לפגוע באופן מהותי בשיקולי ענישה אחרים? התשובה על כך היא בחיוב. </w:t>
      </w:r>
    </w:p>
    <w:p w14:paraId="020AAFF1" w14:textId="77777777" w:rsidR="007E380F" w:rsidRDefault="007E380F" w:rsidP="007E380F">
      <w:pPr>
        <w:pStyle w:val="aa"/>
        <w:spacing w:before="120" w:after="120" w:line="360" w:lineRule="auto"/>
        <w:ind w:left="509"/>
        <w:jc w:val="both"/>
        <w:rPr>
          <w:rFonts w:cs="David"/>
          <w:sz w:val="24"/>
          <w:szCs w:val="24"/>
          <w:u w:val="single"/>
        </w:rPr>
      </w:pPr>
      <w:r>
        <w:rPr>
          <w:rFonts w:cs="David"/>
          <w:sz w:val="24"/>
          <w:szCs w:val="24"/>
          <w:rtl/>
        </w:rPr>
        <w:t xml:space="preserve">אכן, אין לזלזל או להמעיט מהעבירה שביצע הנאשם שיש בה כדי לפגוע בערכים החברתיים של שמירה על בריאותו ושלומו של הציבור. עם זאת, רף הפגיעה בערכים החברתיים הוא נמוך – בינוני. הנאשם גידל סמים מסוג קנבוס במשקל של כ-200 גרם בשלושה עציצים, והכל במחסן </w:t>
      </w:r>
      <w:r>
        <w:rPr>
          <w:rFonts w:ascii="David" w:hAnsi="David" w:cs="David"/>
          <w:sz w:val="24"/>
          <w:szCs w:val="24"/>
          <w:rtl/>
        </w:rPr>
        <w:t>בו התקין מנורה, רפלקטור וצינור פליטה</w:t>
      </w:r>
      <w:r>
        <w:rPr>
          <w:rFonts w:cs="David"/>
          <w:sz w:val="24"/>
          <w:szCs w:val="24"/>
          <w:rtl/>
        </w:rPr>
        <w:t xml:space="preserve">. אכן, אין מדובר בכמות מזערית והנאשם אף השתמש בציוד לצורך הגידול. בה בעת, לא ניתן להתעלם מהעובדה שמדובר בסמים קלים ובכמות לא גדולה, בהינתן שמדובר בעציצים ולא בסם מרוכז. בביצוע עבירה של גידול סמים, בנסיבות דומות ואף חמורות יותר, ויתרו בתי משפט במקרים החריגים המתאימים על הרשעה מבלי לפגוע בשיקולי הענישה האחרים (ראו, למשל: </w:t>
      </w:r>
      <w:hyperlink r:id="rId21" w:history="1">
        <w:r w:rsidR="00CE10D3" w:rsidRPr="00CE10D3">
          <w:rPr>
            <w:rFonts w:cs="David" w:hint="cs"/>
            <w:color w:val="0000FF"/>
            <w:sz w:val="24"/>
            <w:szCs w:val="24"/>
            <w:u w:val="single"/>
            <w:rtl/>
          </w:rPr>
          <w:t>ת</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ק</w:t>
        </w:r>
        <w:r w:rsidR="00CE10D3" w:rsidRPr="00CE10D3">
          <w:rPr>
            <w:rFonts w:cs="David"/>
            <w:color w:val="0000FF"/>
            <w:sz w:val="24"/>
            <w:szCs w:val="24"/>
            <w:u w:val="single"/>
            <w:rtl/>
          </w:rPr>
          <w:t>"</w:t>
        </w:r>
        <w:r w:rsidR="00CE10D3" w:rsidRPr="00CE10D3">
          <w:rPr>
            <w:rFonts w:cs="David" w:hint="cs"/>
            <w:color w:val="0000FF"/>
            <w:sz w:val="24"/>
            <w:szCs w:val="24"/>
            <w:u w:val="single"/>
            <w:rtl/>
          </w:rPr>
          <w:t>ג</w:t>
        </w:r>
        <w:r w:rsidR="00CE10D3" w:rsidRPr="00CE10D3">
          <w:rPr>
            <w:rFonts w:cs="David"/>
            <w:color w:val="0000FF"/>
            <w:sz w:val="24"/>
            <w:szCs w:val="24"/>
            <w:u w:val="single"/>
            <w:rtl/>
          </w:rPr>
          <w:t>) 70627-11-17</w:t>
        </w:r>
      </w:hyperlink>
      <w:r>
        <w:rPr>
          <w:rFonts w:cs="David"/>
          <w:sz w:val="24"/>
          <w:szCs w:val="24"/>
          <w:rtl/>
        </w:rPr>
        <w:t xml:space="preserve"> </w:t>
      </w:r>
      <w:r>
        <w:rPr>
          <w:rFonts w:cs="David"/>
          <w:b/>
          <w:bCs/>
          <w:sz w:val="24"/>
          <w:szCs w:val="24"/>
          <w:rtl/>
        </w:rPr>
        <w:t xml:space="preserve">מדינת ישראל נ' יחנין </w:t>
      </w:r>
      <w:r>
        <w:rPr>
          <w:rFonts w:cs="David"/>
          <w:sz w:val="24"/>
          <w:szCs w:val="24"/>
          <w:rtl/>
        </w:rPr>
        <w:t xml:space="preserve">(31.10.18); </w:t>
      </w:r>
      <w:hyperlink r:id="rId22" w:history="1">
        <w:r w:rsidR="00CE10D3" w:rsidRPr="00CE10D3">
          <w:rPr>
            <w:rFonts w:cs="David" w:hint="cs"/>
            <w:color w:val="0000FF"/>
            <w:sz w:val="24"/>
            <w:szCs w:val="24"/>
            <w:u w:val="single"/>
            <w:rtl/>
          </w:rPr>
          <w:t>ת</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ק</w:t>
        </w:r>
        <w:r w:rsidR="00CE10D3" w:rsidRPr="00CE10D3">
          <w:rPr>
            <w:rFonts w:cs="David"/>
            <w:color w:val="0000FF"/>
            <w:sz w:val="24"/>
            <w:szCs w:val="24"/>
            <w:u w:val="single"/>
            <w:rtl/>
          </w:rPr>
          <w:t>"</w:t>
        </w:r>
        <w:r w:rsidR="00CE10D3" w:rsidRPr="00CE10D3">
          <w:rPr>
            <w:rFonts w:cs="David" w:hint="cs"/>
            <w:color w:val="0000FF"/>
            <w:sz w:val="24"/>
            <w:szCs w:val="24"/>
            <w:u w:val="single"/>
            <w:rtl/>
          </w:rPr>
          <w:t>ג</w:t>
        </w:r>
        <w:r w:rsidR="00CE10D3" w:rsidRPr="00CE10D3">
          <w:rPr>
            <w:rFonts w:cs="David"/>
            <w:color w:val="0000FF"/>
            <w:sz w:val="24"/>
            <w:szCs w:val="24"/>
            <w:u w:val="single"/>
            <w:rtl/>
          </w:rPr>
          <w:t>) 7786-05-16</w:t>
        </w:r>
      </w:hyperlink>
      <w:r>
        <w:rPr>
          <w:rFonts w:cs="David"/>
          <w:sz w:val="24"/>
          <w:szCs w:val="24"/>
          <w:rtl/>
        </w:rPr>
        <w:t xml:space="preserve"> </w:t>
      </w:r>
      <w:r>
        <w:rPr>
          <w:rFonts w:cs="David"/>
          <w:b/>
          <w:bCs/>
          <w:sz w:val="24"/>
          <w:szCs w:val="24"/>
          <w:rtl/>
        </w:rPr>
        <w:t xml:space="preserve">מדינת ישראל נ' מערב </w:t>
      </w:r>
      <w:r>
        <w:rPr>
          <w:rFonts w:cs="David"/>
          <w:sz w:val="24"/>
          <w:szCs w:val="24"/>
          <w:rtl/>
        </w:rPr>
        <w:t xml:space="preserve">(16.4.18); </w:t>
      </w:r>
      <w:hyperlink r:id="rId23" w:history="1">
        <w:r w:rsidR="00CE10D3" w:rsidRPr="00CE10D3">
          <w:rPr>
            <w:rFonts w:cs="David" w:hint="cs"/>
            <w:color w:val="0000FF"/>
            <w:sz w:val="24"/>
            <w:szCs w:val="24"/>
            <w:u w:val="single"/>
            <w:rtl/>
          </w:rPr>
          <w:t>ת</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י</w:t>
        </w:r>
        <w:r w:rsidR="00CE10D3" w:rsidRPr="00CE10D3">
          <w:rPr>
            <w:rFonts w:cs="David"/>
            <w:color w:val="0000FF"/>
            <w:sz w:val="24"/>
            <w:szCs w:val="24"/>
            <w:u w:val="single"/>
            <w:rtl/>
          </w:rPr>
          <w:t>-</w:t>
        </w:r>
        <w:r w:rsidR="00CE10D3" w:rsidRPr="00CE10D3">
          <w:rPr>
            <w:rFonts w:cs="David" w:hint="cs"/>
            <w:color w:val="0000FF"/>
            <w:sz w:val="24"/>
            <w:szCs w:val="24"/>
            <w:u w:val="single"/>
            <w:rtl/>
          </w:rPr>
          <w:t>ם</w:t>
        </w:r>
        <w:r w:rsidR="00CE10D3" w:rsidRPr="00CE10D3">
          <w:rPr>
            <w:rFonts w:cs="David"/>
            <w:color w:val="0000FF"/>
            <w:sz w:val="24"/>
            <w:szCs w:val="24"/>
            <w:u w:val="single"/>
            <w:rtl/>
          </w:rPr>
          <w:t>) 48512-04-15</w:t>
        </w:r>
      </w:hyperlink>
      <w:r>
        <w:rPr>
          <w:rFonts w:cs="David"/>
          <w:sz w:val="24"/>
          <w:szCs w:val="24"/>
          <w:rtl/>
        </w:rPr>
        <w:t xml:space="preserve"> </w:t>
      </w:r>
      <w:r>
        <w:rPr>
          <w:rFonts w:cs="David"/>
          <w:b/>
          <w:bCs/>
          <w:sz w:val="24"/>
          <w:szCs w:val="24"/>
          <w:rtl/>
        </w:rPr>
        <w:t xml:space="preserve"> מדינת ישראל נ' ליבל </w:t>
      </w:r>
      <w:r>
        <w:rPr>
          <w:rFonts w:cs="David"/>
          <w:sz w:val="24"/>
          <w:szCs w:val="24"/>
          <w:rtl/>
        </w:rPr>
        <w:t xml:space="preserve">(7.3.18); </w:t>
      </w:r>
      <w:hyperlink r:id="rId24" w:history="1">
        <w:r w:rsidR="00CE10D3" w:rsidRPr="00CE10D3">
          <w:rPr>
            <w:rFonts w:cs="David" w:hint="cs"/>
            <w:color w:val="0000FF"/>
            <w:sz w:val="24"/>
            <w:szCs w:val="24"/>
            <w:u w:val="single"/>
            <w:rtl/>
          </w:rPr>
          <w:t>ת</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ק</w:t>
        </w:r>
        <w:r w:rsidR="00CE10D3" w:rsidRPr="00CE10D3">
          <w:rPr>
            <w:rFonts w:cs="David"/>
            <w:color w:val="0000FF"/>
            <w:sz w:val="24"/>
            <w:szCs w:val="24"/>
            <w:u w:val="single"/>
            <w:rtl/>
          </w:rPr>
          <w:t>"</w:t>
        </w:r>
        <w:r w:rsidR="00CE10D3" w:rsidRPr="00CE10D3">
          <w:rPr>
            <w:rFonts w:cs="David" w:hint="cs"/>
            <w:color w:val="0000FF"/>
            <w:sz w:val="24"/>
            <w:szCs w:val="24"/>
            <w:u w:val="single"/>
            <w:rtl/>
          </w:rPr>
          <w:t>ג</w:t>
        </w:r>
        <w:r w:rsidR="00CE10D3" w:rsidRPr="00CE10D3">
          <w:rPr>
            <w:rFonts w:cs="David"/>
            <w:color w:val="0000FF"/>
            <w:sz w:val="24"/>
            <w:szCs w:val="24"/>
            <w:u w:val="single"/>
            <w:rtl/>
          </w:rPr>
          <w:t>) 6780-10-16</w:t>
        </w:r>
      </w:hyperlink>
      <w:r>
        <w:rPr>
          <w:rFonts w:cs="David"/>
          <w:sz w:val="24"/>
          <w:szCs w:val="24"/>
          <w:rtl/>
        </w:rPr>
        <w:t xml:space="preserve"> </w:t>
      </w:r>
      <w:r>
        <w:rPr>
          <w:rFonts w:cs="David"/>
          <w:b/>
          <w:bCs/>
          <w:sz w:val="24"/>
          <w:szCs w:val="24"/>
          <w:rtl/>
        </w:rPr>
        <w:t xml:space="preserve">מדינת ישראל נ' אסולין </w:t>
      </w:r>
      <w:r>
        <w:rPr>
          <w:rFonts w:cs="David"/>
          <w:sz w:val="24"/>
          <w:szCs w:val="24"/>
          <w:rtl/>
        </w:rPr>
        <w:t xml:space="preserve">(3.12.17); </w:t>
      </w:r>
      <w:hyperlink r:id="rId25" w:history="1">
        <w:r w:rsidR="00CE10D3" w:rsidRPr="00CE10D3">
          <w:rPr>
            <w:rFonts w:cs="David" w:hint="cs"/>
            <w:color w:val="0000FF"/>
            <w:sz w:val="24"/>
            <w:szCs w:val="24"/>
            <w:u w:val="single"/>
            <w:rtl/>
          </w:rPr>
          <w:t>ת</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ק</w:t>
        </w:r>
        <w:r w:rsidR="00CE10D3" w:rsidRPr="00CE10D3">
          <w:rPr>
            <w:rFonts w:cs="David"/>
            <w:color w:val="0000FF"/>
            <w:sz w:val="24"/>
            <w:szCs w:val="24"/>
            <w:u w:val="single"/>
            <w:rtl/>
          </w:rPr>
          <w:t>"</w:t>
        </w:r>
        <w:r w:rsidR="00CE10D3" w:rsidRPr="00CE10D3">
          <w:rPr>
            <w:rFonts w:cs="David" w:hint="cs"/>
            <w:color w:val="0000FF"/>
            <w:sz w:val="24"/>
            <w:szCs w:val="24"/>
            <w:u w:val="single"/>
            <w:rtl/>
          </w:rPr>
          <w:t>ג</w:t>
        </w:r>
        <w:r w:rsidR="00CE10D3" w:rsidRPr="00CE10D3">
          <w:rPr>
            <w:rFonts w:cs="David"/>
            <w:color w:val="0000FF"/>
            <w:sz w:val="24"/>
            <w:szCs w:val="24"/>
            <w:u w:val="single"/>
            <w:rtl/>
          </w:rPr>
          <w:t>) 35384-05-14</w:t>
        </w:r>
      </w:hyperlink>
      <w:r>
        <w:rPr>
          <w:rFonts w:cs="David"/>
          <w:sz w:val="24"/>
          <w:szCs w:val="24"/>
          <w:rtl/>
        </w:rPr>
        <w:t xml:space="preserve"> </w:t>
      </w:r>
      <w:r>
        <w:rPr>
          <w:rFonts w:cs="David"/>
          <w:b/>
          <w:bCs/>
          <w:sz w:val="24"/>
          <w:szCs w:val="24"/>
          <w:rtl/>
        </w:rPr>
        <w:t xml:space="preserve">מדינת ישראל נ' עטיה </w:t>
      </w:r>
      <w:r>
        <w:rPr>
          <w:rFonts w:cs="David"/>
          <w:sz w:val="24"/>
          <w:szCs w:val="24"/>
          <w:rtl/>
        </w:rPr>
        <w:t xml:space="preserve">(30.3.16); </w:t>
      </w:r>
      <w:hyperlink r:id="rId26" w:history="1">
        <w:r w:rsidR="00CE10D3" w:rsidRPr="00CE10D3">
          <w:rPr>
            <w:rFonts w:cs="David" w:hint="cs"/>
            <w:color w:val="0000FF"/>
            <w:sz w:val="24"/>
            <w:szCs w:val="24"/>
            <w:u w:val="single"/>
            <w:rtl/>
          </w:rPr>
          <w:t>ת</w:t>
        </w:r>
        <w:r w:rsidR="00CE10D3" w:rsidRPr="00CE10D3">
          <w:rPr>
            <w:rFonts w:cs="David"/>
            <w:color w:val="0000FF"/>
            <w:sz w:val="24"/>
            <w:szCs w:val="24"/>
            <w:u w:val="single"/>
            <w:rtl/>
          </w:rPr>
          <w:t>"</w:t>
        </w:r>
        <w:r w:rsidR="00CE10D3" w:rsidRPr="00CE10D3">
          <w:rPr>
            <w:rFonts w:cs="David" w:hint="cs"/>
            <w:color w:val="0000FF"/>
            <w:sz w:val="24"/>
            <w:szCs w:val="24"/>
            <w:u w:val="single"/>
            <w:rtl/>
          </w:rPr>
          <w:t>פ</w:t>
        </w:r>
        <w:r w:rsidR="00CE10D3" w:rsidRPr="00CE10D3">
          <w:rPr>
            <w:rFonts w:cs="David"/>
            <w:color w:val="0000FF"/>
            <w:sz w:val="24"/>
            <w:szCs w:val="24"/>
            <w:u w:val="single"/>
            <w:rtl/>
          </w:rPr>
          <w:t xml:space="preserve"> (</w:t>
        </w:r>
        <w:r w:rsidR="00CE10D3" w:rsidRPr="00CE10D3">
          <w:rPr>
            <w:rFonts w:cs="David" w:hint="cs"/>
            <w:color w:val="0000FF"/>
            <w:sz w:val="24"/>
            <w:szCs w:val="24"/>
            <w:u w:val="single"/>
            <w:rtl/>
          </w:rPr>
          <w:t>ק</w:t>
        </w:r>
        <w:r w:rsidR="00CE10D3" w:rsidRPr="00CE10D3">
          <w:rPr>
            <w:rFonts w:cs="David"/>
            <w:color w:val="0000FF"/>
            <w:sz w:val="24"/>
            <w:szCs w:val="24"/>
            <w:u w:val="single"/>
            <w:rtl/>
          </w:rPr>
          <w:t>"</w:t>
        </w:r>
        <w:r w:rsidR="00CE10D3" w:rsidRPr="00CE10D3">
          <w:rPr>
            <w:rFonts w:cs="David" w:hint="cs"/>
            <w:color w:val="0000FF"/>
            <w:sz w:val="24"/>
            <w:szCs w:val="24"/>
            <w:u w:val="single"/>
            <w:rtl/>
          </w:rPr>
          <w:t>ש</w:t>
        </w:r>
        <w:r w:rsidR="00CE10D3" w:rsidRPr="00CE10D3">
          <w:rPr>
            <w:rFonts w:cs="David"/>
            <w:color w:val="0000FF"/>
            <w:sz w:val="24"/>
            <w:szCs w:val="24"/>
            <w:u w:val="single"/>
            <w:rtl/>
          </w:rPr>
          <w:t>) 27663-08-15</w:t>
        </w:r>
      </w:hyperlink>
      <w:r>
        <w:rPr>
          <w:rFonts w:cs="David"/>
          <w:sz w:val="24"/>
          <w:szCs w:val="24"/>
          <w:rtl/>
        </w:rPr>
        <w:t xml:space="preserve"> </w:t>
      </w:r>
      <w:r>
        <w:rPr>
          <w:rFonts w:cs="David"/>
          <w:b/>
          <w:bCs/>
          <w:sz w:val="24"/>
          <w:szCs w:val="24"/>
          <w:rtl/>
        </w:rPr>
        <w:t xml:space="preserve">מדינת ישראל נ' קרייניס </w:t>
      </w:r>
      <w:r>
        <w:rPr>
          <w:rFonts w:cs="David"/>
          <w:sz w:val="24"/>
          <w:szCs w:val="24"/>
          <w:rtl/>
        </w:rPr>
        <w:t xml:space="preserve">(19.1.16)).  </w:t>
      </w:r>
    </w:p>
    <w:p w14:paraId="6F0C51BE"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כאן המקום להעיר, כי ויתור על הרשעה בעבירות מהסוג הנדון אינו טריוויאלי, ופעמים רבות, מסתיימים הליכים בהם מיוחסות עבירות של גידול סמים בנסיבות דומות – בהרשעה (ראו, למשל: </w:t>
      </w:r>
      <w:hyperlink r:id="rId27" w:history="1">
        <w:r w:rsidR="00CE10D3" w:rsidRPr="00CE10D3">
          <w:rPr>
            <w:rFonts w:cs="David" w:hint="cs"/>
            <w:color w:val="0000FF"/>
            <w:sz w:val="24"/>
            <w:szCs w:val="24"/>
            <w:u w:val="single"/>
            <w:rtl/>
          </w:rPr>
          <w:t>עפ</w:t>
        </w:r>
        <w:r w:rsidR="00CE10D3" w:rsidRPr="00CE10D3">
          <w:rPr>
            <w:rFonts w:cs="David"/>
            <w:color w:val="0000FF"/>
            <w:sz w:val="24"/>
            <w:szCs w:val="24"/>
            <w:u w:val="single"/>
            <w:rtl/>
          </w:rPr>
          <w:t>"</w:t>
        </w:r>
        <w:r w:rsidR="00CE10D3" w:rsidRPr="00CE10D3">
          <w:rPr>
            <w:rFonts w:cs="David" w:hint="cs"/>
            <w:color w:val="0000FF"/>
            <w:sz w:val="24"/>
            <w:szCs w:val="24"/>
            <w:u w:val="single"/>
            <w:rtl/>
          </w:rPr>
          <w:t>ג</w:t>
        </w:r>
        <w:r w:rsidR="00CE10D3" w:rsidRPr="00CE10D3">
          <w:rPr>
            <w:rFonts w:cs="David"/>
            <w:color w:val="0000FF"/>
            <w:sz w:val="24"/>
            <w:szCs w:val="24"/>
            <w:u w:val="single"/>
            <w:rtl/>
          </w:rPr>
          <w:t xml:space="preserve"> 50721-06-18</w:t>
        </w:r>
      </w:hyperlink>
      <w:r>
        <w:rPr>
          <w:rFonts w:cs="David"/>
          <w:sz w:val="24"/>
          <w:szCs w:val="24"/>
          <w:rtl/>
        </w:rPr>
        <w:t xml:space="preserve"> </w:t>
      </w:r>
      <w:r>
        <w:rPr>
          <w:rFonts w:cs="David"/>
          <w:b/>
          <w:bCs/>
          <w:sz w:val="24"/>
          <w:szCs w:val="24"/>
          <w:rtl/>
        </w:rPr>
        <w:t>שסרר נ' מדינת ישראל</w:t>
      </w:r>
      <w:r>
        <w:rPr>
          <w:rFonts w:cs="David"/>
          <w:sz w:val="24"/>
          <w:szCs w:val="24"/>
          <w:rtl/>
        </w:rPr>
        <w:t xml:space="preserve"> (10.10.18). אולם, כל מקרה לגופו וכל מקרה לנסיבותיו.  </w:t>
      </w:r>
    </w:p>
    <w:p w14:paraId="46A8D1C6" w14:textId="77777777" w:rsidR="007E380F" w:rsidRDefault="007E380F" w:rsidP="007E380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גם לא ניתן להתעלם בהקשר זה </w:t>
      </w:r>
      <w:r>
        <w:rPr>
          <w:rFonts w:cs="David" w:hint="cs"/>
          <w:sz w:val="24"/>
          <w:szCs w:val="24"/>
          <w:rtl/>
        </w:rPr>
        <w:t>מה</w:t>
      </w:r>
      <w:r>
        <w:rPr>
          <w:rFonts w:cs="David"/>
          <w:sz w:val="24"/>
          <w:szCs w:val="24"/>
          <w:rtl/>
        </w:rPr>
        <w:t>שינוי בתפיסה הציבורית ביחס לשימוש בסמים קלים וההקלות שחלו לאחרונה באכיפה, בהקשר זה. אכן, בענייננו אין מדובר בהחזקת סמים בלבד אלא בגידול סמים, אולם לשינוי בתפיסה הציבורית יש השלכה גם על התפיסה בדבר הפגיעה בערכים החברתיים כתוצאה מגידול סמים קלים.</w:t>
      </w:r>
    </w:p>
    <w:p w14:paraId="55846B20" w14:textId="77777777" w:rsidR="007E380F" w:rsidRDefault="007E380F" w:rsidP="007E380F">
      <w:pPr>
        <w:pStyle w:val="aa"/>
        <w:numPr>
          <w:ilvl w:val="0"/>
          <w:numId w:val="1"/>
        </w:numPr>
        <w:spacing w:before="120" w:after="120" w:line="360" w:lineRule="auto"/>
        <w:ind w:left="509" w:hanging="567"/>
        <w:jc w:val="both"/>
        <w:rPr>
          <w:rFonts w:cs="David"/>
          <w:sz w:val="24"/>
          <w:szCs w:val="24"/>
          <w:u w:val="single"/>
          <w:rtl/>
        </w:rPr>
      </w:pPr>
      <w:r>
        <w:rPr>
          <w:rFonts w:cs="David"/>
          <w:sz w:val="24"/>
          <w:szCs w:val="24"/>
          <w:rtl/>
        </w:rPr>
        <w:t xml:space="preserve">נסיבותיו האישיות של הנאשם עומדות כולן לזכותו ויש בהן כדי להעיד על שיקומו: הנאשם בן 33, הודה במיוחס לו, נטל אחריות על מעשיו וחסך בשמיעת ראיות; הנאשם אב לתאומים מנשואים קודמים ומשלם להם מזונות; הנאשם גדל במשפחה נורמטיבית וזוכה לתמיכה וסיוע מבת זוגתו; הנאשם נעדר עבר פלילי וזו הסתבכותו הראשונה עם רשויות אכיפת החוק. גם לא נפתחו לחובתו תיקים חדשים בזמן שחלף מאז ביצוע העבירה; הנאשם שירת שירות צבאי קרבי מלא; הנאשם נתקל באירועי טרור בעת מגוריו בגוש קטיף ובהמשך חווה משבר בעת ההתנתקות מגוש קטיף; משבר נוסף עבר הנאשם עת התגרש מאשתו, ובאותה העת החל לצרוך סמים ולגדל סמים לצריכה עצמית. הנאשם נגמל בכוחות עצמו ומסר בדיקות שתן במשך תקופה בלתי מבוטלת שנמצאו ללא שרידי סם; הנאשם נטל חלק בהליך טיפולי במחלקה לשירותים חברתיים. תחילה, לא הגיע הנאשם באופן סדיר לטיפול, אולם בהמשך נרתם להליך הטיפולי, שיתף פעולה באופן חיובי ולקח אחריות על מעשיו; להערכת שירות המבחן, הנאשם אינו מאופיין בקווי אישיות עבריינים והעבירה חריגה לחייו. מכאן, המליץ שירות המבחן להטיל על הנאשם צו מבחן וצו שירות לתועלת הציבור. </w:t>
      </w:r>
    </w:p>
    <w:p w14:paraId="540E8E6E" w14:textId="77777777" w:rsidR="007E380F" w:rsidRDefault="007E380F" w:rsidP="007E380F">
      <w:pPr>
        <w:pStyle w:val="aa"/>
        <w:spacing w:before="120" w:after="120" w:line="360" w:lineRule="auto"/>
        <w:ind w:left="509"/>
        <w:jc w:val="both"/>
        <w:rPr>
          <w:rFonts w:cs="David"/>
          <w:sz w:val="24"/>
          <w:szCs w:val="24"/>
        </w:rPr>
      </w:pPr>
      <w:r>
        <w:rPr>
          <w:rFonts w:cs="David"/>
          <w:sz w:val="24"/>
          <w:szCs w:val="24"/>
          <w:rtl/>
        </w:rPr>
        <w:t xml:space="preserve">כאן המקום להעיר, כי בניגוד לעמדת התביעה, הנאשם נרתם להליך טיפולי במשך תקופה בלתי מבוטלת, וזאת למרות הקשיים שהתגלו בתחילה. </w:t>
      </w:r>
    </w:p>
    <w:p w14:paraId="4D7AE9B4" w14:textId="77777777" w:rsidR="007E380F" w:rsidRDefault="007E380F" w:rsidP="007E380F">
      <w:pPr>
        <w:pStyle w:val="aa"/>
        <w:numPr>
          <w:ilvl w:val="0"/>
          <w:numId w:val="1"/>
        </w:numPr>
        <w:spacing w:before="120" w:after="120" w:line="360" w:lineRule="auto"/>
        <w:ind w:left="509" w:hanging="567"/>
        <w:jc w:val="both"/>
        <w:rPr>
          <w:rFonts w:cs="David"/>
          <w:sz w:val="24"/>
          <w:szCs w:val="24"/>
          <w:u w:val="single"/>
        </w:rPr>
      </w:pPr>
      <w:r>
        <w:rPr>
          <w:rFonts w:cs="David"/>
          <w:sz w:val="24"/>
          <w:szCs w:val="24"/>
          <w:rtl/>
        </w:rPr>
        <w:t xml:space="preserve">אשר להוכחת נזק קונקרטי - הנאשם הציג שני מסמכים מטעם מעסיקתו, חברת מטרו ת.מ.י. כושר והפקות בע"מ, האחד מיום 4.5.20 והשני מיום 19.5.20. המדובר בחברה המספקת שירותי וידאו לחברות שונות בארץ ובעולם, ובין לקוחותיה נמנים גופים ציבוריים ומוסדות חינוך. הנאשם עובד בחברה מאז ינואר 2019 בתפקיד עורך סרטים, צלם וידאו ומנהל הפקות שונות. המעסיקה ציינה כי אם יורשע הנאשם, החברה תאלץ לפטרו שכן אחד התנאים לקבלת עבודות על ידי גופים ציבוריים הינו היעדר הרשעה בפלילים. עוד מסרה, כי הנאשם מבצע עבודתו ברצינות ובמסירות הראויה וזוכה למחמאות על איכות ורמת עבודתו (ענ/1). שירות המבחן סבור, כי בנסיבות אלו, יש סיכוי ממשי לפגיעה קונקרטית בתעסוקתו של הנאשם. </w:t>
      </w:r>
    </w:p>
    <w:p w14:paraId="7F646CC3" w14:textId="77777777" w:rsidR="007E380F" w:rsidRDefault="007E380F" w:rsidP="007E380F">
      <w:pPr>
        <w:pStyle w:val="aa"/>
        <w:numPr>
          <w:ilvl w:val="0"/>
          <w:numId w:val="1"/>
        </w:numPr>
        <w:spacing w:before="120" w:after="120" w:line="360" w:lineRule="auto"/>
        <w:ind w:left="509" w:hanging="567"/>
        <w:jc w:val="both"/>
        <w:rPr>
          <w:rFonts w:cs="David"/>
          <w:sz w:val="24"/>
          <w:szCs w:val="24"/>
          <w:u w:val="single"/>
        </w:rPr>
      </w:pPr>
      <w:r>
        <w:rPr>
          <w:rFonts w:cs="David"/>
          <w:sz w:val="24"/>
          <w:szCs w:val="24"/>
          <w:rtl/>
        </w:rPr>
        <w:t>כאן המקום להעיר, כי ייתכן שבתקופה כלכלית אחרת, ניתן היה לצפות מהנאשם למצוא עבודה במקום אחר, שאין בו דרישה להיעדר הרשעה. עם זאת, לא ניתן להתעלם מהתקופה הכלכלית הקשה בה אנו מצויים נוכח מגיפת הקורונה והקושי המובנה במציאת תעסוקה. יש להניח, כי אם הנאשם יפוטר ממקום עבודתו הקבוע בשנה וחצי האחרונים, יקשה עליו עד מאוד למצוא מקום עבודה חלופי</w:t>
      </w:r>
      <w:r>
        <w:rPr>
          <w:rFonts w:cs="David" w:hint="cs"/>
          <w:sz w:val="24"/>
          <w:szCs w:val="24"/>
          <w:rtl/>
        </w:rPr>
        <w:t>, בתחום בו התמקצע.</w:t>
      </w:r>
      <w:r>
        <w:rPr>
          <w:rFonts w:cs="David"/>
          <w:sz w:val="24"/>
          <w:szCs w:val="24"/>
          <w:rtl/>
        </w:rPr>
        <w:t xml:space="preserve"> מכאן, שעלה בידי הנאשם להוכיח סיכוי ממשי לפגיעה קונקרטית בתעסוקתו.</w:t>
      </w:r>
    </w:p>
    <w:p w14:paraId="4AAD74E4" w14:textId="77777777" w:rsidR="007E380F" w:rsidRDefault="007E380F" w:rsidP="007E380F">
      <w:pPr>
        <w:pStyle w:val="aa"/>
        <w:numPr>
          <w:ilvl w:val="0"/>
          <w:numId w:val="1"/>
        </w:numPr>
        <w:spacing w:before="120" w:after="120" w:line="360" w:lineRule="auto"/>
        <w:ind w:left="509" w:hanging="567"/>
        <w:jc w:val="both"/>
        <w:rPr>
          <w:rFonts w:cs="David"/>
          <w:sz w:val="24"/>
          <w:szCs w:val="24"/>
          <w:u w:val="single"/>
        </w:rPr>
      </w:pPr>
      <w:r>
        <w:rPr>
          <w:rFonts w:cs="David"/>
          <w:sz w:val="24"/>
          <w:szCs w:val="24"/>
          <w:rtl/>
        </w:rPr>
        <w:t xml:space="preserve">הנה כי כן, לאור רף הפגיעה </w:t>
      </w:r>
      <w:r>
        <w:rPr>
          <w:rFonts w:cs="David" w:hint="cs"/>
          <w:sz w:val="24"/>
          <w:szCs w:val="24"/>
          <w:rtl/>
        </w:rPr>
        <w:t>ה</w:t>
      </w:r>
      <w:r>
        <w:rPr>
          <w:rFonts w:cs="David"/>
          <w:sz w:val="24"/>
          <w:szCs w:val="24"/>
          <w:rtl/>
        </w:rPr>
        <w:t>נמוך – בינוני בערכים החברתיים, נסיבותיו האישיות של הנאשם ופגיעה קונקרטית במקום עבודתו, מתקיימות נסיבות חריגות לסיים ההליך ללא הרשעתו של הנאשם.</w:t>
      </w:r>
    </w:p>
    <w:p w14:paraId="7B6A3900" w14:textId="77777777" w:rsidR="007E380F" w:rsidRDefault="007E380F" w:rsidP="007E380F">
      <w:pPr>
        <w:pStyle w:val="aa"/>
        <w:numPr>
          <w:ilvl w:val="0"/>
          <w:numId w:val="1"/>
        </w:numPr>
        <w:spacing w:before="120" w:after="120" w:line="360" w:lineRule="auto"/>
        <w:ind w:left="509" w:hanging="567"/>
        <w:jc w:val="both"/>
        <w:rPr>
          <w:rFonts w:cs="David"/>
          <w:sz w:val="24"/>
          <w:szCs w:val="24"/>
          <w:u w:val="single"/>
        </w:rPr>
      </w:pPr>
      <w:r>
        <w:rPr>
          <w:rFonts w:cs="David"/>
          <w:sz w:val="24"/>
          <w:szCs w:val="24"/>
          <w:rtl/>
        </w:rPr>
        <w:t>לפיכך, אני קובעת כי הנאשם ביצע עבירה של גידול סמים, כמיוחס בכתב האישום, אולם ההליך יסתיים ללא הרשעתו.</w:t>
      </w:r>
    </w:p>
    <w:p w14:paraId="35199D9A" w14:textId="77777777" w:rsidR="007E380F" w:rsidRDefault="007E380F" w:rsidP="007E380F">
      <w:pPr>
        <w:pStyle w:val="aa"/>
        <w:spacing w:before="120" w:after="120" w:line="360" w:lineRule="auto"/>
        <w:ind w:left="509"/>
        <w:jc w:val="both"/>
        <w:rPr>
          <w:rFonts w:cs="David"/>
          <w:sz w:val="24"/>
          <w:szCs w:val="24"/>
          <w:u w:val="single"/>
        </w:rPr>
      </w:pPr>
      <w:r>
        <w:rPr>
          <w:rFonts w:cs="David"/>
          <w:sz w:val="24"/>
          <w:szCs w:val="24"/>
          <w:rtl/>
        </w:rPr>
        <w:t>לצד זאת, יוטל על הנאשם צו מבחן למשך שנה וצו שירות לתועלת הציבור בהיקף של 140 שעות, כהמלצת שירות המבחן.</w:t>
      </w:r>
    </w:p>
    <w:p w14:paraId="32BFE64D" w14:textId="77777777" w:rsidR="007E380F" w:rsidRDefault="007E380F" w:rsidP="007E380F">
      <w:pPr>
        <w:pStyle w:val="aa"/>
        <w:spacing w:before="120" w:after="120" w:line="360" w:lineRule="auto"/>
        <w:ind w:left="509"/>
        <w:jc w:val="both"/>
        <w:rPr>
          <w:rFonts w:cs="David"/>
          <w:sz w:val="24"/>
          <w:szCs w:val="24"/>
        </w:rPr>
      </w:pPr>
      <w:r>
        <w:rPr>
          <w:rFonts w:cs="David"/>
          <w:sz w:val="24"/>
          <w:szCs w:val="24"/>
          <w:rtl/>
        </w:rPr>
        <w:t>רשמתי לפניי נכונות הנאשם לבצע את צו המבחן וצו השירות לתועלת הציבור. מובהר לנאשם כי אם לא יבצע את הצווים בהתאם להוראות שירות המבחן, ניתן יהיה להרשיעו ולגזור את דינו.</w:t>
      </w:r>
    </w:p>
    <w:p w14:paraId="06F2EB26" w14:textId="77777777" w:rsidR="007E380F" w:rsidRDefault="007E380F" w:rsidP="007E380F">
      <w:pPr>
        <w:pStyle w:val="aa"/>
        <w:spacing w:before="120" w:after="120" w:line="360" w:lineRule="auto"/>
        <w:ind w:left="0"/>
        <w:jc w:val="both"/>
        <w:rPr>
          <w:rFonts w:cs="David"/>
          <w:b/>
          <w:bCs/>
          <w:sz w:val="24"/>
          <w:szCs w:val="24"/>
          <w:rtl/>
        </w:rPr>
      </w:pPr>
      <w:r>
        <w:rPr>
          <w:rFonts w:cs="David"/>
          <w:b/>
          <w:bCs/>
          <w:sz w:val="24"/>
          <w:szCs w:val="24"/>
          <w:rtl/>
        </w:rPr>
        <w:t>ניתן צו להשמדת הסמים והכלים.</w:t>
      </w:r>
    </w:p>
    <w:p w14:paraId="3033B5BF" w14:textId="77777777" w:rsidR="007E380F" w:rsidRDefault="007E380F" w:rsidP="007E380F">
      <w:pPr>
        <w:pStyle w:val="aa"/>
        <w:spacing w:before="120" w:after="120" w:line="360" w:lineRule="auto"/>
        <w:ind w:left="0"/>
        <w:jc w:val="both"/>
        <w:rPr>
          <w:rFonts w:cs="David"/>
          <w:b/>
          <w:bCs/>
          <w:sz w:val="24"/>
          <w:szCs w:val="24"/>
          <w:rtl/>
        </w:rPr>
      </w:pPr>
    </w:p>
    <w:p w14:paraId="4AD028EB" w14:textId="77777777" w:rsidR="007E380F" w:rsidRDefault="007E380F" w:rsidP="007E380F">
      <w:pPr>
        <w:pStyle w:val="aa"/>
        <w:spacing w:before="120" w:after="120" w:line="360" w:lineRule="auto"/>
        <w:ind w:left="0"/>
        <w:jc w:val="both"/>
        <w:rPr>
          <w:rFonts w:cs="David"/>
          <w:b/>
          <w:bCs/>
          <w:sz w:val="24"/>
          <w:szCs w:val="24"/>
          <w:rtl/>
        </w:rPr>
      </w:pPr>
      <w:r>
        <w:rPr>
          <w:rFonts w:cs="David"/>
          <w:b/>
          <w:bCs/>
          <w:sz w:val="24"/>
          <w:szCs w:val="24"/>
          <w:rtl/>
        </w:rPr>
        <w:t>העתק גזר הדין יועבר לשירות המבחן.</w:t>
      </w:r>
    </w:p>
    <w:p w14:paraId="2EBE929E" w14:textId="77777777" w:rsidR="007E380F" w:rsidRDefault="007E380F" w:rsidP="007E380F">
      <w:pPr>
        <w:pStyle w:val="aa"/>
        <w:spacing w:before="120" w:after="120" w:line="360" w:lineRule="auto"/>
        <w:ind w:left="0"/>
        <w:jc w:val="both"/>
        <w:rPr>
          <w:rFonts w:cs="David"/>
          <w:b/>
          <w:bCs/>
          <w:sz w:val="24"/>
          <w:szCs w:val="24"/>
          <w:rtl/>
        </w:rPr>
      </w:pPr>
    </w:p>
    <w:p w14:paraId="600B89AB" w14:textId="77777777" w:rsidR="007E380F" w:rsidRDefault="00CE10D3" w:rsidP="007E380F">
      <w:pPr>
        <w:pStyle w:val="aa"/>
        <w:spacing w:before="120" w:after="120" w:line="360" w:lineRule="auto"/>
        <w:ind w:left="0"/>
        <w:jc w:val="both"/>
        <w:rPr>
          <w:rFonts w:cs="David"/>
          <w:b/>
          <w:bCs/>
          <w:sz w:val="24"/>
          <w:szCs w:val="24"/>
          <w:rtl/>
        </w:rPr>
      </w:pPr>
      <w:r w:rsidRPr="00CE10D3">
        <w:rPr>
          <w:rFonts w:cs="David"/>
          <w:b/>
          <w:bCs/>
          <w:color w:val="FFFFFF"/>
          <w:sz w:val="2"/>
          <w:szCs w:val="2"/>
          <w:rtl/>
        </w:rPr>
        <w:t>5129371</w:t>
      </w:r>
      <w:r w:rsidR="007E380F">
        <w:rPr>
          <w:rFonts w:cs="David"/>
          <w:b/>
          <w:bCs/>
          <w:sz w:val="24"/>
          <w:szCs w:val="24"/>
          <w:rtl/>
        </w:rPr>
        <w:t>זכות ערעור כחוק תוך 45 ימים.</w:t>
      </w:r>
    </w:p>
    <w:p w14:paraId="35AD4FE5" w14:textId="77777777" w:rsidR="007E380F" w:rsidRPr="00CE10D3" w:rsidRDefault="00CE10D3" w:rsidP="007E380F">
      <w:pPr>
        <w:rPr>
          <w:color w:val="FFFFFF"/>
          <w:sz w:val="2"/>
          <w:szCs w:val="2"/>
          <w:rtl/>
        </w:rPr>
      </w:pPr>
      <w:r w:rsidRPr="00CE10D3">
        <w:rPr>
          <w:color w:val="FFFFFF"/>
          <w:sz w:val="2"/>
          <w:szCs w:val="2"/>
          <w:rtl/>
        </w:rPr>
        <w:t>54678313</w:t>
      </w:r>
    </w:p>
    <w:p w14:paraId="54DED7CF" w14:textId="77777777" w:rsidR="007E380F" w:rsidRPr="004A429F" w:rsidRDefault="00CE10D3" w:rsidP="007E380F">
      <w:pPr>
        <w:rPr>
          <w:rFonts w:cs="FrankRuehl"/>
          <w:sz w:val="28"/>
          <w:szCs w:val="28"/>
          <w:rtl/>
        </w:rPr>
      </w:pPr>
      <w:bookmarkStart w:id="8" w:name="Nitan"/>
      <w:r>
        <w:rPr>
          <w:rFonts w:ascii="Arial" w:hAnsi="Arial"/>
          <w:rtl/>
        </w:rPr>
        <w:t xml:space="preserve">ניתן היום,  י"ג אב תש"פ, 03 אוגוסט 2020, במעמד הצדדים. </w:t>
      </w:r>
      <w:bookmarkEnd w:id="8"/>
    </w:p>
    <w:p w14:paraId="040A1551" w14:textId="77777777" w:rsidR="007E380F" w:rsidRDefault="007E380F" w:rsidP="00CE10D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E0743C" w14:textId="77777777" w:rsidR="00CE10D3" w:rsidRDefault="00CE10D3" w:rsidP="00CE10D3">
      <w:pPr>
        <w:rPr>
          <w:rtl/>
        </w:rPr>
      </w:pPr>
    </w:p>
    <w:p w14:paraId="6AD7D0ED" w14:textId="77777777" w:rsidR="00CE10D3" w:rsidRDefault="00CE10D3" w:rsidP="00CE10D3">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476F799" w14:textId="77777777" w:rsidR="00D870F8" w:rsidRPr="00D870F8" w:rsidRDefault="00D870F8" w:rsidP="00D870F8">
      <w:pPr>
        <w:keepNext/>
        <w:rPr>
          <w:rFonts w:ascii="David" w:hAnsi="David"/>
          <w:color w:val="000000"/>
          <w:sz w:val="22"/>
          <w:szCs w:val="22"/>
          <w:rtl/>
        </w:rPr>
      </w:pPr>
    </w:p>
    <w:p w14:paraId="1305B12E" w14:textId="77777777" w:rsidR="00D870F8" w:rsidRPr="00D870F8" w:rsidRDefault="00D870F8" w:rsidP="00D870F8">
      <w:pPr>
        <w:keepNext/>
        <w:rPr>
          <w:rFonts w:ascii="David" w:hAnsi="David"/>
          <w:color w:val="000000"/>
          <w:sz w:val="22"/>
          <w:szCs w:val="22"/>
          <w:rtl/>
        </w:rPr>
      </w:pPr>
      <w:r w:rsidRPr="00D870F8">
        <w:rPr>
          <w:rFonts w:ascii="David" w:hAnsi="David"/>
          <w:color w:val="000000"/>
          <w:sz w:val="22"/>
          <w:szCs w:val="22"/>
          <w:rtl/>
        </w:rPr>
        <w:t>אפרת פינק 54678313-/</w:t>
      </w:r>
    </w:p>
    <w:p w14:paraId="5C6AEA48" w14:textId="77777777" w:rsidR="00CE10D3" w:rsidRPr="00CE10D3" w:rsidRDefault="00D870F8" w:rsidP="00D870F8">
      <w:pPr>
        <w:rPr>
          <w:color w:val="0000FF"/>
          <w:u w:val="single"/>
        </w:rPr>
      </w:pPr>
      <w:r w:rsidRPr="00D870F8">
        <w:rPr>
          <w:color w:val="000000"/>
          <w:u w:val="single"/>
          <w:rtl/>
        </w:rPr>
        <w:t>נוסח מסמך זה כפוף לשינויי ניסוח ועריכה</w:t>
      </w:r>
    </w:p>
    <w:sectPr w:rsidR="00CE10D3" w:rsidRPr="00CE10D3" w:rsidSect="00D870F8">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D7470" w14:textId="77777777" w:rsidR="00FA62C2" w:rsidRDefault="00FA62C2" w:rsidP="00C27489">
      <w:r>
        <w:separator/>
      </w:r>
    </w:p>
  </w:endnote>
  <w:endnote w:type="continuationSeparator" w:id="0">
    <w:p w14:paraId="350271DD" w14:textId="77777777" w:rsidR="00FA62C2" w:rsidRDefault="00FA62C2" w:rsidP="00C2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6363E" w14:textId="77777777" w:rsidR="00D870F8" w:rsidRDefault="00D870F8" w:rsidP="00D870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9BD998" w14:textId="77777777" w:rsidR="00B93F90" w:rsidRPr="00D870F8" w:rsidRDefault="00D870F8" w:rsidP="00D870F8">
    <w:pPr>
      <w:pStyle w:val="a5"/>
      <w:pBdr>
        <w:top w:val="single" w:sz="4" w:space="1" w:color="auto"/>
        <w:between w:val="single" w:sz="4" w:space="0" w:color="auto"/>
      </w:pBdr>
      <w:spacing w:after="60"/>
      <w:jc w:val="center"/>
      <w:rPr>
        <w:rFonts w:ascii="FrankRuehl" w:hAnsi="FrankRuehl" w:cs="FrankRuehl"/>
        <w:color w:val="000000"/>
      </w:rPr>
    </w:pPr>
    <w:r w:rsidRPr="00D870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60AFF" w14:textId="77777777" w:rsidR="00D870F8" w:rsidRDefault="00D870F8" w:rsidP="00D870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28F6">
      <w:rPr>
        <w:rFonts w:ascii="FrankRuehl" w:hAnsi="FrankRuehl" w:cs="FrankRuehl"/>
        <w:noProof/>
        <w:rtl/>
      </w:rPr>
      <w:t>1</w:t>
    </w:r>
    <w:r>
      <w:rPr>
        <w:rFonts w:ascii="FrankRuehl" w:hAnsi="FrankRuehl" w:cs="FrankRuehl"/>
        <w:rtl/>
      </w:rPr>
      <w:fldChar w:fldCharType="end"/>
    </w:r>
  </w:p>
  <w:p w14:paraId="5720CE46" w14:textId="77777777" w:rsidR="00B93F90" w:rsidRPr="00D870F8" w:rsidRDefault="00D870F8" w:rsidP="00D870F8">
    <w:pPr>
      <w:pStyle w:val="a5"/>
      <w:pBdr>
        <w:top w:val="single" w:sz="4" w:space="1" w:color="auto"/>
        <w:between w:val="single" w:sz="4" w:space="0" w:color="auto"/>
      </w:pBdr>
      <w:spacing w:after="60"/>
      <w:jc w:val="center"/>
      <w:rPr>
        <w:rFonts w:ascii="FrankRuehl" w:hAnsi="FrankRuehl" w:cs="FrankRuehl"/>
        <w:color w:val="000000"/>
      </w:rPr>
    </w:pPr>
    <w:r w:rsidRPr="00D870F8">
      <w:rPr>
        <w:rFonts w:ascii="FrankRuehl" w:hAnsi="FrankRuehl" w:cs="FrankRuehl"/>
        <w:color w:val="000000"/>
      </w:rPr>
      <w:pict w14:anchorId="2F66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B1021" w14:textId="77777777" w:rsidR="00FA62C2" w:rsidRDefault="00FA62C2" w:rsidP="00C27489">
      <w:r>
        <w:separator/>
      </w:r>
    </w:p>
  </w:footnote>
  <w:footnote w:type="continuationSeparator" w:id="0">
    <w:p w14:paraId="1688EFFB" w14:textId="77777777" w:rsidR="00FA62C2" w:rsidRDefault="00FA62C2" w:rsidP="00C2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B7FF2" w14:textId="77777777" w:rsidR="00CE10D3" w:rsidRPr="00D870F8" w:rsidRDefault="00D870F8" w:rsidP="00D870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39665-05-18</w:t>
    </w:r>
    <w:r>
      <w:rPr>
        <w:rFonts w:ascii="David" w:hAnsi="David"/>
        <w:color w:val="000000"/>
        <w:sz w:val="22"/>
        <w:szCs w:val="22"/>
        <w:rtl/>
      </w:rPr>
      <w:tab/>
      <w:t xml:space="preserve"> מדינת ישראל נ' אביעד הרוש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81BBC" w14:textId="77777777" w:rsidR="00CE10D3" w:rsidRPr="00D870F8" w:rsidRDefault="00D870F8" w:rsidP="00D870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39665-05-18</w:t>
    </w:r>
    <w:r>
      <w:rPr>
        <w:rFonts w:ascii="David" w:hAnsi="David"/>
        <w:color w:val="000000"/>
        <w:sz w:val="22"/>
        <w:szCs w:val="22"/>
        <w:rtl/>
      </w:rPr>
      <w:tab/>
      <w:t xml:space="preserve"> מדינת ישראל נ' אביעד הרוש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573781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380F"/>
    <w:rsid w:val="002C2A36"/>
    <w:rsid w:val="002E0876"/>
    <w:rsid w:val="004D054E"/>
    <w:rsid w:val="007E380F"/>
    <w:rsid w:val="00B93F90"/>
    <w:rsid w:val="00C27489"/>
    <w:rsid w:val="00C501AB"/>
    <w:rsid w:val="00CE10D3"/>
    <w:rsid w:val="00D028F6"/>
    <w:rsid w:val="00D870F8"/>
    <w:rsid w:val="00FA6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D1BE3D"/>
  <w15:chartTrackingRefBased/>
  <w15:docId w15:val="{A1DE113C-0320-4CE6-AACD-540A3749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38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380F"/>
    <w:pPr>
      <w:tabs>
        <w:tab w:val="center" w:pos="4153"/>
        <w:tab w:val="right" w:pos="8306"/>
      </w:tabs>
    </w:pPr>
  </w:style>
  <w:style w:type="character" w:customStyle="1" w:styleId="a4">
    <w:name w:val="כותרת עליונה תו"/>
    <w:link w:val="a3"/>
    <w:rsid w:val="007E380F"/>
    <w:rPr>
      <w:rFonts w:ascii="Times New Roman" w:eastAsia="Times New Roman" w:hAnsi="Times New Roman" w:cs="David"/>
      <w:sz w:val="24"/>
      <w:szCs w:val="24"/>
    </w:rPr>
  </w:style>
  <w:style w:type="paragraph" w:styleId="a5">
    <w:name w:val="footer"/>
    <w:basedOn w:val="a"/>
    <w:link w:val="a6"/>
    <w:rsid w:val="007E380F"/>
    <w:pPr>
      <w:tabs>
        <w:tab w:val="center" w:pos="4153"/>
        <w:tab w:val="right" w:pos="8306"/>
      </w:tabs>
    </w:pPr>
  </w:style>
  <w:style w:type="character" w:customStyle="1" w:styleId="a6">
    <w:name w:val="כותרת תחתונה תו"/>
    <w:link w:val="a5"/>
    <w:rsid w:val="007E380F"/>
    <w:rPr>
      <w:rFonts w:ascii="Times New Roman" w:eastAsia="Times New Roman" w:hAnsi="Times New Roman" w:cs="David"/>
      <w:sz w:val="24"/>
      <w:szCs w:val="24"/>
    </w:rPr>
  </w:style>
  <w:style w:type="table" w:styleId="a7">
    <w:name w:val="Table Grid"/>
    <w:basedOn w:val="a1"/>
    <w:rsid w:val="007E38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380F"/>
  </w:style>
  <w:style w:type="paragraph" w:customStyle="1" w:styleId="12">
    <w:name w:val="רגיל + ‏12 נק'"/>
    <w:aliases w:val="מיושר לשני הצדדים,מרווח בין שורות:  שורה וחצי"/>
    <w:basedOn w:val="a"/>
    <w:rsid w:val="007E380F"/>
    <w:rPr>
      <w:b/>
      <w:bCs/>
      <w:u w:val="single"/>
    </w:rPr>
  </w:style>
  <w:style w:type="character" w:customStyle="1" w:styleId="a9">
    <w:name w:val="פיסקת רשימה תו"/>
    <w:link w:val="aa"/>
    <w:locked/>
    <w:rsid w:val="007E380F"/>
  </w:style>
  <w:style w:type="paragraph" w:styleId="aa">
    <w:name w:val="List Paragraph"/>
    <w:basedOn w:val="a"/>
    <w:link w:val="a9"/>
    <w:qFormat/>
    <w:rsid w:val="007E380F"/>
    <w:pPr>
      <w:spacing w:after="160" w:line="256" w:lineRule="auto"/>
      <w:ind w:left="720"/>
      <w:contextualSpacing/>
    </w:pPr>
    <w:rPr>
      <w:rFonts w:ascii="Calibri" w:eastAsia="Calibri" w:hAnsi="Calibri" w:cs="Arial"/>
      <w:sz w:val="22"/>
      <w:szCs w:val="22"/>
    </w:rPr>
  </w:style>
  <w:style w:type="character" w:styleId="Hyperlink">
    <w:name w:val="Hyperlink"/>
    <w:rsid w:val="00CE10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11948" TargetMode="External"/><Relationship Id="rId18" Type="http://schemas.openxmlformats.org/officeDocument/2006/relationships/hyperlink" Target="http://www.nevo.co.il/case/16900367" TargetMode="External"/><Relationship Id="rId26" Type="http://schemas.openxmlformats.org/officeDocument/2006/relationships/hyperlink" Target="http://www.nevo.co.il/case/20508472" TargetMode="External"/><Relationship Id="rId3" Type="http://schemas.openxmlformats.org/officeDocument/2006/relationships/settings" Target="settings.xml"/><Relationship Id="rId21" Type="http://schemas.openxmlformats.org/officeDocument/2006/relationships/hyperlink" Target="http://www.nevo.co.il/case/2330082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5608134" TargetMode="External"/><Relationship Id="rId17" Type="http://schemas.openxmlformats.org/officeDocument/2006/relationships/hyperlink" Target="http://www.nevo.co.il/case/23746048" TargetMode="External"/><Relationship Id="rId25" Type="http://schemas.openxmlformats.org/officeDocument/2006/relationships/hyperlink" Target="http://www.nevo.co.il/case/1694346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4345651" TargetMode="External"/><Relationship Id="rId20" Type="http://schemas.openxmlformats.org/officeDocument/2006/relationships/hyperlink" Target="http://www.nevo.co.il/case/560318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10781" TargetMode="External"/><Relationship Id="rId24" Type="http://schemas.openxmlformats.org/officeDocument/2006/relationships/hyperlink" Target="http://www.nevo.co.il/case/2206294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161385" TargetMode="External"/><Relationship Id="rId23" Type="http://schemas.openxmlformats.org/officeDocument/2006/relationships/hyperlink" Target="http://www.nevo.co.il/case/20236668"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655236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5993495" TargetMode="External"/><Relationship Id="rId22" Type="http://schemas.openxmlformats.org/officeDocument/2006/relationships/hyperlink" Target="http://www.nevo.co.il/case/21776318" TargetMode="External"/><Relationship Id="rId27" Type="http://schemas.openxmlformats.org/officeDocument/2006/relationships/hyperlink" Target="http://www.nevo.co.il/case/24324740"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2286</Words>
  <Characters>11435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13694</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3211381</vt:i4>
      </vt:variant>
      <vt:variant>
        <vt:i4>60</vt:i4>
      </vt:variant>
      <vt:variant>
        <vt:i4>0</vt:i4>
      </vt:variant>
      <vt:variant>
        <vt:i4>5</vt:i4>
      </vt:variant>
      <vt:variant>
        <vt:lpwstr>http://www.nevo.co.il/case/24324740</vt:lpwstr>
      </vt:variant>
      <vt:variant>
        <vt:lpwstr/>
      </vt:variant>
      <vt:variant>
        <vt:i4>3670128</vt:i4>
      </vt:variant>
      <vt:variant>
        <vt:i4>57</vt:i4>
      </vt:variant>
      <vt:variant>
        <vt:i4>0</vt:i4>
      </vt:variant>
      <vt:variant>
        <vt:i4>5</vt:i4>
      </vt:variant>
      <vt:variant>
        <vt:lpwstr>http://www.nevo.co.il/case/20508472</vt:lpwstr>
      </vt:variant>
      <vt:variant>
        <vt:lpwstr/>
      </vt:variant>
      <vt:variant>
        <vt:i4>3997810</vt:i4>
      </vt:variant>
      <vt:variant>
        <vt:i4>54</vt:i4>
      </vt:variant>
      <vt:variant>
        <vt:i4>0</vt:i4>
      </vt:variant>
      <vt:variant>
        <vt:i4>5</vt:i4>
      </vt:variant>
      <vt:variant>
        <vt:lpwstr>http://www.nevo.co.il/case/16943469</vt:lpwstr>
      </vt:variant>
      <vt:variant>
        <vt:lpwstr/>
      </vt:variant>
      <vt:variant>
        <vt:i4>3407993</vt:i4>
      </vt:variant>
      <vt:variant>
        <vt:i4>51</vt:i4>
      </vt:variant>
      <vt:variant>
        <vt:i4>0</vt:i4>
      </vt:variant>
      <vt:variant>
        <vt:i4>5</vt:i4>
      </vt:variant>
      <vt:variant>
        <vt:lpwstr>http://www.nevo.co.il/case/22062941</vt:lpwstr>
      </vt:variant>
      <vt:variant>
        <vt:lpwstr/>
      </vt:variant>
      <vt:variant>
        <vt:i4>3145841</vt:i4>
      </vt:variant>
      <vt:variant>
        <vt:i4>48</vt:i4>
      </vt:variant>
      <vt:variant>
        <vt:i4>0</vt:i4>
      </vt:variant>
      <vt:variant>
        <vt:i4>5</vt:i4>
      </vt:variant>
      <vt:variant>
        <vt:lpwstr>http://www.nevo.co.il/case/20236668</vt:lpwstr>
      </vt:variant>
      <vt:variant>
        <vt:lpwstr/>
      </vt:variant>
      <vt:variant>
        <vt:i4>3276913</vt:i4>
      </vt:variant>
      <vt:variant>
        <vt:i4>45</vt:i4>
      </vt:variant>
      <vt:variant>
        <vt:i4>0</vt:i4>
      </vt:variant>
      <vt:variant>
        <vt:i4>5</vt:i4>
      </vt:variant>
      <vt:variant>
        <vt:lpwstr>http://www.nevo.co.il/case/21776318</vt:lpwstr>
      </vt:variant>
      <vt:variant>
        <vt:lpwstr/>
      </vt:variant>
      <vt:variant>
        <vt:i4>3342463</vt:i4>
      </vt:variant>
      <vt:variant>
        <vt:i4>42</vt:i4>
      </vt:variant>
      <vt:variant>
        <vt:i4>0</vt:i4>
      </vt:variant>
      <vt:variant>
        <vt:i4>5</vt:i4>
      </vt:variant>
      <vt:variant>
        <vt:lpwstr>http://www.nevo.co.il/case/23300825</vt:lpwstr>
      </vt:variant>
      <vt:variant>
        <vt:lpwstr/>
      </vt:variant>
      <vt:variant>
        <vt:i4>3276921</vt:i4>
      </vt:variant>
      <vt:variant>
        <vt:i4>39</vt:i4>
      </vt:variant>
      <vt:variant>
        <vt:i4>0</vt:i4>
      </vt:variant>
      <vt:variant>
        <vt:i4>5</vt:i4>
      </vt:variant>
      <vt:variant>
        <vt:lpwstr>http://www.nevo.co.il/case/5603186</vt:lpwstr>
      </vt:variant>
      <vt:variant>
        <vt:lpwstr/>
      </vt:variant>
      <vt:variant>
        <vt:i4>3473525</vt:i4>
      </vt:variant>
      <vt:variant>
        <vt:i4>36</vt:i4>
      </vt:variant>
      <vt:variant>
        <vt:i4>0</vt:i4>
      </vt:variant>
      <vt:variant>
        <vt:i4>5</vt:i4>
      </vt:variant>
      <vt:variant>
        <vt:lpwstr>http://www.nevo.co.il/case/6552365</vt:lpwstr>
      </vt:variant>
      <vt:variant>
        <vt:lpwstr/>
      </vt:variant>
      <vt:variant>
        <vt:i4>4063345</vt:i4>
      </vt:variant>
      <vt:variant>
        <vt:i4>33</vt:i4>
      </vt:variant>
      <vt:variant>
        <vt:i4>0</vt:i4>
      </vt:variant>
      <vt:variant>
        <vt:i4>5</vt:i4>
      </vt:variant>
      <vt:variant>
        <vt:lpwstr>http://www.nevo.co.il/case/16900367</vt:lpwstr>
      </vt:variant>
      <vt:variant>
        <vt:lpwstr/>
      </vt:variant>
      <vt:variant>
        <vt:i4>3604595</vt:i4>
      </vt:variant>
      <vt:variant>
        <vt:i4>30</vt:i4>
      </vt:variant>
      <vt:variant>
        <vt:i4>0</vt:i4>
      </vt:variant>
      <vt:variant>
        <vt:i4>5</vt:i4>
      </vt:variant>
      <vt:variant>
        <vt:lpwstr>http://www.nevo.co.il/case/23746048</vt:lpwstr>
      </vt:variant>
      <vt:variant>
        <vt:lpwstr/>
      </vt:variant>
      <vt:variant>
        <vt:i4>3211378</vt:i4>
      </vt:variant>
      <vt:variant>
        <vt:i4>27</vt:i4>
      </vt:variant>
      <vt:variant>
        <vt:i4>0</vt:i4>
      </vt:variant>
      <vt:variant>
        <vt:i4>5</vt:i4>
      </vt:variant>
      <vt:variant>
        <vt:lpwstr>http://www.nevo.co.il/case/24345651</vt:lpwstr>
      </vt:variant>
      <vt:variant>
        <vt:lpwstr/>
      </vt:variant>
      <vt:variant>
        <vt:i4>3539068</vt:i4>
      </vt:variant>
      <vt:variant>
        <vt:i4>24</vt:i4>
      </vt:variant>
      <vt:variant>
        <vt:i4>0</vt:i4>
      </vt:variant>
      <vt:variant>
        <vt:i4>5</vt:i4>
      </vt:variant>
      <vt:variant>
        <vt:lpwstr>http://www.nevo.co.il/case/6161385</vt:lpwstr>
      </vt:variant>
      <vt:variant>
        <vt:lpwstr/>
      </vt:variant>
      <vt:variant>
        <vt:i4>3997815</vt:i4>
      </vt:variant>
      <vt:variant>
        <vt:i4>21</vt:i4>
      </vt:variant>
      <vt:variant>
        <vt:i4>0</vt:i4>
      </vt:variant>
      <vt:variant>
        <vt:i4>5</vt:i4>
      </vt:variant>
      <vt:variant>
        <vt:lpwstr>http://www.nevo.co.il/case/5993495</vt:lpwstr>
      </vt:variant>
      <vt:variant>
        <vt:lpwstr/>
      </vt:variant>
      <vt:variant>
        <vt:i4>3473527</vt:i4>
      </vt:variant>
      <vt:variant>
        <vt:i4>18</vt:i4>
      </vt:variant>
      <vt:variant>
        <vt:i4>0</vt:i4>
      </vt:variant>
      <vt:variant>
        <vt:i4>5</vt:i4>
      </vt:variant>
      <vt:variant>
        <vt:lpwstr>http://www.nevo.co.il/case/5611948</vt:lpwstr>
      </vt:variant>
      <vt:variant>
        <vt:lpwstr/>
      </vt:variant>
      <vt:variant>
        <vt:i4>3145849</vt:i4>
      </vt:variant>
      <vt:variant>
        <vt:i4>15</vt:i4>
      </vt:variant>
      <vt:variant>
        <vt:i4>0</vt:i4>
      </vt:variant>
      <vt:variant>
        <vt:i4>5</vt:i4>
      </vt:variant>
      <vt:variant>
        <vt:lpwstr>http://www.nevo.co.il/case/5608134</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39665</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אביעד הרוש</vt:lpwstr>
  </property>
  <property fmtid="{D5CDD505-2E9C-101B-9397-08002B2CF9AE}" pid="10" name="LAWYER">
    <vt:lpwstr>שירלי ברזילי;עדי סעדיה;צליל משיח</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20200803</vt:lpwstr>
  </property>
  <property fmtid="{D5CDD505-2E9C-101B-9397-08002B2CF9AE}" pid="14" name="TYPE_N_DATE">
    <vt:lpwstr>38020200803</vt:lpwstr>
  </property>
  <property fmtid="{D5CDD505-2E9C-101B-9397-08002B2CF9AE}" pid="15" name="CASESLISTTMP1">
    <vt:lpwstr>5810781;5608134;5611948;5993495;6161385;24345651;23746048;16900367;6552365;5603186;23300825;21776318;20236668;22062941;16943469;20508472;24324740</vt:lpwstr>
  </property>
  <property fmtid="{D5CDD505-2E9C-101B-9397-08002B2CF9AE}" pid="16" name="CASENOTES1">
    <vt:lpwstr>ProcID=13&amp;PartA=7.3.18); ת"פ )ק"ג) 6780&amp;PartB=10&amp;PartC=16</vt:lpwstr>
  </property>
  <property fmtid="{D5CDD505-2E9C-101B-9397-08002B2CF9AE}" pid="17" name="CASENOTES2">
    <vt:lpwstr>ProcID=188&amp;PartA=16.4.18); ת"פ (י&amp;PartB=ם) 48512&amp;PartC=04-15</vt:lpwstr>
  </property>
  <property fmtid="{D5CDD505-2E9C-101B-9397-08002B2CF9AE}" pid="18" name="WORDNUMPAGES">
    <vt:lpwstr>7</vt:lpwstr>
  </property>
  <property fmtid="{D5CDD505-2E9C-101B-9397-08002B2CF9AE}" pid="19" name="TYPE_ABS_DATE">
    <vt:lpwstr>380020200803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vt:lpwstr>
  </property>
</Properties>
</file>