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F108E" w:rsidRPr="00926237" w14:paraId="3DC50E9E" w14:textId="77777777" w:rsidTr="00AF2B2F">
        <w:trPr>
          <w:trHeight w:hRule="exact" w:val="418"/>
          <w:jc w:val="center"/>
        </w:trPr>
        <w:tc>
          <w:tcPr>
            <w:tcW w:w="8721" w:type="dxa"/>
            <w:gridSpan w:val="2"/>
          </w:tcPr>
          <w:p w14:paraId="46C2E481" w14:textId="77777777" w:rsidR="008F108E" w:rsidRPr="00926237" w:rsidRDefault="008F108E" w:rsidP="00040AB6">
            <w:pPr>
              <w:pStyle w:val="a3"/>
              <w:jc w:val="center"/>
              <w:rPr>
                <w:rFonts w:ascii="Tahoma" w:hAnsi="Tahoma" w:cs="FrankRuehl"/>
                <w:color w:val="000080"/>
                <w:sz w:val="28"/>
                <w:szCs w:val="28"/>
                <w:rtl/>
              </w:rPr>
            </w:pPr>
            <w:bookmarkStart w:id="0" w:name="FirstLawyer"/>
            <w:bookmarkStart w:id="1" w:name="LastJudge"/>
            <w:r w:rsidRPr="00926237">
              <w:rPr>
                <w:rFonts w:ascii="Tahoma" w:hAnsi="Tahoma" w:cs="FrankRuehl"/>
                <w:b/>
                <w:bCs/>
                <w:color w:val="000080"/>
                <w:sz w:val="28"/>
                <w:szCs w:val="28"/>
                <w:rtl/>
              </w:rPr>
              <w:t>בית משפט השלום בירושלים</w:t>
            </w:r>
          </w:p>
        </w:tc>
      </w:tr>
      <w:tr w:rsidR="008F108E" w:rsidRPr="00926237" w14:paraId="3C9733C5" w14:textId="77777777" w:rsidTr="00AF2B2F">
        <w:trPr>
          <w:trHeight w:val="337"/>
          <w:jc w:val="center"/>
        </w:trPr>
        <w:tc>
          <w:tcPr>
            <w:tcW w:w="5054" w:type="dxa"/>
          </w:tcPr>
          <w:p w14:paraId="4BCE9080" w14:textId="77777777" w:rsidR="008F108E" w:rsidRPr="00926237" w:rsidRDefault="008F108E" w:rsidP="00040AB6">
            <w:pPr>
              <w:rPr>
                <w:rFonts w:cs="FrankRuehl"/>
                <w:b/>
                <w:bCs/>
                <w:sz w:val="28"/>
                <w:szCs w:val="28"/>
                <w:rtl/>
              </w:rPr>
            </w:pPr>
            <w:r w:rsidRPr="00926237">
              <w:rPr>
                <w:rFonts w:cs="FrankRuehl"/>
                <w:b/>
                <w:bCs/>
                <w:sz w:val="28"/>
                <w:szCs w:val="28"/>
                <w:rtl/>
              </w:rPr>
              <w:t>ת"פ</w:t>
            </w:r>
            <w:r w:rsidRPr="00926237">
              <w:rPr>
                <w:rFonts w:cs="FrankRuehl" w:hint="cs"/>
                <w:b/>
                <w:bCs/>
                <w:sz w:val="28"/>
                <w:szCs w:val="28"/>
                <w:rtl/>
              </w:rPr>
              <w:t xml:space="preserve"> </w:t>
            </w:r>
            <w:r w:rsidRPr="00926237">
              <w:rPr>
                <w:rFonts w:cs="FrankRuehl"/>
                <w:b/>
                <w:bCs/>
                <w:sz w:val="28"/>
                <w:szCs w:val="28"/>
                <w:rtl/>
              </w:rPr>
              <w:t>44591-05-18</w:t>
            </w:r>
            <w:r w:rsidRPr="00926237">
              <w:rPr>
                <w:rFonts w:cs="FrankRuehl" w:hint="cs"/>
                <w:b/>
                <w:bCs/>
                <w:sz w:val="28"/>
                <w:szCs w:val="28"/>
                <w:rtl/>
              </w:rPr>
              <w:t xml:space="preserve"> </w:t>
            </w:r>
            <w:r w:rsidRPr="00926237">
              <w:rPr>
                <w:rFonts w:cs="FrankRuehl"/>
                <w:b/>
                <w:bCs/>
                <w:sz w:val="28"/>
                <w:szCs w:val="28"/>
                <w:rtl/>
              </w:rPr>
              <w:t>מדינת ישראל נ' דגן</w:t>
            </w:r>
            <w:r w:rsidRPr="00926237">
              <w:rPr>
                <w:rFonts w:cs="FrankRuehl"/>
                <w:b/>
                <w:bCs/>
                <w:sz w:val="28"/>
                <w:szCs w:val="28"/>
                <w:rtl/>
              </w:rPr>
              <w:br/>
            </w:r>
            <w:r w:rsidRPr="00926237">
              <w:rPr>
                <w:rFonts w:cs="FrankRuehl" w:hint="cs"/>
                <w:b/>
                <w:bCs/>
                <w:sz w:val="28"/>
                <w:szCs w:val="28"/>
                <w:rtl/>
              </w:rPr>
              <w:t>ת"פ 20053-09-19</w:t>
            </w:r>
          </w:p>
          <w:p w14:paraId="4E8A54D1" w14:textId="77777777" w:rsidR="008F108E" w:rsidRPr="00926237" w:rsidRDefault="008F108E" w:rsidP="00040AB6">
            <w:pPr>
              <w:rPr>
                <w:rFonts w:cs="FrankRuehl"/>
                <w:b/>
                <w:bCs/>
                <w:sz w:val="28"/>
                <w:szCs w:val="28"/>
                <w:rtl/>
              </w:rPr>
            </w:pPr>
            <w:r w:rsidRPr="00926237">
              <w:rPr>
                <w:rFonts w:cs="FrankRuehl" w:hint="cs"/>
                <w:b/>
                <w:bCs/>
                <w:sz w:val="28"/>
                <w:szCs w:val="28"/>
                <w:rtl/>
              </w:rPr>
              <w:t>פ"ל (פתח תקוה) 8686-03-21</w:t>
            </w:r>
          </w:p>
          <w:p w14:paraId="2BE4B95B" w14:textId="77777777" w:rsidR="008F108E" w:rsidRPr="00926237" w:rsidRDefault="008F108E" w:rsidP="00040AB6">
            <w:pPr>
              <w:pStyle w:val="a3"/>
              <w:rPr>
                <w:rFonts w:cs="FrankRuehl"/>
                <w:sz w:val="28"/>
                <w:szCs w:val="28"/>
                <w:rtl/>
              </w:rPr>
            </w:pPr>
          </w:p>
        </w:tc>
        <w:tc>
          <w:tcPr>
            <w:tcW w:w="3667" w:type="dxa"/>
          </w:tcPr>
          <w:p w14:paraId="00A7B353" w14:textId="77777777" w:rsidR="008F108E" w:rsidRPr="00926237" w:rsidRDefault="008F108E" w:rsidP="00040AB6">
            <w:pPr>
              <w:pStyle w:val="a3"/>
              <w:jc w:val="right"/>
              <w:rPr>
                <w:rFonts w:cs="FrankRuehl"/>
                <w:sz w:val="28"/>
                <w:szCs w:val="28"/>
                <w:rtl/>
              </w:rPr>
            </w:pPr>
          </w:p>
        </w:tc>
      </w:tr>
    </w:tbl>
    <w:p w14:paraId="0FA9E463" w14:textId="77777777" w:rsidR="008F108E" w:rsidRPr="00926237" w:rsidRDefault="008F108E" w:rsidP="008F108E">
      <w:pPr>
        <w:pStyle w:val="a3"/>
        <w:rPr>
          <w:rtl/>
        </w:rPr>
      </w:pPr>
      <w:r w:rsidRPr="00926237">
        <w:rPr>
          <w:rFonts w:hint="cs"/>
          <w:rtl/>
        </w:rPr>
        <w:t xml:space="preserve"> </w:t>
      </w:r>
    </w:p>
    <w:p w14:paraId="03AB646A" w14:textId="77777777" w:rsidR="008F108E" w:rsidRPr="00926237" w:rsidRDefault="008F108E" w:rsidP="008F108E">
      <w:pPr>
        <w:rPr>
          <w:rFonts w:cs="FrankRuehl"/>
          <w:b/>
          <w:bCs/>
          <w:sz w:val="26"/>
          <w:szCs w:val="26"/>
          <w:rtl/>
        </w:rPr>
      </w:pPr>
    </w:p>
    <w:p w14:paraId="6137DDB2" w14:textId="77777777" w:rsidR="008F108E" w:rsidRPr="00926237" w:rsidRDefault="008F108E" w:rsidP="008F108E">
      <w:pPr>
        <w:rPr>
          <w:rFonts w:cs="FrankRueh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40"/>
        <w:gridCol w:w="3257"/>
      </w:tblGrid>
      <w:tr w:rsidR="008F108E" w:rsidRPr="00926237" w14:paraId="11B9C6B9" w14:textId="77777777" w:rsidTr="008F108E">
        <w:trPr>
          <w:trHeight w:val="295"/>
          <w:jc w:val="center"/>
        </w:trPr>
        <w:tc>
          <w:tcPr>
            <w:tcW w:w="923" w:type="dxa"/>
            <w:tcBorders>
              <w:top w:val="nil"/>
              <w:left w:val="nil"/>
              <w:bottom w:val="nil"/>
              <w:right w:val="nil"/>
            </w:tcBorders>
            <w:shd w:val="clear" w:color="auto" w:fill="auto"/>
          </w:tcPr>
          <w:p w14:paraId="3740CF6E" w14:textId="77777777" w:rsidR="008F108E" w:rsidRPr="00926237" w:rsidRDefault="008F108E" w:rsidP="008F108E">
            <w:pPr>
              <w:jc w:val="both"/>
              <w:rPr>
                <w:rFonts w:ascii="Arial" w:hAnsi="Arial" w:cs="FrankRuehl"/>
                <w:b/>
                <w:bCs/>
                <w:sz w:val="28"/>
                <w:szCs w:val="28"/>
              </w:rPr>
            </w:pPr>
            <w:r w:rsidRPr="00926237">
              <w:rPr>
                <w:rFonts w:ascii="Arial" w:hAnsi="Arial" w:cs="FrankRuehl" w:hint="cs"/>
                <w:b/>
                <w:bCs/>
                <w:sz w:val="28"/>
                <w:szCs w:val="28"/>
                <w:rtl/>
              </w:rPr>
              <w:t>ב</w:t>
            </w:r>
            <w:r w:rsidRPr="00926237">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C6279AA" w14:textId="77777777" w:rsidR="008F108E" w:rsidRPr="00926237" w:rsidRDefault="008F108E" w:rsidP="00040AB6">
            <w:pPr>
              <w:rPr>
                <w:rFonts w:ascii="Arial" w:hAnsi="Arial" w:cs="FrankRuehl"/>
                <w:b/>
                <w:bCs/>
                <w:sz w:val="28"/>
                <w:szCs w:val="28"/>
                <w:rtl/>
              </w:rPr>
            </w:pPr>
            <w:r w:rsidRPr="00926237">
              <w:rPr>
                <w:rFonts w:ascii="Arial" w:hAnsi="Arial" w:cs="FrankRuehl" w:hint="cs"/>
                <w:b/>
                <w:bCs/>
                <w:sz w:val="28"/>
                <w:szCs w:val="28"/>
                <w:rtl/>
              </w:rPr>
              <w:t>כבוד ה</w:t>
            </w:r>
            <w:r w:rsidRPr="00926237">
              <w:rPr>
                <w:rFonts w:ascii="Arial" w:hAnsi="Arial" w:cs="FrankRuehl"/>
                <w:b/>
                <w:bCs/>
                <w:sz w:val="28"/>
                <w:szCs w:val="28"/>
                <w:rtl/>
              </w:rPr>
              <w:t>שופט</w:t>
            </w:r>
            <w:r w:rsidRPr="00926237">
              <w:rPr>
                <w:rFonts w:ascii="Arial" w:hAnsi="Arial" w:cs="FrankRuehl" w:hint="cs"/>
                <w:b/>
                <w:bCs/>
                <w:sz w:val="28"/>
                <w:szCs w:val="28"/>
                <w:rtl/>
              </w:rPr>
              <w:t xml:space="preserve">  </w:t>
            </w:r>
            <w:r w:rsidRPr="00926237">
              <w:rPr>
                <w:rFonts w:ascii="Arial" w:hAnsi="Arial" w:cs="FrankRuehl"/>
                <w:b/>
                <w:bCs/>
                <w:sz w:val="28"/>
                <w:szCs w:val="28"/>
                <w:rtl/>
              </w:rPr>
              <w:t>דוד שאול גבאי ריכטר</w:t>
            </w:r>
          </w:p>
          <w:p w14:paraId="78E24C44" w14:textId="77777777" w:rsidR="008F108E" w:rsidRPr="00926237" w:rsidRDefault="008F108E" w:rsidP="00040AB6">
            <w:pPr>
              <w:rPr>
                <w:rFonts w:cs="FrankRuehl"/>
                <w:b/>
                <w:bCs/>
                <w:sz w:val="28"/>
                <w:szCs w:val="28"/>
                <w:rtl/>
              </w:rPr>
            </w:pPr>
          </w:p>
          <w:p w14:paraId="1C94C0EB" w14:textId="77777777" w:rsidR="008F108E" w:rsidRPr="00926237" w:rsidRDefault="008F108E" w:rsidP="008F108E">
            <w:pPr>
              <w:jc w:val="both"/>
              <w:rPr>
                <w:rFonts w:ascii="Arial" w:hAnsi="Arial" w:cs="FrankRuehl"/>
                <w:b/>
                <w:bCs/>
                <w:sz w:val="28"/>
                <w:szCs w:val="28"/>
              </w:rPr>
            </w:pPr>
          </w:p>
        </w:tc>
      </w:tr>
      <w:tr w:rsidR="008F108E" w:rsidRPr="00926237" w14:paraId="0DFF0E21" w14:textId="77777777" w:rsidTr="008F108E">
        <w:trPr>
          <w:trHeight w:val="355"/>
          <w:jc w:val="center"/>
        </w:trPr>
        <w:tc>
          <w:tcPr>
            <w:tcW w:w="923" w:type="dxa"/>
            <w:tcBorders>
              <w:top w:val="nil"/>
              <w:left w:val="nil"/>
              <w:bottom w:val="nil"/>
              <w:right w:val="nil"/>
            </w:tcBorders>
            <w:shd w:val="clear" w:color="auto" w:fill="auto"/>
          </w:tcPr>
          <w:p w14:paraId="1F096866" w14:textId="77777777" w:rsidR="008F108E" w:rsidRPr="00926237" w:rsidRDefault="008F108E" w:rsidP="008F108E">
            <w:pPr>
              <w:jc w:val="both"/>
              <w:rPr>
                <w:rFonts w:ascii="Arial" w:hAnsi="Arial" w:cs="FrankRuehl"/>
                <w:b/>
                <w:bCs/>
                <w:sz w:val="28"/>
                <w:szCs w:val="28"/>
              </w:rPr>
            </w:pPr>
            <w:bookmarkStart w:id="2" w:name="FirstAppellant"/>
            <w:r w:rsidRPr="00926237">
              <w:rPr>
                <w:rFonts w:ascii="Arial" w:hAnsi="Arial" w:cs="FrankRuehl" w:hint="cs"/>
                <w:b/>
                <w:bCs/>
                <w:sz w:val="28"/>
                <w:szCs w:val="28"/>
                <w:rtl/>
              </w:rPr>
              <w:t>בעניין:</w:t>
            </w:r>
          </w:p>
        </w:tc>
        <w:tc>
          <w:tcPr>
            <w:tcW w:w="4640" w:type="dxa"/>
            <w:tcBorders>
              <w:top w:val="nil"/>
              <w:left w:val="nil"/>
              <w:bottom w:val="nil"/>
              <w:right w:val="nil"/>
            </w:tcBorders>
            <w:shd w:val="clear" w:color="auto" w:fill="auto"/>
          </w:tcPr>
          <w:p w14:paraId="46F6C594" w14:textId="77777777" w:rsidR="008F108E" w:rsidRPr="00926237" w:rsidRDefault="008F108E" w:rsidP="00040AB6">
            <w:pPr>
              <w:rPr>
                <w:rFonts w:cs="FrankRuehl"/>
                <w:b/>
                <w:bCs/>
                <w:sz w:val="28"/>
                <w:szCs w:val="28"/>
              </w:rPr>
            </w:pPr>
            <w:r w:rsidRPr="00926237">
              <w:rPr>
                <w:rFonts w:ascii="Arial" w:hAnsi="Arial" w:cs="FrankRuehl"/>
                <w:b/>
                <w:bCs/>
                <w:sz w:val="28"/>
                <w:szCs w:val="28"/>
                <w:rtl/>
              </w:rPr>
              <w:t>מדינת ישראל</w:t>
            </w:r>
            <w:r w:rsidRPr="00926237">
              <w:rPr>
                <w:rFonts w:ascii="Arial" w:hAnsi="Arial" w:cs="FrankRuehl"/>
                <w:b/>
                <w:bCs/>
                <w:sz w:val="28"/>
                <w:szCs w:val="28"/>
                <w:rtl/>
              </w:rPr>
              <w:br/>
            </w:r>
            <w:r w:rsidRPr="00926237">
              <w:rPr>
                <w:rFonts w:cs="FrankRuehl" w:hint="cs"/>
                <w:b/>
                <w:bCs/>
                <w:sz w:val="28"/>
                <w:szCs w:val="28"/>
                <w:rtl/>
              </w:rPr>
              <w:t>ע"י ב"כ עו"ד מאיר לוברבאום, תביעות ירושלים</w:t>
            </w:r>
          </w:p>
        </w:tc>
        <w:tc>
          <w:tcPr>
            <w:tcW w:w="3257" w:type="dxa"/>
            <w:tcBorders>
              <w:top w:val="nil"/>
              <w:left w:val="nil"/>
              <w:bottom w:val="nil"/>
              <w:right w:val="nil"/>
            </w:tcBorders>
            <w:shd w:val="clear" w:color="auto" w:fill="auto"/>
          </w:tcPr>
          <w:p w14:paraId="0406A546" w14:textId="77777777" w:rsidR="008F108E" w:rsidRPr="00926237" w:rsidRDefault="008F108E" w:rsidP="008F108E">
            <w:pPr>
              <w:jc w:val="both"/>
              <w:rPr>
                <w:rFonts w:ascii="Arial" w:hAnsi="Arial" w:cs="FrankRuehl"/>
                <w:b/>
                <w:bCs/>
                <w:sz w:val="28"/>
                <w:szCs w:val="28"/>
              </w:rPr>
            </w:pPr>
          </w:p>
        </w:tc>
      </w:tr>
      <w:bookmarkEnd w:id="2"/>
      <w:tr w:rsidR="008F108E" w:rsidRPr="00926237" w14:paraId="4F653BB0" w14:textId="77777777" w:rsidTr="008F108E">
        <w:trPr>
          <w:trHeight w:val="355"/>
          <w:jc w:val="center"/>
        </w:trPr>
        <w:tc>
          <w:tcPr>
            <w:tcW w:w="923" w:type="dxa"/>
            <w:tcBorders>
              <w:top w:val="nil"/>
              <w:left w:val="nil"/>
              <w:bottom w:val="nil"/>
              <w:right w:val="nil"/>
            </w:tcBorders>
            <w:shd w:val="clear" w:color="auto" w:fill="auto"/>
          </w:tcPr>
          <w:p w14:paraId="0CCDB519" w14:textId="77777777" w:rsidR="008F108E" w:rsidRPr="00926237" w:rsidRDefault="008F108E" w:rsidP="008F108E">
            <w:pPr>
              <w:jc w:val="both"/>
              <w:rPr>
                <w:rFonts w:ascii="Arial" w:hAnsi="Arial" w:cs="FrankRuehl"/>
                <w:b/>
                <w:bCs/>
                <w:sz w:val="28"/>
                <w:szCs w:val="28"/>
                <w:rtl/>
              </w:rPr>
            </w:pPr>
          </w:p>
        </w:tc>
        <w:tc>
          <w:tcPr>
            <w:tcW w:w="4640" w:type="dxa"/>
            <w:tcBorders>
              <w:top w:val="nil"/>
              <w:left w:val="nil"/>
              <w:bottom w:val="nil"/>
              <w:right w:val="nil"/>
            </w:tcBorders>
            <w:shd w:val="clear" w:color="auto" w:fill="auto"/>
          </w:tcPr>
          <w:p w14:paraId="4AA940E5" w14:textId="77777777" w:rsidR="008F108E" w:rsidRPr="00926237" w:rsidRDefault="008F108E" w:rsidP="008F108E">
            <w:pPr>
              <w:jc w:val="both"/>
              <w:rPr>
                <w:rFonts w:cs="FrankRuehl"/>
                <w:b/>
                <w:bCs/>
                <w:sz w:val="28"/>
                <w:szCs w:val="28"/>
                <w:rtl/>
              </w:rPr>
            </w:pPr>
          </w:p>
        </w:tc>
        <w:tc>
          <w:tcPr>
            <w:tcW w:w="3257" w:type="dxa"/>
            <w:tcBorders>
              <w:top w:val="nil"/>
              <w:left w:val="nil"/>
              <w:bottom w:val="nil"/>
              <w:right w:val="nil"/>
            </w:tcBorders>
            <w:shd w:val="clear" w:color="auto" w:fill="auto"/>
          </w:tcPr>
          <w:p w14:paraId="5A2B6F9A" w14:textId="77777777" w:rsidR="008F108E" w:rsidRPr="00926237" w:rsidRDefault="008F108E" w:rsidP="008F108E">
            <w:pPr>
              <w:jc w:val="right"/>
              <w:rPr>
                <w:rFonts w:ascii="Arial" w:hAnsi="Arial" w:cs="FrankRuehl"/>
                <w:b/>
                <w:bCs/>
                <w:sz w:val="28"/>
                <w:szCs w:val="28"/>
                <w:rtl/>
              </w:rPr>
            </w:pPr>
            <w:r w:rsidRPr="00926237">
              <w:rPr>
                <w:rFonts w:ascii="Arial" w:hAnsi="Arial" w:cs="FrankRuehl" w:hint="cs"/>
                <w:b/>
                <w:bCs/>
                <w:sz w:val="28"/>
                <w:szCs w:val="28"/>
                <w:rtl/>
              </w:rPr>
              <w:t>ה</w:t>
            </w:r>
            <w:r w:rsidRPr="00926237">
              <w:rPr>
                <w:rFonts w:ascii="Arial" w:hAnsi="Arial" w:cs="FrankRuehl"/>
                <w:b/>
                <w:bCs/>
                <w:sz w:val="28"/>
                <w:szCs w:val="28"/>
                <w:rtl/>
              </w:rPr>
              <w:t>מאשימה</w:t>
            </w:r>
          </w:p>
        </w:tc>
      </w:tr>
      <w:tr w:rsidR="008F108E" w:rsidRPr="00926237" w14:paraId="7E672F56" w14:textId="77777777" w:rsidTr="008F108E">
        <w:trPr>
          <w:trHeight w:val="355"/>
          <w:jc w:val="center"/>
        </w:trPr>
        <w:tc>
          <w:tcPr>
            <w:tcW w:w="923" w:type="dxa"/>
            <w:tcBorders>
              <w:top w:val="nil"/>
              <w:left w:val="nil"/>
              <w:bottom w:val="nil"/>
              <w:right w:val="nil"/>
            </w:tcBorders>
            <w:shd w:val="clear" w:color="auto" w:fill="auto"/>
          </w:tcPr>
          <w:p w14:paraId="79AFB97B" w14:textId="77777777" w:rsidR="008F108E" w:rsidRPr="00926237" w:rsidRDefault="008F108E" w:rsidP="008F108E">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56BAF20" w14:textId="77777777" w:rsidR="008F108E" w:rsidRPr="00926237" w:rsidRDefault="008F108E" w:rsidP="008F108E">
            <w:pPr>
              <w:jc w:val="center"/>
              <w:rPr>
                <w:rFonts w:ascii="Arial" w:hAnsi="Arial" w:cs="FrankRuehl"/>
                <w:b/>
                <w:bCs/>
                <w:sz w:val="28"/>
                <w:szCs w:val="28"/>
                <w:rtl/>
              </w:rPr>
            </w:pPr>
          </w:p>
          <w:p w14:paraId="6F2A39CF" w14:textId="77777777" w:rsidR="008F108E" w:rsidRPr="00926237" w:rsidRDefault="008F108E" w:rsidP="008F108E">
            <w:pPr>
              <w:jc w:val="center"/>
              <w:rPr>
                <w:rFonts w:ascii="Arial" w:hAnsi="Arial" w:cs="FrankRuehl"/>
                <w:b/>
                <w:bCs/>
                <w:sz w:val="28"/>
                <w:szCs w:val="28"/>
                <w:rtl/>
              </w:rPr>
            </w:pPr>
            <w:r w:rsidRPr="00926237">
              <w:rPr>
                <w:rFonts w:ascii="Arial" w:hAnsi="Arial" w:cs="FrankRuehl"/>
                <w:b/>
                <w:bCs/>
                <w:sz w:val="28"/>
                <w:szCs w:val="28"/>
                <w:rtl/>
              </w:rPr>
              <w:t>נגד</w:t>
            </w:r>
          </w:p>
          <w:p w14:paraId="41F8BC93" w14:textId="77777777" w:rsidR="008F108E" w:rsidRPr="00926237" w:rsidRDefault="008F108E" w:rsidP="008F108E">
            <w:pPr>
              <w:jc w:val="both"/>
              <w:rPr>
                <w:rFonts w:ascii="Arial" w:hAnsi="Arial" w:cs="FrankRuehl"/>
                <w:b/>
                <w:bCs/>
                <w:sz w:val="28"/>
                <w:szCs w:val="28"/>
              </w:rPr>
            </w:pPr>
          </w:p>
        </w:tc>
      </w:tr>
      <w:tr w:rsidR="008F108E" w:rsidRPr="00926237" w14:paraId="02A8926F" w14:textId="77777777" w:rsidTr="008F108E">
        <w:trPr>
          <w:trHeight w:val="355"/>
          <w:jc w:val="center"/>
        </w:trPr>
        <w:tc>
          <w:tcPr>
            <w:tcW w:w="923" w:type="dxa"/>
            <w:tcBorders>
              <w:top w:val="nil"/>
              <w:left w:val="nil"/>
              <w:bottom w:val="nil"/>
              <w:right w:val="nil"/>
            </w:tcBorders>
            <w:shd w:val="clear" w:color="auto" w:fill="auto"/>
          </w:tcPr>
          <w:p w14:paraId="578FF193" w14:textId="77777777" w:rsidR="008F108E" w:rsidRPr="00926237" w:rsidRDefault="008F108E" w:rsidP="00040AB6">
            <w:pPr>
              <w:rPr>
                <w:rFonts w:ascii="Arial" w:hAnsi="Arial" w:cs="FrankRuehl"/>
                <w:b/>
                <w:bCs/>
                <w:sz w:val="28"/>
                <w:szCs w:val="28"/>
                <w:rtl/>
              </w:rPr>
            </w:pPr>
          </w:p>
        </w:tc>
        <w:tc>
          <w:tcPr>
            <w:tcW w:w="4640" w:type="dxa"/>
            <w:tcBorders>
              <w:top w:val="nil"/>
              <w:left w:val="nil"/>
              <w:bottom w:val="nil"/>
              <w:right w:val="nil"/>
            </w:tcBorders>
            <w:shd w:val="clear" w:color="auto" w:fill="auto"/>
          </w:tcPr>
          <w:p w14:paraId="48336DA4" w14:textId="77777777" w:rsidR="008F108E" w:rsidRPr="00926237" w:rsidRDefault="008F108E" w:rsidP="00040AB6">
            <w:pPr>
              <w:rPr>
                <w:rFonts w:cs="FrankRuehl"/>
                <w:b/>
                <w:bCs/>
                <w:sz w:val="28"/>
                <w:szCs w:val="28"/>
                <w:rtl/>
              </w:rPr>
            </w:pPr>
            <w:r w:rsidRPr="00926237">
              <w:rPr>
                <w:rFonts w:ascii="Arial" w:hAnsi="Arial" w:cs="FrankRuehl"/>
                <w:b/>
                <w:bCs/>
                <w:sz w:val="28"/>
                <w:szCs w:val="28"/>
                <w:rtl/>
              </w:rPr>
              <w:t xml:space="preserve">עדי דגן </w:t>
            </w:r>
            <w:r w:rsidRPr="00926237">
              <w:rPr>
                <w:rFonts w:ascii="Arial" w:hAnsi="Arial" w:cs="FrankRuehl" w:hint="cs"/>
                <w:b/>
                <w:bCs/>
                <w:sz w:val="28"/>
                <w:szCs w:val="28"/>
                <w:rtl/>
              </w:rPr>
              <w:t xml:space="preserve">ת.ז. </w:t>
            </w:r>
            <w:r w:rsidR="00926237">
              <w:rPr>
                <w:rFonts w:ascii="Arial" w:hAnsi="Arial" w:cs="FrankRuehl"/>
                <w:b/>
                <w:bCs/>
                <w:sz w:val="28"/>
                <w:szCs w:val="28"/>
              </w:rPr>
              <w:t>xxxxxxxxx</w:t>
            </w:r>
            <w:r w:rsidRPr="00926237">
              <w:rPr>
                <w:rFonts w:ascii="Arial" w:hAnsi="Arial" w:cs="FrankRuehl"/>
                <w:b/>
                <w:bCs/>
                <w:sz w:val="28"/>
                <w:szCs w:val="28"/>
                <w:rtl/>
              </w:rPr>
              <w:br/>
            </w:r>
            <w:r w:rsidRPr="00926237">
              <w:rPr>
                <w:rFonts w:cs="FrankRuehl" w:hint="cs"/>
                <w:b/>
                <w:bCs/>
                <w:sz w:val="28"/>
                <w:szCs w:val="28"/>
                <w:rtl/>
              </w:rPr>
              <w:t xml:space="preserve">ע"י ב"כ עוה"ד יהונתן קיוול </w:t>
            </w:r>
          </w:p>
        </w:tc>
        <w:tc>
          <w:tcPr>
            <w:tcW w:w="3257" w:type="dxa"/>
            <w:tcBorders>
              <w:top w:val="nil"/>
              <w:left w:val="nil"/>
              <w:bottom w:val="nil"/>
              <w:right w:val="nil"/>
            </w:tcBorders>
            <w:shd w:val="clear" w:color="auto" w:fill="auto"/>
          </w:tcPr>
          <w:p w14:paraId="7802133A" w14:textId="77777777" w:rsidR="008F108E" w:rsidRPr="00926237" w:rsidRDefault="008F108E" w:rsidP="008F108E">
            <w:pPr>
              <w:jc w:val="right"/>
              <w:rPr>
                <w:rFonts w:ascii="Arial" w:hAnsi="Arial" w:cs="FrankRuehl"/>
                <w:b/>
                <w:bCs/>
                <w:sz w:val="28"/>
                <w:szCs w:val="28"/>
              </w:rPr>
            </w:pPr>
          </w:p>
        </w:tc>
      </w:tr>
      <w:tr w:rsidR="008F108E" w:rsidRPr="00926237" w14:paraId="5EB9F390" w14:textId="77777777" w:rsidTr="008F108E">
        <w:trPr>
          <w:trHeight w:val="355"/>
          <w:jc w:val="center"/>
        </w:trPr>
        <w:tc>
          <w:tcPr>
            <w:tcW w:w="923" w:type="dxa"/>
            <w:tcBorders>
              <w:top w:val="nil"/>
              <w:left w:val="nil"/>
              <w:bottom w:val="nil"/>
              <w:right w:val="nil"/>
            </w:tcBorders>
            <w:shd w:val="clear" w:color="auto" w:fill="auto"/>
          </w:tcPr>
          <w:p w14:paraId="18065144" w14:textId="77777777" w:rsidR="008F108E" w:rsidRPr="00926237" w:rsidRDefault="008F108E" w:rsidP="008F108E">
            <w:pPr>
              <w:jc w:val="both"/>
              <w:rPr>
                <w:rFonts w:ascii="Arial" w:hAnsi="Arial" w:cs="FrankRuehl"/>
                <w:b/>
                <w:bCs/>
                <w:sz w:val="28"/>
                <w:szCs w:val="28"/>
                <w:rtl/>
              </w:rPr>
            </w:pPr>
          </w:p>
        </w:tc>
        <w:tc>
          <w:tcPr>
            <w:tcW w:w="4640" w:type="dxa"/>
            <w:tcBorders>
              <w:top w:val="nil"/>
              <w:left w:val="nil"/>
              <w:bottom w:val="nil"/>
              <w:right w:val="nil"/>
            </w:tcBorders>
            <w:shd w:val="clear" w:color="auto" w:fill="auto"/>
          </w:tcPr>
          <w:p w14:paraId="4568663C" w14:textId="77777777" w:rsidR="008F108E" w:rsidRPr="00926237" w:rsidRDefault="008F108E" w:rsidP="008F108E">
            <w:pPr>
              <w:jc w:val="both"/>
              <w:rPr>
                <w:rFonts w:cs="FrankRuehl"/>
                <w:b/>
                <w:bCs/>
                <w:sz w:val="28"/>
                <w:szCs w:val="28"/>
                <w:rtl/>
              </w:rPr>
            </w:pPr>
          </w:p>
        </w:tc>
        <w:tc>
          <w:tcPr>
            <w:tcW w:w="3257" w:type="dxa"/>
            <w:tcBorders>
              <w:top w:val="nil"/>
              <w:left w:val="nil"/>
              <w:bottom w:val="nil"/>
              <w:right w:val="nil"/>
            </w:tcBorders>
            <w:shd w:val="clear" w:color="auto" w:fill="auto"/>
          </w:tcPr>
          <w:p w14:paraId="5126F60B" w14:textId="77777777" w:rsidR="008F108E" w:rsidRPr="00926237" w:rsidRDefault="008F108E" w:rsidP="008F108E">
            <w:pPr>
              <w:jc w:val="right"/>
              <w:rPr>
                <w:rFonts w:ascii="Arial" w:hAnsi="Arial" w:cs="FrankRuehl"/>
                <w:b/>
                <w:bCs/>
                <w:sz w:val="28"/>
                <w:szCs w:val="28"/>
              </w:rPr>
            </w:pPr>
            <w:r w:rsidRPr="00926237">
              <w:rPr>
                <w:rFonts w:ascii="Arial" w:hAnsi="Arial" w:cs="FrankRuehl" w:hint="cs"/>
                <w:b/>
                <w:bCs/>
                <w:sz w:val="28"/>
                <w:szCs w:val="28"/>
                <w:rtl/>
              </w:rPr>
              <w:t>ה</w:t>
            </w:r>
            <w:r w:rsidRPr="00926237">
              <w:rPr>
                <w:rFonts w:ascii="Arial" w:hAnsi="Arial" w:cs="FrankRuehl"/>
                <w:b/>
                <w:bCs/>
                <w:sz w:val="28"/>
                <w:szCs w:val="28"/>
                <w:rtl/>
              </w:rPr>
              <w:t>נאש</w:t>
            </w:r>
            <w:r w:rsidRPr="00926237">
              <w:rPr>
                <w:rFonts w:ascii="Arial" w:hAnsi="Arial" w:cs="FrankRuehl" w:hint="cs"/>
                <w:b/>
                <w:bCs/>
                <w:sz w:val="28"/>
                <w:szCs w:val="28"/>
                <w:rtl/>
              </w:rPr>
              <w:t xml:space="preserve">ם </w:t>
            </w:r>
          </w:p>
        </w:tc>
      </w:tr>
    </w:tbl>
    <w:p w14:paraId="1EC1C6E9" w14:textId="77777777" w:rsidR="00AF2B2F" w:rsidRDefault="00AF2B2F" w:rsidP="008F108E">
      <w:pPr>
        <w:rPr>
          <w:rFonts w:cs="FrankRuehl"/>
          <w:sz w:val="26"/>
          <w:szCs w:val="26"/>
          <w:rtl/>
        </w:rPr>
      </w:pPr>
    </w:p>
    <w:p w14:paraId="0AF8AC31" w14:textId="77777777" w:rsidR="00AF2B2F" w:rsidRPr="00AF2B2F" w:rsidRDefault="00AF2B2F" w:rsidP="00AF2B2F">
      <w:pPr>
        <w:spacing w:after="120" w:line="240" w:lineRule="exact"/>
        <w:ind w:left="283" w:hanging="283"/>
        <w:jc w:val="both"/>
        <w:rPr>
          <w:rFonts w:ascii="FrankRuehl" w:hAnsi="FrankRuehl" w:cs="FrankRuehl"/>
          <w:rtl/>
        </w:rPr>
      </w:pPr>
    </w:p>
    <w:bookmarkEnd w:id="0"/>
    <w:bookmarkEnd w:id="1"/>
    <w:p w14:paraId="00F29B96" w14:textId="77777777" w:rsidR="00D03201" w:rsidRPr="00D03201" w:rsidRDefault="00D03201" w:rsidP="00D03201">
      <w:pPr>
        <w:spacing w:before="120" w:after="120" w:line="240" w:lineRule="exact"/>
        <w:ind w:left="283" w:hanging="283"/>
        <w:jc w:val="both"/>
        <w:rPr>
          <w:rFonts w:ascii="FrankRuehl" w:hAnsi="FrankRuehl" w:cs="FrankRuehl"/>
          <w:rtl/>
        </w:rPr>
      </w:pPr>
    </w:p>
    <w:p w14:paraId="76477D6A" w14:textId="77777777" w:rsidR="0052057D" w:rsidRDefault="0052057D" w:rsidP="0052057D">
      <w:pPr>
        <w:jc w:val="center"/>
        <w:rPr>
          <w:rFonts w:ascii="FrankRuehl" w:hAnsi="FrankRuehl" w:cs="FrankRuehl"/>
          <w:sz w:val="36"/>
          <w:szCs w:val="36"/>
          <w:rtl/>
        </w:rPr>
      </w:pPr>
      <w:bookmarkStart w:id="3" w:name="LawTable"/>
      <w:bookmarkEnd w:id="3"/>
    </w:p>
    <w:p w14:paraId="2FA346FE" w14:textId="77777777" w:rsidR="0052057D" w:rsidRPr="0052057D" w:rsidRDefault="0052057D" w:rsidP="0052057D">
      <w:pPr>
        <w:spacing w:before="120" w:after="120" w:line="240" w:lineRule="exact"/>
        <w:ind w:left="283" w:hanging="283"/>
        <w:jc w:val="both"/>
        <w:rPr>
          <w:rFonts w:ascii="FrankRuehl" w:hAnsi="FrankRuehl" w:cs="FrankRuehl"/>
          <w:rtl/>
        </w:rPr>
      </w:pPr>
    </w:p>
    <w:p w14:paraId="25E74A7A" w14:textId="77777777" w:rsidR="0052057D" w:rsidRPr="0052057D" w:rsidRDefault="0052057D" w:rsidP="0052057D">
      <w:pPr>
        <w:spacing w:before="120" w:after="120" w:line="240" w:lineRule="exact"/>
        <w:ind w:left="283" w:hanging="283"/>
        <w:jc w:val="both"/>
        <w:rPr>
          <w:rFonts w:ascii="FrankRuehl" w:hAnsi="FrankRuehl" w:cs="FrankRuehl"/>
          <w:rtl/>
        </w:rPr>
      </w:pPr>
    </w:p>
    <w:p w14:paraId="3520F9BF" w14:textId="77777777" w:rsidR="0052057D" w:rsidRPr="0052057D" w:rsidRDefault="0052057D" w:rsidP="0052057D">
      <w:pPr>
        <w:spacing w:before="120" w:after="120" w:line="240" w:lineRule="exact"/>
        <w:ind w:left="283" w:hanging="283"/>
        <w:jc w:val="both"/>
        <w:rPr>
          <w:rFonts w:ascii="FrankRuehl" w:hAnsi="FrankRuehl" w:cs="FrankRuehl"/>
          <w:rtl/>
        </w:rPr>
      </w:pPr>
      <w:r w:rsidRPr="0052057D">
        <w:rPr>
          <w:rFonts w:ascii="FrankRuehl" w:hAnsi="FrankRuehl" w:cs="FrankRuehl"/>
          <w:rtl/>
        </w:rPr>
        <w:t xml:space="preserve">חקיקה שאוזכרה: </w:t>
      </w:r>
    </w:p>
    <w:p w14:paraId="4D19DC8B" w14:textId="77777777" w:rsidR="0052057D" w:rsidRPr="0052057D" w:rsidRDefault="0052057D" w:rsidP="0052057D">
      <w:pPr>
        <w:spacing w:before="120" w:after="120" w:line="240" w:lineRule="exact"/>
        <w:ind w:left="283" w:hanging="283"/>
        <w:jc w:val="both"/>
        <w:rPr>
          <w:rFonts w:ascii="FrankRuehl" w:hAnsi="FrankRuehl" w:cs="FrankRuehl"/>
          <w:rtl/>
        </w:rPr>
      </w:pPr>
      <w:hyperlink r:id="rId7" w:history="1">
        <w:r w:rsidRPr="0052057D">
          <w:rPr>
            <w:rFonts w:ascii="FrankRuehl" w:hAnsi="FrankRuehl" w:cs="FrankRuehl"/>
            <w:color w:val="0000FF"/>
            <w:rtl/>
          </w:rPr>
          <w:t>פקודת הסמים המסוכנים [נוסח חדש], תשל"ג-1973</w:t>
        </w:r>
      </w:hyperlink>
      <w:r w:rsidRPr="0052057D">
        <w:rPr>
          <w:rFonts w:ascii="FrankRuehl" w:hAnsi="FrankRuehl" w:cs="FrankRuehl"/>
          <w:rtl/>
        </w:rPr>
        <w:t xml:space="preserve">: סע'  </w:t>
      </w:r>
      <w:hyperlink r:id="rId8" w:history="1">
        <w:r w:rsidRPr="0052057D">
          <w:rPr>
            <w:rFonts w:ascii="FrankRuehl" w:hAnsi="FrankRuehl" w:cs="FrankRuehl"/>
            <w:color w:val="0000FF"/>
            <w:rtl/>
          </w:rPr>
          <w:t>7(א)</w:t>
        </w:r>
      </w:hyperlink>
      <w:r w:rsidRPr="0052057D">
        <w:rPr>
          <w:rFonts w:ascii="FrankRuehl" w:hAnsi="FrankRuehl" w:cs="FrankRuehl"/>
          <w:rtl/>
        </w:rPr>
        <w:t xml:space="preserve">, </w:t>
      </w:r>
      <w:hyperlink r:id="rId9" w:history="1">
        <w:r w:rsidRPr="0052057D">
          <w:rPr>
            <w:rFonts w:ascii="FrankRuehl" w:hAnsi="FrankRuehl" w:cs="FrankRuehl"/>
            <w:color w:val="0000FF"/>
            <w:rtl/>
          </w:rPr>
          <w:t>7(ג)</w:t>
        </w:r>
      </w:hyperlink>
      <w:r w:rsidRPr="0052057D">
        <w:rPr>
          <w:rFonts w:ascii="FrankRuehl" w:hAnsi="FrankRuehl" w:cs="FrankRuehl"/>
          <w:rtl/>
        </w:rPr>
        <w:t xml:space="preserve">, </w:t>
      </w:r>
      <w:hyperlink r:id="rId10" w:history="1">
        <w:r w:rsidRPr="0052057D">
          <w:rPr>
            <w:rFonts w:ascii="FrankRuehl" w:hAnsi="FrankRuehl" w:cs="FrankRuehl"/>
            <w:color w:val="0000FF"/>
            <w:rtl/>
          </w:rPr>
          <w:t>13.א</w:t>
        </w:r>
      </w:hyperlink>
      <w:r w:rsidRPr="0052057D">
        <w:rPr>
          <w:rFonts w:ascii="FrankRuehl" w:hAnsi="FrankRuehl" w:cs="FrankRuehl"/>
          <w:rtl/>
        </w:rPr>
        <w:t xml:space="preserve">, </w:t>
      </w:r>
      <w:hyperlink r:id="rId11" w:history="1">
        <w:r w:rsidRPr="0052057D">
          <w:rPr>
            <w:rFonts w:ascii="FrankRuehl" w:hAnsi="FrankRuehl" w:cs="FrankRuehl"/>
            <w:color w:val="0000FF"/>
            <w:rtl/>
          </w:rPr>
          <w:t>19</w:t>
        </w:r>
      </w:hyperlink>
    </w:p>
    <w:p w14:paraId="742E9743" w14:textId="77777777" w:rsidR="0052057D" w:rsidRPr="0052057D" w:rsidRDefault="0052057D" w:rsidP="0052057D">
      <w:pPr>
        <w:spacing w:before="120" w:after="120" w:line="240" w:lineRule="exact"/>
        <w:ind w:left="283" w:hanging="283"/>
        <w:jc w:val="both"/>
        <w:rPr>
          <w:rFonts w:ascii="FrankRuehl" w:hAnsi="FrankRuehl" w:cs="FrankRuehl"/>
          <w:rtl/>
        </w:rPr>
      </w:pPr>
      <w:hyperlink r:id="rId12" w:history="1">
        <w:r w:rsidRPr="0052057D">
          <w:rPr>
            <w:rFonts w:ascii="FrankRuehl" w:hAnsi="FrankRuehl" w:cs="FrankRuehl"/>
            <w:color w:val="0000FF"/>
            <w:rtl/>
          </w:rPr>
          <w:t>פקודת התעבורה [נוסח חדש]</w:t>
        </w:r>
      </w:hyperlink>
      <w:r w:rsidRPr="0052057D">
        <w:rPr>
          <w:rFonts w:ascii="FrankRuehl" w:hAnsi="FrankRuehl" w:cs="FrankRuehl"/>
          <w:rtl/>
        </w:rPr>
        <w:t xml:space="preserve">: סע'  </w:t>
      </w:r>
      <w:hyperlink r:id="rId13" w:history="1">
        <w:r w:rsidRPr="0052057D">
          <w:rPr>
            <w:rFonts w:ascii="FrankRuehl" w:hAnsi="FrankRuehl" w:cs="FrankRuehl"/>
            <w:color w:val="0000FF"/>
            <w:rtl/>
          </w:rPr>
          <w:t>10(א)</w:t>
        </w:r>
      </w:hyperlink>
      <w:r w:rsidRPr="0052057D">
        <w:rPr>
          <w:rFonts w:ascii="FrankRuehl" w:hAnsi="FrankRuehl" w:cs="FrankRuehl"/>
          <w:rtl/>
        </w:rPr>
        <w:t xml:space="preserve">, </w:t>
      </w:r>
      <w:hyperlink r:id="rId14" w:history="1">
        <w:r w:rsidRPr="0052057D">
          <w:rPr>
            <w:rFonts w:ascii="FrankRuehl" w:hAnsi="FrankRuehl" w:cs="FrankRuehl"/>
            <w:color w:val="0000FF"/>
            <w:rtl/>
          </w:rPr>
          <w:t>67</w:t>
        </w:r>
      </w:hyperlink>
    </w:p>
    <w:p w14:paraId="3A6DCC38" w14:textId="77777777" w:rsidR="0052057D" w:rsidRPr="0052057D" w:rsidRDefault="0052057D" w:rsidP="0052057D">
      <w:pPr>
        <w:spacing w:before="120" w:after="120" w:line="240" w:lineRule="exact"/>
        <w:ind w:left="283" w:hanging="283"/>
        <w:jc w:val="both"/>
        <w:rPr>
          <w:rFonts w:ascii="FrankRuehl" w:hAnsi="FrankRuehl" w:cs="FrankRuehl"/>
          <w:rtl/>
        </w:rPr>
      </w:pPr>
      <w:hyperlink r:id="rId15" w:history="1">
        <w:r w:rsidRPr="0052057D">
          <w:rPr>
            <w:rFonts w:ascii="FrankRuehl" w:hAnsi="FrankRuehl" w:cs="FrankRuehl"/>
            <w:color w:val="0000FF"/>
            <w:rtl/>
          </w:rPr>
          <w:t>תקנות התעבורה, תשכ"א-1961 - לא מרובדות</w:t>
        </w:r>
      </w:hyperlink>
      <w:r w:rsidRPr="0052057D">
        <w:rPr>
          <w:rFonts w:ascii="FrankRuehl" w:hAnsi="FrankRuehl" w:cs="FrankRuehl"/>
          <w:rtl/>
        </w:rPr>
        <w:t xml:space="preserve">: סע'  </w:t>
      </w:r>
      <w:hyperlink r:id="rId16" w:history="1">
        <w:r w:rsidRPr="0052057D">
          <w:rPr>
            <w:rFonts w:ascii="FrankRuehl" w:hAnsi="FrankRuehl" w:cs="FrankRuehl"/>
            <w:color w:val="0000FF"/>
            <w:rtl/>
          </w:rPr>
          <w:t>23(א)(2)</w:t>
        </w:r>
      </w:hyperlink>
      <w:r w:rsidRPr="0052057D">
        <w:rPr>
          <w:rFonts w:ascii="FrankRuehl" w:hAnsi="FrankRuehl" w:cs="FrankRuehl"/>
          <w:rtl/>
        </w:rPr>
        <w:t xml:space="preserve">, </w:t>
      </w:r>
      <w:hyperlink r:id="rId17" w:history="1">
        <w:r w:rsidRPr="0052057D">
          <w:rPr>
            <w:rFonts w:ascii="FrankRuehl" w:hAnsi="FrankRuehl" w:cs="FrankRuehl"/>
            <w:color w:val="0000FF"/>
            <w:rtl/>
          </w:rPr>
          <w:t>308(ד)</w:t>
        </w:r>
      </w:hyperlink>
    </w:p>
    <w:p w14:paraId="214042F5" w14:textId="77777777" w:rsidR="0052057D" w:rsidRPr="0052057D" w:rsidRDefault="0052057D" w:rsidP="0052057D">
      <w:pPr>
        <w:spacing w:before="120" w:after="120" w:line="240" w:lineRule="exact"/>
        <w:ind w:left="283" w:hanging="283"/>
        <w:jc w:val="both"/>
        <w:rPr>
          <w:rFonts w:ascii="FrankRuehl" w:hAnsi="FrankRuehl" w:cs="FrankRuehl"/>
          <w:rtl/>
        </w:rPr>
      </w:pPr>
      <w:hyperlink r:id="rId18" w:history="1">
        <w:r w:rsidRPr="0052057D">
          <w:rPr>
            <w:rFonts w:ascii="FrankRuehl" w:hAnsi="FrankRuehl" w:cs="FrankRuehl"/>
            <w:color w:val="0000FF"/>
            <w:rtl/>
          </w:rPr>
          <w:t>פקודת ביטוח רכב מנועי [נוסח חדש], תש"ל-1970</w:t>
        </w:r>
      </w:hyperlink>
      <w:r w:rsidRPr="0052057D">
        <w:rPr>
          <w:rFonts w:ascii="FrankRuehl" w:hAnsi="FrankRuehl" w:cs="FrankRuehl"/>
          <w:rtl/>
        </w:rPr>
        <w:t xml:space="preserve">: סע'  </w:t>
      </w:r>
      <w:hyperlink r:id="rId19" w:history="1">
        <w:r w:rsidRPr="0052057D">
          <w:rPr>
            <w:rFonts w:ascii="FrankRuehl" w:hAnsi="FrankRuehl" w:cs="FrankRuehl"/>
            <w:color w:val="0000FF"/>
            <w:rtl/>
          </w:rPr>
          <w:t>2א</w:t>
        </w:r>
      </w:hyperlink>
    </w:p>
    <w:p w14:paraId="395576D6" w14:textId="77777777" w:rsidR="0052057D" w:rsidRPr="0052057D" w:rsidRDefault="0052057D" w:rsidP="0052057D">
      <w:pPr>
        <w:spacing w:before="120" w:after="120" w:line="240" w:lineRule="exact"/>
        <w:ind w:left="283" w:hanging="283"/>
        <w:jc w:val="both"/>
        <w:rPr>
          <w:rFonts w:ascii="FrankRuehl" w:hAnsi="FrankRuehl" w:cs="FrankRuehl"/>
          <w:rtl/>
        </w:rPr>
      </w:pPr>
      <w:hyperlink r:id="rId20" w:history="1">
        <w:r w:rsidRPr="0052057D">
          <w:rPr>
            <w:rFonts w:ascii="FrankRuehl" w:hAnsi="FrankRuehl" w:cs="FrankRuehl"/>
            <w:color w:val="0000FF"/>
            <w:rtl/>
          </w:rPr>
          <w:t>חוק העונשין, תשל"ז-1977</w:t>
        </w:r>
      </w:hyperlink>
      <w:r w:rsidRPr="0052057D">
        <w:rPr>
          <w:rFonts w:ascii="FrankRuehl" w:hAnsi="FrankRuehl" w:cs="FrankRuehl"/>
          <w:rtl/>
        </w:rPr>
        <w:t xml:space="preserve">: סע'  </w:t>
      </w:r>
      <w:hyperlink r:id="rId21" w:history="1">
        <w:r w:rsidRPr="0052057D">
          <w:rPr>
            <w:rFonts w:ascii="FrankRuehl" w:hAnsi="FrankRuehl" w:cs="FrankRuehl"/>
            <w:color w:val="0000FF"/>
            <w:rtl/>
          </w:rPr>
          <w:t>40ט'</w:t>
        </w:r>
      </w:hyperlink>
      <w:r w:rsidRPr="0052057D">
        <w:rPr>
          <w:rFonts w:ascii="FrankRuehl" w:hAnsi="FrankRuehl" w:cs="FrankRuehl"/>
          <w:rtl/>
        </w:rPr>
        <w:t xml:space="preserve">, </w:t>
      </w:r>
      <w:hyperlink r:id="rId22" w:history="1">
        <w:r w:rsidRPr="0052057D">
          <w:rPr>
            <w:rFonts w:ascii="FrankRuehl" w:hAnsi="FrankRuehl" w:cs="FrankRuehl"/>
            <w:color w:val="0000FF"/>
            <w:rtl/>
          </w:rPr>
          <w:t>40יא</w:t>
        </w:r>
      </w:hyperlink>
    </w:p>
    <w:p w14:paraId="1EBCD4AC" w14:textId="77777777" w:rsidR="0052057D" w:rsidRPr="0052057D" w:rsidRDefault="0052057D" w:rsidP="0052057D">
      <w:pPr>
        <w:jc w:val="center"/>
        <w:rPr>
          <w:rFonts w:ascii="FrankRuehl" w:hAnsi="FrankRuehl" w:cs="FrankRuehl"/>
          <w:sz w:val="36"/>
          <w:szCs w:val="36"/>
          <w:rtl/>
        </w:rPr>
      </w:pPr>
      <w:bookmarkStart w:id="4" w:name="LawTable_End"/>
      <w:bookmarkEnd w:id="4"/>
    </w:p>
    <w:p w14:paraId="4D3797A9" w14:textId="77777777" w:rsidR="00AF2B2F" w:rsidRPr="00D03201" w:rsidRDefault="00AF2B2F" w:rsidP="00D03201">
      <w:pPr>
        <w:jc w:val="center"/>
        <w:rPr>
          <w:rFonts w:ascii="FrankRuehl" w:hAnsi="FrankRuehl" w:cs="FrankRuehl"/>
          <w:sz w:val="36"/>
          <w:szCs w:val="36"/>
          <w:rtl/>
        </w:rPr>
      </w:pPr>
    </w:p>
    <w:p w14:paraId="68C20BAE" w14:textId="77777777" w:rsidR="00AF2B2F" w:rsidRPr="00926237" w:rsidRDefault="00AF2B2F" w:rsidP="00926237">
      <w:pPr>
        <w:jc w:val="center"/>
        <w:rPr>
          <w:rFonts w:ascii="FrankRuehl" w:hAnsi="FrankRuehl" w:cs="FrankRuehl"/>
          <w:b/>
          <w:bCs/>
          <w:sz w:val="36"/>
          <w:szCs w:val="36"/>
          <w:u w:val="single"/>
          <w:rtl/>
        </w:rPr>
      </w:pPr>
      <w:bookmarkStart w:id="5" w:name="PsakDin"/>
      <w:r w:rsidRPr="00926237">
        <w:rPr>
          <w:rFonts w:ascii="FrankRuehl" w:hAnsi="FrankRuehl" w:cs="FrankRuehl"/>
          <w:b/>
          <w:bCs/>
          <w:sz w:val="36"/>
          <w:szCs w:val="36"/>
          <w:u w:val="single"/>
          <w:rtl/>
        </w:rPr>
        <w:t>גזר דין</w:t>
      </w:r>
    </w:p>
    <w:bookmarkEnd w:id="5"/>
    <w:p w14:paraId="7746F184" w14:textId="77777777" w:rsidR="00AF2B2F" w:rsidRPr="008F108E" w:rsidRDefault="00AF2B2F" w:rsidP="008F108E">
      <w:pPr>
        <w:jc w:val="center"/>
        <w:rPr>
          <w:rFonts w:ascii="FrankRuehl" w:hAnsi="FrankRuehl" w:cs="FrankRuehl"/>
          <w:b/>
          <w:bCs/>
          <w:sz w:val="28"/>
          <w:szCs w:val="28"/>
          <w:u w:val="single"/>
          <w:rtl/>
        </w:rPr>
      </w:pPr>
    </w:p>
    <w:p w14:paraId="77AC56F3" w14:textId="77777777" w:rsidR="00AF2B2F" w:rsidRPr="008F108E" w:rsidRDefault="00AF2B2F" w:rsidP="008F108E">
      <w:pPr>
        <w:spacing w:after="160" w:line="360" w:lineRule="auto"/>
        <w:jc w:val="both"/>
        <w:rPr>
          <w:rFonts w:ascii="FrankRuehl" w:hAnsi="FrankRuehl" w:cs="FrankRuehl"/>
          <w:b/>
          <w:bCs/>
          <w:sz w:val="28"/>
          <w:szCs w:val="28"/>
          <w:u w:val="single"/>
        </w:rPr>
      </w:pPr>
      <w:r w:rsidRPr="008F108E">
        <w:rPr>
          <w:rFonts w:ascii="FrankRuehl" w:hAnsi="FrankRuehl" w:cs="FrankRuehl"/>
          <w:b/>
          <w:bCs/>
          <w:sz w:val="28"/>
          <w:szCs w:val="28"/>
          <w:u w:val="single"/>
          <w:rtl/>
        </w:rPr>
        <w:t>כתב האישום</w:t>
      </w:r>
      <w:r w:rsidRPr="008F108E">
        <w:rPr>
          <w:rFonts w:ascii="FrankRuehl" w:hAnsi="FrankRuehl" w:cs="FrankRuehl" w:hint="cs"/>
          <w:b/>
          <w:bCs/>
          <w:sz w:val="28"/>
          <w:szCs w:val="28"/>
          <w:u w:val="single"/>
          <w:rtl/>
        </w:rPr>
        <w:t xml:space="preserve"> ב</w:t>
      </w:r>
      <w:hyperlink r:id="rId23" w:history="1">
        <w:r w:rsidRPr="00926237">
          <w:rPr>
            <w:rFonts w:ascii="FrankRuehl" w:hAnsi="FrankRuehl" w:cs="FrankRuehl"/>
            <w:b/>
            <w:bCs/>
            <w:color w:val="0000FF"/>
            <w:sz w:val="28"/>
            <w:szCs w:val="28"/>
            <w:u w:val="single"/>
            <w:rtl/>
          </w:rPr>
          <w:t>ת"פ 44591-05-18</w:t>
        </w:r>
        <w:r w:rsidRPr="00926237">
          <w:rPr>
            <w:rFonts w:ascii="FrankRuehl" w:hAnsi="FrankRuehl" w:cs="FrankRuehl"/>
            <w:b/>
            <w:bCs/>
            <w:color w:val="0000FF"/>
            <w:sz w:val="28"/>
            <w:szCs w:val="28"/>
            <w:u w:val="single"/>
            <w:rtl/>
          </w:rPr>
          <w:cr/>
        </w:r>
      </w:hyperlink>
      <w:bookmarkStart w:id="6" w:name="ABSTRACT_START"/>
      <w:bookmarkEnd w:id="6"/>
      <w:r w:rsidRPr="008F108E">
        <w:rPr>
          <w:rFonts w:ascii="FrankRuehl" w:hAnsi="FrankRuehl" w:cs="FrankRuehl"/>
          <w:sz w:val="28"/>
          <w:szCs w:val="28"/>
          <w:rtl/>
        </w:rPr>
        <w:t xml:space="preserve">הנאשם הורשע על פי הודאתו בכתב אישום מתוקן המייחס לו עבירות של החזקת סמים שלא </w:t>
      </w:r>
      <w:r w:rsidRPr="008F108E">
        <w:rPr>
          <w:rFonts w:ascii="FrankRuehl" w:hAnsi="FrankRuehl" w:cs="FrankRuehl"/>
          <w:sz w:val="28"/>
          <w:szCs w:val="28"/>
          <w:rtl/>
        </w:rPr>
        <w:lastRenderedPageBreak/>
        <w:t xml:space="preserve">לצריכה עצמית, לפי </w:t>
      </w:r>
      <w:hyperlink r:id="rId24" w:history="1">
        <w:r w:rsidRPr="00AF2B2F">
          <w:rPr>
            <w:rStyle w:val="Hyperlink"/>
            <w:rFonts w:ascii="FrankRuehl" w:hAnsi="FrankRuehl" w:cs="FrankRuehl"/>
            <w:sz w:val="28"/>
            <w:szCs w:val="28"/>
            <w:rtl/>
          </w:rPr>
          <w:t>סעיף 7(א)</w:t>
        </w:r>
      </w:hyperlink>
      <w:r w:rsidRPr="008F108E">
        <w:rPr>
          <w:rFonts w:ascii="FrankRuehl" w:hAnsi="FrankRuehl" w:cs="FrankRuehl"/>
          <w:sz w:val="28"/>
          <w:szCs w:val="28"/>
          <w:rtl/>
        </w:rPr>
        <w:t xml:space="preserve"> + </w:t>
      </w:r>
      <w:hyperlink r:id="rId25" w:history="1">
        <w:r w:rsidRPr="00AF2B2F">
          <w:rPr>
            <w:rStyle w:val="Hyperlink"/>
            <w:rFonts w:ascii="FrankRuehl" w:hAnsi="FrankRuehl" w:cs="FrankRuehl"/>
            <w:sz w:val="28"/>
            <w:szCs w:val="28"/>
            <w:rtl/>
          </w:rPr>
          <w:t>7(ג)</w:t>
        </w:r>
      </w:hyperlink>
      <w:r w:rsidRPr="008F108E">
        <w:rPr>
          <w:rFonts w:ascii="FrankRuehl" w:hAnsi="FrankRuehl" w:cs="FrankRuehl"/>
          <w:sz w:val="28"/>
          <w:szCs w:val="28"/>
          <w:rtl/>
        </w:rPr>
        <w:t xml:space="preserve"> רישא ל</w:t>
      </w:r>
      <w:hyperlink r:id="rId26" w:history="1">
        <w:r w:rsidRPr="00926237">
          <w:rPr>
            <w:rFonts w:ascii="FrankRuehl" w:hAnsi="FrankRuehl" w:cs="FrankRuehl"/>
            <w:color w:val="0000FF"/>
            <w:sz w:val="28"/>
            <w:szCs w:val="28"/>
            <w:u w:val="single"/>
            <w:rtl/>
          </w:rPr>
          <w:t>פקודת הסמים המסוכנים</w:t>
        </w:r>
      </w:hyperlink>
      <w:r w:rsidRPr="008F108E">
        <w:rPr>
          <w:rFonts w:ascii="FrankRuehl" w:hAnsi="FrankRuehl" w:cs="FrankRuehl"/>
          <w:sz w:val="28"/>
          <w:szCs w:val="28"/>
          <w:rtl/>
        </w:rPr>
        <w:t xml:space="preserve"> (נוסח חדש) תשל"ג – 1973 (להלן – </w:t>
      </w:r>
      <w:r w:rsidRPr="008F108E">
        <w:rPr>
          <w:rFonts w:ascii="FrankRuehl" w:hAnsi="FrankRuehl" w:cs="FrankRuehl"/>
          <w:b/>
          <w:bCs/>
          <w:sz w:val="28"/>
          <w:szCs w:val="28"/>
          <w:rtl/>
        </w:rPr>
        <w:t>"הפקודה"</w:t>
      </w:r>
      <w:r w:rsidRPr="008F108E">
        <w:rPr>
          <w:rFonts w:ascii="FrankRuehl" w:hAnsi="FrankRuehl" w:cs="FrankRuehl"/>
          <w:sz w:val="28"/>
          <w:szCs w:val="28"/>
          <w:rtl/>
        </w:rPr>
        <w:t xml:space="preserve">) וריבוי עבירות של סחר בסמים, לפי סעיף </w:t>
      </w:r>
      <w:hyperlink r:id="rId27" w:history="1">
        <w:r w:rsidRPr="00AF2B2F">
          <w:rPr>
            <w:rStyle w:val="Hyperlink"/>
            <w:rFonts w:ascii="FrankRuehl" w:hAnsi="FrankRuehl" w:cs="FrankRuehl"/>
            <w:sz w:val="28"/>
            <w:szCs w:val="28"/>
            <w:rtl/>
          </w:rPr>
          <w:t>13+19א</w:t>
        </w:r>
      </w:hyperlink>
      <w:r w:rsidRPr="008F108E">
        <w:rPr>
          <w:rFonts w:ascii="FrankRuehl" w:hAnsi="FrankRuehl" w:cs="FrankRuehl"/>
          <w:sz w:val="28"/>
          <w:szCs w:val="28"/>
          <w:rtl/>
        </w:rPr>
        <w:t>' לפקודה.</w:t>
      </w:r>
    </w:p>
    <w:p w14:paraId="2990AE2D" w14:textId="77777777" w:rsidR="00AF2B2F" w:rsidRPr="008F108E" w:rsidRDefault="00AF2B2F" w:rsidP="008F108E">
      <w:pPr>
        <w:spacing w:after="160" w:line="360" w:lineRule="auto"/>
        <w:jc w:val="both"/>
        <w:rPr>
          <w:rFonts w:ascii="FrankRuehl" w:hAnsi="FrankRuehl" w:cs="FrankRuehl"/>
          <w:sz w:val="28"/>
          <w:szCs w:val="28"/>
          <w:rtl/>
        </w:rPr>
      </w:pPr>
      <w:bookmarkStart w:id="7" w:name="ABSTRACT_END"/>
      <w:bookmarkEnd w:id="7"/>
      <w:r w:rsidRPr="008F108E">
        <w:rPr>
          <w:rFonts w:ascii="FrankRuehl" w:hAnsi="FrankRuehl" w:cs="FrankRuehl"/>
          <w:b/>
          <w:bCs/>
          <w:sz w:val="28"/>
          <w:szCs w:val="28"/>
          <w:rtl/>
        </w:rPr>
        <w:t xml:space="preserve">מהאישום הראשון </w:t>
      </w:r>
      <w:r w:rsidRPr="008F108E">
        <w:rPr>
          <w:rFonts w:ascii="FrankRuehl" w:hAnsi="FrankRuehl" w:cs="FrankRuehl"/>
          <w:sz w:val="28"/>
          <w:szCs w:val="28"/>
          <w:rtl/>
        </w:rPr>
        <w:t xml:space="preserve">עולה, כי ביום 14.5.2018, בשעות הלילה, החזיק הנאשם בדירתו 220.82 גרם קנביס כשהוא מחולק ל – 2 שקיות. בנוסף, החזיק הנאשם בסכום כסף מזומן בסך של 13,920 ₪. בגין מעשים אלו הודה והורשע הנאשם בעבירה של החזקת סמים שלא לצריכה עצמית, לפי סעיף </w:t>
      </w:r>
      <w:hyperlink r:id="rId28" w:history="1">
        <w:r w:rsidRPr="00AF2B2F">
          <w:rPr>
            <w:rStyle w:val="Hyperlink"/>
            <w:rFonts w:ascii="FrankRuehl" w:hAnsi="FrankRuehl" w:cs="FrankRuehl"/>
            <w:sz w:val="28"/>
            <w:szCs w:val="28"/>
            <w:rtl/>
          </w:rPr>
          <w:t>7(א) + 7(ג)</w:t>
        </w:r>
      </w:hyperlink>
      <w:r w:rsidRPr="008F108E">
        <w:rPr>
          <w:rFonts w:ascii="FrankRuehl" w:hAnsi="FrankRuehl" w:cs="FrankRuehl"/>
          <w:sz w:val="28"/>
          <w:szCs w:val="28"/>
          <w:rtl/>
        </w:rPr>
        <w:t xml:space="preserve"> רישא לפקודה.</w:t>
      </w:r>
    </w:p>
    <w:p w14:paraId="2E76BE9A"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b/>
          <w:bCs/>
          <w:sz w:val="28"/>
          <w:szCs w:val="28"/>
          <w:rtl/>
        </w:rPr>
        <w:t>מהאישום השני</w:t>
      </w:r>
      <w:r w:rsidRPr="008F108E">
        <w:rPr>
          <w:rFonts w:ascii="FrankRuehl" w:hAnsi="FrankRuehl" w:cs="FrankRuehl"/>
          <w:sz w:val="28"/>
          <w:szCs w:val="28"/>
          <w:rtl/>
        </w:rPr>
        <w:t xml:space="preserve"> עולה, כי כשבועיים טרם המועד המפורט באישום הראשון, מכר הנאשם לע</w:t>
      </w:r>
      <w:r w:rsidRPr="008F108E">
        <w:rPr>
          <w:rFonts w:ascii="FrankRuehl" w:hAnsi="FrankRuehl" w:cs="FrankRuehl" w:hint="cs"/>
          <w:sz w:val="28"/>
          <w:szCs w:val="28"/>
          <w:rtl/>
        </w:rPr>
        <w:t>"ח</w:t>
      </w:r>
      <w:r w:rsidRPr="008F108E">
        <w:rPr>
          <w:rFonts w:ascii="FrankRuehl" w:hAnsi="FrankRuehl" w:cs="FrankRuehl"/>
          <w:sz w:val="28"/>
          <w:szCs w:val="28"/>
          <w:rtl/>
        </w:rPr>
        <w:t xml:space="preserve"> קנביס במשקל 1 גרם, תמורת 120 ₪. השניים תיאמו באמצעות אפליקציית "טלגראס" את מקום המפגש, כמות הסם והמחיר. בגין מעשים אלו, הודה והורשע הנאשם בעבירה של </w:t>
      </w:r>
      <w:r w:rsidRPr="008F108E">
        <w:rPr>
          <w:rFonts w:ascii="FrankRuehl" w:hAnsi="FrankRuehl" w:cs="FrankRuehl"/>
          <w:b/>
          <w:bCs/>
          <w:sz w:val="28"/>
          <w:szCs w:val="28"/>
          <w:rtl/>
        </w:rPr>
        <w:t>סחר בסמים</w:t>
      </w:r>
      <w:r w:rsidRPr="008F108E">
        <w:rPr>
          <w:rFonts w:ascii="FrankRuehl" w:hAnsi="FrankRuehl" w:cs="FrankRuehl"/>
          <w:sz w:val="28"/>
          <w:szCs w:val="28"/>
          <w:rtl/>
        </w:rPr>
        <w:t xml:space="preserve">, לפי סעיף </w:t>
      </w:r>
      <w:hyperlink r:id="rId29" w:history="1">
        <w:r w:rsidRPr="00AF2B2F">
          <w:rPr>
            <w:rStyle w:val="Hyperlink"/>
            <w:rFonts w:ascii="FrankRuehl" w:hAnsi="FrankRuehl" w:cs="FrankRuehl"/>
            <w:sz w:val="28"/>
            <w:szCs w:val="28"/>
            <w:rtl/>
          </w:rPr>
          <w:t>13+19א'</w:t>
        </w:r>
      </w:hyperlink>
      <w:r w:rsidRPr="008F108E">
        <w:rPr>
          <w:rFonts w:ascii="FrankRuehl" w:hAnsi="FrankRuehl" w:cs="FrankRuehl"/>
          <w:sz w:val="28"/>
          <w:szCs w:val="28"/>
          <w:rtl/>
        </w:rPr>
        <w:t xml:space="preserve"> לפקודה.</w:t>
      </w:r>
    </w:p>
    <w:p w14:paraId="1C7AF403"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b/>
          <w:bCs/>
          <w:sz w:val="28"/>
          <w:szCs w:val="28"/>
          <w:rtl/>
        </w:rPr>
        <w:t>מהאישום השלישי</w:t>
      </w:r>
      <w:r w:rsidRPr="008F108E">
        <w:rPr>
          <w:rFonts w:ascii="FrankRuehl" w:hAnsi="FrankRuehl" w:cs="FrankRuehl"/>
          <w:sz w:val="28"/>
          <w:szCs w:val="28"/>
          <w:rtl/>
        </w:rPr>
        <w:t xml:space="preserve"> עולה</w:t>
      </w:r>
      <w:r w:rsidRPr="008F108E">
        <w:rPr>
          <w:rFonts w:ascii="FrankRuehl" w:hAnsi="FrankRuehl" w:cs="FrankRuehl" w:hint="cs"/>
          <w:sz w:val="28"/>
          <w:szCs w:val="28"/>
          <w:rtl/>
        </w:rPr>
        <w:t>,</w:t>
      </w:r>
      <w:r w:rsidRPr="008F108E">
        <w:rPr>
          <w:rFonts w:ascii="FrankRuehl" w:hAnsi="FrankRuehl" w:cs="FrankRuehl"/>
          <w:sz w:val="28"/>
          <w:szCs w:val="28"/>
          <w:rtl/>
        </w:rPr>
        <w:t xml:space="preserve"> כי ביום 1.5.2018, בשעה 16:00, מכר הנאשם לע</w:t>
      </w:r>
      <w:r w:rsidRPr="008F108E">
        <w:rPr>
          <w:rFonts w:ascii="FrankRuehl" w:hAnsi="FrankRuehl" w:cs="FrankRuehl" w:hint="cs"/>
          <w:sz w:val="28"/>
          <w:szCs w:val="28"/>
          <w:rtl/>
        </w:rPr>
        <w:t xml:space="preserve">"ר </w:t>
      </w:r>
      <w:r w:rsidRPr="008F108E">
        <w:rPr>
          <w:rFonts w:ascii="FrankRuehl" w:hAnsi="FrankRuehl" w:cs="FrankRuehl"/>
          <w:sz w:val="28"/>
          <w:szCs w:val="28"/>
          <w:rtl/>
        </w:rPr>
        <w:t>3 גרם קנביס, תמורת 300 ₪. השניים תיאמו את מקום המפגש, כמות הסם והמחיר באמצעות אפליקציית "טלגראס". בהמשך הגיע הנאשם למקום, השאיר את הסם במקום סמוי מהעין, עומר רענן אסף את הסם והותיר את הסך של</w:t>
      </w:r>
      <w:r w:rsidRPr="008F108E">
        <w:rPr>
          <w:rFonts w:ascii="FrankRuehl" w:hAnsi="FrankRuehl" w:cs="FrankRuehl" w:hint="cs"/>
          <w:sz w:val="28"/>
          <w:szCs w:val="28"/>
          <w:rtl/>
        </w:rPr>
        <w:t xml:space="preserve"> </w:t>
      </w:r>
      <w:r w:rsidRPr="008F108E">
        <w:rPr>
          <w:rFonts w:ascii="FrankRuehl" w:hAnsi="FrankRuehl" w:cs="FrankRuehl"/>
          <w:sz w:val="28"/>
          <w:szCs w:val="28"/>
          <w:rtl/>
        </w:rPr>
        <w:t>300 ₪. בגין מעשים אלו, הודה והורשע הנאשם ב</w:t>
      </w:r>
      <w:r w:rsidRPr="008F108E">
        <w:rPr>
          <w:rFonts w:ascii="FrankRuehl" w:hAnsi="FrankRuehl" w:cs="FrankRuehl"/>
          <w:b/>
          <w:bCs/>
          <w:sz w:val="28"/>
          <w:szCs w:val="28"/>
          <w:rtl/>
        </w:rPr>
        <w:t>סחר בסמים</w:t>
      </w:r>
      <w:r w:rsidRPr="008F108E">
        <w:rPr>
          <w:rFonts w:ascii="FrankRuehl" w:hAnsi="FrankRuehl" w:cs="FrankRuehl"/>
          <w:sz w:val="28"/>
          <w:szCs w:val="28"/>
          <w:rtl/>
        </w:rPr>
        <w:t xml:space="preserve">, לפי סעיף </w:t>
      </w:r>
      <w:hyperlink r:id="rId30" w:history="1">
        <w:r w:rsidRPr="00AF2B2F">
          <w:rPr>
            <w:rStyle w:val="Hyperlink"/>
            <w:rFonts w:ascii="FrankRuehl" w:hAnsi="FrankRuehl" w:cs="FrankRuehl"/>
            <w:sz w:val="28"/>
            <w:szCs w:val="28"/>
            <w:rtl/>
          </w:rPr>
          <w:t>13+19א'</w:t>
        </w:r>
      </w:hyperlink>
      <w:r w:rsidRPr="008F108E">
        <w:rPr>
          <w:rFonts w:ascii="FrankRuehl" w:hAnsi="FrankRuehl" w:cs="FrankRuehl"/>
          <w:sz w:val="28"/>
          <w:szCs w:val="28"/>
          <w:rtl/>
        </w:rPr>
        <w:t xml:space="preserve"> לפקודה.</w:t>
      </w:r>
    </w:p>
    <w:p w14:paraId="33EFD74E"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b/>
          <w:bCs/>
          <w:sz w:val="28"/>
          <w:szCs w:val="28"/>
          <w:rtl/>
        </w:rPr>
        <w:t xml:space="preserve">מהאישום הרביעי </w:t>
      </w:r>
      <w:r w:rsidRPr="008F108E">
        <w:rPr>
          <w:rFonts w:ascii="FrankRuehl" w:hAnsi="FrankRuehl" w:cs="FrankRuehl"/>
          <w:sz w:val="28"/>
          <w:szCs w:val="28"/>
          <w:rtl/>
        </w:rPr>
        <w:t>עולה כי במועד שאינו ידוע במדויק למאשימה, מכר הנאשם לד</w:t>
      </w:r>
      <w:r w:rsidRPr="008F108E">
        <w:rPr>
          <w:rFonts w:ascii="FrankRuehl" w:hAnsi="FrankRuehl" w:cs="FrankRuehl" w:hint="cs"/>
          <w:sz w:val="28"/>
          <w:szCs w:val="28"/>
          <w:rtl/>
        </w:rPr>
        <w:t>"א</w:t>
      </w:r>
      <w:r w:rsidRPr="008F108E">
        <w:rPr>
          <w:rFonts w:ascii="FrankRuehl" w:hAnsi="FrankRuehl" w:cs="FrankRuehl"/>
          <w:sz w:val="28"/>
          <w:szCs w:val="28"/>
          <w:rtl/>
        </w:rPr>
        <w:t xml:space="preserve"> 1 גרם קנביס, תמורת 100 ₪. את מיקום ביצוע העסקה, כמות הסם והמחיר, תיאמו השניים באמצעות אפליקציית "טלגראס". הנאשם הגיע למקום ומסר לדן את הסם וקיבל תמורתו לידיו סך של 100 ₪. בגין מעשים אלו הודה והורשע הנאשם ב</w:t>
      </w:r>
      <w:r w:rsidRPr="008F108E">
        <w:rPr>
          <w:rFonts w:ascii="FrankRuehl" w:hAnsi="FrankRuehl" w:cs="FrankRuehl"/>
          <w:b/>
          <w:bCs/>
          <w:sz w:val="28"/>
          <w:szCs w:val="28"/>
          <w:rtl/>
        </w:rPr>
        <w:t>סחר בסמים</w:t>
      </w:r>
      <w:r w:rsidRPr="008F108E">
        <w:rPr>
          <w:rFonts w:ascii="FrankRuehl" w:hAnsi="FrankRuehl" w:cs="FrankRuehl"/>
          <w:sz w:val="28"/>
          <w:szCs w:val="28"/>
          <w:rtl/>
        </w:rPr>
        <w:t xml:space="preserve">, לפי סעיף </w:t>
      </w:r>
      <w:hyperlink r:id="rId31" w:history="1">
        <w:r w:rsidRPr="00AF2B2F">
          <w:rPr>
            <w:rStyle w:val="Hyperlink"/>
            <w:rFonts w:ascii="FrankRuehl" w:hAnsi="FrankRuehl" w:cs="FrankRuehl"/>
            <w:sz w:val="28"/>
            <w:szCs w:val="28"/>
            <w:rtl/>
          </w:rPr>
          <w:t>13+19א'</w:t>
        </w:r>
      </w:hyperlink>
      <w:r w:rsidRPr="008F108E">
        <w:rPr>
          <w:rFonts w:ascii="FrankRuehl" w:hAnsi="FrankRuehl" w:cs="FrankRuehl"/>
          <w:sz w:val="28"/>
          <w:szCs w:val="28"/>
          <w:rtl/>
        </w:rPr>
        <w:t xml:space="preserve"> לפקודה.</w:t>
      </w:r>
    </w:p>
    <w:p w14:paraId="1323985E"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hint="cs"/>
          <w:b/>
          <w:bCs/>
          <w:sz w:val="28"/>
          <w:szCs w:val="28"/>
          <w:u w:val="single"/>
          <w:rtl/>
        </w:rPr>
        <w:t xml:space="preserve">כתב האישום בתיק המצורף </w:t>
      </w:r>
      <w:hyperlink r:id="rId32" w:history="1">
        <w:r w:rsidRPr="00926237">
          <w:rPr>
            <w:rFonts w:ascii="FrankRuehl" w:hAnsi="FrankRuehl" w:cs="FrankRuehl"/>
            <w:b/>
            <w:bCs/>
            <w:color w:val="0000FF"/>
            <w:sz w:val="28"/>
            <w:szCs w:val="28"/>
            <w:u w:val="single"/>
            <w:rtl/>
          </w:rPr>
          <w:t>ת"פ 20053-09-19</w:t>
        </w:r>
        <w:r w:rsidRPr="00926237">
          <w:rPr>
            <w:rFonts w:ascii="FrankRuehl" w:hAnsi="FrankRuehl" w:cs="FrankRuehl"/>
            <w:b/>
            <w:bCs/>
            <w:color w:val="0000FF"/>
            <w:sz w:val="28"/>
            <w:szCs w:val="28"/>
            <w:u w:val="single"/>
            <w:rtl/>
          </w:rPr>
          <w:cr/>
        </w:r>
      </w:hyperlink>
      <w:r w:rsidRPr="008F108E">
        <w:rPr>
          <w:rFonts w:ascii="FrankRuehl" w:hAnsi="FrankRuehl" w:cs="FrankRuehl" w:hint="cs"/>
          <w:sz w:val="28"/>
          <w:szCs w:val="28"/>
          <w:rtl/>
        </w:rPr>
        <w:t xml:space="preserve">בתיק זה הורשע הנאשם על-פי הודאתו בעבירה של שימוש עצמי בסמים  לפי סעיף </w:t>
      </w:r>
      <w:hyperlink r:id="rId33" w:history="1">
        <w:r w:rsidRPr="00AF2B2F">
          <w:rPr>
            <w:rStyle w:val="Hyperlink"/>
            <w:rFonts w:ascii="FrankRuehl" w:hAnsi="FrankRuehl" w:cs="FrankRuehl"/>
            <w:sz w:val="28"/>
            <w:szCs w:val="28"/>
            <w:rtl/>
          </w:rPr>
          <w:t>7(א)ו-(ג)</w:t>
        </w:r>
      </w:hyperlink>
      <w:r w:rsidRPr="008F108E">
        <w:rPr>
          <w:rFonts w:ascii="FrankRuehl" w:hAnsi="FrankRuehl" w:cs="FrankRuehl" w:hint="cs"/>
          <w:sz w:val="28"/>
          <w:szCs w:val="28"/>
          <w:rtl/>
        </w:rPr>
        <w:t xml:space="preserve"> סיפא לפקודת הסמים, בכך שביום 27.3.2018 נתפס עם אחרת כשהם מחזיקים באופנוע 9.2 גרם קנביס.</w:t>
      </w:r>
    </w:p>
    <w:p w14:paraId="5798F722"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hint="cs"/>
          <w:b/>
          <w:bCs/>
          <w:sz w:val="28"/>
          <w:szCs w:val="28"/>
          <w:u w:val="single"/>
          <w:rtl/>
        </w:rPr>
        <w:t>כתב האישום המתוקן ב</w:t>
      </w:r>
      <w:hyperlink r:id="rId34" w:history="1">
        <w:r w:rsidRPr="00926237">
          <w:rPr>
            <w:rFonts w:ascii="FrankRuehl" w:hAnsi="FrankRuehl" w:cs="FrankRuehl"/>
            <w:b/>
            <w:bCs/>
            <w:color w:val="0000FF"/>
            <w:sz w:val="28"/>
            <w:szCs w:val="28"/>
            <w:u w:val="single"/>
            <w:rtl/>
          </w:rPr>
          <w:t>פ"ל (פתח תקוה) 8686-03-21</w:t>
        </w:r>
        <w:r w:rsidRPr="00926237">
          <w:rPr>
            <w:rFonts w:ascii="FrankRuehl" w:hAnsi="FrankRuehl" w:cs="FrankRuehl"/>
            <w:b/>
            <w:bCs/>
            <w:color w:val="0000FF"/>
            <w:sz w:val="28"/>
            <w:szCs w:val="28"/>
            <w:u w:val="single"/>
            <w:rtl/>
          </w:rPr>
          <w:cr/>
        </w:r>
      </w:hyperlink>
      <w:r w:rsidRPr="008F108E">
        <w:rPr>
          <w:rFonts w:ascii="FrankRuehl" w:hAnsi="FrankRuehl" w:cs="FrankRuehl" w:hint="cs"/>
          <w:sz w:val="28"/>
          <w:szCs w:val="28"/>
          <w:rtl/>
        </w:rPr>
        <w:t xml:space="preserve">מכתב האישום המתוקן עולה כי ביום 29.3.2021, נהג הנאשם ברכב פרטי בהוד השרון, למרות שידע שהוא פסול לנהיגה על-סמך החלטה שיפוטית למשך 36 חודשים ואף הפקיד את רישיון הנהיגה שלו. כמו כן הנאשם לא ציית להוראות שוטר לעצור בצד. בגין כל אלה הודה הנאשם והורשע בנהיגה בזמן פסילה ע"י בית המשפט , לפי </w:t>
      </w:r>
      <w:hyperlink r:id="rId35" w:history="1">
        <w:r w:rsidRPr="00AF2B2F">
          <w:rPr>
            <w:rStyle w:val="Hyperlink"/>
            <w:rFonts w:ascii="FrankRuehl" w:hAnsi="FrankRuehl" w:cs="FrankRuehl" w:hint="eastAsia"/>
            <w:sz w:val="28"/>
            <w:szCs w:val="28"/>
            <w:rtl/>
          </w:rPr>
          <w:t>סעיף</w:t>
        </w:r>
        <w:r w:rsidRPr="00AF2B2F">
          <w:rPr>
            <w:rStyle w:val="Hyperlink"/>
            <w:rFonts w:ascii="FrankRuehl" w:hAnsi="FrankRuehl" w:cs="FrankRuehl"/>
            <w:sz w:val="28"/>
            <w:szCs w:val="28"/>
            <w:rtl/>
          </w:rPr>
          <w:t xml:space="preserve"> 67</w:t>
        </w:r>
      </w:hyperlink>
      <w:r w:rsidRPr="008F108E">
        <w:rPr>
          <w:rFonts w:ascii="FrankRuehl" w:hAnsi="FrankRuehl" w:cs="FrankRuehl" w:hint="cs"/>
          <w:sz w:val="28"/>
          <w:szCs w:val="28"/>
          <w:rtl/>
        </w:rPr>
        <w:t xml:space="preserve"> ל</w:t>
      </w:r>
      <w:hyperlink r:id="rId36" w:history="1">
        <w:r w:rsidRPr="00926237">
          <w:rPr>
            <w:rFonts w:ascii="FrankRuehl" w:hAnsi="FrankRuehl" w:cs="FrankRuehl"/>
            <w:color w:val="0000FF"/>
            <w:sz w:val="28"/>
            <w:szCs w:val="28"/>
            <w:u w:val="single"/>
            <w:rtl/>
          </w:rPr>
          <w:t>פקודת התעבורה</w:t>
        </w:r>
      </w:hyperlink>
      <w:r w:rsidRPr="008F108E">
        <w:rPr>
          <w:rFonts w:ascii="FrankRuehl" w:hAnsi="FrankRuehl" w:cs="FrankRuehl" w:hint="cs"/>
          <w:sz w:val="28"/>
          <w:szCs w:val="28"/>
          <w:rtl/>
        </w:rPr>
        <w:t xml:space="preserve">; אי ציות לאות </w:t>
      </w:r>
      <w:r w:rsidRPr="008F108E">
        <w:rPr>
          <w:rFonts w:ascii="FrankRuehl" w:hAnsi="FrankRuehl" w:cs="FrankRuehl" w:hint="cs"/>
          <w:sz w:val="28"/>
          <w:szCs w:val="28"/>
          <w:rtl/>
        </w:rPr>
        <w:lastRenderedPageBreak/>
        <w:t xml:space="preserve">של שוטר במדים, לפי </w:t>
      </w:r>
      <w:hyperlink r:id="rId37" w:history="1">
        <w:r w:rsidRPr="00AF2B2F">
          <w:rPr>
            <w:rStyle w:val="Hyperlink"/>
            <w:rFonts w:ascii="FrankRuehl" w:hAnsi="FrankRuehl" w:cs="FrankRuehl" w:hint="eastAsia"/>
            <w:sz w:val="28"/>
            <w:szCs w:val="28"/>
            <w:rtl/>
          </w:rPr>
          <w:t>תקנה</w:t>
        </w:r>
        <w:r w:rsidRPr="00AF2B2F">
          <w:rPr>
            <w:rStyle w:val="Hyperlink"/>
            <w:rFonts w:ascii="FrankRuehl" w:hAnsi="FrankRuehl" w:cs="FrankRuehl"/>
            <w:sz w:val="28"/>
            <w:szCs w:val="28"/>
            <w:rtl/>
          </w:rPr>
          <w:t xml:space="preserve"> 23(א)(2)</w:t>
        </w:r>
      </w:hyperlink>
      <w:r w:rsidRPr="008F108E">
        <w:rPr>
          <w:rFonts w:ascii="FrankRuehl" w:hAnsi="FrankRuehl" w:cs="FrankRuehl" w:hint="cs"/>
          <w:sz w:val="28"/>
          <w:szCs w:val="28"/>
          <w:rtl/>
        </w:rPr>
        <w:t xml:space="preserve"> ל</w:t>
      </w:r>
      <w:hyperlink r:id="rId38" w:history="1">
        <w:r w:rsidRPr="00926237">
          <w:rPr>
            <w:rFonts w:ascii="FrankRuehl" w:hAnsi="FrankRuehl" w:cs="FrankRuehl"/>
            <w:color w:val="0000FF"/>
            <w:sz w:val="28"/>
            <w:szCs w:val="28"/>
            <w:u w:val="single"/>
            <w:rtl/>
          </w:rPr>
          <w:t>תקנות התעבורה</w:t>
        </w:r>
      </w:hyperlink>
      <w:r w:rsidRPr="008F108E">
        <w:rPr>
          <w:rFonts w:ascii="FrankRuehl" w:hAnsi="FrankRuehl" w:cs="FrankRuehl" w:hint="cs"/>
          <w:sz w:val="28"/>
          <w:szCs w:val="28"/>
          <w:rtl/>
        </w:rPr>
        <w:t xml:space="preserve">; רישיון הנהיגה פקע מעל שנתיים, לפי </w:t>
      </w:r>
      <w:hyperlink r:id="rId39" w:history="1">
        <w:r w:rsidRPr="00AF2B2F">
          <w:rPr>
            <w:rStyle w:val="Hyperlink"/>
            <w:rFonts w:ascii="FrankRuehl" w:hAnsi="FrankRuehl" w:cs="FrankRuehl" w:hint="eastAsia"/>
            <w:sz w:val="28"/>
            <w:szCs w:val="28"/>
            <w:rtl/>
          </w:rPr>
          <w:t>סעיף</w:t>
        </w:r>
        <w:r w:rsidRPr="00AF2B2F">
          <w:rPr>
            <w:rStyle w:val="Hyperlink"/>
            <w:rFonts w:ascii="FrankRuehl" w:hAnsi="FrankRuehl" w:cs="FrankRuehl"/>
            <w:sz w:val="28"/>
            <w:szCs w:val="28"/>
            <w:rtl/>
          </w:rPr>
          <w:t xml:space="preserve"> 10(א)</w:t>
        </w:r>
      </w:hyperlink>
      <w:r w:rsidRPr="008F108E">
        <w:rPr>
          <w:rFonts w:ascii="FrankRuehl" w:hAnsi="FrankRuehl" w:cs="FrankRuehl" w:hint="cs"/>
          <w:sz w:val="28"/>
          <w:szCs w:val="28"/>
          <w:rtl/>
        </w:rPr>
        <w:t xml:space="preserve"> לפקודת התעבורה; נהיגה ללא ביטוח, לפי </w:t>
      </w:r>
      <w:hyperlink r:id="rId40" w:history="1">
        <w:r w:rsidRPr="00AF2B2F">
          <w:rPr>
            <w:rStyle w:val="Hyperlink"/>
            <w:rFonts w:ascii="FrankRuehl" w:hAnsi="FrankRuehl" w:cs="FrankRuehl" w:hint="eastAsia"/>
            <w:sz w:val="28"/>
            <w:szCs w:val="28"/>
            <w:rtl/>
          </w:rPr>
          <w:t>סעיף</w:t>
        </w:r>
        <w:r w:rsidRPr="00AF2B2F">
          <w:rPr>
            <w:rStyle w:val="Hyperlink"/>
            <w:rFonts w:ascii="FrankRuehl" w:hAnsi="FrankRuehl" w:cs="FrankRuehl"/>
            <w:sz w:val="28"/>
            <w:szCs w:val="28"/>
            <w:rtl/>
          </w:rPr>
          <w:t xml:space="preserve"> 2א</w:t>
        </w:r>
      </w:hyperlink>
      <w:r w:rsidRPr="008F108E">
        <w:rPr>
          <w:rFonts w:ascii="FrankRuehl" w:hAnsi="FrankRuehl" w:cs="FrankRuehl" w:hint="cs"/>
          <w:sz w:val="28"/>
          <w:szCs w:val="28"/>
          <w:rtl/>
        </w:rPr>
        <w:t xml:space="preserve"> ל</w:t>
      </w:r>
      <w:hyperlink r:id="rId41" w:history="1">
        <w:r w:rsidRPr="00926237">
          <w:rPr>
            <w:rFonts w:ascii="FrankRuehl" w:hAnsi="FrankRuehl" w:cs="FrankRuehl"/>
            <w:color w:val="0000FF"/>
            <w:sz w:val="28"/>
            <w:szCs w:val="28"/>
            <w:u w:val="single"/>
            <w:rtl/>
          </w:rPr>
          <w:t>פקודת ביטוח רכב מנועי</w:t>
        </w:r>
      </w:hyperlink>
      <w:r w:rsidRPr="008F108E">
        <w:rPr>
          <w:rFonts w:ascii="FrankRuehl" w:hAnsi="FrankRuehl" w:cs="FrankRuehl" w:hint="cs"/>
          <w:sz w:val="28"/>
          <w:szCs w:val="28"/>
          <w:rtl/>
        </w:rPr>
        <w:t xml:space="preserve">, ונהיגה ברכב שניתנה לגביו הודעת אי-שימוש, לפי </w:t>
      </w:r>
      <w:hyperlink r:id="rId42" w:history="1">
        <w:r w:rsidRPr="00AF2B2F">
          <w:rPr>
            <w:rStyle w:val="Hyperlink"/>
            <w:rFonts w:ascii="FrankRuehl" w:hAnsi="FrankRuehl" w:cs="FrankRuehl" w:hint="eastAsia"/>
            <w:sz w:val="28"/>
            <w:szCs w:val="28"/>
            <w:rtl/>
          </w:rPr>
          <w:t>תקנה</w:t>
        </w:r>
        <w:r w:rsidRPr="00AF2B2F">
          <w:rPr>
            <w:rStyle w:val="Hyperlink"/>
            <w:rFonts w:ascii="FrankRuehl" w:hAnsi="FrankRuehl" w:cs="FrankRuehl"/>
            <w:sz w:val="28"/>
            <w:szCs w:val="28"/>
            <w:rtl/>
          </w:rPr>
          <w:t xml:space="preserve"> 308(ד)</w:t>
        </w:r>
      </w:hyperlink>
      <w:r w:rsidRPr="008F108E">
        <w:rPr>
          <w:rFonts w:ascii="FrankRuehl" w:hAnsi="FrankRuehl" w:cs="FrankRuehl" w:hint="cs"/>
          <w:sz w:val="28"/>
          <w:szCs w:val="28"/>
          <w:rtl/>
        </w:rPr>
        <w:t xml:space="preserve"> לתקנות התעבורה.</w:t>
      </w:r>
    </w:p>
    <w:p w14:paraId="224DBAE8" w14:textId="77777777" w:rsidR="00AF2B2F" w:rsidRPr="008F108E" w:rsidRDefault="00AF2B2F" w:rsidP="008F108E">
      <w:pPr>
        <w:spacing w:after="160" w:line="360" w:lineRule="auto"/>
        <w:jc w:val="both"/>
        <w:rPr>
          <w:rFonts w:ascii="FrankRuehl" w:hAnsi="FrankRuehl" w:cs="FrankRuehl"/>
          <w:sz w:val="28"/>
          <w:szCs w:val="28"/>
          <w:rtl/>
        </w:rPr>
      </w:pPr>
    </w:p>
    <w:p w14:paraId="1B080ACF" w14:textId="77777777" w:rsidR="00AF2B2F" w:rsidRPr="008F108E" w:rsidRDefault="00AF2B2F" w:rsidP="008F108E">
      <w:pPr>
        <w:spacing w:after="160" w:line="360" w:lineRule="auto"/>
        <w:jc w:val="both"/>
        <w:rPr>
          <w:rFonts w:ascii="FrankRuehl" w:hAnsi="FrankRuehl" w:cs="FrankRuehl"/>
          <w:b/>
          <w:bCs/>
          <w:sz w:val="28"/>
          <w:szCs w:val="28"/>
          <w:u w:val="single"/>
          <w:rtl/>
        </w:rPr>
      </w:pPr>
      <w:r w:rsidRPr="008F108E">
        <w:rPr>
          <w:rFonts w:ascii="FrankRuehl" w:hAnsi="FrankRuehl" w:cs="FrankRuehl"/>
          <w:b/>
          <w:bCs/>
          <w:sz w:val="28"/>
          <w:szCs w:val="28"/>
          <w:u w:val="single"/>
          <w:rtl/>
        </w:rPr>
        <w:t>מהלך הדיון</w:t>
      </w:r>
    </w:p>
    <w:p w14:paraId="1E936757"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sz w:val="28"/>
          <w:szCs w:val="28"/>
          <w:rtl/>
        </w:rPr>
        <w:t xml:space="preserve">כתב האישום הוגש ביום 21.5.2018 עם בקשה למעצר עד תום ההליכים. ביום 24.5.2018 התקיים דיון בפניי במהלכו שחררתי את הנאשם בתנאי מעצר בית מלא. מעת לעת הקלתי בתנאי מעצר הבית וביום 25.3.2019 נותר מעצר בית לילי בלבד. </w:t>
      </w:r>
      <w:r w:rsidRPr="008F108E">
        <w:rPr>
          <w:rFonts w:ascii="FrankRuehl" w:hAnsi="FrankRuehl" w:cs="FrankRuehl" w:hint="cs"/>
          <w:sz w:val="28"/>
          <w:szCs w:val="28"/>
          <w:rtl/>
        </w:rPr>
        <w:t>מזה כשמונה חודשים, מצוי הנאשם בתנאים של מעצר בפיקוח אלקטרוני, וזאת לאחר שביצע את העבירות בתיק התעבורה של פתח תקווה.</w:t>
      </w:r>
    </w:p>
    <w:p w14:paraId="17F03AAB" w14:textId="77777777" w:rsidR="00AF2B2F" w:rsidRPr="008F108E" w:rsidRDefault="00AF2B2F" w:rsidP="008F108E">
      <w:pPr>
        <w:spacing w:after="160" w:line="360" w:lineRule="auto"/>
        <w:jc w:val="both"/>
        <w:rPr>
          <w:rFonts w:ascii="FrankRuehl" w:hAnsi="FrankRuehl" w:cs="FrankRuehl"/>
          <w:b/>
          <w:bCs/>
          <w:sz w:val="28"/>
          <w:szCs w:val="28"/>
          <w:u w:val="single"/>
        </w:rPr>
      </w:pPr>
    </w:p>
    <w:p w14:paraId="76075F3A" w14:textId="77777777" w:rsidR="00AF2B2F" w:rsidRPr="008F108E" w:rsidRDefault="00AF2B2F" w:rsidP="008F108E">
      <w:pPr>
        <w:spacing w:after="160" w:line="360" w:lineRule="auto"/>
        <w:jc w:val="both"/>
        <w:rPr>
          <w:rFonts w:ascii="FrankRuehl" w:hAnsi="FrankRuehl" w:cs="FrankRuehl"/>
          <w:b/>
          <w:bCs/>
          <w:sz w:val="28"/>
          <w:szCs w:val="28"/>
          <w:u w:val="single"/>
          <w:rtl/>
        </w:rPr>
      </w:pPr>
      <w:r w:rsidRPr="008F108E">
        <w:rPr>
          <w:rFonts w:ascii="FrankRuehl" w:hAnsi="FrankRuehl" w:cs="FrankRuehl"/>
          <w:b/>
          <w:bCs/>
          <w:sz w:val="28"/>
          <w:szCs w:val="28"/>
          <w:u w:val="single"/>
          <w:rtl/>
        </w:rPr>
        <w:t>תסקירי שירות המבחן</w:t>
      </w:r>
    </w:p>
    <w:p w14:paraId="13DD1B40"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sz w:val="28"/>
          <w:szCs w:val="28"/>
          <w:rtl/>
        </w:rPr>
        <w:t>בעניינו של הנאשם הוגשו מספר תסקירים.</w:t>
      </w:r>
    </w:p>
    <w:p w14:paraId="246B1E60"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sz w:val="28"/>
          <w:szCs w:val="28"/>
          <w:rtl/>
        </w:rPr>
        <w:t>מהתסקיר שהוגש ביום 29.10.2019, עולה, כי הנאשם בן 21, רווק, מתגורר בבית הוריו בהוד השרון. הנאשם אינו עובד, זאת בשל ריצוי עונש של עבודות שירות בתיק תעבורה. הנאשם סיים 10 שנות לימוד, ולאחר סיום לימודיו השתלב בעבודות שונות בלתי מקצועיות ובמקביל החל להתאמן בתחום האגרוף התאילנדי. בגיל 18 נאלץ להפסיק להתאמן בשל תאונת דרכים שעבר. מעיון ברישומו הפלילי עולה, כי בעברו של הנאשם הליך פלילי שהתקיים בבית משפט לנוער בשנת 2012, בגין ביצוע עבירות אלימות, שבל"ר וסחיטה באיומים, שם נדון לאי הרשעה, לצו טיפול ושל"ץ. כמו כן, ביום 27.3.2018 נפתח נגדו תיק חקירה נוסף בחשד לביצוע עבירות שעניינן הפרעה לשוטר במילוי תפקידו, שיבוש מהליכי משפט והחזקת סמים שלא לצריכה עצמית, בגינן הוגש כתב אישום בבית משפט זה. הנאשם תיאר בפני שירות המבחן כי התנסה לראשונה בסמים בגיל 17, לאחר מכן השימוש הפך יומיומי בעיקר בשעות הלילה, אך מאז פתיחת הליכים אלה הפסיק השימוש בסמים בכוחות עצמו. שירות המבחן ציין כי בדיקות שתן שמסר</w:t>
      </w:r>
      <w:r w:rsidRPr="008F108E">
        <w:rPr>
          <w:rFonts w:ascii="FrankRuehl" w:hAnsi="FrankRuehl" w:cs="FrankRuehl" w:hint="cs"/>
          <w:sz w:val="28"/>
          <w:szCs w:val="28"/>
          <w:rtl/>
        </w:rPr>
        <w:t>,</w:t>
      </w:r>
      <w:r w:rsidRPr="008F108E">
        <w:rPr>
          <w:rFonts w:ascii="FrankRuehl" w:hAnsi="FrankRuehl" w:cs="FrankRuehl"/>
          <w:sz w:val="28"/>
          <w:szCs w:val="28"/>
          <w:rtl/>
        </w:rPr>
        <w:t xml:space="preserve"> נמצאו נקיות משרידי סמים. באשר לעבירות המיוחסות לנאשם, הוא לקח אח</w:t>
      </w:r>
      <w:r w:rsidRPr="008F108E">
        <w:rPr>
          <w:rFonts w:ascii="FrankRuehl" w:hAnsi="FrankRuehl" w:cs="FrankRuehl" w:hint="cs"/>
          <w:sz w:val="28"/>
          <w:szCs w:val="28"/>
          <w:rtl/>
        </w:rPr>
        <w:t>ר</w:t>
      </w:r>
      <w:r w:rsidRPr="008F108E">
        <w:rPr>
          <w:rFonts w:ascii="FrankRuehl" w:hAnsi="FrankRuehl" w:cs="FrankRuehl"/>
          <w:sz w:val="28"/>
          <w:szCs w:val="28"/>
          <w:rtl/>
        </w:rPr>
        <w:t>יות מלאה על מעשיו, הביע חרטה על מעשיו וכיום מבין את חומרתם. הנאשם הביע נכונות להשתלב בטיפול במסגרת שירות המבחן, לפיכך ביקש שירות המבחן דחיה של מספר חודשים.</w:t>
      </w:r>
    </w:p>
    <w:p w14:paraId="3C78FE39"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sz w:val="28"/>
          <w:szCs w:val="28"/>
          <w:rtl/>
        </w:rPr>
        <w:t>מהתסקיר שהוגש ביום 8.3.2020 עולה, כי לאחר הדיון האחרון בעניינו של הנאשם, הוא ניתק קשר עם שירות המבחן ורק לאחר ניסיונות רבים הצליח שירות המבחן לחדש את הקשר עם הנאשם ולתאם עמו מועד למסירת בדיקת שתן. הנאשם קיים פגישה עם שירות המבחן, אשר התרשם מחוסר פניות מצדו לתהליך טיפולי בעיתוי הנוכחי. בנוסף, ציין שירות המבחן כי בבדיקת שתן שמסר בסיום הפגישה, נמצאו שרידי סם מסוג קנביס. בהמשך, לא התייצב הנאשם לפגישות, וניסיונות ליצור עמו קשר עלו בתוהו. שירות המבחן אף בדק התאמתו של הנאשם לבית משפט קהילתי, אולם נוכח מקום מגוריו, הנאשם לא עמד בתנאי הסף של התכנית, ולכן לא נמצא מתאים. בנוסף, במהלך תקופת הדחיה, נפתח לנאשם תיק נוסף בחשד לביצוע עבירה של היזק לרכוש במזיד, בגינה טרם הוגש כתב אישום. לנוכח האמור, המליץ שירות המבחן על ענישה מוחשית וקונקרטית, לצד עונש מותנה.</w:t>
      </w:r>
    </w:p>
    <w:p w14:paraId="08BDB723"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sz w:val="28"/>
          <w:szCs w:val="28"/>
          <w:rtl/>
        </w:rPr>
        <w:t>התסקיר השלישי הוגש ב-30.8.2020. מהתסקיר עולה</w:t>
      </w:r>
      <w:r w:rsidRPr="008F108E">
        <w:rPr>
          <w:rFonts w:ascii="FrankRuehl" w:hAnsi="FrankRuehl" w:cs="FrankRuehl" w:hint="cs"/>
          <w:sz w:val="28"/>
          <w:szCs w:val="28"/>
          <w:rtl/>
        </w:rPr>
        <w:t>,</w:t>
      </w:r>
      <w:r w:rsidRPr="008F108E">
        <w:rPr>
          <w:rFonts w:ascii="FrankRuehl" w:hAnsi="FrankRuehl" w:cs="FrankRuehl"/>
          <w:sz w:val="28"/>
          <w:szCs w:val="28"/>
          <w:rtl/>
        </w:rPr>
        <w:t xml:space="preserve"> כי הנאשם לא עמד בקשר עם שירות המבחן, לא הגיע לפגישות ולבדיקות שתן שתואמו עמו ולא שיתף פעולה בכל היבט אחר. לכן, חזר שירות המבחן על המלצתו.</w:t>
      </w:r>
    </w:p>
    <w:p w14:paraId="712778CD"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hint="cs"/>
          <w:sz w:val="28"/>
          <w:szCs w:val="28"/>
          <w:rtl/>
        </w:rPr>
        <w:t>מהתסקיר שהוגש ב-22.12.2020 עולה, כי הנאשם סיים לרצות את עונש המאסר בעבודות שירות מתיק התעבורה וכיום הוא עובד בשליחויות ומקיים מערכת זוגית. הוא מסר 4 בדיקות שתן מתוך 8 שאמור היה למסור, והן נמצאו נקיות משרידי סם. הנאשם סיפר כי חש שינוי לאחר שהצליח להתגייס לסיים את ריצוי עבודות השירות שלו, וכיום הוא חש שנמצא במגמת שינוי. הנאשם הביע חוסר פניות לטיפול וביקש לסיים את ההליכים הפליליים נגדו, מתוך תקווה שיסתיימו בעבודות שירות. שירות המבחן הגיע לכלל מסקנה כי הנאשם אינו פנוי לטיפול ולכן המליץ על ענישה בעבודות שירות.</w:t>
      </w:r>
    </w:p>
    <w:p w14:paraId="12524E6E"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hint="cs"/>
          <w:sz w:val="28"/>
          <w:szCs w:val="28"/>
          <w:rtl/>
        </w:rPr>
        <w:t xml:space="preserve">בתסקיר שהוגש באוגוסט 2021 דווח, כי הנאשם הביע את רצונו לסיים את ההליכים ללא מעורבות נוספת של שירות המבחן, ולכן גם לא המשיך לשתף פעולה, אף לא במתן בדיקות שתן.  לכן נמנע שירות המבחן מהמלצה טיפולית והמליץ על הטלת מאסר בפועל, תוך שקילת טיפול בנאשם בין כתלי בית הסוהר, בהתחשב בכך שהשירות סבר שקיימת נזקקות טיפולית משמעותית, על אף עמדת הנאשם שהובעה לעיל. </w:t>
      </w:r>
    </w:p>
    <w:p w14:paraId="7A979279" w14:textId="77777777" w:rsidR="00AF2B2F" w:rsidRPr="008F108E" w:rsidRDefault="00AF2B2F" w:rsidP="008F108E">
      <w:pPr>
        <w:spacing w:after="160"/>
        <w:jc w:val="both"/>
        <w:rPr>
          <w:rFonts w:ascii="FrankRuehl" w:hAnsi="FrankRuehl" w:cs="FrankRuehl"/>
          <w:b/>
          <w:bCs/>
          <w:sz w:val="28"/>
          <w:szCs w:val="28"/>
          <w:u w:val="single"/>
          <w:rtl/>
        </w:rPr>
      </w:pPr>
    </w:p>
    <w:p w14:paraId="23DB14DC" w14:textId="77777777" w:rsidR="00AF2B2F" w:rsidRPr="008F108E" w:rsidRDefault="00AF2B2F" w:rsidP="008F108E">
      <w:pPr>
        <w:spacing w:after="160" w:line="360" w:lineRule="auto"/>
        <w:jc w:val="both"/>
        <w:rPr>
          <w:rFonts w:ascii="FrankRuehl" w:hAnsi="FrankRuehl" w:cs="FrankRuehl"/>
          <w:b/>
          <w:bCs/>
          <w:sz w:val="28"/>
          <w:szCs w:val="28"/>
          <w:u w:val="single"/>
          <w:rtl/>
        </w:rPr>
      </w:pPr>
      <w:r w:rsidRPr="008F108E">
        <w:rPr>
          <w:rFonts w:ascii="FrankRuehl" w:hAnsi="FrankRuehl" w:cs="FrankRuehl"/>
          <w:b/>
          <w:bCs/>
          <w:sz w:val="28"/>
          <w:szCs w:val="28"/>
          <w:u w:val="single"/>
          <w:rtl/>
        </w:rPr>
        <w:t>חוות דעת של הממונה על עבודות השירות</w:t>
      </w:r>
    </w:p>
    <w:p w14:paraId="26BBFACA"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hint="cs"/>
          <w:sz w:val="28"/>
          <w:szCs w:val="28"/>
          <w:rtl/>
        </w:rPr>
        <w:t>הממונה על עבודות שירות סבור (בשתי חוות דעת שהגיש), כי הנאשם אינו מתאים לריצוי עבודות שירות, לאחר שהעונש שסיים לרצות אך לאחרונה בעבודות שירות, שאמור היה להימשך 4 חודשים, נמשך 14 חודשים כשבתווך הופקעו העבודות למאסר, ורק בהתערבות בית המשפט בוטלה המרה זו, והתאפשר לנאשם לסיים, אך בקושי את ריצוי עונשו. הממונה סבר כי הנאשם לא בחן את כשליו ולא הפיק לקחים ולכן לא מצאו מתאים לכך.</w:t>
      </w:r>
    </w:p>
    <w:p w14:paraId="1490DA12" w14:textId="77777777" w:rsidR="00AF2B2F" w:rsidRPr="008F108E" w:rsidRDefault="00AF2B2F" w:rsidP="008F108E">
      <w:pPr>
        <w:spacing w:after="160" w:line="360" w:lineRule="auto"/>
        <w:jc w:val="both"/>
        <w:rPr>
          <w:rFonts w:ascii="FrankRuehl" w:hAnsi="FrankRuehl" w:cs="FrankRuehl"/>
          <w:b/>
          <w:bCs/>
          <w:sz w:val="28"/>
          <w:szCs w:val="28"/>
          <w:u w:val="single"/>
          <w:rtl/>
        </w:rPr>
      </w:pPr>
    </w:p>
    <w:p w14:paraId="140AB158" w14:textId="77777777" w:rsidR="00AF2B2F" w:rsidRPr="008F108E" w:rsidRDefault="00AF2B2F" w:rsidP="008F108E">
      <w:pPr>
        <w:spacing w:after="160" w:line="360" w:lineRule="auto"/>
        <w:jc w:val="both"/>
        <w:rPr>
          <w:rFonts w:ascii="FrankRuehl" w:hAnsi="FrankRuehl" w:cs="FrankRuehl"/>
          <w:b/>
          <w:bCs/>
          <w:sz w:val="28"/>
          <w:szCs w:val="28"/>
          <w:u w:val="single"/>
          <w:rtl/>
        </w:rPr>
      </w:pPr>
    </w:p>
    <w:p w14:paraId="79423769" w14:textId="77777777" w:rsidR="00AF2B2F" w:rsidRPr="008F108E" w:rsidRDefault="00AF2B2F" w:rsidP="008F108E">
      <w:pPr>
        <w:spacing w:after="160" w:line="360" w:lineRule="auto"/>
        <w:jc w:val="both"/>
        <w:rPr>
          <w:rFonts w:ascii="FrankRuehl" w:hAnsi="FrankRuehl" w:cs="FrankRuehl"/>
          <w:b/>
          <w:bCs/>
          <w:sz w:val="28"/>
          <w:szCs w:val="28"/>
          <w:u w:val="single"/>
          <w:rtl/>
        </w:rPr>
      </w:pPr>
    </w:p>
    <w:p w14:paraId="7C54AB0E" w14:textId="77777777" w:rsidR="00AF2B2F" w:rsidRPr="008F108E" w:rsidRDefault="00AF2B2F" w:rsidP="008F108E">
      <w:pPr>
        <w:spacing w:after="160" w:line="360" w:lineRule="auto"/>
        <w:jc w:val="both"/>
        <w:rPr>
          <w:rFonts w:ascii="FrankRuehl" w:hAnsi="FrankRuehl" w:cs="FrankRuehl"/>
          <w:b/>
          <w:bCs/>
          <w:sz w:val="28"/>
          <w:szCs w:val="28"/>
          <w:u w:val="single"/>
          <w:rtl/>
        </w:rPr>
      </w:pPr>
      <w:r w:rsidRPr="008F108E">
        <w:rPr>
          <w:rFonts w:ascii="FrankRuehl" w:hAnsi="FrankRuehl" w:cs="FrankRuehl" w:hint="cs"/>
          <w:b/>
          <w:bCs/>
          <w:sz w:val="28"/>
          <w:szCs w:val="28"/>
          <w:u w:val="single"/>
          <w:rtl/>
        </w:rPr>
        <w:t>ראיות לעונש</w:t>
      </w:r>
    </w:p>
    <w:p w14:paraId="5733384A"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hint="cs"/>
          <w:sz w:val="28"/>
          <w:szCs w:val="28"/>
          <w:rtl/>
        </w:rPr>
        <w:t>לנאשם רישום פלילי תעבורתי ותלויים ועומדים נגדו 7 חודשי מאסר על-תנאי שנגזרו עליו ב</w:t>
      </w:r>
      <w:hyperlink r:id="rId43" w:history="1">
        <w:r w:rsidRPr="00926237">
          <w:rPr>
            <w:rFonts w:ascii="FrankRuehl" w:hAnsi="FrankRuehl" w:cs="FrankRuehl"/>
            <w:color w:val="0000FF"/>
            <w:sz w:val="28"/>
            <w:szCs w:val="28"/>
            <w:u w:val="single"/>
            <w:rtl/>
          </w:rPr>
          <w:t>פ"ל 12564-03-18</w:t>
        </w:r>
      </w:hyperlink>
      <w:r w:rsidRPr="008F108E">
        <w:rPr>
          <w:rFonts w:ascii="FrankRuehl" w:hAnsi="FrankRuehl" w:cs="FrankRuehl" w:hint="cs"/>
          <w:sz w:val="28"/>
          <w:szCs w:val="28"/>
          <w:rtl/>
        </w:rPr>
        <w:t xml:space="preserve"> מיום 6.8.2019 וכן התחייבות בסך 5,000 ₪ (</w:t>
      </w:r>
      <w:r w:rsidRPr="008F108E">
        <w:rPr>
          <w:rFonts w:ascii="FrankRuehl" w:hAnsi="FrankRuehl" w:cs="FrankRuehl" w:hint="cs"/>
          <w:b/>
          <w:bCs/>
          <w:sz w:val="28"/>
          <w:szCs w:val="28"/>
          <w:rtl/>
        </w:rPr>
        <w:t>המאסר המותנה</w:t>
      </w:r>
      <w:r w:rsidRPr="008F108E">
        <w:rPr>
          <w:rFonts w:ascii="FrankRuehl" w:hAnsi="FrankRuehl" w:cs="FrankRuehl" w:hint="cs"/>
          <w:sz w:val="28"/>
          <w:szCs w:val="28"/>
          <w:rtl/>
        </w:rPr>
        <w:t xml:space="preserve">). </w:t>
      </w:r>
    </w:p>
    <w:p w14:paraId="630340A1"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hint="cs"/>
          <w:sz w:val="28"/>
          <w:szCs w:val="28"/>
          <w:rtl/>
        </w:rPr>
        <w:t xml:space="preserve">במסגרת הראיות לעונש שמעתי את אמו של הנאשם ואת בת-זוגו. </w:t>
      </w:r>
    </w:p>
    <w:p w14:paraId="0ED340D9" w14:textId="77777777" w:rsidR="00AF2B2F" w:rsidRPr="008F108E" w:rsidRDefault="00AF2B2F" w:rsidP="008F108E">
      <w:pPr>
        <w:spacing w:after="160" w:line="360" w:lineRule="auto"/>
        <w:jc w:val="both"/>
        <w:rPr>
          <w:rFonts w:ascii="FrankRuehl" w:hAnsi="FrankRuehl" w:cs="FrankRuehl"/>
          <w:b/>
          <w:bCs/>
          <w:sz w:val="28"/>
          <w:szCs w:val="28"/>
          <w:u w:val="single"/>
          <w:rtl/>
        </w:rPr>
      </w:pPr>
    </w:p>
    <w:p w14:paraId="596B8EEF" w14:textId="77777777" w:rsidR="00AF2B2F" w:rsidRPr="008F108E" w:rsidRDefault="00AF2B2F" w:rsidP="008F108E">
      <w:pPr>
        <w:spacing w:after="160" w:line="360" w:lineRule="auto"/>
        <w:jc w:val="both"/>
        <w:rPr>
          <w:rFonts w:ascii="FrankRuehl" w:hAnsi="FrankRuehl" w:cs="FrankRuehl"/>
          <w:b/>
          <w:bCs/>
          <w:sz w:val="28"/>
          <w:szCs w:val="28"/>
          <w:u w:val="single"/>
          <w:rtl/>
        </w:rPr>
      </w:pPr>
      <w:r w:rsidRPr="008F108E">
        <w:rPr>
          <w:rFonts w:ascii="FrankRuehl" w:hAnsi="FrankRuehl" w:cs="FrankRuehl"/>
          <w:b/>
          <w:bCs/>
          <w:sz w:val="28"/>
          <w:szCs w:val="28"/>
          <w:u w:val="single"/>
          <w:rtl/>
        </w:rPr>
        <w:t>טיעונים לעונש</w:t>
      </w:r>
    </w:p>
    <w:p w14:paraId="0E575951"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sz w:val="28"/>
          <w:szCs w:val="28"/>
          <w:rtl/>
        </w:rPr>
        <w:t xml:space="preserve">הצדדים לא הגיעו להסכמה עונשית. </w:t>
      </w:r>
    </w:p>
    <w:p w14:paraId="480A40E2" w14:textId="77777777" w:rsidR="00AF2B2F" w:rsidRPr="008F108E" w:rsidRDefault="00AF2B2F" w:rsidP="008F108E">
      <w:pPr>
        <w:spacing w:after="160" w:line="360" w:lineRule="auto"/>
        <w:jc w:val="both"/>
        <w:rPr>
          <w:rFonts w:ascii="FrankRuehl" w:hAnsi="FrankRuehl" w:cs="FrankRuehl"/>
          <w:sz w:val="28"/>
          <w:szCs w:val="28"/>
          <w:rtl/>
        </w:rPr>
      </w:pPr>
      <w:r w:rsidRPr="008F108E">
        <w:rPr>
          <w:rFonts w:ascii="FrankRuehl" w:hAnsi="FrankRuehl" w:cs="FrankRuehl"/>
          <w:sz w:val="28"/>
          <w:szCs w:val="28"/>
          <w:rtl/>
        </w:rPr>
        <w:t xml:space="preserve">מחד, </w:t>
      </w:r>
      <w:r w:rsidRPr="008F108E">
        <w:rPr>
          <w:rFonts w:ascii="FrankRuehl" w:hAnsi="FrankRuehl" w:cs="FrankRuehl" w:hint="cs"/>
          <w:sz w:val="28"/>
          <w:szCs w:val="28"/>
          <w:rtl/>
        </w:rPr>
        <w:t xml:space="preserve">ב"כ </w:t>
      </w:r>
      <w:r w:rsidRPr="008F108E">
        <w:rPr>
          <w:rFonts w:ascii="FrankRuehl" w:hAnsi="FrankRuehl" w:cs="FrankRuehl"/>
          <w:sz w:val="28"/>
          <w:szCs w:val="28"/>
          <w:rtl/>
        </w:rPr>
        <w:t xml:space="preserve">המאשימה </w:t>
      </w:r>
      <w:r w:rsidRPr="008F108E">
        <w:rPr>
          <w:rFonts w:ascii="FrankRuehl" w:hAnsi="FrankRuehl" w:cs="FrankRuehl" w:hint="cs"/>
          <w:sz w:val="28"/>
          <w:szCs w:val="28"/>
          <w:rtl/>
        </w:rPr>
        <w:t xml:space="preserve">עתר להטיל על הנאשם עונש מאסר משמעותי ולהפעיל את המאסר המותנה במצטבר בנוסף לענישה נלווית. </w:t>
      </w:r>
    </w:p>
    <w:p w14:paraId="4C67EA61" w14:textId="77777777" w:rsidR="00AF2B2F" w:rsidRPr="008F108E" w:rsidRDefault="00AF2B2F" w:rsidP="008F108E">
      <w:pPr>
        <w:spacing w:after="160" w:line="360" w:lineRule="auto"/>
        <w:jc w:val="both"/>
        <w:rPr>
          <w:rFonts w:ascii="FrankRuehl" w:hAnsi="FrankRuehl" w:cs="FrankRuehl"/>
          <w:b/>
          <w:bCs/>
          <w:sz w:val="28"/>
          <w:szCs w:val="28"/>
          <w:u w:val="single"/>
          <w:rtl/>
        </w:rPr>
      </w:pPr>
      <w:r w:rsidRPr="008F108E">
        <w:rPr>
          <w:rFonts w:ascii="FrankRuehl" w:hAnsi="FrankRuehl" w:cs="FrankRuehl"/>
          <w:sz w:val="28"/>
          <w:szCs w:val="28"/>
          <w:rtl/>
        </w:rPr>
        <w:t xml:space="preserve">מאידך, הסניגור טוען כי ניתן להסתפק בעונש </w:t>
      </w:r>
      <w:r w:rsidRPr="008F108E">
        <w:rPr>
          <w:rFonts w:ascii="FrankRuehl" w:hAnsi="FrankRuehl" w:cs="FrankRuehl" w:hint="cs"/>
          <w:sz w:val="28"/>
          <w:szCs w:val="28"/>
          <w:rtl/>
        </w:rPr>
        <w:t xml:space="preserve">מינימלי על-מנת למעט את פגיעתו בנאשם ובמשפחתו הטריה. </w:t>
      </w:r>
    </w:p>
    <w:p w14:paraId="499761A1" w14:textId="77777777" w:rsidR="00AF2B2F" w:rsidRPr="008F108E" w:rsidRDefault="00AF2B2F" w:rsidP="008F108E">
      <w:pPr>
        <w:spacing w:line="360" w:lineRule="auto"/>
        <w:jc w:val="both"/>
        <w:rPr>
          <w:rFonts w:ascii="FrankRuehl" w:hAnsi="FrankRuehl" w:cs="FrankRuehl"/>
          <w:b/>
          <w:bCs/>
          <w:sz w:val="28"/>
          <w:szCs w:val="28"/>
          <w:u w:val="single"/>
        </w:rPr>
      </w:pPr>
      <w:r w:rsidRPr="008F108E">
        <w:rPr>
          <w:rFonts w:ascii="FrankRuehl" w:hAnsi="FrankRuehl" w:cs="FrankRuehl"/>
          <w:b/>
          <w:bCs/>
          <w:sz w:val="28"/>
          <w:szCs w:val="28"/>
          <w:u w:val="single"/>
          <w:rtl/>
        </w:rPr>
        <w:t xml:space="preserve">מתחם הענישה </w:t>
      </w:r>
      <w:r w:rsidRPr="008F108E">
        <w:rPr>
          <w:rFonts w:ascii="FrankRuehl" w:hAnsi="FrankRuehl"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4F8947E3" w14:textId="77777777" w:rsidR="00AF2B2F" w:rsidRPr="008F108E" w:rsidRDefault="00AF2B2F" w:rsidP="008F108E">
      <w:pPr>
        <w:spacing w:line="360" w:lineRule="auto"/>
        <w:jc w:val="both"/>
        <w:rPr>
          <w:rFonts w:ascii="FrankRuehl" w:hAnsi="FrankRuehl" w:cs="FrankRuehl"/>
          <w:b/>
          <w:bCs/>
          <w:sz w:val="28"/>
          <w:szCs w:val="28"/>
          <w:u w:val="single"/>
          <w:rtl/>
        </w:rPr>
      </w:pPr>
    </w:p>
    <w:p w14:paraId="6097A69B" w14:textId="77777777" w:rsidR="00AF2B2F" w:rsidRPr="008F108E" w:rsidRDefault="00AF2B2F" w:rsidP="008F108E">
      <w:pPr>
        <w:spacing w:line="360" w:lineRule="auto"/>
        <w:jc w:val="both"/>
        <w:rPr>
          <w:rFonts w:ascii="FrankRuehl" w:hAnsi="FrankRuehl" w:cs="FrankRuehl"/>
          <w:sz w:val="28"/>
          <w:szCs w:val="28"/>
          <w:rtl/>
        </w:rPr>
      </w:pPr>
      <w:r w:rsidRPr="008F108E">
        <w:rPr>
          <w:rFonts w:ascii="FrankRuehl" w:hAnsi="FrankRuehl" w:cs="FrankRuehl"/>
          <w:b/>
          <w:bCs/>
          <w:sz w:val="28"/>
          <w:szCs w:val="28"/>
          <w:u w:val="single"/>
          <w:rtl/>
        </w:rPr>
        <w:t xml:space="preserve">אשר לערך המוגן </w:t>
      </w:r>
      <w:r w:rsidRPr="008F108E">
        <w:rPr>
          <w:rFonts w:ascii="FrankRuehl" w:hAnsi="FrankRuehl" w:cs="FrankRuehl"/>
          <w:sz w:val="28"/>
          <w:szCs w:val="28"/>
          <w:rtl/>
        </w:rPr>
        <w:t xml:space="preserve">– </w:t>
      </w:r>
      <w:r w:rsidRPr="008F108E">
        <w:rPr>
          <w:rFonts w:ascii="FrankRuehl" w:hAnsi="FrankRuehl" w:cs="FrankRuehl" w:hint="cs"/>
          <w:sz w:val="28"/>
          <w:szCs w:val="28"/>
          <w:rtl/>
        </w:rPr>
        <w:t xml:space="preserve">עבירות סחר בסמים פוגעות בערכים המוגנים של שלום הציבור, בריאותו וביטחונו. בית המשפט העליון ציוונו כי יש לבכר אינטרסים של הלימה וגמול בכל הנוגע לסוחרים בסם. בהקשר זה ר' דברי </w:t>
      </w:r>
      <w:r w:rsidRPr="008F108E">
        <w:rPr>
          <w:rFonts w:ascii="FrankRuehl" w:hAnsi="FrankRuehl" w:cs="FrankRuehl"/>
          <w:sz w:val="28"/>
          <w:szCs w:val="28"/>
          <w:rtl/>
        </w:rPr>
        <w:t>כב' השופט עמית בפרשה שעניינה סחר ב"טלגראס":</w:t>
      </w:r>
    </w:p>
    <w:p w14:paraId="34DF6BAA" w14:textId="77777777" w:rsidR="00AF2B2F" w:rsidRPr="008F108E" w:rsidRDefault="00AF2B2F" w:rsidP="008F108E">
      <w:pPr>
        <w:ind w:left="680" w:right="680"/>
        <w:jc w:val="both"/>
        <w:rPr>
          <w:rFonts w:ascii="FrankRuehl" w:hAnsi="FrankRuehl" w:cs="FrankRuehl"/>
          <w:sz w:val="28"/>
          <w:szCs w:val="28"/>
          <w:rtl/>
        </w:rPr>
      </w:pPr>
      <w:r w:rsidRPr="008F108E">
        <w:rPr>
          <w:rFonts w:ascii="FrankRuehl" w:hAnsi="FrankRuehl" w:cs="FrankRuehl"/>
          <w:sz w:val="28"/>
          <w:szCs w:val="28"/>
          <w:rtl/>
        </w:rPr>
        <w:t>"לפני סיום, ארשום הערת אזהרה לפני הצרכנים והמשתמשים.</w:t>
      </w:r>
    </w:p>
    <w:p w14:paraId="7A322D0D" w14:textId="77777777" w:rsidR="00AF2B2F" w:rsidRPr="008F108E" w:rsidRDefault="00AF2B2F" w:rsidP="008F108E">
      <w:pPr>
        <w:ind w:left="680" w:right="680"/>
        <w:jc w:val="both"/>
        <w:rPr>
          <w:rFonts w:ascii="FrankRuehl" w:hAnsi="FrankRuehl" w:cs="FrankRuehl"/>
          <w:sz w:val="28"/>
          <w:szCs w:val="28"/>
          <w:rtl/>
        </w:rPr>
      </w:pPr>
      <w:r w:rsidRPr="008F108E">
        <w:rPr>
          <w:rFonts w:ascii="FrankRuehl" w:hAnsi="FrankRuehl" w:cs="FrankRuehl"/>
          <w:sz w:val="28"/>
          <w:szCs w:val="28"/>
          <w:rtl/>
        </w:rPr>
        <w:t xml:space="preserve">ריבוי המקרים המובאים לפנינו בעת האחרונה – של גידול, ייצור והפקת קנביס לשם הפצה ומכירה, כמו גם הפצה ומכירה של קנביס תוך שימוש באפליקציית ה'טלגראס', מעוררים את התחושה, שהגם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w:t>
      </w:r>
      <w:r w:rsidRPr="008F108E">
        <w:rPr>
          <w:rFonts w:ascii="FrankRuehl" w:hAnsi="FrankRuehl" w:cs="FrankRuehl"/>
          <w:b/>
          <w:bCs/>
          <w:sz w:val="28"/>
          <w:szCs w:val="28"/>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רבה עבירות של סחר והפצה של סמים מסוכנים, גם סמים "קלים", תוך הטלת ענישה משמעותית ומרתיעה. צרכנים ומשתמשים – ראו הוזהרתם</w:t>
      </w:r>
      <w:r w:rsidRPr="008F108E">
        <w:rPr>
          <w:rFonts w:ascii="FrankRuehl" w:hAnsi="FrankRuehl" w:cs="FrankRuehl"/>
          <w:sz w:val="28"/>
          <w:szCs w:val="28"/>
          <w:rtl/>
        </w:rPr>
        <w:t>" [</w:t>
      </w:r>
      <w:hyperlink r:id="rId44" w:history="1">
        <w:r w:rsidRPr="00926237">
          <w:rPr>
            <w:rFonts w:ascii="FrankRuehl" w:hAnsi="FrankRuehl" w:cs="FrankRuehl"/>
            <w:color w:val="0000FF"/>
            <w:sz w:val="28"/>
            <w:szCs w:val="28"/>
            <w:u w:val="single"/>
            <w:rtl/>
          </w:rPr>
          <w:t>ע"פ 2596/18</w:t>
        </w:r>
      </w:hyperlink>
      <w:r w:rsidRPr="008F108E">
        <w:rPr>
          <w:rFonts w:ascii="FrankRuehl" w:hAnsi="FrankRuehl" w:cs="FrankRuehl"/>
          <w:sz w:val="28"/>
          <w:szCs w:val="28"/>
          <w:rtl/>
        </w:rPr>
        <w:t xml:space="preserve"> </w:t>
      </w:r>
      <w:r w:rsidRPr="008F108E">
        <w:rPr>
          <w:rFonts w:ascii="FrankRuehl" w:hAnsi="FrankRuehl" w:cs="FrankRuehl"/>
          <w:b/>
          <w:bCs/>
          <w:sz w:val="28"/>
          <w:szCs w:val="28"/>
          <w:u w:val="single"/>
          <w:rtl/>
        </w:rPr>
        <w:t>זנזורי</w:t>
      </w:r>
      <w:r w:rsidRPr="008F108E">
        <w:rPr>
          <w:rFonts w:ascii="FrankRuehl" w:hAnsi="FrankRuehl" w:cs="FrankRuehl"/>
          <w:sz w:val="28"/>
          <w:szCs w:val="28"/>
          <w:rtl/>
        </w:rPr>
        <w:t xml:space="preserve"> נ' </w:t>
      </w:r>
      <w:r w:rsidRPr="008F108E">
        <w:rPr>
          <w:rFonts w:ascii="FrankRuehl" w:hAnsi="FrankRuehl" w:cs="FrankRuehl"/>
          <w:b/>
          <w:bCs/>
          <w:sz w:val="28"/>
          <w:szCs w:val="28"/>
          <w:u w:val="single"/>
          <w:rtl/>
        </w:rPr>
        <w:t>מ"י</w:t>
      </w:r>
      <w:r w:rsidRPr="008F108E">
        <w:rPr>
          <w:rFonts w:ascii="FrankRuehl" w:hAnsi="FrankRuehl" w:cs="FrankRuehl"/>
          <w:sz w:val="28"/>
          <w:szCs w:val="28"/>
          <w:rtl/>
        </w:rPr>
        <w:t xml:space="preserve"> (מיום 12.8.2018) בפסקה 8 – ההדגשות הוספו].</w:t>
      </w:r>
    </w:p>
    <w:p w14:paraId="71F732D2" w14:textId="77777777" w:rsidR="00AF2B2F" w:rsidRPr="008F108E" w:rsidRDefault="00AF2B2F" w:rsidP="008F108E">
      <w:pPr>
        <w:spacing w:line="360" w:lineRule="auto"/>
        <w:jc w:val="both"/>
        <w:rPr>
          <w:rFonts w:ascii="FrankRuehl" w:hAnsi="FrankRuehl" w:cs="FrankRuehl"/>
          <w:sz w:val="28"/>
          <w:szCs w:val="28"/>
          <w:rtl/>
        </w:rPr>
      </w:pPr>
    </w:p>
    <w:p w14:paraId="3365A018" w14:textId="77777777" w:rsidR="00AF2B2F" w:rsidRPr="008F108E" w:rsidRDefault="00AF2B2F" w:rsidP="008F108E">
      <w:pPr>
        <w:spacing w:line="360" w:lineRule="auto"/>
        <w:jc w:val="both"/>
        <w:rPr>
          <w:rFonts w:ascii="FrankRuehl" w:hAnsi="FrankRuehl" w:cs="FrankRuehl"/>
          <w:sz w:val="28"/>
          <w:szCs w:val="28"/>
          <w:rtl/>
        </w:rPr>
      </w:pPr>
    </w:p>
    <w:p w14:paraId="5CBB91A8" w14:textId="77777777" w:rsidR="00AF2B2F" w:rsidRPr="008F108E" w:rsidRDefault="00AF2B2F" w:rsidP="008F108E">
      <w:pPr>
        <w:spacing w:line="360" w:lineRule="auto"/>
        <w:jc w:val="both"/>
        <w:rPr>
          <w:rFonts w:ascii="FrankRuehl" w:hAnsi="FrankRuehl" w:cs="FrankRuehl"/>
          <w:sz w:val="28"/>
          <w:szCs w:val="28"/>
          <w:rtl/>
        </w:rPr>
      </w:pPr>
      <w:r w:rsidRPr="008F108E">
        <w:rPr>
          <w:rFonts w:ascii="FrankRuehl" w:hAnsi="FrankRuehl" w:cs="FrankRuehl"/>
          <w:b/>
          <w:bCs/>
          <w:sz w:val="28"/>
          <w:szCs w:val="28"/>
          <w:u w:val="single"/>
          <w:rtl/>
        </w:rPr>
        <w:t xml:space="preserve">נסיבות הקשורות בביצוע העבירה, לפי </w:t>
      </w:r>
      <w:hyperlink r:id="rId45" w:history="1">
        <w:r w:rsidRPr="00AF2B2F">
          <w:rPr>
            <w:rStyle w:val="Hyperlink"/>
            <w:rFonts w:ascii="FrankRuehl" w:hAnsi="FrankRuehl" w:cs="FrankRuehl"/>
            <w:b/>
            <w:bCs/>
            <w:sz w:val="28"/>
            <w:szCs w:val="28"/>
            <w:rtl/>
          </w:rPr>
          <w:t>סעיף 40ט'</w:t>
        </w:r>
      </w:hyperlink>
      <w:r w:rsidRPr="008F108E">
        <w:rPr>
          <w:rFonts w:ascii="FrankRuehl" w:hAnsi="FrankRuehl" w:cs="FrankRuehl"/>
          <w:b/>
          <w:bCs/>
          <w:sz w:val="28"/>
          <w:szCs w:val="28"/>
          <w:u w:val="single"/>
          <w:rtl/>
        </w:rPr>
        <w:t xml:space="preserve"> ל</w:t>
      </w:r>
      <w:hyperlink r:id="rId46" w:history="1">
        <w:r w:rsidRPr="00926237">
          <w:rPr>
            <w:rFonts w:ascii="FrankRuehl" w:hAnsi="FrankRuehl" w:cs="FrankRuehl"/>
            <w:b/>
            <w:bCs/>
            <w:color w:val="0000FF"/>
            <w:sz w:val="28"/>
            <w:szCs w:val="28"/>
            <w:u w:val="single"/>
            <w:rtl/>
          </w:rPr>
          <w:t>חוק העונשין</w:t>
        </w:r>
      </w:hyperlink>
      <w:r w:rsidRPr="008F108E">
        <w:rPr>
          <w:rFonts w:ascii="FrankRuehl" w:hAnsi="FrankRuehl" w:cs="FrankRuehl"/>
          <w:b/>
          <w:bCs/>
          <w:sz w:val="28"/>
          <w:szCs w:val="28"/>
          <w:rtl/>
        </w:rPr>
        <w:t xml:space="preserve"> – </w:t>
      </w:r>
      <w:r w:rsidRPr="008F108E">
        <w:rPr>
          <w:rFonts w:ascii="FrankRuehl" w:hAnsi="FrankRuehl" w:cs="FrankRuehl"/>
          <w:sz w:val="28"/>
          <w:szCs w:val="28"/>
          <w:rtl/>
        </w:rPr>
        <w:t xml:space="preserve">בין הנסיבות הקשורות בביצוע העבירה יש לשקול את אלה, לעניין קביעת המתחם: </w:t>
      </w:r>
      <w:r w:rsidRPr="008F108E">
        <w:rPr>
          <w:rFonts w:ascii="FrankRuehl" w:hAnsi="FrankRuehl" w:cs="FrankRuehl" w:hint="cs"/>
          <w:sz w:val="28"/>
          <w:szCs w:val="28"/>
          <w:rtl/>
        </w:rPr>
        <w:t>מדובר בעבירות מתוכננות שבוצעו מתוך בצע כסף תוך הפצת סמים לכל דורש באופן שיטתי. התכנון והביצוע המקצועיים הם נסיבות לחומרה כאשר חומרת הדבר עולה על העובדה שמדובר בסם "קל" מסוג קנביס; הנאשם אחראי בלעדית למעשיו וצריך היה להימנע מהם. הנזק שנגרם מהפצת הסם לכל דורש הוא גדול, והנזק הפוטנציאלי ידוע. בתיק המצורף מדובר בעבירה מתוכננת שבוצעה בצוותא, כשהסמים הוחזקו באופנוע, ומכאן גם הסיכון לציבור המשתמשים בדרך. כמות הסם וטיבו אינן נסיבות לחומרא. אשר לתיק פתח תקווה, מדובר בעבירה מתוכננת ומודעת שיש בה משום סיכון חיי אדם ברף גבוה, וזלזול בהוראות בית המשפט. הנאשם אחראי באופן בלעדי למעשים. עצם הנהיגה באותם תנאים היא בגדר נזק שכבר התרחש.</w:t>
      </w:r>
    </w:p>
    <w:p w14:paraId="22CFCB2D" w14:textId="77777777" w:rsidR="00AF2B2F" w:rsidRPr="008F108E" w:rsidRDefault="00AF2B2F" w:rsidP="008F108E">
      <w:pPr>
        <w:spacing w:line="360" w:lineRule="auto"/>
        <w:jc w:val="both"/>
        <w:rPr>
          <w:rFonts w:ascii="FrankRuehl" w:hAnsi="FrankRuehl" w:cs="FrankRuehl"/>
          <w:b/>
          <w:bCs/>
          <w:sz w:val="28"/>
          <w:szCs w:val="28"/>
          <w:u w:val="single"/>
        </w:rPr>
      </w:pPr>
    </w:p>
    <w:p w14:paraId="18B23B77" w14:textId="77777777" w:rsidR="00AF2B2F" w:rsidRPr="008F108E" w:rsidRDefault="00AF2B2F" w:rsidP="008F108E">
      <w:pPr>
        <w:spacing w:line="360" w:lineRule="auto"/>
        <w:jc w:val="both"/>
        <w:rPr>
          <w:rFonts w:ascii="FrankRuehl" w:hAnsi="FrankRuehl" w:cs="FrankRuehl"/>
          <w:sz w:val="28"/>
          <w:szCs w:val="28"/>
          <w:rtl/>
        </w:rPr>
      </w:pPr>
      <w:r w:rsidRPr="008F108E">
        <w:rPr>
          <w:rFonts w:ascii="FrankRuehl" w:hAnsi="FrankRuehl" w:cs="FrankRuehl"/>
          <w:b/>
          <w:bCs/>
          <w:sz w:val="28"/>
          <w:szCs w:val="28"/>
          <w:u w:val="single"/>
          <w:rtl/>
        </w:rPr>
        <w:t>מדיניות הענישה הנוהגת</w:t>
      </w:r>
      <w:r w:rsidRPr="008F108E">
        <w:rPr>
          <w:rFonts w:ascii="FrankRuehl" w:hAnsi="FrankRuehl" w:cs="FrankRuehl"/>
          <w:b/>
          <w:bCs/>
          <w:sz w:val="28"/>
          <w:szCs w:val="28"/>
          <w:rtl/>
        </w:rPr>
        <w:t xml:space="preserve"> – </w:t>
      </w:r>
      <w:r w:rsidRPr="008F108E">
        <w:rPr>
          <w:rFonts w:ascii="FrankRuehl" w:hAnsi="FrankRuehl" w:cs="FrankRuehl"/>
          <w:sz w:val="28"/>
          <w:szCs w:val="28"/>
          <w:rtl/>
        </w:rPr>
        <w:t xml:space="preserve">הכלל בעבירות סחר בסמים הוא מאסר בפועל, כשלרוב, יש לתת בכורה לשיקולי הרתעה וגמול, על-פני האינטרסים האישיים של נאשם, לרבות שיקומו. ר' בהקשר זה: רע"פ </w:t>
      </w:r>
      <w:hyperlink r:id="rId47" w:history="1">
        <w:r w:rsidR="00D03201" w:rsidRPr="00D03201">
          <w:rPr>
            <w:rFonts w:ascii="FrankRuehl" w:hAnsi="FrankRuehl" w:cs="FrankRuehl"/>
            <w:color w:val="0000FF"/>
            <w:sz w:val="28"/>
            <w:szCs w:val="28"/>
            <w:u w:val="single"/>
            <w:rtl/>
          </w:rPr>
          <w:t xml:space="preserve">3343/07 </w:t>
        </w:r>
      </w:hyperlink>
      <w:r w:rsidRPr="008F108E">
        <w:rPr>
          <w:rFonts w:ascii="FrankRuehl" w:hAnsi="FrankRuehl" w:cs="FrankRuehl"/>
          <w:sz w:val="28"/>
          <w:szCs w:val="28"/>
          <w:rtl/>
        </w:rPr>
        <w:t xml:space="preserve"> </w:t>
      </w:r>
      <w:r w:rsidRPr="008F108E">
        <w:rPr>
          <w:rFonts w:ascii="FrankRuehl" w:hAnsi="FrankRuehl" w:cs="FrankRuehl"/>
          <w:b/>
          <w:bCs/>
          <w:sz w:val="28"/>
          <w:szCs w:val="28"/>
          <w:u w:val="single"/>
          <w:rtl/>
        </w:rPr>
        <w:t>מכאוי</w:t>
      </w:r>
      <w:r w:rsidRPr="008F108E">
        <w:rPr>
          <w:rFonts w:ascii="FrankRuehl" w:hAnsi="FrankRuehl" w:cs="FrankRuehl"/>
          <w:sz w:val="28"/>
          <w:szCs w:val="28"/>
          <w:rtl/>
        </w:rPr>
        <w:t xml:space="preserve"> נ' </w:t>
      </w:r>
      <w:r w:rsidRPr="008F108E">
        <w:rPr>
          <w:rFonts w:ascii="FrankRuehl" w:hAnsi="FrankRuehl" w:cs="FrankRuehl"/>
          <w:b/>
          <w:bCs/>
          <w:sz w:val="28"/>
          <w:szCs w:val="28"/>
          <w:u w:val="single"/>
          <w:rtl/>
        </w:rPr>
        <w:t>מ"</w:t>
      </w:r>
      <w:r w:rsidRPr="008F108E">
        <w:rPr>
          <w:rFonts w:ascii="FrankRuehl" w:hAnsi="FrankRuehl" w:cs="FrankRuehl"/>
          <w:sz w:val="28"/>
          <w:szCs w:val="28"/>
          <w:rtl/>
        </w:rPr>
        <w:t>י (מיום 26.7.2017). ב</w:t>
      </w:r>
      <w:hyperlink r:id="rId48" w:history="1">
        <w:r w:rsidRPr="00926237">
          <w:rPr>
            <w:rFonts w:ascii="FrankRuehl" w:hAnsi="FrankRuehl" w:cs="FrankRuehl"/>
            <w:color w:val="0000FF"/>
            <w:sz w:val="28"/>
            <w:szCs w:val="28"/>
            <w:u w:val="single"/>
            <w:rtl/>
          </w:rPr>
          <w:t>רע"פ 7996/12</w:t>
        </w:r>
      </w:hyperlink>
      <w:r w:rsidRPr="008F108E">
        <w:rPr>
          <w:rFonts w:ascii="FrankRuehl" w:hAnsi="FrankRuehl" w:cs="FrankRuehl"/>
          <w:sz w:val="28"/>
          <w:szCs w:val="28"/>
          <w:rtl/>
        </w:rPr>
        <w:t xml:space="preserve"> </w:t>
      </w:r>
      <w:r w:rsidRPr="008F108E">
        <w:rPr>
          <w:rFonts w:ascii="FrankRuehl" w:hAnsi="FrankRuehl" w:cs="FrankRuehl"/>
          <w:b/>
          <w:bCs/>
          <w:sz w:val="28"/>
          <w:szCs w:val="28"/>
          <w:u w:val="single"/>
          <w:rtl/>
        </w:rPr>
        <w:t>יוסף</w:t>
      </w:r>
      <w:r w:rsidRPr="008F108E">
        <w:rPr>
          <w:rFonts w:ascii="FrankRuehl" w:hAnsi="FrankRuehl" w:cs="FrankRuehl"/>
          <w:sz w:val="28"/>
          <w:szCs w:val="28"/>
          <w:rtl/>
        </w:rPr>
        <w:t xml:space="preserve"> נ' </w:t>
      </w:r>
      <w:r w:rsidRPr="008F108E">
        <w:rPr>
          <w:rFonts w:ascii="FrankRuehl" w:hAnsi="FrankRuehl" w:cs="FrankRuehl"/>
          <w:b/>
          <w:bCs/>
          <w:sz w:val="28"/>
          <w:szCs w:val="28"/>
          <w:u w:val="single"/>
          <w:rtl/>
        </w:rPr>
        <w:t>מ"</w:t>
      </w:r>
      <w:r w:rsidRPr="008F108E">
        <w:rPr>
          <w:rFonts w:ascii="FrankRuehl" w:hAnsi="FrankRuehl" w:cs="FrankRuehl"/>
          <w:sz w:val="28"/>
          <w:szCs w:val="28"/>
          <w:rtl/>
        </w:rPr>
        <w:t>י (מיום 23.1.2013) נקבע מתחם ענישה בין 7 ל-18 חודשים בנסיבות של 4 מקרי סחר בחשיש וסחר בקוקאין (גרמים בודדים), ונאשם נדון ל-21 חודשי מאסר בגין מעשים נוספים; ב</w:t>
      </w:r>
      <w:hyperlink r:id="rId49" w:history="1">
        <w:r w:rsidRPr="00926237">
          <w:rPr>
            <w:rFonts w:ascii="FrankRuehl" w:hAnsi="FrankRuehl" w:cs="FrankRuehl"/>
            <w:color w:val="0000FF"/>
            <w:sz w:val="28"/>
            <w:szCs w:val="28"/>
            <w:u w:val="single"/>
            <w:rtl/>
          </w:rPr>
          <w:t>רע"פ 1370/17</w:t>
        </w:r>
      </w:hyperlink>
      <w:r w:rsidRPr="008F108E">
        <w:rPr>
          <w:rFonts w:ascii="FrankRuehl" w:hAnsi="FrankRuehl" w:cs="FrankRuehl"/>
          <w:sz w:val="28"/>
          <w:szCs w:val="28"/>
          <w:rtl/>
        </w:rPr>
        <w:t xml:space="preserve"> </w:t>
      </w:r>
      <w:r w:rsidRPr="008F108E">
        <w:rPr>
          <w:rFonts w:ascii="FrankRuehl" w:hAnsi="FrankRuehl" w:cs="FrankRuehl"/>
          <w:b/>
          <w:bCs/>
          <w:sz w:val="28"/>
          <w:szCs w:val="28"/>
          <w:u w:val="single"/>
          <w:rtl/>
        </w:rPr>
        <w:t>בן נעים</w:t>
      </w:r>
      <w:r w:rsidRPr="008F108E">
        <w:rPr>
          <w:rFonts w:ascii="FrankRuehl" w:hAnsi="FrankRuehl" w:cs="FrankRuehl"/>
          <w:sz w:val="28"/>
          <w:szCs w:val="28"/>
          <w:rtl/>
        </w:rPr>
        <w:t xml:space="preserve"> נ' </w:t>
      </w:r>
      <w:r w:rsidRPr="008F108E">
        <w:rPr>
          <w:rFonts w:ascii="FrankRuehl" w:hAnsi="FrankRuehl" w:cs="FrankRuehl"/>
          <w:b/>
          <w:bCs/>
          <w:sz w:val="28"/>
          <w:szCs w:val="28"/>
          <w:u w:val="single"/>
          <w:rtl/>
        </w:rPr>
        <w:t>מ"י</w:t>
      </w:r>
      <w:r w:rsidRPr="008F108E">
        <w:rPr>
          <w:rFonts w:ascii="FrankRuehl" w:hAnsi="FrankRuehl" w:cs="FrankRuehl"/>
          <w:sz w:val="28"/>
          <w:szCs w:val="28"/>
          <w:rtl/>
        </w:rPr>
        <w:t xml:space="preserve"> (מיום 20.4.2017) נדון אדם ל-16 חודשי מאסר וחילוט, על בסיס מתחם שבין 12 ל-24 חודשי מאסר לגבי ריבוי מקרים של סחר בחשיש, אך בכמויות גדולות יותר ממקרנו, לרבות בפלטת חשיש. יצוין, כי להבדיל ממקרנו, באותו מקרה דובר גם באישום של סחר בלמעלה מקילוגרם חשיש; ב</w:t>
      </w:r>
      <w:hyperlink r:id="rId50" w:history="1">
        <w:r w:rsidRPr="00926237">
          <w:rPr>
            <w:rFonts w:ascii="FrankRuehl" w:hAnsi="FrankRuehl" w:cs="FrankRuehl"/>
            <w:color w:val="0000FF"/>
            <w:sz w:val="28"/>
            <w:szCs w:val="28"/>
            <w:u w:val="single"/>
            <w:rtl/>
          </w:rPr>
          <w:t>רע"פ 2139/16</w:t>
        </w:r>
      </w:hyperlink>
      <w:r w:rsidRPr="008F108E">
        <w:rPr>
          <w:rFonts w:ascii="FrankRuehl" w:hAnsi="FrankRuehl" w:cs="FrankRuehl"/>
          <w:sz w:val="28"/>
          <w:szCs w:val="28"/>
          <w:rtl/>
        </w:rPr>
        <w:t xml:space="preserve"> </w:t>
      </w:r>
      <w:r w:rsidRPr="008F108E">
        <w:rPr>
          <w:rFonts w:ascii="FrankRuehl" w:hAnsi="FrankRuehl" w:cs="FrankRuehl"/>
          <w:b/>
          <w:bCs/>
          <w:sz w:val="28"/>
          <w:szCs w:val="28"/>
          <w:u w:val="single"/>
          <w:rtl/>
        </w:rPr>
        <w:t>אברמס</w:t>
      </w:r>
      <w:r w:rsidRPr="008F108E">
        <w:rPr>
          <w:rFonts w:ascii="FrankRuehl" w:hAnsi="FrankRuehl" w:cs="FrankRuehl"/>
          <w:sz w:val="28"/>
          <w:szCs w:val="28"/>
          <w:rtl/>
        </w:rPr>
        <w:t xml:space="preserve"> נ' </w:t>
      </w:r>
      <w:r w:rsidRPr="008F108E">
        <w:rPr>
          <w:rFonts w:ascii="FrankRuehl" w:hAnsi="FrankRuehl" w:cs="FrankRuehl"/>
          <w:b/>
          <w:bCs/>
          <w:sz w:val="28"/>
          <w:szCs w:val="28"/>
          <w:u w:val="single"/>
          <w:rtl/>
        </w:rPr>
        <w:t>מ"י</w:t>
      </w:r>
      <w:r w:rsidRPr="008F108E">
        <w:rPr>
          <w:rFonts w:ascii="FrankRuehl" w:hAnsi="FrankRuehl" w:cs="FrankRuehl"/>
          <w:sz w:val="28"/>
          <w:szCs w:val="28"/>
          <w:rtl/>
        </w:rPr>
        <w:t xml:space="preserve"> (מיום 18.5.2016) אושר מתחם שבין 8 ל-27 חודשי מאסר ביחס לריבוי מקרים של סחר בחשיש, אם כי בכמויות גדולות לכל עסקה, מאשר במקרנו. שם הנאשם נדון ל-8 חודשי מאסר בפועל; ב</w:t>
      </w:r>
      <w:hyperlink r:id="rId51" w:history="1">
        <w:r w:rsidRPr="00926237">
          <w:rPr>
            <w:rFonts w:ascii="FrankRuehl" w:hAnsi="FrankRuehl" w:cs="FrankRuehl"/>
            <w:color w:val="0000FF"/>
            <w:sz w:val="28"/>
            <w:szCs w:val="28"/>
            <w:u w:val="single"/>
            <w:rtl/>
          </w:rPr>
          <w:t>עפ"ג (חיפה) 23794-09-17</w:t>
        </w:r>
      </w:hyperlink>
      <w:r w:rsidRPr="008F108E">
        <w:rPr>
          <w:rFonts w:ascii="FrankRuehl" w:hAnsi="FrankRuehl" w:cs="FrankRuehl"/>
          <w:sz w:val="28"/>
          <w:szCs w:val="28"/>
          <w:rtl/>
        </w:rPr>
        <w:t xml:space="preserve"> </w:t>
      </w:r>
      <w:r w:rsidRPr="008F108E">
        <w:rPr>
          <w:rFonts w:ascii="FrankRuehl" w:hAnsi="FrankRuehl" w:cs="FrankRuehl"/>
          <w:b/>
          <w:bCs/>
          <w:sz w:val="28"/>
          <w:szCs w:val="28"/>
          <w:u w:val="single"/>
          <w:rtl/>
        </w:rPr>
        <w:t>ג'בארין</w:t>
      </w:r>
      <w:r w:rsidRPr="008F108E">
        <w:rPr>
          <w:rFonts w:ascii="FrankRuehl" w:hAnsi="FrankRuehl" w:cs="FrankRuehl"/>
          <w:sz w:val="28"/>
          <w:szCs w:val="28"/>
          <w:rtl/>
        </w:rPr>
        <w:t xml:space="preserve"> נ' </w:t>
      </w:r>
      <w:r w:rsidRPr="008F108E">
        <w:rPr>
          <w:rFonts w:ascii="FrankRuehl" w:hAnsi="FrankRuehl" w:cs="FrankRuehl"/>
          <w:b/>
          <w:bCs/>
          <w:sz w:val="28"/>
          <w:szCs w:val="28"/>
          <w:u w:val="single"/>
          <w:rtl/>
        </w:rPr>
        <w:t>מ"י</w:t>
      </w:r>
      <w:r w:rsidRPr="008F108E">
        <w:rPr>
          <w:rFonts w:ascii="FrankRuehl" w:hAnsi="FrankRuehl" w:cs="FrankRuehl"/>
          <w:sz w:val="28"/>
          <w:szCs w:val="28"/>
          <w:rtl/>
        </w:rPr>
        <w:t xml:space="preserve"> (מיום 26.10.2017) אושר מתחם שבין חודשים ספורים ועד 18 חודשי מאסר למספר אישומים הנוגעים לסחר בחשיש אל מול סוכן בכמויות משתנות שבין 8 ל-90 גרם. שם הוטלו בין 10 ל-17 חודשי מאסר על נאשמים שונים בהתאם לנסיבותיהם המשתנות; ב</w:t>
      </w:r>
      <w:hyperlink r:id="rId52" w:history="1">
        <w:r w:rsidRPr="00926237">
          <w:rPr>
            <w:rFonts w:ascii="FrankRuehl" w:hAnsi="FrankRuehl" w:cs="FrankRuehl"/>
            <w:color w:val="0000FF"/>
            <w:sz w:val="28"/>
            <w:szCs w:val="28"/>
            <w:u w:val="single"/>
            <w:rtl/>
          </w:rPr>
          <w:t>עפ"ג (י-ם) 10175-02-16</w:t>
        </w:r>
      </w:hyperlink>
      <w:r w:rsidRPr="008F108E">
        <w:rPr>
          <w:rFonts w:ascii="FrankRuehl" w:hAnsi="FrankRuehl" w:cs="FrankRuehl"/>
          <w:sz w:val="28"/>
          <w:szCs w:val="28"/>
          <w:rtl/>
        </w:rPr>
        <w:t xml:space="preserve"> </w:t>
      </w:r>
      <w:r w:rsidRPr="008F108E">
        <w:rPr>
          <w:rFonts w:ascii="FrankRuehl" w:hAnsi="FrankRuehl" w:cs="FrankRuehl"/>
          <w:b/>
          <w:bCs/>
          <w:sz w:val="28"/>
          <w:szCs w:val="28"/>
          <w:u w:val="single"/>
          <w:rtl/>
        </w:rPr>
        <w:t>מ"י</w:t>
      </w:r>
      <w:r w:rsidRPr="008F108E">
        <w:rPr>
          <w:rFonts w:ascii="FrankRuehl" w:hAnsi="FrankRuehl" w:cs="FrankRuehl"/>
          <w:sz w:val="28"/>
          <w:szCs w:val="28"/>
          <w:rtl/>
        </w:rPr>
        <w:t xml:space="preserve"> נ' </w:t>
      </w:r>
      <w:r w:rsidRPr="008F108E">
        <w:rPr>
          <w:rFonts w:ascii="FrankRuehl" w:hAnsi="FrankRuehl" w:cs="FrankRuehl"/>
          <w:b/>
          <w:bCs/>
          <w:sz w:val="28"/>
          <w:szCs w:val="28"/>
          <w:u w:val="single"/>
          <w:rtl/>
        </w:rPr>
        <w:t>דייני</w:t>
      </w:r>
      <w:r w:rsidRPr="008F108E">
        <w:rPr>
          <w:rFonts w:ascii="FrankRuehl" w:hAnsi="FrankRuehl" w:cs="FrankRuehl"/>
          <w:sz w:val="28"/>
          <w:szCs w:val="28"/>
          <w:rtl/>
        </w:rPr>
        <w:t xml:space="preserve"> (מיום 14.6.2016) הסתים הליך בעונש בעבודות שירות בשל שיקולי שיקום, כשנקבע מתחם שבין 5 ל-15 חודשי מאסר לנסיבות של ריבוי מכירות קנביס בכמות של 4 גרם בכל פעם, כשברקע הדחת קטינים; ב</w:t>
      </w:r>
      <w:hyperlink r:id="rId53" w:history="1">
        <w:r w:rsidRPr="00926237">
          <w:rPr>
            <w:rFonts w:ascii="FrankRuehl" w:hAnsi="FrankRuehl" w:cs="FrankRuehl"/>
            <w:color w:val="0000FF"/>
            <w:sz w:val="28"/>
            <w:szCs w:val="28"/>
            <w:u w:val="single"/>
            <w:rtl/>
          </w:rPr>
          <w:t>עפ"ג (י-ם)  21958-07-16</w:t>
        </w:r>
      </w:hyperlink>
      <w:r w:rsidRPr="008F108E">
        <w:rPr>
          <w:rFonts w:ascii="FrankRuehl" w:hAnsi="FrankRuehl" w:cs="FrankRuehl"/>
          <w:sz w:val="28"/>
          <w:szCs w:val="28"/>
          <w:rtl/>
        </w:rPr>
        <w:t xml:space="preserve"> </w:t>
      </w:r>
      <w:r w:rsidRPr="008F108E">
        <w:rPr>
          <w:rFonts w:ascii="FrankRuehl" w:hAnsi="FrankRuehl" w:cs="FrankRuehl"/>
          <w:b/>
          <w:bCs/>
          <w:sz w:val="28"/>
          <w:szCs w:val="28"/>
          <w:u w:val="single"/>
          <w:rtl/>
        </w:rPr>
        <w:t>שם טוב</w:t>
      </w:r>
      <w:r w:rsidRPr="008F108E">
        <w:rPr>
          <w:rFonts w:ascii="FrankRuehl" w:hAnsi="FrankRuehl" w:cs="FrankRuehl"/>
          <w:sz w:val="28"/>
          <w:szCs w:val="28"/>
          <w:rtl/>
        </w:rPr>
        <w:t xml:space="preserve"> נ' </w:t>
      </w:r>
      <w:r w:rsidRPr="008F108E">
        <w:rPr>
          <w:rFonts w:ascii="FrankRuehl" w:hAnsi="FrankRuehl" w:cs="FrankRuehl"/>
          <w:b/>
          <w:bCs/>
          <w:sz w:val="28"/>
          <w:szCs w:val="28"/>
          <w:u w:val="single"/>
          <w:rtl/>
        </w:rPr>
        <w:t>מ"י</w:t>
      </w:r>
      <w:r w:rsidRPr="008F108E">
        <w:rPr>
          <w:rFonts w:ascii="FrankRuehl" w:hAnsi="FrankRuehl" w:cs="FrankRuehl"/>
          <w:sz w:val="28"/>
          <w:szCs w:val="28"/>
          <w:rtl/>
        </w:rPr>
        <w:t xml:space="preserve"> (מיום 9.4.2018) הסתיים הליך בעבודות שירות חלף 10 חודשי מאסר שנגזרו בערכאה הדיונית, וזאת מטעמי שיקום. שם דובר במתחם שבין 10 חודשי מאסר ועד 30 חודשים ביחס למקרה של הדחת קטין לשימוש בסם על רקע חברתי ומכירה מספר פעמים לקטינים.</w:t>
      </w:r>
      <w:r w:rsidRPr="008F108E">
        <w:rPr>
          <w:rFonts w:ascii="FrankRuehl" w:hAnsi="FrankRuehl" w:cs="FrankRuehl" w:hint="cs"/>
          <w:sz w:val="28"/>
          <w:szCs w:val="28"/>
          <w:rtl/>
        </w:rPr>
        <w:t xml:space="preserve"> </w:t>
      </w:r>
      <w:r w:rsidRPr="008F108E">
        <w:rPr>
          <w:rFonts w:ascii="FrankRuehl" w:hAnsi="FrankRuehl" w:cs="FrankRuehl" w:hint="cs"/>
          <w:b/>
          <w:bCs/>
          <w:sz w:val="28"/>
          <w:szCs w:val="28"/>
          <w:rtl/>
        </w:rPr>
        <w:t>אשר לתיק התעבורה</w:t>
      </w:r>
      <w:r w:rsidRPr="008F108E">
        <w:rPr>
          <w:rFonts w:ascii="FrankRuehl" w:hAnsi="FrankRuehl" w:cs="FrankRuehl" w:hint="cs"/>
          <w:sz w:val="28"/>
          <w:szCs w:val="28"/>
          <w:rtl/>
        </w:rPr>
        <w:t xml:space="preserve"> </w:t>
      </w:r>
      <w:r w:rsidRPr="008F108E">
        <w:rPr>
          <w:rFonts w:ascii="FrankRuehl" w:hAnsi="FrankRuehl" w:cs="FrankRuehl"/>
          <w:sz w:val="28"/>
          <w:szCs w:val="28"/>
          <w:rtl/>
        </w:rPr>
        <w:t>–</w:t>
      </w:r>
      <w:r w:rsidRPr="008F108E">
        <w:rPr>
          <w:rFonts w:ascii="FrankRuehl" w:hAnsi="FrankRuehl" w:cs="FrankRuehl" w:hint="cs"/>
          <w:sz w:val="28"/>
          <w:szCs w:val="28"/>
          <w:rtl/>
        </w:rPr>
        <w:t xml:space="preserve"> ב</w:t>
      </w:r>
      <w:hyperlink r:id="rId54" w:history="1">
        <w:r w:rsidRPr="00926237">
          <w:rPr>
            <w:rFonts w:ascii="FrankRuehl" w:hAnsi="FrankRuehl" w:cs="FrankRuehl"/>
            <w:color w:val="0000FF"/>
            <w:sz w:val="28"/>
            <w:szCs w:val="28"/>
            <w:u w:val="single"/>
            <w:rtl/>
          </w:rPr>
          <w:t>רע"פ 2012/16</w:t>
        </w:r>
      </w:hyperlink>
      <w:r w:rsidRPr="008F108E">
        <w:rPr>
          <w:rFonts w:ascii="FrankRuehl" w:hAnsi="FrankRuehl" w:cs="FrankRuehl" w:hint="cs"/>
          <w:sz w:val="28"/>
          <w:szCs w:val="28"/>
          <w:rtl/>
        </w:rPr>
        <w:t xml:space="preserve"> </w:t>
      </w:r>
      <w:r w:rsidRPr="008F108E">
        <w:rPr>
          <w:rFonts w:ascii="FrankRuehl" w:hAnsi="FrankRuehl" w:cs="FrankRuehl" w:hint="cs"/>
          <w:b/>
          <w:bCs/>
          <w:sz w:val="28"/>
          <w:szCs w:val="28"/>
          <w:u w:val="single"/>
          <w:rtl/>
        </w:rPr>
        <w:t>רחאל</w:t>
      </w:r>
      <w:r w:rsidRPr="008F108E">
        <w:rPr>
          <w:rFonts w:ascii="FrankRuehl" w:hAnsi="FrankRuehl" w:cs="FrankRuehl" w:hint="cs"/>
          <w:sz w:val="28"/>
          <w:szCs w:val="28"/>
          <w:rtl/>
        </w:rPr>
        <w:t xml:space="preserve"> נ' </w:t>
      </w:r>
      <w:r w:rsidRPr="008F108E">
        <w:rPr>
          <w:rFonts w:ascii="FrankRuehl" w:hAnsi="FrankRuehl" w:cs="FrankRuehl" w:hint="cs"/>
          <w:b/>
          <w:bCs/>
          <w:sz w:val="28"/>
          <w:szCs w:val="28"/>
          <w:u w:val="single"/>
          <w:rtl/>
        </w:rPr>
        <w:t>מ"י</w:t>
      </w:r>
      <w:r w:rsidRPr="008F108E">
        <w:rPr>
          <w:rFonts w:ascii="FrankRuehl" w:hAnsi="FrankRuehl" w:cs="FrankRuehl" w:hint="cs"/>
          <w:sz w:val="28"/>
          <w:szCs w:val="28"/>
          <w:rtl/>
        </w:rPr>
        <w:t xml:space="preserve"> (מיום 13.3.2016) נקבע מתחם המגיע עד שנת מאסר ו-36 חודשי פסילה בנסיבות של נהיגה בשלילה. שם נדון הנאשם שגם החזיק באגרופן, ל-7 חודשי מאסר בפועל. </w:t>
      </w:r>
    </w:p>
    <w:p w14:paraId="08A00DF7" w14:textId="77777777" w:rsidR="00AF2B2F" w:rsidRPr="008F108E" w:rsidRDefault="00AF2B2F" w:rsidP="008F108E">
      <w:pPr>
        <w:spacing w:line="360" w:lineRule="auto"/>
        <w:jc w:val="both"/>
        <w:rPr>
          <w:rFonts w:ascii="FrankRuehl" w:hAnsi="FrankRuehl" w:cs="FrankRuehl"/>
          <w:sz w:val="28"/>
          <w:szCs w:val="28"/>
          <w:rtl/>
        </w:rPr>
      </w:pPr>
    </w:p>
    <w:p w14:paraId="7F446603" w14:textId="77777777" w:rsidR="00AF2B2F" w:rsidRPr="008F108E" w:rsidRDefault="00AF2B2F" w:rsidP="008F108E">
      <w:pPr>
        <w:spacing w:line="360" w:lineRule="auto"/>
        <w:jc w:val="both"/>
        <w:rPr>
          <w:rFonts w:ascii="FrankRuehl" w:hAnsi="FrankRuehl" w:cs="FrankRuehl"/>
          <w:b/>
          <w:bCs/>
          <w:sz w:val="28"/>
          <w:szCs w:val="28"/>
          <w:u w:val="single"/>
          <w:rtl/>
        </w:rPr>
      </w:pPr>
      <w:r w:rsidRPr="008F108E">
        <w:rPr>
          <w:rFonts w:ascii="FrankRuehl" w:hAnsi="FrankRuehl" w:cs="FrankRuehl"/>
          <w:b/>
          <w:bCs/>
          <w:sz w:val="28"/>
          <w:szCs w:val="28"/>
          <w:u w:val="single"/>
          <w:rtl/>
        </w:rPr>
        <w:t>מתחם הענישה</w:t>
      </w:r>
      <w:r w:rsidRPr="008F108E">
        <w:rPr>
          <w:rFonts w:ascii="FrankRuehl" w:hAnsi="FrankRuehl" w:cs="FrankRuehl"/>
          <w:sz w:val="28"/>
          <w:szCs w:val="28"/>
          <w:rtl/>
        </w:rPr>
        <w:t xml:space="preserve"> – לפיכך, </w:t>
      </w:r>
      <w:r w:rsidRPr="008F108E">
        <w:rPr>
          <w:rFonts w:ascii="FrankRuehl" w:hAnsi="FrankRuehl" w:cs="FrankRuehl" w:hint="cs"/>
          <w:sz w:val="28"/>
          <w:szCs w:val="28"/>
          <w:rtl/>
        </w:rPr>
        <w:t xml:space="preserve">קובע מתחם ענישה אחד לתיק הראשון, שבין 6 ל-18 חודשי מאסר, שכן מתקיים קשר הדוק בין מכלול המעשים, ויש להתייחס אליהם כאל אירוע אחד; אשר לתיק המצורף, שם מדובר בשימוש עצמי, על-סמך מכלול הנסיבות מתחם הענישה יעמוד על מאסר מותנה ועד חודש מאסר. לגבי תיק התעבורה, קובע מתחם שבין מספר ימי מאסר ועד 7 חודשי מאסר וכן פסילה המגיעה עד 36 חודשים. </w:t>
      </w:r>
    </w:p>
    <w:p w14:paraId="7E0A8483" w14:textId="77777777" w:rsidR="00AF2B2F" w:rsidRPr="008F108E" w:rsidRDefault="00AF2B2F" w:rsidP="008F108E">
      <w:pPr>
        <w:jc w:val="center"/>
        <w:rPr>
          <w:rFonts w:ascii="FrankRuehl" w:hAnsi="FrankRuehl" w:cs="FrankRuehl"/>
          <w:b/>
          <w:bCs/>
          <w:sz w:val="28"/>
          <w:szCs w:val="28"/>
          <w:u w:val="single"/>
          <w:rtl/>
        </w:rPr>
      </w:pPr>
    </w:p>
    <w:p w14:paraId="748A8681" w14:textId="77777777" w:rsidR="00AF2B2F" w:rsidRPr="008F108E" w:rsidRDefault="00AF2B2F" w:rsidP="008F108E">
      <w:pPr>
        <w:spacing w:line="360" w:lineRule="auto"/>
        <w:jc w:val="both"/>
        <w:rPr>
          <w:rFonts w:ascii="FrankRuehl" w:hAnsi="FrankRuehl" w:cs="FrankRuehl"/>
          <w:b/>
          <w:bCs/>
          <w:sz w:val="28"/>
          <w:szCs w:val="28"/>
          <w:u w:val="single"/>
          <w:rtl/>
        </w:rPr>
      </w:pPr>
      <w:bookmarkStart w:id="8" w:name="Nitan" w:colFirst="0" w:colLast="0"/>
      <w:r>
        <w:rPr>
          <w:rFonts w:ascii="FrankRuehl" w:hAnsi="FrankRuehl" w:cs="FrankRuehl"/>
          <w:b/>
          <w:bCs/>
          <w:sz w:val="28"/>
          <w:szCs w:val="28"/>
          <w:u w:val="single"/>
          <w:rtl/>
        </w:rPr>
        <w:t xml:space="preserve">נסיבות שאינן קשורות בביצוע העבירה לפי </w:t>
      </w:r>
      <w:hyperlink r:id="rId55" w:history="1">
        <w:r w:rsidRPr="00AF2B2F">
          <w:rPr>
            <w:rStyle w:val="Hyperlink"/>
            <w:rFonts w:ascii="FrankRuehl" w:hAnsi="FrankRuehl" w:cs="FrankRuehl"/>
            <w:b/>
            <w:bCs/>
            <w:sz w:val="28"/>
            <w:szCs w:val="28"/>
            <w:rtl/>
          </w:rPr>
          <w:t>סעיף 40י"א</w:t>
        </w:r>
      </w:hyperlink>
      <w:r>
        <w:rPr>
          <w:rFonts w:ascii="FrankRuehl" w:hAnsi="FrankRuehl" w:cs="FrankRuehl"/>
          <w:b/>
          <w:bCs/>
          <w:sz w:val="28"/>
          <w:szCs w:val="28"/>
          <w:u w:val="single"/>
          <w:rtl/>
        </w:rPr>
        <w:t xml:space="preserve"> ל</w:t>
      </w:r>
      <w:hyperlink r:id="rId56" w:history="1">
        <w:r w:rsidRPr="00926237">
          <w:rPr>
            <w:rFonts w:ascii="FrankRuehl" w:hAnsi="FrankRuehl" w:cs="FrankRuehl"/>
            <w:b/>
            <w:bCs/>
            <w:color w:val="0000FF"/>
            <w:sz w:val="28"/>
            <w:szCs w:val="28"/>
            <w:u w:val="single"/>
            <w:rtl/>
          </w:rPr>
          <w:t>חוק העונשין</w:t>
        </w:r>
      </w:hyperlink>
      <w:r>
        <w:rPr>
          <w:rFonts w:ascii="FrankRuehl" w:hAnsi="FrankRuehl" w:cs="FrankRuehl"/>
          <w:b/>
          <w:bCs/>
          <w:sz w:val="28"/>
          <w:szCs w:val="28"/>
          <w:u w:val="single"/>
          <w:rtl/>
        </w:rPr>
        <w:t xml:space="preserve"> - ניתן  לתת משקל לנסיבות הבאות שאינן קשורות בביצוע העבירה, במסגרת גזירת העונש בתוך המתחם: הנאשם הודה במיוחס לו בכתב האישום המתוקן ועל אף שתחילה נדמה היה כי לוקח אחריות על מעשיו ומבין חומרתם והשלכותיהם, בהמשך ההליך, סירב להשתלב בטיפול שהוצע לו במסגרת שירות המבחן ואף בדיקות שתן שמסר, נמצאו עם שרידי סמים. התנהלות זו אפיינה גם את התנהלותו לפני הממונה על עבודות השירות. לצערי, הנאשם החמיץ הזדמנויות טיפוליות שניקרו בדרכו. נכון הוא, שהנאשם מעולם לא ריצה מאסר, ואולם נדמה כי אין מנוס משליחת הנאשם לכלא בשל מכלול הנסיבות, בין היתר נוכח המאסר המותנה המשמעותי שתלוי ועומד נגדו.  המיקום במתחם - פועל יוצא מכל האמור הוא, שאני סבור כי יש למקם את הנאשם בחלק האמצעי של המתחמים שקבעתי. גזירת הדין לפיכך, אני מחליט לגזור על הנאשם את העונשים הבאים: 12 חודשי מאסר בפועל ויום לריצוי בניכוי מלא של ימי מעצרו בכלל התיקים שבכותרת, וכן בהתחשב בימי מעצרו בפיקוח אלקטרוני בהתאם לחישוב שב"ס שיחייב; מפעיל את המאסר המותנה של 7 חודשים, זאת חודש בחופף ו-6 חודשים במצטבר   בסך הכל ירצה הנאשם 18 חודשי מאסר ויום בפועל בניכוי ימי מעצרו כאמור בסעיף קטן א' לעיל; חודש מאסר שלא ירוצה, אלא אם יעבור הנאשם כל עבירת עוון לפי </w:t>
      </w:r>
      <w:hyperlink r:id="rId57" w:history="1">
        <w:r w:rsidRPr="00926237">
          <w:rPr>
            <w:rFonts w:ascii="FrankRuehl" w:hAnsi="FrankRuehl" w:cs="FrankRuehl"/>
            <w:b/>
            <w:bCs/>
            <w:color w:val="0000FF"/>
            <w:sz w:val="28"/>
            <w:szCs w:val="28"/>
            <w:u w:val="single"/>
            <w:rtl/>
          </w:rPr>
          <w:t>פקודת הסמים המסוכנים</w:t>
        </w:r>
      </w:hyperlink>
      <w:r>
        <w:rPr>
          <w:rFonts w:ascii="FrankRuehl" w:hAnsi="FrankRuehl" w:cs="FrankRuehl"/>
          <w:b/>
          <w:bCs/>
          <w:sz w:val="28"/>
          <w:szCs w:val="28"/>
          <w:u w:val="single"/>
          <w:rtl/>
        </w:rPr>
        <w:t xml:space="preserve"> בתוך שלוש שנים משחרורו; 4 חודשי מאסר שלא ירוצו, אלא אם יעבור הנאשם כל עבירת תעבורה בה הורשע, בתוך שלוש שנים מהיום; 6 חודשי מאסר שלא ירוצו, אלא אם יעבור הנאשם כל עבירת פשע לפי פקודת הסמים בתוך שלוש שנים מיום שחרורו; פסילה בפועל מלקבל או מלהחזיק רישיון נהיגה במשך 36 חודשים החל מהיום. פוטר את הנאשם מהפקדה. יש לנכות מתקופה זו פסילה מינהלית ככל שהוטלה; 12  חודשי פסילה מלקבל או מלהחזיק רישיון נהיגה וזאת על-תנאי למשך 3 שנים מיום שחרורו של הנאשם, שלא יעבור את העבירות בהן הורשע; קנס בסך 5,000   ₪, או 20 ימי מאסר תמורתו אם לא ישולם. הקנס ישולם ב-20 תשלומים שווים ורצופים החל מיום 1.1.2024 ובכל 1 לחודש רציף ועוקב. לא יעמוד הנאשם בתשלום במועד, יועמד הקנס לפרעון מיידי. ניתן לקזז מכל הפקדה שבתיק למרות כל הודעת עיקול; מפעיל את ההתחייבות מתיק התנאי בסך 5,000 ₪ כקנס, שישולם ב-20 תשלומים כאמור בסעיף קטן ז' לעיל. לא ישולם כלל, ירצה הנאשם 20 ימי מאסר תמורתו; מכריז על הנאשם סוחר סמים ומורה על חילוט הכספים שנתפסו. מורה על השמדת הסמים והציוד שנתפס.  יש לשלוח לשירות המבחן ולממונה על עבודות שירות. הנאשם יתייצב לתחילת ריצוי מאסרו ביום  16.1.2022  בשעה 10:00 בבית המעצר "ניצן" ברמלה, כשהוא מצויד בת"ז ובעותק מגזר הדין.  על ב"כ הנאשם לתאם את הכניסה למאסר, כולל האפשרות למיון מוקדם, עם ענף אבחון ומיון של שב"ס, טלפונים: 08-9787377, 08-9787336.   זכות ערעור כחוק לבית המשפט המחוזי בירושלים בתוך 45 יום מהיום.   </w:t>
      </w:r>
    </w:p>
    <w:bookmarkEnd w:id="8"/>
    <w:p w14:paraId="0156F8E1" w14:textId="77777777" w:rsidR="008F108E" w:rsidRPr="00926237" w:rsidRDefault="00926237" w:rsidP="008F108E">
      <w:pPr>
        <w:rPr>
          <w:color w:val="FFFFFF"/>
          <w:sz w:val="2"/>
          <w:szCs w:val="2"/>
          <w:rtl/>
        </w:rPr>
      </w:pPr>
      <w:r w:rsidRPr="00926237">
        <w:rPr>
          <w:color w:val="FFFFFF"/>
          <w:sz w:val="2"/>
          <w:szCs w:val="2"/>
          <w:rtl/>
        </w:rPr>
        <w:t>5129371</w:t>
      </w:r>
    </w:p>
    <w:p w14:paraId="00968684" w14:textId="77777777" w:rsidR="008F108E" w:rsidRDefault="00926237" w:rsidP="008F108E">
      <w:pPr>
        <w:rPr>
          <w:rFonts w:cs="FrankRuehl"/>
          <w:sz w:val="28"/>
          <w:szCs w:val="28"/>
          <w:rtl/>
        </w:rPr>
      </w:pPr>
      <w:r w:rsidRPr="00926237">
        <w:rPr>
          <w:rFonts w:ascii="Arial" w:hAnsi="Arial"/>
          <w:color w:val="FFFFFF"/>
          <w:sz w:val="2"/>
          <w:szCs w:val="2"/>
          <w:rtl/>
        </w:rPr>
        <w:t>54678313</w:t>
      </w:r>
      <w:r>
        <w:rPr>
          <w:rFonts w:ascii="Arial" w:hAnsi="Arial"/>
          <w:rtl/>
        </w:rPr>
        <w:t xml:space="preserve">ניתן היום,  ט' טבת תשפ"ב, במעמד הצדדים. </w:t>
      </w:r>
    </w:p>
    <w:p w14:paraId="29B320F7" w14:textId="77777777" w:rsidR="008F108E" w:rsidRDefault="008F108E" w:rsidP="0092623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046CBF" w14:textId="77777777" w:rsidR="008F108E" w:rsidRDefault="008F108E" w:rsidP="008F108E">
      <w:pPr>
        <w:jc w:val="center"/>
        <w:rPr>
          <w:rFonts w:ascii="Arial" w:hAnsi="Arial" w:cs="FrankRuehl"/>
          <w:sz w:val="28"/>
          <w:szCs w:val="28"/>
          <w:rtl/>
        </w:rPr>
      </w:pPr>
    </w:p>
    <w:p w14:paraId="3CCCB1BE" w14:textId="77777777" w:rsidR="008F108E" w:rsidRDefault="008F108E" w:rsidP="008F108E">
      <w:pPr>
        <w:rPr>
          <w:rFonts w:cs="FrankRuehl"/>
          <w:sz w:val="28"/>
          <w:szCs w:val="28"/>
          <w:rtl/>
        </w:rPr>
      </w:pPr>
    </w:p>
    <w:p w14:paraId="13CB99CC" w14:textId="77777777" w:rsidR="00926237" w:rsidRDefault="00AF2B2F" w:rsidP="00926237">
      <w:pPr>
        <w:rPr>
          <w:rFonts w:hint="cs"/>
        </w:rPr>
      </w:pPr>
      <w:r w:rsidRPr="00AF2B2F">
        <w:rPr>
          <w:color w:val="FFFFFF"/>
          <w:sz w:val="2"/>
          <w:szCs w:val="2"/>
          <w:rtl/>
        </w:rPr>
        <w:t>512937</w:t>
      </w:r>
    </w:p>
    <w:p w14:paraId="04D7DD70" w14:textId="77777777" w:rsidR="00926237" w:rsidRDefault="00926237" w:rsidP="00926237">
      <w:pPr>
        <w:rPr>
          <w:rtl/>
        </w:rPr>
      </w:pPr>
    </w:p>
    <w:p w14:paraId="6856B93F" w14:textId="77777777" w:rsidR="00926237" w:rsidRDefault="00926237" w:rsidP="00926237">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620DA27E" w14:textId="77777777" w:rsidR="00AF2B2F" w:rsidRPr="00AF2B2F" w:rsidRDefault="00AF2B2F" w:rsidP="00AF2B2F">
      <w:pPr>
        <w:keepNext/>
        <w:rPr>
          <w:rFonts w:ascii="David" w:hAnsi="David"/>
          <w:color w:val="000000"/>
          <w:sz w:val="22"/>
          <w:szCs w:val="22"/>
          <w:rtl/>
        </w:rPr>
      </w:pPr>
    </w:p>
    <w:p w14:paraId="401F983C" w14:textId="77777777" w:rsidR="00AF2B2F" w:rsidRPr="00AF2B2F" w:rsidRDefault="00AF2B2F" w:rsidP="00AF2B2F">
      <w:pPr>
        <w:keepNext/>
        <w:rPr>
          <w:rFonts w:ascii="David" w:hAnsi="David"/>
          <w:color w:val="000000"/>
          <w:sz w:val="22"/>
          <w:szCs w:val="22"/>
          <w:rtl/>
        </w:rPr>
      </w:pPr>
      <w:r w:rsidRPr="00AF2B2F">
        <w:rPr>
          <w:rFonts w:ascii="David" w:hAnsi="David"/>
          <w:color w:val="000000"/>
          <w:sz w:val="22"/>
          <w:szCs w:val="22"/>
          <w:rtl/>
        </w:rPr>
        <w:t>דוד שאול גבאי ריכטר 54678313-/</w:t>
      </w:r>
    </w:p>
    <w:p w14:paraId="1720152F" w14:textId="77777777" w:rsidR="00926237" w:rsidRPr="00926237" w:rsidRDefault="00AF2B2F" w:rsidP="00AF2B2F">
      <w:pPr>
        <w:rPr>
          <w:color w:val="0000FF"/>
          <w:u w:val="single"/>
        </w:rPr>
      </w:pPr>
      <w:r w:rsidRPr="00AF2B2F">
        <w:rPr>
          <w:color w:val="000000"/>
          <w:u w:val="single"/>
          <w:rtl/>
        </w:rPr>
        <w:t>נוסח מסמך זה כפוף לשינויי ניסוח ועריכה</w:t>
      </w:r>
    </w:p>
    <w:sectPr w:rsidR="00926237" w:rsidRPr="00926237" w:rsidSect="00AF2B2F">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78A99" w14:textId="77777777" w:rsidR="00270B4B" w:rsidRDefault="00270B4B" w:rsidP="002A532E">
      <w:r>
        <w:separator/>
      </w:r>
    </w:p>
  </w:endnote>
  <w:endnote w:type="continuationSeparator" w:id="0">
    <w:p w14:paraId="3DEB8EFA" w14:textId="77777777" w:rsidR="00270B4B" w:rsidRDefault="00270B4B" w:rsidP="002A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F01B6" w14:textId="77777777" w:rsidR="00AF2B2F" w:rsidRDefault="00AF2B2F" w:rsidP="00AF2B2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0185A6" w14:textId="77777777" w:rsidR="00040AB6" w:rsidRPr="00AF2B2F" w:rsidRDefault="00AF2B2F" w:rsidP="00AF2B2F">
    <w:pPr>
      <w:pStyle w:val="a5"/>
      <w:pBdr>
        <w:top w:val="single" w:sz="4" w:space="1" w:color="auto"/>
        <w:between w:val="single" w:sz="4" w:space="0" w:color="auto"/>
      </w:pBdr>
      <w:spacing w:after="60"/>
      <w:jc w:val="center"/>
      <w:rPr>
        <w:rFonts w:ascii="FrankRuehl" w:hAnsi="FrankRuehl" w:cs="FrankRuehl"/>
        <w:color w:val="000000"/>
      </w:rPr>
    </w:pPr>
    <w:r w:rsidRPr="00AF2B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3858E" w14:textId="77777777" w:rsidR="00AF2B2F" w:rsidRDefault="00AF2B2F" w:rsidP="00AF2B2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4628">
      <w:rPr>
        <w:rFonts w:ascii="FrankRuehl" w:hAnsi="FrankRuehl" w:cs="FrankRuehl"/>
        <w:noProof/>
        <w:rtl/>
      </w:rPr>
      <w:t>1</w:t>
    </w:r>
    <w:r>
      <w:rPr>
        <w:rFonts w:ascii="FrankRuehl" w:hAnsi="FrankRuehl" w:cs="FrankRuehl"/>
        <w:rtl/>
      </w:rPr>
      <w:fldChar w:fldCharType="end"/>
    </w:r>
  </w:p>
  <w:p w14:paraId="68576BE7" w14:textId="77777777" w:rsidR="00040AB6" w:rsidRPr="00AF2B2F" w:rsidRDefault="00AF2B2F" w:rsidP="00AF2B2F">
    <w:pPr>
      <w:pStyle w:val="a5"/>
      <w:pBdr>
        <w:top w:val="single" w:sz="4" w:space="1" w:color="auto"/>
        <w:between w:val="single" w:sz="4" w:space="0" w:color="auto"/>
      </w:pBdr>
      <w:spacing w:after="60"/>
      <w:jc w:val="center"/>
      <w:rPr>
        <w:rFonts w:ascii="FrankRuehl" w:hAnsi="FrankRuehl" w:cs="FrankRuehl"/>
        <w:color w:val="000000"/>
      </w:rPr>
    </w:pPr>
    <w:r w:rsidRPr="00AF2B2F">
      <w:rPr>
        <w:rFonts w:ascii="FrankRuehl" w:hAnsi="FrankRuehl" w:cs="FrankRuehl"/>
        <w:color w:val="000000"/>
      </w:rPr>
      <w:pict w14:anchorId="7E2F5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3C6C3" w14:textId="77777777" w:rsidR="00270B4B" w:rsidRDefault="00270B4B" w:rsidP="002A532E">
      <w:r>
        <w:separator/>
      </w:r>
    </w:p>
  </w:footnote>
  <w:footnote w:type="continuationSeparator" w:id="0">
    <w:p w14:paraId="6029E913" w14:textId="77777777" w:rsidR="00270B4B" w:rsidRDefault="00270B4B" w:rsidP="002A5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12825" w14:textId="77777777" w:rsidR="00926237" w:rsidRPr="00AF2B2F" w:rsidRDefault="00AF2B2F" w:rsidP="00AF2B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44591-05-18</w:t>
    </w:r>
    <w:r>
      <w:rPr>
        <w:rFonts w:ascii="David" w:hAnsi="David"/>
        <w:color w:val="000000"/>
        <w:sz w:val="22"/>
        <w:szCs w:val="22"/>
        <w:rtl/>
      </w:rPr>
      <w:tab/>
      <w:t xml:space="preserve"> מדינת ישראל נ' עדי דגן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1B3DA" w14:textId="77777777" w:rsidR="00926237" w:rsidRPr="00AF2B2F" w:rsidRDefault="00AF2B2F" w:rsidP="00AF2B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44591-05-18</w:t>
    </w:r>
    <w:r>
      <w:rPr>
        <w:rFonts w:ascii="David" w:hAnsi="David"/>
        <w:color w:val="000000"/>
        <w:sz w:val="22"/>
        <w:szCs w:val="22"/>
        <w:rtl/>
      </w:rPr>
      <w:tab/>
      <w:t xml:space="preserve"> מדינת ישראל נ' עדי דגן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2018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108E"/>
    <w:rsid w:val="00040AB6"/>
    <w:rsid w:val="000B2CDB"/>
    <w:rsid w:val="000E2787"/>
    <w:rsid w:val="001B5A3B"/>
    <w:rsid w:val="002205BF"/>
    <w:rsid w:val="00270B4B"/>
    <w:rsid w:val="002A532E"/>
    <w:rsid w:val="0052057D"/>
    <w:rsid w:val="00877B57"/>
    <w:rsid w:val="008F108E"/>
    <w:rsid w:val="00926237"/>
    <w:rsid w:val="009610E5"/>
    <w:rsid w:val="00A44628"/>
    <w:rsid w:val="00AF2B2F"/>
    <w:rsid w:val="00D03201"/>
    <w:rsid w:val="00DC40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3B06FC"/>
  <w15:chartTrackingRefBased/>
  <w15:docId w15:val="{E3090A27-A460-4AA2-A2F6-2208039F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108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108E"/>
    <w:pPr>
      <w:tabs>
        <w:tab w:val="center" w:pos="4153"/>
        <w:tab w:val="right" w:pos="8306"/>
      </w:tabs>
    </w:pPr>
  </w:style>
  <w:style w:type="character" w:customStyle="1" w:styleId="a4">
    <w:name w:val="כותרת עליונה תו"/>
    <w:link w:val="a3"/>
    <w:rsid w:val="008F108E"/>
    <w:rPr>
      <w:rFonts w:ascii="Times New Roman" w:eastAsia="Times New Roman" w:hAnsi="Times New Roman" w:cs="David"/>
      <w:sz w:val="24"/>
      <w:szCs w:val="24"/>
    </w:rPr>
  </w:style>
  <w:style w:type="paragraph" w:styleId="a5">
    <w:name w:val="footer"/>
    <w:basedOn w:val="a"/>
    <w:link w:val="a6"/>
    <w:rsid w:val="008F108E"/>
    <w:pPr>
      <w:tabs>
        <w:tab w:val="center" w:pos="4153"/>
        <w:tab w:val="right" w:pos="8306"/>
      </w:tabs>
    </w:pPr>
  </w:style>
  <w:style w:type="character" w:customStyle="1" w:styleId="a6">
    <w:name w:val="כותרת תחתונה תו"/>
    <w:link w:val="a5"/>
    <w:rsid w:val="008F108E"/>
    <w:rPr>
      <w:rFonts w:ascii="Times New Roman" w:eastAsia="Times New Roman" w:hAnsi="Times New Roman" w:cs="David"/>
      <w:sz w:val="24"/>
      <w:szCs w:val="24"/>
    </w:rPr>
  </w:style>
  <w:style w:type="table" w:styleId="a7">
    <w:name w:val="Table Grid"/>
    <w:basedOn w:val="a1"/>
    <w:rsid w:val="008F10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108E"/>
  </w:style>
  <w:style w:type="character" w:styleId="Hyperlink">
    <w:name w:val="Hyperlink"/>
    <w:rsid w:val="00926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4501" TargetMode="External"/><Relationship Id="rId26" Type="http://schemas.openxmlformats.org/officeDocument/2006/relationships/hyperlink" Target="http://www.nevo.co.il/law/4216" TargetMode="External"/><Relationship Id="rId39" Type="http://schemas.openxmlformats.org/officeDocument/2006/relationships/hyperlink" Target="http://www.nevo.co.il/law/5227/10.a"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27505121" TargetMode="External"/><Relationship Id="rId42" Type="http://schemas.openxmlformats.org/officeDocument/2006/relationships/hyperlink" Target="http://www.nevo.co.il/law/74274/308.d" TargetMode="External"/><Relationship Id="rId47" Type="http://schemas.openxmlformats.org/officeDocument/2006/relationships/hyperlink" Target="http://www.nevo.co.il/case/5896323" TargetMode="External"/><Relationship Id="rId50" Type="http://schemas.openxmlformats.org/officeDocument/2006/relationships/hyperlink" Target="http://www.nevo.co.il/case/21035570" TargetMode="External"/><Relationship Id="rId55" Type="http://schemas.openxmlformats.org/officeDocument/2006/relationships/hyperlink" Target="http://www.nevo.co.il/law/70301/40ja"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274/23.a.2" TargetMode="External"/><Relationship Id="rId29" Type="http://schemas.openxmlformats.org/officeDocument/2006/relationships/hyperlink" Target="http://www.nevo.co.il/law/4216/19;13.a"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4216/7.a" TargetMode="External"/><Relationship Id="rId32" Type="http://schemas.openxmlformats.org/officeDocument/2006/relationships/hyperlink" Target="http://www.nevo.co.il/case/26021592" TargetMode="External"/><Relationship Id="rId37" Type="http://schemas.openxmlformats.org/officeDocument/2006/relationships/hyperlink" Target="http://www.nevo.co.il/law/74274/23.a.2" TargetMode="External"/><Relationship Id="rId40" Type="http://schemas.openxmlformats.org/officeDocument/2006/relationships/hyperlink" Target="http://www.nevo.co.il/law/74501/2a" TargetMode="External"/><Relationship Id="rId45" Type="http://schemas.openxmlformats.org/officeDocument/2006/relationships/hyperlink" Target="http://www.nevo.co.il/law/70301/40i" TargetMode="External"/><Relationship Id="rId53" Type="http://schemas.openxmlformats.org/officeDocument/2006/relationships/hyperlink" Target="http://www.nevo.co.il/case/21980458"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4501/2a" TargetMode="External"/><Relationship Id="rId14" Type="http://schemas.openxmlformats.org/officeDocument/2006/relationships/hyperlink" Target="http://www.nevo.co.il/law/5227/67"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4216/19;13.a" TargetMode="External"/><Relationship Id="rId30" Type="http://schemas.openxmlformats.org/officeDocument/2006/relationships/hyperlink" Target="http://www.nevo.co.il/law/4216/19;13.a" TargetMode="External"/><Relationship Id="rId35" Type="http://schemas.openxmlformats.org/officeDocument/2006/relationships/hyperlink" Target="http://www.nevo.co.il/law/5227/67" TargetMode="External"/><Relationship Id="rId43" Type="http://schemas.openxmlformats.org/officeDocument/2006/relationships/hyperlink" Target="http://www.nevo.co.il/case/23831472" TargetMode="External"/><Relationship Id="rId48" Type="http://schemas.openxmlformats.org/officeDocument/2006/relationships/hyperlink" Target="http://www.nevo.co.il/case/5605484" TargetMode="External"/><Relationship Id="rId56" Type="http://schemas.openxmlformats.org/officeDocument/2006/relationships/hyperlink" Target="http://www.nevo.co.il/law/70301" TargetMode="External"/><Relationship Id="rId64"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22973717"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4274/308.d"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4216/7.a.;7.c" TargetMode="External"/><Relationship Id="rId38" Type="http://schemas.openxmlformats.org/officeDocument/2006/relationships/hyperlink" Target="http://www.nevo.co.il/law/74274" TargetMode="External"/><Relationship Id="rId46" Type="http://schemas.openxmlformats.org/officeDocument/2006/relationships/hyperlink" Target="http://www.nevo.co.il/law/70301" TargetMode="External"/><Relationship Id="rId59"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4501" TargetMode="External"/><Relationship Id="rId54" Type="http://schemas.openxmlformats.org/officeDocument/2006/relationships/hyperlink" Target="http://www.nevo.co.il/case/21021204"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274" TargetMode="External"/><Relationship Id="rId23" Type="http://schemas.openxmlformats.org/officeDocument/2006/relationships/hyperlink" Target="http://www.nevo.co.il/case/24197269" TargetMode="External"/><Relationship Id="rId28" Type="http://schemas.openxmlformats.org/officeDocument/2006/relationships/hyperlink" Target="http://www.nevo.co.il/law/4216/7.a.;7.c" TargetMode="External"/><Relationship Id="rId36" Type="http://schemas.openxmlformats.org/officeDocument/2006/relationships/hyperlink" Target="http://www.nevo.co.il/law/5227" TargetMode="External"/><Relationship Id="rId49" Type="http://schemas.openxmlformats.org/officeDocument/2006/relationships/hyperlink" Target="http://www.nevo.co.il/case/22240058"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13.a" TargetMode="External"/><Relationship Id="rId31" Type="http://schemas.openxmlformats.org/officeDocument/2006/relationships/hyperlink" Target="http://www.nevo.co.il/law/4216/19;13.a" TargetMode="External"/><Relationship Id="rId44" Type="http://schemas.openxmlformats.org/officeDocument/2006/relationships/hyperlink" Target="http://www.nevo.co.il/case/23827604" TargetMode="External"/><Relationship Id="rId52" Type="http://schemas.openxmlformats.org/officeDocument/2006/relationships/hyperlink" Target="http://www.nevo.co.il/case/20936185"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2782</Words>
  <Characters>13912</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16661</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8257637</vt:i4>
      </vt:variant>
      <vt:variant>
        <vt:i4>150</vt:i4>
      </vt:variant>
      <vt:variant>
        <vt:i4>0</vt:i4>
      </vt:variant>
      <vt:variant>
        <vt:i4>5</vt:i4>
      </vt:variant>
      <vt:variant>
        <vt:lpwstr>http://www.nevo.co.il/law/4216</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3342453</vt:i4>
      </vt:variant>
      <vt:variant>
        <vt:i4>141</vt:i4>
      </vt:variant>
      <vt:variant>
        <vt:i4>0</vt:i4>
      </vt:variant>
      <vt:variant>
        <vt:i4>5</vt:i4>
      </vt:variant>
      <vt:variant>
        <vt:lpwstr>http://www.nevo.co.il/case/21021204</vt:lpwstr>
      </vt:variant>
      <vt:variant>
        <vt:lpwstr/>
      </vt:variant>
      <vt:variant>
        <vt:i4>4063353</vt:i4>
      </vt:variant>
      <vt:variant>
        <vt:i4>138</vt:i4>
      </vt:variant>
      <vt:variant>
        <vt:i4>0</vt:i4>
      </vt:variant>
      <vt:variant>
        <vt:i4>5</vt:i4>
      </vt:variant>
      <vt:variant>
        <vt:lpwstr>http://www.nevo.co.il/case/21980458</vt:lpwstr>
      </vt:variant>
      <vt:variant>
        <vt:lpwstr/>
      </vt:variant>
      <vt:variant>
        <vt:i4>3473526</vt:i4>
      </vt:variant>
      <vt:variant>
        <vt:i4>135</vt:i4>
      </vt:variant>
      <vt:variant>
        <vt:i4>0</vt:i4>
      </vt:variant>
      <vt:variant>
        <vt:i4>5</vt:i4>
      </vt:variant>
      <vt:variant>
        <vt:lpwstr>http://www.nevo.co.il/case/20936185</vt:lpwstr>
      </vt:variant>
      <vt:variant>
        <vt:lpwstr/>
      </vt:variant>
      <vt:variant>
        <vt:i4>3735670</vt:i4>
      </vt:variant>
      <vt:variant>
        <vt:i4>132</vt:i4>
      </vt:variant>
      <vt:variant>
        <vt:i4>0</vt:i4>
      </vt:variant>
      <vt:variant>
        <vt:i4>5</vt:i4>
      </vt:variant>
      <vt:variant>
        <vt:lpwstr>http://www.nevo.co.il/case/22973717</vt:lpwstr>
      </vt:variant>
      <vt:variant>
        <vt:lpwstr/>
      </vt:variant>
      <vt:variant>
        <vt:i4>3145843</vt:i4>
      </vt:variant>
      <vt:variant>
        <vt:i4>129</vt:i4>
      </vt:variant>
      <vt:variant>
        <vt:i4>0</vt:i4>
      </vt:variant>
      <vt:variant>
        <vt:i4>5</vt:i4>
      </vt:variant>
      <vt:variant>
        <vt:lpwstr>http://www.nevo.co.il/case/21035570</vt:lpwstr>
      </vt:variant>
      <vt:variant>
        <vt:lpwstr/>
      </vt:variant>
      <vt:variant>
        <vt:i4>3473522</vt:i4>
      </vt:variant>
      <vt:variant>
        <vt:i4>126</vt:i4>
      </vt:variant>
      <vt:variant>
        <vt:i4>0</vt:i4>
      </vt:variant>
      <vt:variant>
        <vt:i4>5</vt:i4>
      </vt:variant>
      <vt:variant>
        <vt:lpwstr>http://www.nevo.co.il/case/22240058</vt:lpwstr>
      </vt:variant>
      <vt:variant>
        <vt:lpwstr/>
      </vt:variant>
      <vt:variant>
        <vt:i4>3473535</vt:i4>
      </vt:variant>
      <vt:variant>
        <vt:i4>123</vt:i4>
      </vt:variant>
      <vt:variant>
        <vt:i4>0</vt:i4>
      </vt:variant>
      <vt:variant>
        <vt:i4>5</vt:i4>
      </vt:variant>
      <vt:variant>
        <vt:lpwstr>http://www.nevo.co.il/case/5605484</vt:lpwstr>
      </vt:variant>
      <vt:variant>
        <vt:lpwstr/>
      </vt:variant>
      <vt:variant>
        <vt:i4>3932280</vt:i4>
      </vt:variant>
      <vt:variant>
        <vt:i4>120</vt:i4>
      </vt:variant>
      <vt:variant>
        <vt:i4>0</vt:i4>
      </vt:variant>
      <vt:variant>
        <vt:i4>5</vt:i4>
      </vt:variant>
      <vt:variant>
        <vt:lpwstr>http://www.nevo.co.il/case/5896323</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3997811</vt:i4>
      </vt:variant>
      <vt:variant>
        <vt:i4>111</vt:i4>
      </vt:variant>
      <vt:variant>
        <vt:i4>0</vt:i4>
      </vt:variant>
      <vt:variant>
        <vt:i4>5</vt:i4>
      </vt:variant>
      <vt:variant>
        <vt:lpwstr>http://www.nevo.co.il/case/23827604</vt:lpwstr>
      </vt:variant>
      <vt:variant>
        <vt:lpwstr/>
      </vt:variant>
      <vt:variant>
        <vt:i4>3932272</vt:i4>
      </vt:variant>
      <vt:variant>
        <vt:i4>108</vt:i4>
      </vt:variant>
      <vt:variant>
        <vt:i4>0</vt:i4>
      </vt:variant>
      <vt:variant>
        <vt:i4>5</vt:i4>
      </vt:variant>
      <vt:variant>
        <vt:lpwstr>http://www.nevo.co.il/case/23831472</vt:lpwstr>
      </vt:variant>
      <vt:variant>
        <vt:lpwstr/>
      </vt:variant>
      <vt:variant>
        <vt:i4>4718682</vt:i4>
      </vt:variant>
      <vt:variant>
        <vt:i4>105</vt:i4>
      </vt:variant>
      <vt:variant>
        <vt:i4>0</vt:i4>
      </vt:variant>
      <vt:variant>
        <vt:i4>5</vt:i4>
      </vt:variant>
      <vt:variant>
        <vt:lpwstr>http://www.nevo.co.il/law/74274/308.d</vt:lpwstr>
      </vt:variant>
      <vt:variant>
        <vt:lpwstr/>
      </vt:variant>
      <vt:variant>
        <vt:i4>8257634</vt:i4>
      </vt:variant>
      <vt:variant>
        <vt:i4>102</vt:i4>
      </vt:variant>
      <vt:variant>
        <vt:i4>0</vt:i4>
      </vt:variant>
      <vt:variant>
        <vt:i4>5</vt:i4>
      </vt:variant>
      <vt:variant>
        <vt:lpwstr>http://www.nevo.co.il/law/74501</vt:lpwstr>
      </vt:variant>
      <vt:variant>
        <vt:lpwstr/>
      </vt:variant>
      <vt:variant>
        <vt:i4>3145825</vt:i4>
      </vt:variant>
      <vt:variant>
        <vt:i4>99</vt:i4>
      </vt:variant>
      <vt:variant>
        <vt:i4>0</vt:i4>
      </vt:variant>
      <vt:variant>
        <vt:i4>5</vt:i4>
      </vt:variant>
      <vt:variant>
        <vt:lpwstr>http://www.nevo.co.il/law/74501/2a</vt:lpwstr>
      </vt:variant>
      <vt:variant>
        <vt:lpwstr/>
      </vt:variant>
      <vt:variant>
        <vt:i4>6291576</vt:i4>
      </vt:variant>
      <vt:variant>
        <vt:i4>96</vt:i4>
      </vt:variant>
      <vt:variant>
        <vt:i4>0</vt:i4>
      </vt:variant>
      <vt:variant>
        <vt:i4>5</vt:i4>
      </vt:variant>
      <vt:variant>
        <vt:lpwstr>http://www.nevo.co.il/law/5227/10.a</vt:lpwstr>
      </vt:variant>
      <vt:variant>
        <vt:lpwstr/>
      </vt:variant>
      <vt:variant>
        <vt:i4>7929957</vt:i4>
      </vt:variant>
      <vt:variant>
        <vt:i4>93</vt:i4>
      </vt:variant>
      <vt:variant>
        <vt:i4>0</vt:i4>
      </vt:variant>
      <vt:variant>
        <vt:i4>5</vt:i4>
      </vt:variant>
      <vt:variant>
        <vt:lpwstr>http://www.nevo.co.il/law/74274</vt:lpwstr>
      </vt:variant>
      <vt:variant>
        <vt:lpwstr/>
      </vt:variant>
      <vt:variant>
        <vt:i4>3539043</vt:i4>
      </vt:variant>
      <vt:variant>
        <vt:i4>90</vt:i4>
      </vt:variant>
      <vt:variant>
        <vt:i4>0</vt:i4>
      </vt:variant>
      <vt:variant>
        <vt:i4>5</vt:i4>
      </vt:variant>
      <vt:variant>
        <vt:lpwstr>http://www.nevo.co.il/law/74274/23.a.2</vt:lpwstr>
      </vt:variant>
      <vt:variant>
        <vt:lpwstr/>
      </vt:variant>
      <vt:variant>
        <vt:i4>8323175</vt:i4>
      </vt:variant>
      <vt:variant>
        <vt:i4>87</vt:i4>
      </vt:variant>
      <vt:variant>
        <vt:i4>0</vt:i4>
      </vt:variant>
      <vt:variant>
        <vt:i4>5</vt:i4>
      </vt:variant>
      <vt:variant>
        <vt:lpwstr>http://www.nevo.co.il/law/5227</vt:lpwstr>
      </vt:variant>
      <vt:variant>
        <vt:lpwstr/>
      </vt:variant>
      <vt:variant>
        <vt:i4>4784200</vt:i4>
      </vt:variant>
      <vt:variant>
        <vt:i4>84</vt:i4>
      </vt:variant>
      <vt:variant>
        <vt:i4>0</vt:i4>
      </vt:variant>
      <vt:variant>
        <vt:i4>5</vt:i4>
      </vt:variant>
      <vt:variant>
        <vt:lpwstr>http://www.nevo.co.il/law/5227/67</vt:lpwstr>
      </vt:variant>
      <vt:variant>
        <vt:lpwstr/>
      </vt:variant>
      <vt:variant>
        <vt:i4>3145842</vt:i4>
      </vt:variant>
      <vt:variant>
        <vt:i4>81</vt:i4>
      </vt:variant>
      <vt:variant>
        <vt:i4>0</vt:i4>
      </vt:variant>
      <vt:variant>
        <vt:i4>5</vt:i4>
      </vt:variant>
      <vt:variant>
        <vt:lpwstr>http://www.nevo.co.il/case/27505121</vt:lpwstr>
      </vt:variant>
      <vt:variant>
        <vt:lpwstr/>
      </vt:variant>
      <vt:variant>
        <vt:i4>3997821</vt:i4>
      </vt:variant>
      <vt:variant>
        <vt:i4>78</vt:i4>
      </vt:variant>
      <vt:variant>
        <vt:i4>0</vt:i4>
      </vt:variant>
      <vt:variant>
        <vt:i4>5</vt:i4>
      </vt:variant>
      <vt:variant>
        <vt:lpwstr>http://www.nevo.co.il/law/4216/7.a.;7.c</vt:lpwstr>
      </vt:variant>
      <vt:variant>
        <vt:lpwstr/>
      </vt:variant>
      <vt:variant>
        <vt:i4>3801205</vt:i4>
      </vt:variant>
      <vt:variant>
        <vt:i4>75</vt:i4>
      </vt:variant>
      <vt:variant>
        <vt:i4>0</vt:i4>
      </vt:variant>
      <vt:variant>
        <vt:i4>5</vt:i4>
      </vt:variant>
      <vt:variant>
        <vt:lpwstr>http://www.nevo.co.il/case/26021592</vt:lpwstr>
      </vt:variant>
      <vt:variant>
        <vt:lpwstr/>
      </vt:variant>
      <vt:variant>
        <vt:i4>2490476</vt:i4>
      </vt:variant>
      <vt:variant>
        <vt:i4>72</vt:i4>
      </vt:variant>
      <vt:variant>
        <vt:i4>0</vt:i4>
      </vt:variant>
      <vt:variant>
        <vt:i4>5</vt:i4>
      </vt:variant>
      <vt:variant>
        <vt:lpwstr>http://www.nevo.co.il/law/4216/19;13.a</vt:lpwstr>
      </vt:variant>
      <vt:variant>
        <vt:lpwstr/>
      </vt:variant>
      <vt:variant>
        <vt:i4>2490476</vt:i4>
      </vt:variant>
      <vt:variant>
        <vt:i4>69</vt:i4>
      </vt:variant>
      <vt:variant>
        <vt:i4>0</vt:i4>
      </vt:variant>
      <vt:variant>
        <vt:i4>5</vt:i4>
      </vt:variant>
      <vt:variant>
        <vt:lpwstr>http://www.nevo.co.il/law/4216/19;13.a</vt:lpwstr>
      </vt:variant>
      <vt:variant>
        <vt:lpwstr/>
      </vt:variant>
      <vt:variant>
        <vt:i4>2490476</vt:i4>
      </vt:variant>
      <vt:variant>
        <vt:i4>66</vt:i4>
      </vt:variant>
      <vt:variant>
        <vt:i4>0</vt:i4>
      </vt:variant>
      <vt:variant>
        <vt:i4>5</vt:i4>
      </vt:variant>
      <vt:variant>
        <vt:lpwstr>http://www.nevo.co.il/law/4216/19;13.a</vt:lpwstr>
      </vt:variant>
      <vt:variant>
        <vt:lpwstr/>
      </vt:variant>
      <vt:variant>
        <vt:i4>3997821</vt:i4>
      </vt:variant>
      <vt:variant>
        <vt:i4>63</vt:i4>
      </vt:variant>
      <vt:variant>
        <vt:i4>0</vt:i4>
      </vt:variant>
      <vt:variant>
        <vt:i4>5</vt:i4>
      </vt:variant>
      <vt:variant>
        <vt:lpwstr>http://www.nevo.co.il/law/4216/7.a.;7.c</vt:lpwstr>
      </vt:variant>
      <vt:variant>
        <vt:lpwstr/>
      </vt:variant>
      <vt:variant>
        <vt:i4>2490476</vt:i4>
      </vt:variant>
      <vt:variant>
        <vt:i4>60</vt:i4>
      </vt:variant>
      <vt:variant>
        <vt:i4>0</vt:i4>
      </vt:variant>
      <vt:variant>
        <vt:i4>5</vt:i4>
      </vt:variant>
      <vt:variant>
        <vt:lpwstr>http://www.nevo.co.il/law/4216/19;13.a</vt:lpwstr>
      </vt:variant>
      <vt:variant>
        <vt:lpwstr/>
      </vt:variant>
      <vt:variant>
        <vt:i4>8257637</vt:i4>
      </vt:variant>
      <vt:variant>
        <vt:i4>57</vt:i4>
      </vt:variant>
      <vt:variant>
        <vt:i4>0</vt:i4>
      </vt:variant>
      <vt:variant>
        <vt:i4>5</vt:i4>
      </vt:variant>
      <vt:variant>
        <vt:lpwstr>http://www.nevo.co.il/law/4216</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3276923</vt:i4>
      </vt:variant>
      <vt:variant>
        <vt:i4>48</vt:i4>
      </vt:variant>
      <vt:variant>
        <vt:i4>0</vt:i4>
      </vt:variant>
      <vt:variant>
        <vt:i4>5</vt:i4>
      </vt:variant>
      <vt:variant>
        <vt:lpwstr>http://www.nevo.co.il/case/24197269</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3145825</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4718682</vt:i4>
      </vt:variant>
      <vt:variant>
        <vt:i4>30</vt:i4>
      </vt:variant>
      <vt:variant>
        <vt:i4>0</vt:i4>
      </vt:variant>
      <vt:variant>
        <vt:i4>5</vt:i4>
      </vt:variant>
      <vt:variant>
        <vt:lpwstr>http://www.nevo.co.il/law/74274/308.d</vt:lpwstr>
      </vt:variant>
      <vt:variant>
        <vt:lpwstr/>
      </vt:variant>
      <vt:variant>
        <vt:i4>3539043</vt:i4>
      </vt:variant>
      <vt:variant>
        <vt:i4>27</vt:i4>
      </vt:variant>
      <vt:variant>
        <vt:i4>0</vt:i4>
      </vt:variant>
      <vt:variant>
        <vt:i4>5</vt:i4>
      </vt:variant>
      <vt:variant>
        <vt:lpwstr>http://www.nevo.co.il/law/74274/23.a.2</vt:lpwstr>
      </vt:variant>
      <vt:variant>
        <vt:lpwstr/>
      </vt:variant>
      <vt:variant>
        <vt:i4>7929957</vt:i4>
      </vt:variant>
      <vt:variant>
        <vt:i4>24</vt:i4>
      </vt:variant>
      <vt:variant>
        <vt:i4>0</vt:i4>
      </vt:variant>
      <vt:variant>
        <vt:i4>5</vt:i4>
      </vt:variant>
      <vt:variant>
        <vt:lpwstr>http://www.nevo.co.il/law/74274</vt:lpwstr>
      </vt:variant>
      <vt:variant>
        <vt:lpwstr/>
      </vt:variant>
      <vt:variant>
        <vt:i4>4784200</vt:i4>
      </vt:variant>
      <vt:variant>
        <vt:i4>21</vt:i4>
      </vt:variant>
      <vt:variant>
        <vt:i4>0</vt:i4>
      </vt:variant>
      <vt:variant>
        <vt:i4>5</vt:i4>
      </vt:variant>
      <vt:variant>
        <vt:lpwstr>http://www.nevo.co.il/law/5227/67</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5177418</vt:i4>
      </vt:variant>
      <vt:variant>
        <vt:i4>12</vt:i4>
      </vt:variant>
      <vt:variant>
        <vt:i4>0</vt:i4>
      </vt:variant>
      <vt:variant>
        <vt:i4>5</vt:i4>
      </vt:variant>
      <vt:variant>
        <vt:lpwstr>http://www.nevo.co.il/law/4216/19</vt:lpwstr>
      </vt:variant>
      <vt:variant>
        <vt:lpwstr/>
      </vt:variant>
      <vt:variant>
        <vt:i4>6357113</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2025-04-22T23:47:00Z</dcterms:created>
  <dcterms:modified xsi:type="dcterms:W3CDTF">2025-04-22T23:47:00Z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44591;20053</vt:lpwstr>
  </property>
  <property fmtid="{D5CDD505-2E9C-101B-9397-08002B2CF9AE}" pid="6" name="NEWPARTB">
    <vt:lpwstr>05;09</vt:lpwstr>
  </property>
  <property fmtid="{D5CDD505-2E9C-101B-9397-08002B2CF9AE}" pid="7" name="NEWPARTC">
    <vt:lpwstr>18;19</vt:lpwstr>
  </property>
  <property fmtid="{D5CDD505-2E9C-101B-9397-08002B2CF9AE}" pid="8" name="APPELLANT">
    <vt:lpwstr>מדינת ישראל</vt:lpwstr>
  </property>
  <property fmtid="{D5CDD505-2E9C-101B-9397-08002B2CF9AE}" pid="9" name="APPELLEE">
    <vt:lpwstr>עדי דגן</vt:lpwstr>
  </property>
  <property fmtid="{D5CDD505-2E9C-101B-9397-08002B2CF9AE}" pid="10" name="LAWYER">
    <vt:lpwstr>מאיר לוברבאום;יהונתן קיוול</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TYPE_N_DATE">
    <vt:lpwstr>38020211215</vt:lpwstr>
  </property>
  <property fmtid="{D5CDD505-2E9C-101B-9397-08002B2CF9AE}" pid="14" name="WORDNUMPAGES">
    <vt:lpwstr>8</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20211215</vt:lpwstr>
  </property>
  <property fmtid="{D5CDD505-2E9C-101B-9397-08002B2CF9AE}" pid="33" name="TYPE_ABS_DATE">
    <vt:lpwstr>380020211215</vt:lpwstr>
  </property>
  <property fmtid="{D5CDD505-2E9C-101B-9397-08002B2CF9AE}" pid="34" name="ISABSTRACT">
    <vt:lpwstr>Y</vt:lpwstr>
  </property>
  <property fmtid="{D5CDD505-2E9C-101B-9397-08002B2CF9AE}" pid="35" name="CASESLISTTMP1">
    <vt:lpwstr>24197269;26021592;27505121;23831472;23827604;5896323;5605484;22240058;21035570;22973717;20936185;21980458;21021204</vt:lpwstr>
  </property>
  <property fmtid="{D5CDD505-2E9C-101B-9397-08002B2CF9AE}" pid="36" name="LAWLISTTMP1">
    <vt:lpwstr>4216/007.a:3;007.c:3;019:4;013.a:4</vt:lpwstr>
  </property>
  <property fmtid="{D5CDD505-2E9C-101B-9397-08002B2CF9AE}" pid="37" name="LAWLISTTMP2">
    <vt:lpwstr>5227/067;010.a</vt:lpwstr>
  </property>
  <property fmtid="{D5CDD505-2E9C-101B-9397-08002B2CF9AE}" pid="38" name="LAWLISTTMP3">
    <vt:lpwstr>74274/023.a.2;308.d</vt:lpwstr>
  </property>
  <property fmtid="{D5CDD505-2E9C-101B-9397-08002B2CF9AE}" pid="39" name="LAWLISTTMP4">
    <vt:lpwstr>74501/002a</vt:lpwstr>
  </property>
  <property fmtid="{D5CDD505-2E9C-101B-9397-08002B2CF9AE}" pid="40" name="LAWLISTTMP5">
    <vt:lpwstr>70301/040i;40ja</vt:lpwstr>
  </property>
</Properties>
</file>