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65C0B" w:rsidRPr="00B0010D" w14:paraId="1761AF70" w14:textId="77777777" w:rsidTr="0066799C">
        <w:trPr>
          <w:trHeight w:hRule="exact" w:val="418"/>
          <w:jc w:val="center"/>
        </w:trPr>
        <w:tc>
          <w:tcPr>
            <w:tcW w:w="8721" w:type="dxa"/>
            <w:gridSpan w:val="2"/>
          </w:tcPr>
          <w:p w14:paraId="28030849" w14:textId="77777777" w:rsidR="00165C0B" w:rsidRPr="00B0010D" w:rsidRDefault="00165C0B" w:rsidP="00A469E6">
            <w:pPr>
              <w:pStyle w:val="a3"/>
              <w:jc w:val="center"/>
              <w:rPr>
                <w:rFonts w:ascii="Tahoma" w:hAnsi="Tahoma" w:cs="Tahoma"/>
                <w:color w:val="000080"/>
                <w:rtl/>
              </w:rPr>
            </w:pPr>
            <w:bookmarkStart w:id="0" w:name="FirstLawyer"/>
            <w:bookmarkStart w:id="1" w:name="LastJudge"/>
            <w:r w:rsidRPr="00B0010D">
              <w:rPr>
                <w:rFonts w:ascii="Tahoma" w:hAnsi="Tahoma" w:cs="Tahoma"/>
                <w:b/>
                <w:bCs/>
                <w:color w:val="000080"/>
                <w:rtl/>
              </w:rPr>
              <w:t>בית משפט השלום ברמלה</w:t>
            </w:r>
          </w:p>
        </w:tc>
      </w:tr>
      <w:tr w:rsidR="00165C0B" w:rsidRPr="00B0010D" w14:paraId="1CD9206B" w14:textId="77777777" w:rsidTr="0066799C">
        <w:trPr>
          <w:trHeight w:val="337"/>
          <w:jc w:val="center"/>
        </w:trPr>
        <w:tc>
          <w:tcPr>
            <w:tcW w:w="5056" w:type="dxa"/>
          </w:tcPr>
          <w:p w14:paraId="19942A24" w14:textId="77777777" w:rsidR="00165C0B" w:rsidRPr="00B0010D" w:rsidRDefault="00165C0B" w:rsidP="00A469E6">
            <w:pPr>
              <w:rPr>
                <w:rFonts w:cs="FrankRuehl"/>
                <w:sz w:val="28"/>
                <w:szCs w:val="28"/>
                <w:rtl/>
              </w:rPr>
            </w:pPr>
            <w:r w:rsidRPr="00B0010D">
              <w:rPr>
                <w:rFonts w:cs="FrankRuehl"/>
                <w:sz w:val="28"/>
                <w:szCs w:val="28"/>
                <w:rtl/>
              </w:rPr>
              <w:t>ת"פ</w:t>
            </w:r>
            <w:r w:rsidRPr="00B0010D">
              <w:rPr>
                <w:rFonts w:cs="FrankRuehl" w:hint="cs"/>
                <w:sz w:val="28"/>
                <w:szCs w:val="28"/>
                <w:rtl/>
              </w:rPr>
              <w:t xml:space="preserve"> </w:t>
            </w:r>
            <w:r w:rsidRPr="00B0010D">
              <w:rPr>
                <w:rFonts w:cs="FrankRuehl"/>
                <w:sz w:val="28"/>
                <w:szCs w:val="28"/>
                <w:rtl/>
              </w:rPr>
              <w:t>54134-05-18</w:t>
            </w:r>
            <w:r w:rsidRPr="00B0010D">
              <w:rPr>
                <w:rFonts w:cs="FrankRuehl" w:hint="cs"/>
                <w:sz w:val="28"/>
                <w:szCs w:val="28"/>
                <w:rtl/>
              </w:rPr>
              <w:t xml:space="preserve"> </w:t>
            </w:r>
            <w:r w:rsidRPr="00B0010D">
              <w:rPr>
                <w:rFonts w:cs="FrankRuehl"/>
                <w:sz w:val="28"/>
                <w:szCs w:val="28"/>
                <w:rtl/>
              </w:rPr>
              <w:t>מדינת ישראל נ' אבו לבן(עציר)</w:t>
            </w:r>
          </w:p>
          <w:p w14:paraId="6421615F" w14:textId="77777777" w:rsidR="00165C0B" w:rsidRPr="00B0010D" w:rsidRDefault="00165C0B" w:rsidP="00A469E6">
            <w:pPr>
              <w:pStyle w:val="a3"/>
              <w:rPr>
                <w:rFonts w:cs="FrankRuehl"/>
                <w:sz w:val="28"/>
                <w:szCs w:val="28"/>
                <w:rtl/>
              </w:rPr>
            </w:pPr>
          </w:p>
        </w:tc>
        <w:tc>
          <w:tcPr>
            <w:tcW w:w="3665" w:type="dxa"/>
          </w:tcPr>
          <w:p w14:paraId="6FA15F7D" w14:textId="77777777" w:rsidR="00165C0B" w:rsidRPr="00B0010D" w:rsidRDefault="00165C0B" w:rsidP="00A469E6">
            <w:pPr>
              <w:pStyle w:val="a3"/>
              <w:jc w:val="right"/>
              <w:rPr>
                <w:rFonts w:cs="FrankRuehl"/>
                <w:sz w:val="28"/>
                <w:szCs w:val="28"/>
                <w:rtl/>
              </w:rPr>
            </w:pPr>
          </w:p>
        </w:tc>
      </w:tr>
    </w:tbl>
    <w:p w14:paraId="50BD72D3" w14:textId="77777777" w:rsidR="00165C0B" w:rsidRPr="00B0010D" w:rsidRDefault="00165C0B" w:rsidP="00165C0B">
      <w:pPr>
        <w:pStyle w:val="a3"/>
        <w:rPr>
          <w:rtl/>
        </w:rPr>
      </w:pPr>
      <w:r w:rsidRPr="00B0010D">
        <w:rPr>
          <w:rFonts w:hint="cs"/>
          <w:rtl/>
        </w:rPr>
        <w:t xml:space="preserve"> </w:t>
      </w:r>
    </w:p>
    <w:p w14:paraId="0EEAED36" w14:textId="77777777" w:rsidR="00165C0B" w:rsidRPr="00B0010D" w:rsidRDefault="00165C0B" w:rsidP="00165C0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165C0B" w:rsidRPr="00B0010D" w14:paraId="0BE796C7" w14:textId="77777777" w:rsidTr="0066799C">
        <w:trPr>
          <w:trHeight w:val="295"/>
          <w:jc w:val="center"/>
        </w:trPr>
        <w:tc>
          <w:tcPr>
            <w:tcW w:w="945" w:type="dxa"/>
            <w:tcBorders>
              <w:top w:val="nil"/>
              <w:left w:val="nil"/>
              <w:bottom w:val="nil"/>
              <w:right w:val="nil"/>
            </w:tcBorders>
            <w:shd w:val="clear" w:color="auto" w:fill="auto"/>
          </w:tcPr>
          <w:p w14:paraId="659ADAF3" w14:textId="77777777" w:rsidR="00165C0B" w:rsidRPr="00B0010D" w:rsidRDefault="00165C0B" w:rsidP="00165C0B">
            <w:pPr>
              <w:jc w:val="both"/>
              <w:rPr>
                <w:rFonts w:ascii="Arial" w:hAnsi="Arial"/>
                <w:b/>
                <w:bCs/>
                <w:sz w:val="28"/>
                <w:szCs w:val="28"/>
              </w:rPr>
            </w:pPr>
            <w:r w:rsidRPr="00B0010D">
              <w:rPr>
                <w:rFonts w:ascii="Arial" w:hAnsi="Arial" w:hint="cs"/>
                <w:b/>
                <w:bCs/>
                <w:sz w:val="28"/>
                <w:szCs w:val="28"/>
                <w:rtl/>
              </w:rPr>
              <w:t>ב</w:t>
            </w:r>
            <w:r w:rsidRPr="00B0010D">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00CE8E2C" w14:textId="77777777" w:rsidR="00165C0B" w:rsidRPr="00B0010D" w:rsidRDefault="00165C0B" w:rsidP="00A469E6">
            <w:pPr>
              <w:rPr>
                <w:rFonts w:ascii="Arial" w:hAnsi="Arial"/>
                <w:b/>
                <w:bCs/>
                <w:sz w:val="28"/>
                <w:szCs w:val="28"/>
                <w:rtl/>
              </w:rPr>
            </w:pPr>
            <w:r w:rsidRPr="00B0010D">
              <w:rPr>
                <w:rFonts w:ascii="Arial" w:hAnsi="Arial" w:hint="cs"/>
                <w:b/>
                <w:bCs/>
                <w:sz w:val="28"/>
                <w:szCs w:val="28"/>
                <w:rtl/>
              </w:rPr>
              <w:t>כבוד ה</w:t>
            </w:r>
            <w:r w:rsidRPr="00B0010D">
              <w:rPr>
                <w:rFonts w:ascii="Arial" w:hAnsi="Arial"/>
                <w:b/>
                <w:bCs/>
                <w:sz w:val="28"/>
                <w:szCs w:val="28"/>
                <w:rtl/>
              </w:rPr>
              <w:t>שופט</w:t>
            </w:r>
            <w:r w:rsidRPr="00B0010D">
              <w:rPr>
                <w:rFonts w:ascii="Arial" w:hAnsi="Arial" w:hint="cs"/>
                <w:b/>
                <w:bCs/>
                <w:sz w:val="28"/>
                <w:szCs w:val="28"/>
                <w:rtl/>
              </w:rPr>
              <w:t xml:space="preserve">  </w:t>
            </w:r>
            <w:r w:rsidRPr="00B0010D">
              <w:rPr>
                <w:rFonts w:ascii="Arial" w:hAnsi="Arial"/>
                <w:b/>
                <w:bCs/>
                <w:sz w:val="28"/>
                <w:szCs w:val="28"/>
                <w:rtl/>
              </w:rPr>
              <w:t>הישאם  אבו שחאדה</w:t>
            </w:r>
          </w:p>
          <w:p w14:paraId="0F30E50F" w14:textId="77777777" w:rsidR="00165C0B" w:rsidRPr="00B0010D" w:rsidRDefault="00165C0B" w:rsidP="00A469E6">
            <w:pPr>
              <w:rPr>
                <w:b/>
                <w:bCs/>
                <w:sz w:val="28"/>
                <w:szCs w:val="28"/>
                <w:rtl/>
              </w:rPr>
            </w:pPr>
          </w:p>
          <w:p w14:paraId="61D03755" w14:textId="77777777" w:rsidR="00165C0B" w:rsidRPr="00B0010D" w:rsidRDefault="00165C0B" w:rsidP="00165C0B">
            <w:pPr>
              <w:jc w:val="both"/>
              <w:rPr>
                <w:rFonts w:ascii="Arial" w:hAnsi="Arial"/>
                <w:b/>
                <w:bCs/>
                <w:sz w:val="28"/>
                <w:szCs w:val="28"/>
              </w:rPr>
            </w:pPr>
          </w:p>
        </w:tc>
      </w:tr>
      <w:tr w:rsidR="00165C0B" w:rsidRPr="00B0010D" w14:paraId="58123F6D" w14:textId="77777777" w:rsidTr="0066799C">
        <w:trPr>
          <w:trHeight w:val="355"/>
          <w:jc w:val="center"/>
        </w:trPr>
        <w:tc>
          <w:tcPr>
            <w:tcW w:w="945" w:type="dxa"/>
            <w:tcBorders>
              <w:top w:val="nil"/>
              <w:left w:val="nil"/>
              <w:bottom w:val="nil"/>
              <w:right w:val="nil"/>
            </w:tcBorders>
            <w:shd w:val="clear" w:color="auto" w:fill="auto"/>
          </w:tcPr>
          <w:p w14:paraId="4E9018D3" w14:textId="77777777" w:rsidR="00165C0B" w:rsidRPr="00B0010D" w:rsidRDefault="00165C0B" w:rsidP="00165C0B">
            <w:pPr>
              <w:jc w:val="both"/>
              <w:rPr>
                <w:rFonts w:ascii="Arial" w:hAnsi="Arial"/>
                <w:b/>
                <w:bCs/>
                <w:sz w:val="28"/>
                <w:szCs w:val="28"/>
              </w:rPr>
            </w:pPr>
            <w:bookmarkStart w:id="2" w:name="FirstAppellant"/>
            <w:r w:rsidRPr="00B0010D">
              <w:rPr>
                <w:rFonts w:ascii="Arial" w:hAnsi="Arial" w:hint="cs"/>
                <w:b/>
                <w:bCs/>
                <w:sz w:val="28"/>
                <w:szCs w:val="28"/>
                <w:rtl/>
              </w:rPr>
              <w:t>בעניין:</w:t>
            </w:r>
          </w:p>
        </w:tc>
        <w:tc>
          <w:tcPr>
            <w:tcW w:w="4116" w:type="dxa"/>
            <w:tcBorders>
              <w:top w:val="nil"/>
              <w:left w:val="nil"/>
              <w:bottom w:val="nil"/>
              <w:right w:val="nil"/>
            </w:tcBorders>
            <w:shd w:val="clear" w:color="auto" w:fill="auto"/>
          </w:tcPr>
          <w:p w14:paraId="091529E7" w14:textId="77777777" w:rsidR="00165C0B" w:rsidRPr="00B0010D" w:rsidRDefault="00165C0B" w:rsidP="00A469E6">
            <w:pPr>
              <w:rPr>
                <w:b/>
                <w:bCs/>
                <w:sz w:val="28"/>
                <w:szCs w:val="28"/>
              </w:rPr>
            </w:pPr>
            <w:r w:rsidRPr="00B0010D">
              <w:rPr>
                <w:rFonts w:ascii="Arial" w:hAnsi="Arial" w:hint="cs"/>
                <w:b/>
                <w:bCs/>
                <w:sz w:val="28"/>
                <w:szCs w:val="28"/>
                <w:rtl/>
              </w:rPr>
              <w:t xml:space="preserve">המאשימה </w:t>
            </w:r>
            <w:r w:rsidRPr="00B0010D">
              <w:rPr>
                <w:rFonts w:ascii="Arial" w:hAnsi="Arial"/>
                <w:b/>
                <w:bCs/>
                <w:sz w:val="28"/>
                <w:szCs w:val="28"/>
                <w:rtl/>
              </w:rPr>
              <w:t>מדינת ישראל</w:t>
            </w:r>
            <w:r w:rsidRPr="00B0010D">
              <w:rPr>
                <w:rFonts w:ascii="Arial" w:hAnsi="Arial"/>
                <w:b/>
                <w:bCs/>
                <w:sz w:val="28"/>
                <w:szCs w:val="28"/>
                <w:rtl/>
              </w:rPr>
              <w:br/>
            </w:r>
            <w:r w:rsidRPr="00B0010D">
              <w:rPr>
                <w:rFonts w:hint="cs"/>
                <w:b/>
                <w:bCs/>
                <w:sz w:val="28"/>
                <w:szCs w:val="28"/>
                <w:rtl/>
              </w:rPr>
              <w:t>ע"י עוה"ד מעין דואק</w:t>
            </w:r>
          </w:p>
        </w:tc>
        <w:tc>
          <w:tcPr>
            <w:tcW w:w="3759" w:type="dxa"/>
            <w:tcBorders>
              <w:top w:val="nil"/>
              <w:left w:val="nil"/>
              <w:bottom w:val="nil"/>
              <w:right w:val="nil"/>
            </w:tcBorders>
            <w:shd w:val="clear" w:color="auto" w:fill="auto"/>
          </w:tcPr>
          <w:p w14:paraId="0BF52ED4" w14:textId="77777777" w:rsidR="00165C0B" w:rsidRPr="00B0010D" w:rsidRDefault="00165C0B" w:rsidP="00165C0B">
            <w:pPr>
              <w:jc w:val="both"/>
              <w:rPr>
                <w:rFonts w:ascii="Arial" w:hAnsi="Arial"/>
                <w:b/>
                <w:bCs/>
                <w:sz w:val="28"/>
                <w:szCs w:val="28"/>
              </w:rPr>
            </w:pPr>
          </w:p>
        </w:tc>
      </w:tr>
      <w:bookmarkEnd w:id="2"/>
      <w:tr w:rsidR="00165C0B" w:rsidRPr="00B0010D" w14:paraId="68998F17" w14:textId="77777777" w:rsidTr="0066799C">
        <w:trPr>
          <w:gridAfter w:val="2"/>
          <w:wAfter w:w="7875" w:type="dxa"/>
          <w:trHeight w:val="355"/>
          <w:jc w:val="center"/>
        </w:trPr>
        <w:tc>
          <w:tcPr>
            <w:tcW w:w="945" w:type="dxa"/>
            <w:tcBorders>
              <w:top w:val="nil"/>
              <w:left w:val="nil"/>
              <w:bottom w:val="nil"/>
              <w:right w:val="nil"/>
            </w:tcBorders>
            <w:shd w:val="clear" w:color="auto" w:fill="auto"/>
          </w:tcPr>
          <w:p w14:paraId="4F180C38" w14:textId="77777777" w:rsidR="00165C0B" w:rsidRPr="00B0010D" w:rsidRDefault="00165C0B" w:rsidP="00165C0B">
            <w:pPr>
              <w:jc w:val="both"/>
              <w:rPr>
                <w:rFonts w:ascii="Arial" w:hAnsi="Arial"/>
                <w:b/>
                <w:bCs/>
                <w:sz w:val="28"/>
                <w:szCs w:val="28"/>
                <w:rtl/>
              </w:rPr>
            </w:pPr>
          </w:p>
        </w:tc>
      </w:tr>
      <w:tr w:rsidR="00165C0B" w:rsidRPr="00B0010D" w14:paraId="609D885D" w14:textId="77777777" w:rsidTr="0066799C">
        <w:trPr>
          <w:trHeight w:val="355"/>
          <w:jc w:val="center"/>
        </w:trPr>
        <w:tc>
          <w:tcPr>
            <w:tcW w:w="945" w:type="dxa"/>
            <w:tcBorders>
              <w:top w:val="nil"/>
              <w:left w:val="nil"/>
              <w:bottom w:val="nil"/>
              <w:right w:val="nil"/>
            </w:tcBorders>
            <w:shd w:val="clear" w:color="auto" w:fill="auto"/>
          </w:tcPr>
          <w:p w14:paraId="661361E2" w14:textId="77777777" w:rsidR="00165C0B" w:rsidRPr="00B0010D" w:rsidRDefault="00165C0B" w:rsidP="00165C0B">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09F16F6" w14:textId="77777777" w:rsidR="00165C0B" w:rsidRPr="00B0010D" w:rsidRDefault="00165C0B" w:rsidP="00165C0B">
            <w:pPr>
              <w:jc w:val="center"/>
              <w:rPr>
                <w:rFonts w:ascii="Arial" w:hAnsi="Arial"/>
                <w:b/>
                <w:bCs/>
                <w:sz w:val="28"/>
                <w:szCs w:val="28"/>
                <w:rtl/>
              </w:rPr>
            </w:pPr>
          </w:p>
          <w:p w14:paraId="42409882" w14:textId="77777777" w:rsidR="00165C0B" w:rsidRPr="00B0010D" w:rsidRDefault="00165C0B" w:rsidP="00165C0B">
            <w:pPr>
              <w:jc w:val="center"/>
              <w:rPr>
                <w:rFonts w:ascii="Arial" w:hAnsi="Arial"/>
                <w:b/>
                <w:bCs/>
                <w:sz w:val="28"/>
                <w:szCs w:val="28"/>
                <w:rtl/>
              </w:rPr>
            </w:pPr>
            <w:r w:rsidRPr="00B0010D">
              <w:rPr>
                <w:rFonts w:ascii="Arial" w:hAnsi="Arial"/>
                <w:b/>
                <w:bCs/>
                <w:sz w:val="28"/>
                <w:szCs w:val="28"/>
                <w:rtl/>
              </w:rPr>
              <w:t>נגד</w:t>
            </w:r>
          </w:p>
          <w:p w14:paraId="43279575" w14:textId="77777777" w:rsidR="00165C0B" w:rsidRPr="00B0010D" w:rsidRDefault="00165C0B" w:rsidP="00165C0B">
            <w:pPr>
              <w:jc w:val="both"/>
              <w:rPr>
                <w:rFonts w:ascii="Arial" w:hAnsi="Arial"/>
                <w:b/>
                <w:bCs/>
                <w:sz w:val="28"/>
                <w:szCs w:val="28"/>
              </w:rPr>
            </w:pPr>
          </w:p>
        </w:tc>
      </w:tr>
      <w:tr w:rsidR="00165C0B" w:rsidRPr="00B0010D" w14:paraId="73DD4F43" w14:textId="77777777" w:rsidTr="0066799C">
        <w:trPr>
          <w:trHeight w:val="355"/>
          <w:jc w:val="center"/>
        </w:trPr>
        <w:tc>
          <w:tcPr>
            <w:tcW w:w="945" w:type="dxa"/>
            <w:tcBorders>
              <w:top w:val="nil"/>
              <w:left w:val="nil"/>
              <w:bottom w:val="nil"/>
              <w:right w:val="nil"/>
            </w:tcBorders>
            <w:shd w:val="clear" w:color="auto" w:fill="auto"/>
          </w:tcPr>
          <w:p w14:paraId="16852FFB" w14:textId="77777777" w:rsidR="00165C0B" w:rsidRPr="00B0010D" w:rsidRDefault="00165C0B" w:rsidP="00A469E6">
            <w:pPr>
              <w:rPr>
                <w:rFonts w:ascii="Arial" w:hAnsi="Arial"/>
                <w:b/>
                <w:bCs/>
                <w:sz w:val="28"/>
                <w:szCs w:val="28"/>
                <w:rtl/>
              </w:rPr>
            </w:pPr>
          </w:p>
        </w:tc>
        <w:tc>
          <w:tcPr>
            <w:tcW w:w="4116" w:type="dxa"/>
            <w:tcBorders>
              <w:top w:val="nil"/>
              <w:left w:val="nil"/>
              <w:bottom w:val="nil"/>
              <w:right w:val="nil"/>
            </w:tcBorders>
            <w:shd w:val="clear" w:color="auto" w:fill="auto"/>
          </w:tcPr>
          <w:p w14:paraId="0E8E5BA5" w14:textId="77777777" w:rsidR="00165C0B" w:rsidRPr="00B0010D" w:rsidRDefault="00165C0B" w:rsidP="00A469E6">
            <w:pPr>
              <w:rPr>
                <w:b/>
                <w:bCs/>
                <w:sz w:val="28"/>
                <w:szCs w:val="28"/>
                <w:rtl/>
              </w:rPr>
            </w:pPr>
            <w:r w:rsidRPr="00B0010D">
              <w:rPr>
                <w:rFonts w:hint="cs"/>
                <w:b/>
                <w:bCs/>
                <w:sz w:val="28"/>
                <w:szCs w:val="28"/>
                <w:rtl/>
              </w:rPr>
              <w:t xml:space="preserve">הנאשם - </w:t>
            </w:r>
            <w:r w:rsidRPr="00B0010D">
              <w:rPr>
                <w:rFonts w:ascii="Arial" w:hAnsi="Arial"/>
                <w:b/>
                <w:bCs/>
                <w:sz w:val="28"/>
                <w:szCs w:val="28"/>
                <w:rtl/>
              </w:rPr>
              <w:t>נאדיר אבו לבן (עציר)</w:t>
            </w:r>
            <w:r w:rsidRPr="00B0010D">
              <w:rPr>
                <w:rFonts w:ascii="Arial" w:hAnsi="Arial"/>
                <w:b/>
                <w:bCs/>
                <w:sz w:val="28"/>
                <w:szCs w:val="28"/>
                <w:rtl/>
              </w:rPr>
              <w:br/>
            </w:r>
            <w:r w:rsidRPr="00B0010D">
              <w:rPr>
                <w:rFonts w:hint="cs"/>
                <w:b/>
                <w:bCs/>
                <w:sz w:val="28"/>
                <w:szCs w:val="28"/>
                <w:rtl/>
              </w:rPr>
              <w:t>הובא באמצעות שב"ס</w:t>
            </w:r>
            <w:r w:rsidRPr="00B0010D">
              <w:rPr>
                <w:b/>
                <w:bCs/>
                <w:sz w:val="28"/>
                <w:szCs w:val="28"/>
                <w:rtl/>
              </w:rPr>
              <w:br/>
            </w:r>
            <w:r w:rsidRPr="00B0010D">
              <w:rPr>
                <w:rFonts w:hint="cs"/>
                <w:b/>
                <w:bCs/>
                <w:sz w:val="28"/>
                <w:szCs w:val="28"/>
                <w:rtl/>
              </w:rPr>
              <w:t>ע"י עוה"ד רעות קורוליק</w:t>
            </w:r>
          </w:p>
        </w:tc>
        <w:tc>
          <w:tcPr>
            <w:tcW w:w="3759" w:type="dxa"/>
            <w:tcBorders>
              <w:top w:val="nil"/>
              <w:left w:val="nil"/>
              <w:bottom w:val="nil"/>
              <w:right w:val="nil"/>
            </w:tcBorders>
            <w:shd w:val="clear" w:color="auto" w:fill="auto"/>
          </w:tcPr>
          <w:p w14:paraId="065E89E8" w14:textId="77777777" w:rsidR="00165C0B" w:rsidRPr="00B0010D" w:rsidRDefault="00165C0B" w:rsidP="00165C0B">
            <w:pPr>
              <w:jc w:val="right"/>
              <w:rPr>
                <w:rFonts w:ascii="Arial" w:hAnsi="Arial"/>
                <w:b/>
                <w:bCs/>
                <w:sz w:val="28"/>
                <w:szCs w:val="28"/>
              </w:rPr>
            </w:pPr>
          </w:p>
        </w:tc>
      </w:tr>
    </w:tbl>
    <w:p w14:paraId="0C36B035" w14:textId="77777777" w:rsidR="00023AC7" w:rsidRPr="00023AC7" w:rsidRDefault="00023AC7" w:rsidP="00023AC7">
      <w:pPr>
        <w:spacing w:after="120" w:line="240" w:lineRule="exact"/>
        <w:ind w:left="283" w:hanging="283"/>
        <w:jc w:val="both"/>
        <w:rPr>
          <w:rFonts w:ascii="FrankRuehl" w:hAnsi="FrankRuehl" w:cs="FrankRuehl"/>
          <w:rtl/>
        </w:rPr>
      </w:pPr>
    </w:p>
    <w:p w14:paraId="2912A644" w14:textId="77777777" w:rsidR="00023AC7" w:rsidRPr="00023AC7" w:rsidRDefault="00023AC7" w:rsidP="00023AC7">
      <w:pPr>
        <w:spacing w:after="120" w:line="240" w:lineRule="exact"/>
        <w:ind w:left="283" w:hanging="283"/>
        <w:jc w:val="both"/>
        <w:rPr>
          <w:rFonts w:ascii="FrankRuehl" w:hAnsi="FrankRuehl" w:cs="FrankRuehl"/>
          <w:rtl/>
        </w:rPr>
      </w:pPr>
      <w:r w:rsidRPr="00023AC7">
        <w:rPr>
          <w:rFonts w:ascii="FrankRuehl" w:hAnsi="FrankRuehl" w:cs="FrankRuehl"/>
          <w:rtl/>
        </w:rPr>
        <w:t xml:space="preserve">חקיקה שאוזכרה: </w:t>
      </w:r>
    </w:p>
    <w:p w14:paraId="4B813D58" w14:textId="77777777" w:rsidR="00023AC7" w:rsidRPr="00023AC7" w:rsidRDefault="00023AC7" w:rsidP="00023AC7">
      <w:pPr>
        <w:spacing w:after="120" w:line="240" w:lineRule="exact"/>
        <w:ind w:left="283" w:hanging="283"/>
        <w:jc w:val="both"/>
        <w:rPr>
          <w:rFonts w:ascii="FrankRuehl" w:hAnsi="FrankRuehl" w:cs="FrankRuehl"/>
          <w:rtl/>
        </w:rPr>
      </w:pPr>
      <w:hyperlink r:id="rId6" w:history="1">
        <w:r w:rsidRPr="00023AC7">
          <w:rPr>
            <w:rFonts w:ascii="FrankRuehl" w:hAnsi="FrankRuehl" w:cs="FrankRuehl"/>
            <w:color w:val="0000FF"/>
            <w:u w:val="single"/>
            <w:rtl/>
          </w:rPr>
          <w:t>פקודת הסמים המסוכנים [נוסח חדש], תשל"ג-1973</w:t>
        </w:r>
      </w:hyperlink>
      <w:r w:rsidRPr="00023AC7">
        <w:rPr>
          <w:rFonts w:ascii="FrankRuehl" w:hAnsi="FrankRuehl" w:cs="FrankRuehl"/>
          <w:rtl/>
        </w:rPr>
        <w:t xml:space="preserve">: סע'  </w:t>
      </w:r>
      <w:hyperlink r:id="rId7" w:history="1">
        <w:r w:rsidRPr="00023AC7">
          <w:rPr>
            <w:rFonts w:ascii="FrankRuehl" w:hAnsi="FrankRuehl" w:cs="FrankRuehl"/>
            <w:color w:val="0000FF"/>
            <w:u w:val="single"/>
            <w:rtl/>
          </w:rPr>
          <w:t>7(א)</w:t>
        </w:r>
      </w:hyperlink>
      <w:r w:rsidRPr="00023AC7">
        <w:rPr>
          <w:rFonts w:ascii="FrankRuehl" w:hAnsi="FrankRuehl" w:cs="FrankRuehl"/>
          <w:rtl/>
        </w:rPr>
        <w:t xml:space="preserve">, </w:t>
      </w:r>
      <w:hyperlink r:id="rId8" w:history="1">
        <w:r w:rsidRPr="00023AC7">
          <w:rPr>
            <w:rFonts w:ascii="FrankRuehl" w:hAnsi="FrankRuehl" w:cs="FrankRuehl"/>
            <w:color w:val="0000FF"/>
            <w:u w:val="single"/>
            <w:rtl/>
          </w:rPr>
          <w:t>7(ג)</w:t>
        </w:r>
      </w:hyperlink>
    </w:p>
    <w:p w14:paraId="381B2D1D" w14:textId="77777777" w:rsidR="00023AC7" w:rsidRPr="00023AC7" w:rsidRDefault="00023AC7" w:rsidP="00023AC7">
      <w:pPr>
        <w:spacing w:after="120" w:line="240" w:lineRule="exact"/>
        <w:ind w:left="283" w:hanging="283"/>
        <w:jc w:val="both"/>
        <w:rPr>
          <w:rFonts w:ascii="FrankRuehl" w:hAnsi="FrankRuehl" w:cs="FrankRuehl"/>
          <w:rtl/>
        </w:rPr>
      </w:pPr>
      <w:hyperlink r:id="rId9" w:history="1">
        <w:r w:rsidRPr="00023AC7">
          <w:rPr>
            <w:rFonts w:ascii="FrankRuehl" w:hAnsi="FrankRuehl" w:cs="FrankRuehl"/>
            <w:color w:val="0000FF"/>
            <w:u w:val="single"/>
            <w:rtl/>
          </w:rPr>
          <w:t>חוק העונשין, תשל"ז-1977</w:t>
        </w:r>
      </w:hyperlink>
      <w:r w:rsidRPr="00023AC7">
        <w:rPr>
          <w:rFonts w:ascii="FrankRuehl" w:hAnsi="FrankRuehl" w:cs="FrankRuehl"/>
          <w:rtl/>
        </w:rPr>
        <w:t xml:space="preserve">: סע'  </w:t>
      </w:r>
      <w:hyperlink r:id="rId10" w:history="1">
        <w:r w:rsidRPr="00023AC7">
          <w:rPr>
            <w:rFonts w:ascii="FrankRuehl" w:hAnsi="FrankRuehl" w:cs="FrankRuehl"/>
            <w:color w:val="0000FF"/>
            <w:u w:val="single"/>
            <w:rtl/>
          </w:rPr>
          <w:t>40ט(א)</w:t>
        </w:r>
      </w:hyperlink>
      <w:r w:rsidRPr="00023AC7">
        <w:rPr>
          <w:rFonts w:ascii="FrankRuehl" w:hAnsi="FrankRuehl" w:cs="FrankRuehl"/>
          <w:rtl/>
        </w:rPr>
        <w:t xml:space="preserve">, </w:t>
      </w:r>
      <w:hyperlink r:id="rId11" w:history="1">
        <w:r w:rsidRPr="00023AC7">
          <w:rPr>
            <w:rFonts w:ascii="FrankRuehl" w:hAnsi="FrankRuehl" w:cs="FrankRuehl"/>
            <w:color w:val="0000FF"/>
            <w:u w:val="single"/>
            <w:rtl/>
          </w:rPr>
          <w:t>40ט.א.3.</w:t>
        </w:r>
      </w:hyperlink>
      <w:r w:rsidRPr="00023AC7">
        <w:rPr>
          <w:rFonts w:ascii="FrankRuehl" w:hAnsi="FrankRuehl" w:cs="FrankRuehl"/>
          <w:rtl/>
        </w:rPr>
        <w:t xml:space="preserve">, </w:t>
      </w:r>
      <w:hyperlink r:id="rId12" w:history="1">
        <w:r w:rsidRPr="00023AC7">
          <w:rPr>
            <w:rFonts w:ascii="FrankRuehl" w:hAnsi="FrankRuehl" w:cs="FrankRuehl"/>
            <w:color w:val="0000FF"/>
            <w:u w:val="single"/>
            <w:rtl/>
          </w:rPr>
          <w:t>40ט.א.4</w:t>
        </w:r>
      </w:hyperlink>
    </w:p>
    <w:p w14:paraId="059E8AB4" w14:textId="77777777" w:rsidR="00023AC7" w:rsidRPr="00023AC7" w:rsidRDefault="00023AC7" w:rsidP="00023AC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5C0B" w:rsidRPr="00857343" w14:paraId="119A22A7" w14:textId="77777777" w:rsidTr="00165C0B">
        <w:trPr>
          <w:trHeight w:val="355"/>
          <w:jc w:val="center"/>
        </w:trPr>
        <w:tc>
          <w:tcPr>
            <w:tcW w:w="8820" w:type="dxa"/>
            <w:tcBorders>
              <w:top w:val="nil"/>
              <w:left w:val="nil"/>
              <w:bottom w:val="nil"/>
              <w:right w:val="nil"/>
            </w:tcBorders>
            <w:shd w:val="clear" w:color="auto" w:fill="auto"/>
          </w:tcPr>
          <w:p w14:paraId="2E3BD4B6" w14:textId="77777777" w:rsidR="00B0010D" w:rsidRPr="00B0010D" w:rsidRDefault="00B0010D" w:rsidP="00B0010D">
            <w:pPr>
              <w:jc w:val="center"/>
              <w:rPr>
                <w:rFonts w:ascii="Arial" w:hAnsi="Arial"/>
                <w:b/>
                <w:bCs/>
                <w:sz w:val="28"/>
                <w:szCs w:val="28"/>
                <w:u w:val="single"/>
                <w:rtl/>
              </w:rPr>
            </w:pPr>
            <w:bookmarkStart w:id="3" w:name="LawTable_End"/>
            <w:bookmarkStart w:id="4" w:name="PsakDin" w:colFirst="0" w:colLast="0"/>
            <w:bookmarkEnd w:id="0"/>
            <w:bookmarkEnd w:id="1"/>
            <w:bookmarkEnd w:id="3"/>
            <w:r w:rsidRPr="00B0010D">
              <w:rPr>
                <w:rFonts w:ascii="Arial" w:hAnsi="Arial"/>
                <w:b/>
                <w:bCs/>
                <w:sz w:val="28"/>
                <w:szCs w:val="28"/>
                <w:u w:val="single"/>
                <w:rtl/>
              </w:rPr>
              <w:t>גזר דין</w:t>
            </w:r>
          </w:p>
          <w:p w14:paraId="485C223C" w14:textId="77777777" w:rsidR="00165C0B" w:rsidRPr="00B0010D" w:rsidRDefault="00165C0B" w:rsidP="00B0010D">
            <w:pPr>
              <w:jc w:val="center"/>
              <w:rPr>
                <w:rFonts w:ascii="Arial" w:hAnsi="Arial"/>
                <w:b/>
                <w:bCs/>
                <w:sz w:val="28"/>
                <w:szCs w:val="28"/>
                <w:u w:val="single"/>
                <w:rtl/>
              </w:rPr>
            </w:pPr>
          </w:p>
        </w:tc>
      </w:tr>
      <w:bookmarkEnd w:id="4"/>
    </w:tbl>
    <w:p w14:paraId="613025C0" w14:textId="77777777" w:rsidR="00165C0B" w:rsidRPr="00857343" w:rsidRDefault="00165C0B" w:rsidP="00165C0B">
      <w:pPr>
        <w:rPr>
          <w:rFonts w:ascii="Arial" w:hAnsi="Arial"/>
          <w:b/>
          <w:bCs/>
          <w:sz w:val="28"/>
          <w:szCs w:val="28"/>
          <w:rtl/>
        </w:rPr>
      </w:pPr>
    </w:p>
    <w:p w14:paraId="0F2522BA" w14:textId="77777777" w:rsidR="00165C0B" w:rsidRPr="005963B0" w:rsidRDefault="00165C0B" w:rsidP="00165C0B">
      <w:pPr>
        <w:rPr>
          <w:rFonts w:ascii="Arial" w:hAnsi="Arial"/>
          <w:b/>
          <w:bCs/>
          <w:sz w:val="28"/>
          <w:szCs w:val="28"/>
          <w:u w:val="single"/>
          <w:rtl/>
        </w:rPr>
      </w:pPr>
      <w:r w:rsidRPr="005963B0">
        <w:rPr>
          <w:rFonts w:ascii="Arial" w:hAnsi="Arial" w:hint="cs"/>
          <w:b/>
          <w:bCs/>
          <w:sz w:val="28"/>
          <w:szCs w:val="28"/>
          <w:u w:val="single"/>
          <w:rtl/>
        </w:rPr>
        <w:t xml:space="preserve">כתב האישום </w:t>
      </w:r>
    </w:p>
    <w:p w14:paraId="1EB1E33C" w14:textId="77777777" w:rsidR="00165C0B" w:rsidRPr="005963B0" w:rsidRDefault="00165C0B" w:rsidP="00165C0B">
      <w:pPr>
        <w:spacing w:line="360" w:lineRule="auto"/>
        <w:jc w:val="both"/>
        <w:rPr>
          <w:rFonts w:ascii="Arial" w:hAnsi="Arial"/>
          <w:rtl/>
        </w:rPr>
      </w:pPr>
    </w:p>
    <w:p w14:paraId="296727F9" w14:textId="77777777" w:rsidR="00165C0B" w:rsidRDefault="00165C0B" w:rsidP="00165C0B">
      <w:pPr>
        <w:spacing w:line="360" w:lineRule="auto"/>
        <w:ind w:left="720" w:hanging="720"/>
        <w:jc w:val="both"/>
        <w:rPr>
          <w:rFonts w:ascii="Arial" w:hAnsi="Arial"/>
          <w:rtl/>
        </w:rPr>
      </w:pPr>
      <w:r w:rsidRPr="005963B0">
        <w:rPr>
          <w:rFonts w:ascii="Arial" w:hAnsi="Arial" w:hint="cs"/>
          <w:rtl/>
        </w:rPr>
        <w:t>1.</w:t>
      </w:r>
      <w:r w:rsidRPr="005963B0">
        <w:rPr>
          <w:rFonts w:ascii="Arial" w:hAnsi="Arial" w:hint="cs"/>
          <w:rtl/>
        </w:rPr>
        <w:tab/>
      </w:r>
      <w:bookmarkStart w:id="5" w:name="ABSTRACT_START"/>
      <w:bookmarkEnd w:id="5"/>
      <w:r w:rsidRPr="005963B0">
        <w:rPr>
          <w:rFonts w:ascii="Arial" w:hAnsi="Arial" w:hint="cs"/>
          <w:rtl/>
        </w:rPr>
        <w:t xml:space="preserve">כנגד הנאשם הוגש כתב אישום שמייחס לו </w:t>
      </w:r>
      <w:r>
        <w:rPr>
          <w:rFonts w:ascii="Arial" w:hAnsi="Arial" w:hint="cs"/>
          <w:rtl/>
        </w:rPr>
        <w:t xml:space="preserve">ביצוע עבירה של החזקת סם  שלא לצריכה עצמית, לפי </w:t>
      </w:r>
      <w:hyperlink r:id="rId13" w:history="1">
        <w:r w:rsidR="0066799C" w:rsidRPr="0066799C">
          <w:rPr>
            <w:rFonts w:ascii="Arial" w:hAnsi="Arial"/>
            <w:color w:val="0000FF"/>
            <w:u w:val="single"/>
            <w:rtl/>
          </w:rPr>
          <w:t>סעיף 7(א)</w:t>
        </w:r>
      </w:hyperlink>
      <w:r>
        <w:rPr>
          <w:rFonts w:ascii="Arial" w:hAnsi="Arial" w:hint="cs"/>
          <w:rtl/>
        </w:rPr>
        <w:t xml:space="preserve"> בצירוף </w:t>
      </w:r>
      <w:hyperlink r:id="rId14" w:history="1">
        <w:r w:rsidR="0066799C" w:rsidRPr="0066799C">
          <w:rPr>
            <w:rFonts w:ascii="Arial" w:hAnsi="Arial"/>
            <w:color w:val="0000FF"/>
            <w:u w:val="single"/>
            <w:rtl/>
          </w:rPr>
          <w:t>סעיף 7(ג)</w:t>
        </w:r>
      </w:hyperlink>
      <w:r>
        <w:rPr>
          <w:rFonts w:ascii="Arial" w:hAnsi="Arial" w:hint="cs"/>
          <w:rtl/>
        </w:rPr>
        <w:t xml:space="preserve"> רישא ל</w:t>
      </w:r>
      <w:hyperlink r:id="rId15" w:history="1">
        <w:r w:rsidR="00B0010D" w:rsidRPr="00B0010D">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w:t>
      </w:r>
      <w:r w:rsidRPr="008B3FCC">
        <w:rPr>
          <w:rFonts w:ascii="Arial" w:hAnsi="Arial" w:hint="cs"/>
          <w:b/>
          <w:bCs/>
          <w:rtl/>
        </w:rPr>
        <w:t>פקודת הסמים המסוכנים</w:t>
      </w:r>
      <w:r>
        <w:rPr>
          <w:rFonts w:ascii="Arial" w:hAnsi="Arial" w:hint="cs"/>
          <w:rtl/>
        </w:rPr>
        <w:t xml:space="preserve">). </w:t>
      </w:r>
    </w:p>
    <w:p w14:paraId="7575579E" w14:textId="77777777" w:rsidR="00165C0B" w:rsidRDefault="00165C0B" w:rsidP="00165C0B">
      <w:pPr>
        <w:spacing w:line="360" w:lineRule="auto"/>
        <w:ind w:left="720" w:hanging="720"/>
        <w:jc w:val="both"/>
        <w:rPr>
          <w:rFonts w:ascii="Arial" w:hAnsi="Arial"/>
          <w:rtl/>
        </w:rPr>
      </w:pPr>
      <w:bookmarkStart w:id="6" w:name="ABSTRACT_END"/>
      <w:bookmarkEnd w:id="6"/>
    </w:p>
    <w:p w14:paraId="31AF3246" w14:textId="77777777" w:rsidR="00165C0B" w:rsidRDefault="00165C0B" w:rsidP="00165C0B">
      <w:pPr>
        <w:spacing w:line="360" w:lineRule="auto"/>
        <w:ind w:left="720" w:hanging="720"/>
        <w:jc w:val="both"/>
        <w:rPr>
          <w:rFonts w:ascii="Arial" w:hAnsi="Arial"/>
          <w:rtl/>
        </w:rPr>
      </w:pPr>
      <w:r>
        <w:rPr>
          <w:rFonts w:ascii="Arial" w:hAnsi="Arial" w:hint="cs"/>
          <w:rtl/>
        </w:rPr>
        <w:t>2.</w:t>
      </w:r>
      <w:r>
        <w:rPr>
          <w:rFonts w:ascii="Arial" w:hAnsi="Arial"/>
          <w:rtl/>
        </w:rPr>
        <w:tab/>
      </w:r>
      <w:r>
        <w:rPr>
          <w:rFonts w:ascii="Arial" w:hAnsi="Arial" w:hint="cs"/>
          <w:rtl/>
        </w:rPr>
        <w:t xml:space="preserve">על פי עובדות כתב האישום ביום 08.5.18 בשעה 10:30 או בסמוך לכך, במסגרת צו חיפוש, הגיעו שוטרים לדירה שבה מתגורר הנאשם ושמצויה בתחומי העיר לוד (להלן: </w:t>
      </w:r>
      <w:r w:rsidRPr="006C6437">
        <w:rPr>
          <w:rFonts w:ascii="Arial" w:hAnsi="Arial" w:hint="cs"/>
          <w:b/>
          <w:bCs/>
          <w:rtl/>
        </w:rPr>
        <w:t>הדירה</w:t>
      </w:r>
      <w:r>
        <w:rPr>
          <w:rFonts w:ascii="Arial" w:hAnsi="Arial" w:hint="cs"/>
          <w:rtl/>
        </w:rPr>
        <w:t xml:space="preserve">). בחיפוש שנערך בדירה נמצאה בחדרו קופסה המכילה זרעי סם מסוכן מסוג קנבוס (להלן: </w:t>
      </w:r>
      <w:r w:rsidRPr="006C6437">
        <w:rPr>
          <w:rFonts w:ascii="Arial" w:hAnsi="Arial" w:hint="cs"/>
          <w:b/>
          <w:bCs/>
          <w:rtl/>
        </w:rPr>
        <w:t>הסם</w:t>
      </w:r>
      <w:r>
        <w:rPr>
          <w:rFonts w:ascii="Arial" w:hAnsi="Arial" w:hint="cs"/>
          <w:rtl/>
        </w:rPr>
        <w:t>) במשקל של 1.210 ק"ג ברוטו כשהוא מחולק ל-231 שקיות. בנוסף, החזיק הנאשם בחדרו זרעי סם במשקל נטו של 23.7 גרם כשהוא מחולק ל-6 שקיות.</w:t>
      </w:r>
    </w:p>
    <w:p w14:paraId="2928743C" w14:textId="77777777" w:rsidR="00165C0B" w:rsidRDefault="00165C0B" w:rsidP="00165C0B">
      <w:pPr>
        <w:jc w:val="both"/>
        <w:rPr>
          <w:rFonts w:ascii="Arial" w:hAnsi="Arial"/>
          <w:rtl/>
        </w:rPr>
      </w:pPr>
    </w:p>
    <w:p w14:paraId="0FFFDC3F" w14:textId="77777777" w:rsidR="00165C0B" w:rsidRPr="00DE3832" w:rsidRDefault="00165C0B" w:rsidP="00165C0B">
      <w:pPr>
        <w:spacing w:line="360" w:lineRule="auto"/>
        <w:ind w:left="720" w:hanging="720"/>
        <w:jc w:val="both"/>
        <w:rPr>
          <w:rFonts w:ascii="Arial" w:hAnsi="Arial"/>
          <w:rtl/>
        </w:rPr>
      </w:pPr>
      <w:r>
        <w:rPr>
          <w:rFonts w:ascii="Arial" w:hAnsi="Arial" w:hint="cs"/>
          <w:rtl/>
        </w:rPr>
        <w:t>3.</w:t>
      </w:r>
      <w:r>
        <w:rPr>
          <w:rFonts w:ascii="Arial" w:hAnsi="Arial" w:hint="cs"/>
          <w:rtl/>
        </w:rPr>
        <w:tab/>
        <w:t xml:space="preserve">לאחר שמיעת הראיות, הנאשם הורשע בעבירה שיוחסה לו בכתב האישום. בנוסף, במסגרת הכרעת הדין, נקבע כממצא עובדתי שהזרעים של הקנבוס שנתפסו בדירה הם במשקל כולל של </w:t>
      </w:r>
      <w:r w:rsidRPr="00447B71">
        <w:rPr>
          <w:rFonts w:ascii="Arial" w:hAnsi="Arial" w:hint="cs"/>
          <w:u w:val="single"/>
          <w:rtl/>
        </w:rPr>
        <w:t>1,017 גרם נטו</w:t>
      </w:r>
      <w:r>
        <w:rPr>
          <w:rFonts w:ascii="Arial" w:hAnsi="Arial" w:hint="cs"/>
          <w:rtl/>
        </w:rPr>
        <w:t>.</w:t>
      </w:r>
    </w:p>
    <w:p w14:paraId="65B10412" w14:textId="77777777" w:rsidR="00165C0B" w:rsidRDefault="00165C0B" w:rsidP="00165C0B">
      <w:pPr>
        <w:spacing w:line="360" w:lineRule="auto"/>
        <w:rPr>
          <w:rtl/>
        </w:rPr>
      </w:pPr>
    </w:p>
    <w:p w14:paraId="52F626AA" w14:textId="77777777" w:rsidR="00165C0B" w:rsidRPr="00EF60B8" w:rsidRDefault="00165C0B" w:rsidP="00165C0B">
      <w:pPr>
        <w:spacing w:line="360" w:lineRule="auto"/>
        <w:rPr>
          <w:b/>
          <w:bCs/>
          <w:sz w:val="28"/>
          <w:szCs w:val="28"/>
          <w:u w:val="single"/>
          <w:rtl/>
        </w:rPr>
      </w:pPr>
      <w:r>
        <w:rPr>
          <w:rFonts w:hint="cs"/>
          <w:b/>
          <w:bCs/>
          <w:sz w:val="28"/>
          <w:szCs w:val="28"/>
          <w:u w:val="single"/>
          <w:rtl/>
        </w:rPr>
        <w:t>ט</w:t>
      </w:r>
      <w:r w:rsidRPr="00EF60B8">
        <w:rPr>
          <w:rFonts w:hint="cs"/>
          <w:b/>
          <w:bCs/>
          <w:sz w:val="28"/>
          <w:szCs w:val="28"/>
          <w:u w:val="single"/>
          <w:rtl/>
        </w:rPr>
        <w:t xml:space="preserve">ענות הצדדים לעונש </w:t>
      </w:r>
    </w:p>
    <w:p w14:paraId="483638D3" w14:textId="77777777" w:rsidR="00165C0B" w:rsidRDefault="00165C0B" w:rsidP="00165C0B">
      <w:pPr>
        <w:spacing w:line="360" w:lineRule="auto"/>
        <w:rPr>
          <w:rtl/>
        </w:rPr>
      </w:pPr>
    </w:p>
    <w:p w14:paraId="632ED429" w14:textId="77777777" w:rsidR="00165C0B" w:rsidRDefault="00165C0B" w:rsidP="00165C0B">
      <w:pPr>
        <w:spacing w:line="360" w:lineRule="auto"/>
        <w:ind w:left="720" w:hanging="720"/>
        <w:jc w:val="both"/>
        <w:rPr>
          <w:rtl/>
        </w:rPr>
      </w:pPr>
      <w:r>
        <w:rPr>
          <w:rFonts w:hint="cs"/>
          <w:rtl/>
        </w:rPr>
        <w:t>4.</w:t>
      </w:r>
      <w:r>
        <w:rPr>
          <w:rFonts w:hint="cs"/>
          <w:rtl/>
        </w:rPr>
        <w:tab/>
        <w:t xml:space="preserve">באת כוח המאשימה טענה שיש לייחס חומרה רבה </w:t>
      </w:r>
      <w:r w:rsidRPr="00EF60B8">
        <w:rPr>
          <w:rFonts w:hint="cs"/>
          <w:u w:val="single"/>
          <w:rtl/>
        </w:rPr>
        <w:t>לפוטנציאל</w:t>
      </w:r>
      <w:r>
        <w:rPr>
          <w:rFonts w:hint="cs"/>
          <w:rtl/>
        </w:rPr>
        <w:t xml:space="preserve"> להפקת כמויות גדולות של שתילים של קנבוס מתוך הכמות הכוללת של הזרעים שנתפסה בביתו של הנאשם. לטענתה, בעת קביעת מתחם העונש ההולם, בית המשפט לא אמור להתבונן רק על המשקל נטו של הזרעים והוא 1,017 גרם נטו, אלא גם על מספר הזרעים שיש בכמות האמורה, שסביר להניח עומד על מספר אלפים, ומכאן אלפי השתילים שניתן להפיק מהם בעתיד ובמשקל כולל של עשרות או ייתכן אף מאות קילוגרמים. לכן, לטענתה מתחם העונש ההולם נע בין 3 ועד 6 שנות מאסר בפועל. כמו כן, טענה כי העונש הראוי בתוך מתחם העונש ההולם צריך לעמוד על 5 שנות מאסר בפועל, וזאת בהתחשב ברישום הפלילי של הנאשם.  </w:t>
      </w:r>
    </w:p>
    <w:p w14:paraId="168E1D1C" w14:textId="77777777" w:rsidR="00165C0B" w:rsidRDefault="00165C0B" w:rsidP="00165C0B">
      <w:pPr>
        <w:spacing w:line="360" w:lineRule="auto"/>
        <w:ind w:left="720" w:hanging="720"/>
        <w:jc w:val="both"/>
        <w:rPr>
          <w:rtl/>
        </w:rPr>
      </w:pPr>
    </w:p>
    <w:p w14:paraId="64FF8A72" w14:textId="77777777" w:rsidR="00165C0B" w:rsidRDefault="00165C0B" w:rsidP="00165C0B">
      <w:pPr>
        <w:spacing w:line="360" w:lineRule="auto"/>
        <w:ind w:left="720" w:hanging="720"/>
        <w:jc w:val="both"/>
        <w:rPr>
          <w:rtl/>
        </w:rPr>
      </w:pPr>
      <w:r>
        <w:rPr>
          <w:rFonts w:hint="cs"/>
          <w:rtl/>
        </w:rPr>
        <w:t>5.</w:t>
      </w:r>
      <w:r>
        <w:rPr>
          <w:rFonts w:hint="cs"/>
          <w:rtl/>
        </w:rPr>
        <w:tab/>
        <w:t>לנאשם שלוש הרשעות קודמות מבית המשפט השלום לנוער ברמלה, בגין עבירות סמים ורכוש (ראו ת/21 ו-ת/22). בנוסף, בהיותו בגיר, ניתנו נגדו שני גזרי דין בגין עבירות סמים ועבירות מרמה (ראו ת/23 ו- ת/24). יש לציין שלחובתו של הנאשם מאסר על תנאי של חמישה חודשים שהוא בר הפעלה בתיק שבפניי.</w:t>
      </w:r>
    </w:p>
    <w:p w14:paraId="3A6F17FF" w14:textId="77777777" w:rsidR="00165C0B" w:rsidRDefault="00165C0B" w:rsidP="00165C0B">
      <w:pPr>
        <w:spacing w:line="360" w:lineRule="auto"/>
        <w:ind w:left="720" w:hanging="720"/>
        <w:jc w:val="both"/>
        <w:rPr>
          <w:rtl/>
        </w:rPr>
      </w:pPr>
    </w:p>
    <w:p w14:paraId="52F870A5" w14:textId="77777777" w:rsidR="00165C0B" w:rsidRDefault="00165C0B" w:rsidP="00165C0B">
      <w:pPr>
        <w:spacing w:line="360" w:lineRule="auto"/>
        <w:ind w:left="720" w:hanging="720"/>
        <w:jc w:val="both"/>
        <w:rPr>
          <w:rtl/>
        </w:rPr>
      </w:pPr>
      <w:r>
        <w:rPr>
          <w:rFonts w:hint="cs"/>
          <w:rtl/>
        </w:rPr>
        <w:t>6.</w:t>
      </w:r>
      <w:r>
        <w:rPr>
          <w:rFonts w:hint="cs"/>
          <w:rtl/>
        </w:rPr>
        <w:tab/>
        <w:t>לעומת זאת, באת כוח הנאשם טענה שבעת קביעת מתחם העונש ההולם, יש להתייחס לכמות הכוללת של הזרעים של 1,017 גרם נטו, כפי שהם, ולא לפוטנציאל התיאורטי להפיק מהם בעתיד אלפי שתילים.</w:t>
      </w:r>
    </w:p>
    <w:p w14:paraId="20065012" w14:textId="77777777" w:rsidR="00165C0B" w:rsidRDefault="00165C0B" w:rsidP="00165C0B">
      <w:pPr>
        <w:spacing w:line="360" w:lineRule="auto"/>
        <w:ind w:left="720" w:hanging="720"/>
        <w:jc w:val="both"/>
        <w:rPr>
          <w:rtl/>
        </w:rPr>
      </w:pPr>
    </w:p>
    <w:p w14:paraId="2D3A8C1F" w14:textId="77777777" w:rsidR="00165C0B" w:rsidRDefault="00165C0B" w:rsidP="00165C0B">
      <w:pPr>
        <w:spacing w:line="360" w:lineRule="auto"/>
        <w:ind w:left="720" w:hanging="720"/>
        <w:jc w:val="both"/>
        <w:rPr>
          <w:rtl/>
        </w:rPr>
      </w:pPr>
      <w:r>
        <w:rPr>
          <w:rFonts w:hint="cs"/>
          <w:rtl/>
        </w:rPr>
        <w:t>7.</w:t>
      </w:r>
      <w:r>
        <w:rPr>
          <w:rFonts w:hint="cs"/>
          <w:rtl/>
        </w:rPr>
        <w:tab/>
        <w:t xml:space="preserve">כמו כן, באת כוח הנאשם ציינה שבעבר הנאשם שולב בהליך טיפולי לגמילה מסמים שהנאשם עמד בו בהצלחה. בהרשעתו האחרונה משנת 2017, הנאשם נדון בבית המשפט הקהילתי ברמלה ולכן הוארך מאסר על תנאי שניתן בתיק קודם, הוטלו עליו 250 שעות של"צ וכן צו מבחן במשך 12 חודשים (ראו גזר הדין מיון 29.5.17 של בית המשפט השלום ברמלה, ת/23). יש לציין שהעבירה מושא כתב האישום שבפניי בוצעה בעוד שצו המבחן שניתן בעניינו של הנאשם היה עדיין בתוקף. </w:t>
      </w:r>
    </w:p>
    <w:p w14:paraId="3A1E42F9" w14:textId="77777777" w:rsidR="00165C0B" w:rsidRDefault="00165C0B" w:rsidP="00165C0B">
      <w:pPr>
        <w:spacing w:line="360" w:lineRule="auto"/>
        <w:ind w:left="720" w:hanging="720"/>
        <w:jc w:val="both"/>
        <w:rPr>
          <w:rtl/>
        </w:rPr>
      </w:pPr>
    </w:p>
    <w:p w14:paraId="35FC2FC3" w14:textId="77777777" w:rsidR="00165C0B" w:rsidRDefault="00165C0B" w:rsidP="00165C0B">
      <w:pPr>
        <w:spacing w:line="360" w:lineRule="auto"/>
        <w:ind w:left="720" w:hanging="720"/>
        <w:jc w:val="both"/>
        <w:rPr>
          <w:rtl/>
        </w:rPr>
      </w:pPr>
      <w:r>
        <w:rPr>
          <w:rFonts w:hint="cs"/>
          <w:rtl/>
        </w:rPr>
        <w:t>8.</w:t>
      </w:r>
      <w:r>
        <w:rPr>
          <w:rtl/>
        </w:rPr>
        <w:tab/>
      </w:r>
      <w:r>
        <w:rPr>
          <w:rFonts w:hint="cs"/>
          <w:rtl/>
        </w:rPr>
        <w:t xml:space="preserve">באת כוח הנאשם הפנתה גם לרקע המשפחתי שבו גדל הנאשם לפיו אביו היה מכור לסמים  וכי נֶטֶל גידולו וגידול שאר אחיו ואחיותיו נפל על כתפיה של אמו. כמו כן, לימים, אמו נפטרה ממחלה קשה. בנוסף, במהלך שנת 2016 הנאשם נפגע בתאונת דרכים בעת שרכב על אופניים חשמליים ונגרמו לו שברים באזורים שונים בגופו ואשר הותירו אותו עד היום עם בעיות בגב ובצוואר ועם בעיות אורתופדיות שונות (ראו את המסמכים ת/26 עד ת/29). </w:t>
      </w:r>
    </w:p>
    <w:p w14:paraId="26C1157F" w14:textId="77777777" w:rsidR="00165C0B" w:rsidRDefault="00165C0B" w:rsidP="00165C0B">
      <w:pPr>
        <w:spacing w:line="360" w:lineRule="auto"/>
        <w:ind w:left="720" w:hanging="720"/>
        <w:jc w:val="both"/>
        <w:rPr>
          <w:rtl/>
        </w:rPr>
      </w:pPr>
    </w:p>
    <w:p w14:paraId="586271D1" w14:textId="77777777" w:rsidR="00165C0B" w:rsidRDefault="00165C0B" w:rsidP="00165C0B">
      <w:pPr>
        <w:spacing w:line="360" w:lineRule="auto"/>
        <w:ind w:left="720" w:hanging="720"/>
        <w:jc w:val="both"/>
        <w:rPr>
          <w:rtl/>
        </w:rPr>
      </w:pPr>
      <w:r>
        <w:rPr>
          <w:rFonts w:hint="cs"/>
          <w:rtl/>
        </w:rPr>
        <w:lastRenderedPageBreak/>
        <w:t>9.</w:t>
      </w:r>
      <w:r>
        <w:rPr>
          <w:rtl/>
        </w:rPr>
        <w:tab/>
      </w:r>
      <w:r>
        <w:rPr>
          <w:rFonts w:hint="cs"/>
          <w:rtl/>
        </w:rPr>
        <w:t xml:space="preserve">באת כוח הנאשם טענה שמתחם העונש ההולם לאירוע מושא כתב האישום, הוא באופן משמעותי קל יותר מהמתחם שהוצע על ידי באת כוח המאשימה והפנתה לפסיקה שנוגעת להחזקה של קילוגרם חשיש וקילוגרם של קנבוס צמחי בצורתו הטבעית. לפיכך, באת כוח הנאשם טענה שיש להסתפק בתקופת מעצרו של הנאשם. </w:t>
      </w:r>
    </w:p>
    <w:p w14:paraId="53B5401B" w14:textId="77777777" w:rsidR="00165C0B" w:rsidRDefault="00165C0B" w:rsidP="00165C0B">
      <w:pPr>
        <w:spacing w:line="360" w:lineRule="auto"/>
        <w:ind w:left="720" w:hanging="720"/>
        <w:jc w:val="both"/>
        <w:rPr>
          <w:rtl/>
        </w:rPr>
      </w:pPr>
    </w:p>
    <w:p w14:paraId="6B693C33" w14:textId="77777777" w:rsidR="00165C0B" w:rsidRPr="00200E09" w:rsidRDefault="00165C0B" w:rsidP="00165C0B">
      <w:pPr>
        <w:spacing w:line="360" w:lineRule="auto"/>
        <w:jc w:val="both"/>
        <w:rPr>
          <w:b/>
          <w:bCs/>
          <w:sz w:val="28"/>
          <w:szCs w:val="28"/>
          <w:u w:val="single"/>
          <w:rtl/>
        </w:rPr>
      </w:pPr>
      <w:r w:rsidRPr="00200E09">
        <w:rPr>
          <w:rFonts w:hint="cs"/>
          <w:b/>
          <w:bCs/>
          <w:sz w:val="28"/>
          <w:szCs w:val="28"/>
          <w:u w:val="single"/>
          <w:rtl/>
        </w:rPr>
        <w:t xml:space="preserve">המשקל </w:t>
      </w:r>
      <w:r>
        <w:rPr>
          <w:rFonts w:hint="cs"/>
          <w:b/>
          <w:bCs/>
          <w:sz w:val="28"/>
          <w:szCs w:val="28"/>
          <w:u w:val="single"/>
          <w:rtl/>
        </w:rPr>
        <w:t xml:space="preserve">נטו </w:t>
      </w:r>
      <w:r w:rsidRPr="00200E09">
        <w:rPr>
          <w:rFonts w:hint="cs"/>
          <w:b/>
          <w:bCs/>
          <w:sz w:val="28"/>
          <w:szCs w:val="28"/>
          <w:u w:val="single"/>
          <w:rtl/>
        </w:rPr>
        <w:t xml:space="preserve">של הזרעים כשיקול מנחה לקביעת מתחם העונש ההולם </w:t>
      </w:r>
    </w:p>
    <w:p w14:paraId="3F375C0D" w14:textId="77777777" w:rsidR="00165C0B" w:rsidRDefault="00165C0B" w:rsidP="00165C0B">
      <w:pPr>
        <w:spacing w:line="360" w:lineRule="auto"/>
        <w:jc w:val="both"/>
        <w:rPr>
          <w:rtl/>
        </w:rPr>
      </w:pPr>
    </w:p>
    <w:p w14:paraId="49D32B60" w14:textId="77777777" w:rsidR="00165C0B" w:rsidRDefault="00165C0B" w:rsidP="00165C0B">
      <w:pPr>
        <w:spacing w:line="360" w:lineRule="auto"/>
        <w:ind w:left="720" w:hanging="720"/>
        <w:jc w:val="both"/>
        <w:rPr>
          <w:rtl/>
        </w:rPr>
      </w:pPr>
      <w:r>
        <w:rPr>
          <w:rFonts w:hint="cs"/>
          <w:rtl/>
        </w:rPr>
        <w:t>10.</w:t>
      </w:r>
      <w:r>
        <w:rPr>
          <w:rFonts w:hint="cs"/>
          <w:rtl/>
        </w:rPr>
        <w:tab/>
        <w:t xml:space="preserve"> הצדדים חלוקים לגבי השאלה כיצד יש לקבוע את מתחם העונש ההולם בנוגע לזרעים של קנבוס. מצד אחד, המאשימה טענה שיש לייחס חשיבות מיוחדת לפוטנציאל העתידי להפיק מהזרעים כמות עצומה של קנבוס צמחי על ידי הנבטת הזרעים. מצד שני, ההגנה טענה שיש להתייחס רק למשקל נטו של הזרעים, כפי שהם, ובמנותק מכמות השתילים שניתן להפיק מהם. </w:t>
      </w:r>
    </w:p>
    <w:p w14:paraId="4533D4BF" w14:textId="77777777" w:rsidR="00165C0B" w:rsidRDefault="00165C0B" w:rsidP="00165C0B">
      <w:pPr>
        <w:spacing w:line="360" w:lineRule="auto"/>
        <w:ind w:left="720" w:hanging="720"/>
        <w:jc w:val="both"/>
        <w:rPr>
          <w:rtl/>
        </w:rPr>
      </w:pPr>
    </w:p>
    <w:p w14:paraId="7075792D" w14:textId="77777777" w:rsidR="00165C0B" w:rsidRDefault="00165C0B" w:rsidP="00165C0B">
      <w:pPr>
        <w:spacing w:line="360" w:lineRule="auto"/>
        <w:ind w:left="720" w:hanging="720"/>
        <w:jc w:val="both"/>
        <w:rPr>
          <w:rtl/>
        </w:rPr>
      </w:pPr>
      <w:r>
        <w:rPr>
          <w:rFonts w:hint="cs"/>
          <w:rtl/>
        </w:rPr>
        <w:t>11.</w:t>
      </w:r>
      <w:r>
        <w:rPr>
          <w:rFonts w:hint="cs"/>
          <w:rtl/>
        </w:rPr>
        <w:tab/>
      </w:r>
      <w:hyperlink r:id="rId16" w:history="1">
        <w:r w:rsidR="0066799C" w:rsidRPr="0066799C">
          <w:rPr>
            <w:color w:val="0000FF"/>
            <w:u w:val="single"/>
            <w:rtl/>
          </w:rPr>
          <w:t>בסעיף 40ט(א)</w:t>
        </w:r>
      </w:hyperlink>
      <w:r>
        <w:rPr>
          <w:rFonts w:hint="cs"/>
          <w:rtl/>
        </w:rPr>
        <w:t xml:space="preserve">, </w:t>
      </w:r>
      <w:hyperlink r:id="rId17" w:history="1">
        <w:r w:rsidR="0066799C" w:rsidRPr="0066799C">
          <w:rPr>
            <w:color w:val="0000FF"/>
            <w:u w:val="single"/>
            <w:rtl/>
          </w:rPr>
          <w:t>סעיפים קטנים (3) ו-(4),</w:t>
        </w:r>
      </w:hyperlink>
      <w:r>
        <w:rPr>
          <w:rFonts w:hint="cs"/>
          <w:rtl/>
        </w:rPr>
        <w:t xml:space="preserve"> ל</w:t>
      </w:r>
      <w:hyperlink r:id="rId18" w:history="1">
        <w:r w:rsidR="00B0010D" w:rsidRPr="00B0010D">
          <w:rPr>
            <w:color w:val="0000FF"/>
            <w:u w:val="single"/>
            <w:rtl/>
          </w:rPr>
          <w:t>חוק העונשין</w:t>
        </w:r>
      </w:hyperlink>
      <w:r>
        <w:rPr>
          <w:rFonts w:hint="cs"/>
          <w:rtl/>
        </w:rPr>
        <w:t xml:space="preserve">, התשל"ז-1977, נקבע כדלקמן: </w:t>
      </w:r>
    </w:p>
    <w:p w14:paraId="65B6B2B9" w14:textId="77777777" w:rsidR="00165C0B" w:rsidRDefault="00165C0B" w:rsidP="00165C0B">
      <w:pPr>
        <w:spacing w:line="360" w:lineRule="auto"/>
        <w:jc w:val="both"/>
        <w:rPr>
          <w:rtl/>
        </w:rPr>
      </w:pPr>
    </w:p>
    <w:p w14:paraId="2CF35B52" w14:textId="77777777" w:rsidR="00165C0B" w:rsidRPr="00A15C18" w:rsidRDefault="00165C0B" w:rsidP="00165C0B">
      <w:pPr>
        <w:spacing w:line="360" w:lineRule="auto"/>
        <w:ind w:left="4320" w:hanging="525"/>
        <w:jc w:val="both"/>
        <w:rPr>
          <w:rtl/>
        </w:rPr>
      </w:pPr>
      <w:r>
        <w:rPr>
          <w:rtl/>
        </w:rPr>
        <w:t xml:space="preserve">40ט. </w:t>
      </w:r>
      <w:r>
        <w:rPr>
          <w:rtl/>
        </w:rPr>
        <w:tab/>
        <w:t xml:space="preserve">(א) </w:t>
      </w:r>
      <w:r w:rsidRPr="00870FF6">
        <w:rPr>
          <w:u w:val="single"/>
          <w:rtl/>
        </w:rPr>
        <w:t>בקביעת מתחם העונש ההולם</w:t>
      </w:r>
      <w:r>
        <w:rPr>
          <w:rtl/>
        </w:rPr>
        <w:t xml:space="preserve"> למעשה העבירה שביצע הנאשם כאמור בסעיף 40ג(א), יתחשב בית המשפט בהתקיימותן של </w:t>
      </w:r>
      <w:r w:rsidRPr="00A15C18">
        <w:rPr>
          <w:u w:val="single"/>
          <w:rtl/>
        </w:rPr>
        <w:t>נסיבות הקשורות בביצוע העבירה, המפורטות להלן</w:t>
      </w:r>
      <w:r>
        <w:rPr>
          <w:rtl/>
        </w:rPr>
        <w:t xml:space="preserve">, ובמידה שבה התקיימו, ככל שסבר שהן משפיעות על </w:t>
      </w:r>
      <w:r w:rsidRPr="00A15C18">
        <w:rPr>
          <w:rtl/>
        </w:rPr>
        <w:t xml:space="preserve">חומרת מעשי העבירה ועל אשמו של הנאשם: </w:t>
      </w:r>
    </w:p>
    <w:p w14:paraId="0F0312C9" w14:textId="77777777" w:rsidR="00165C0B" w:rsidRDefault="00165C0B" w:rsidP="00165C0B">
      <w:pPr>
        <w:spacing w:line="360" w:lineRule="auto"/>
        <w:ind w:left="4320" w:hanging="525"/>
        <w:jc w:val="both"/>
        <w:rPr>
          <w:rtl/>
        </w:rPr>
      </w:pPr>
    </w:p>
    <w:p w14:paraId="03F47321" w14:textId="77777777" w:rsidR="00165C0B" w:rsidRDefault="00165C0B" w:rsidP="00165C0B">
      <w:pPr>
        <w:spacing w:line="360" w:lineRule="auto"/>
        <w:ind w:left="4754" w:hanging="434"/>
        <w:jc w:val="both"/>
        <w:rPr>
          <w:rtl/>
        </w:rPr>
      </w:pPr>
      <w:r w:rsidRPr="00870FF6">
        <w:rPr>
          <w:rFonts w:hint="cs"/>
          <w:rtl/>
        </w:rPr>
        <w:t>(3)</w:t>
      </w:r>
      <w:r w:rsidRPr="00870FF6">
        <w:rPr>
          <w:rtl/>
        </w:rPr>
        <w:tab/>
      </w:r>
      <w:r w:rsidRPr="00870FF6">
        <w:rPr>
          <w:u w:val="single"/>
          <w:rtl/>
        </w:rPr>
        <w:t>הנזק שהיה צפוי להיגרם</w:t>
      </w:r>
      <w:r>
        <w:rPr>
          <w:rtl/>
        </w:rPr>
        <w:t xml:space="preserve"> מביצוע העבירה;</w:t>
      </w:r>
    </w:p>
    <w:p w14:paraId="53F15EC0" w14:textId="77777777" w:rsidR="00165C0B" w:rsidRDefault="00165C0B" w:rsidP="00165C0B">
      <w:pPr>
        <w:spacing w:line="360" w:lineRule="auto"/>
        <w:ind w:left="4754" w:hanging="434"/>
        <w:jc w:val="both"/>
      </w:pPr>
    </w:p>
    <w:p w14:paraId="6DCCDA91" w14:textId="77777777" w:rsidR="00165C0B" w:rsidRDefault="00165C0B" w:rsidP="00165C0B">
      <w:pPr>
        <w:spacing w:line="360" w:lineRule="auto"/>
        <w:ind w:left="3600" w:firstLine="720"/>
        <w:jc w:val="both"/>
      </w:pPr>
      <w:r w:rsidRPr="00870FF6">
        <w:rPr>
          <w:rFonts w:hint="cs"/>
          <w:rtl/>
        </w:rPr>
        <w:t xml:space="preserve">(4)   </w:t>
      </w:r>
      <w:r w:rsidRPr="00870FF6">
        <w:rPr>
          <w:rFonts w:hint="cs"/>
          <w:u w:val="single"/>
          <w:rtl/>
        </w:rPr>
        <w:t xml:space="preserve"> </w:t>
      </w:r>
      <w:r w:rsidRPr="00870FF6">
        <w:rPr>
          <w:u w:val="single"/>
          <w:rtl/>
        </w:rPr>
        <w:t>נזק שנגרם</w:t>
      </w:r>
      <w:r>
        <w:rPr>
          <w:rtl/>
        </w:rPr>
        <w:t xml:space="preserve"> מביצוע העבירה". </w:t>
      </w:r>
    </w:p>
    <w:p w14:paraId="66E9DF50" w14:textId="77777777" w:rsidR="00165C0B" w:rsidRDefault="00165C0B" w:rsidP="00165C0B">
      <w:pPr>
        <w:spacing w:line="360" w:lineRule="auto"/>
        <w:jc w:val="both"/>
        <w:rPr>
          <w:rtl/>
        </w:rPr>
      </w:pPr>
    </w:p>
    <w:p w14:paraId="3528FCF8" w14:textId="77777777" w:rsidR="00165C0B" w:rsidRDefault="00165C0B" w:rsidP="00165C0B">
      <w:pPr>
        <w:spacing w:line="360" w:lineRule="auto"/>
        <w:ind w:left="3600"/>
        <w:jc w:val="both"/>
        <w:rPr>
          <w:rtl/>
        </w:rPr>
      </w:pPr>
      <w:r>
        <w:rPr>
          <w:rtl/>
        </w:rPr>
        <w:t>(ההדגש</w:t>
      </w:r>
      <w:r>
        <w:rPr>
          <w:rFonts w:hint="cs"/>
          <w:rtl/>
        </w:rPr>
        <w:t xml:space="preserve">ה שלי </w:t>
      </w:r>
      <w:r>
        <w:rPr>
          <w:rtl/>
        </w:rPr>
        <w:t>–</w:t>
      </w:r>
      <w:r>
        <w:rPr>
          <w:rFonts w:hint="cs"/>
          <w:rtl/>
        </w:rPr>
        <w:t xml:space="preserve"> ה'א'ש'</w:t>
      </w:r>
      <w:r>
        <w:rPr>
          <w:rtl/>
        </w:rPr>
        <w:t>)</w:t>
      </w:r>
    </w:p>
    <w:p w14:paraId="007D8812" w14:textId="77777777" w:rsidR="00165C0B" w:rsidRDefault="00165C0B" w:rsidP="00165C0B">
      <w:pPr>
        <w:spacing w:line="360" w:lineRule="auto"/>
        <w:jc w:val="both"/>
        <w:rPr>
          <w:rtl/>
        </w:rPr>
      </w:pPr>
    </w:p>
    <w:p w14:paraId="6AD9C313" w14:textId="77777777" w:rsidR="00165C0B" w:rsidRDefault="00165C0B" w:rsidP="00165C0B">
      <w:pPr>
        <w:spacing w:line="360" w:lineRule="auto"/>
        <w:ind w:left="720" w:hanging="720"/>
        <w:jc w:val="both"/>
        <w:rPr>
          <w:rtl/>
        </w:rPr>
      </w:pPr>
      <w:r>
        <w:rPr>
          <w:rFonts w:hint="cs"/>
          <w:rtl/>
        </w:rPr>
        <w:t>12.</w:t>
      </w:r>
      <w:r>
        <w:rPr>
          <w:rFonts w:hint="cs"/>
          <w:rtl/>
        </w:rPr>
        <w:tab/>
        <w:t xml:space="preserve">על כן, לפי טיעוני המאשימה, יש להתמקד </w:t>
      </w:r>
      <w:hyperlink r:id="rId19" w:history="1">
        <w:r w:rsidR="0066799C" w:rsidRPr="0066799C">
          <w:rPr>
            <w:color w:val="0000FF"/>
            <w:u w:val="single"/>
            <w:rtl/>
          </w:rPr>
          <w:t>בסעיף 40ט(א)(3)</w:t>
        </w:r>
      </w:hyperlink>
      <w:r>
        <w:rPr>
          <w:rFonts w:hint="cs"/>
          <w:rtl/>
        </w:rPr>
        <w:t xml:space="preserve"> ל</w:t>
      </w:r>
      <w:hyperlink r:id="rId20" w:history="1">
        <w:r w:rsidR="00B0010D" w:rsidRPr="00B0010D">
          <w:rPr>
            <w:color w:val="0000FF"/>
            <w:u w:val="single"/>
            <w:rtl/>
          </w:rPr>
          <w:t>חוק העונשין</w:t>
        </w:r>
      </w:hyperlink>
      <w:r>
        <w:rPr>
          <w:rFonts w:hint="cs"/>
          <w:rtl/>
        </w:rPr>
        <w:t xml:space="preserve">, קרי יש לקבוע את מתחם העונש ההולם לפי הנזק </w:t>
      </w:r>
      <w:r w:rsidRPr="00870FF6">
        <w:rPr>
          <w:rFonts w:hint="cs"/>
          <w:u w:val="single"/>
          <w:rtl/>
        </w:rPr>
        <w:t>ש</w:t>
      </w:r>
      <w:r>
        <w:rPr>
          <w:rFonts w:hint="cs"/>
          <w:u w:val="single"/>
          <w:rtl/>
        </w:rPr>
        <w:t xml:space="preserve">היה </w:t>
      </w:r>
      <w:r w:rsidRPr="00870FF6">
        <w:rPr>
          <w:rFonts w:hint="cs"/>
          <w:u w:val="single"/>
          <w:rtl/>
        </w:rPr>
        <w:t>צפוי להיגרם בעתיד</w:t>
      </w:r>
      <w:r>
        <w:rPr>
          <w:rFonts w:hint="cs"/>
          <w:rtl/>
        </w:rPr>
        <w:t xml:space="preserve"> לחברה מעצם ההחזקה של זרעי הקנבוס. לפי טיעוני ההגנה, יש להתמקד </w:t>
      </w:r>
      <w:hyperlink r:id="rId21" w:history="1">
        <w:r w:rsidR="0066799C" w:rsidRPr="0066799C">
          <w:rPr>
            <w:color w:val="0000FF"/>
            <w:u w:val="single"/>
            <w:rtl/>
          </w:rPr>
          <w:t>בסעיף 40ט(א)(4)</w:t>
        </w:r>
      </w:hyperlink>
      <w:r>
        <w:rPr>
          <w:rFonts w:hint="cs"/>
          <w:rtl/>
        </w:rPr>
        <w:t xml:space="preserve"> ל</w:t>
      </w:r>
      <w:hyperlink r:id="rId22" w:history="1">
        <w:r w:rsidR="00B0010D" w:rsidRPr="00B0010D">
          <w:rPr>
            <w:color w:val="0000FF"/>
            <w:u w:val="single"/>
            <w:rtl/>
          </w:rPr>
          <w:t>חוק העונשין</w:t>
        </w:r>
      </w:hyperlink>
      <w:r>
        <w:rPr>
          <w:rFonts w:hint="cs"/>
          <w:rtl/>
        </w:rPr>
        <w:t xml:space="preserve">, קרי יש לקבוע את מתחם העונש ההולם לפי </w:t>
      </w:r>
      <w:r w:rsidRPr="00A15C18">
        <w:rPr>
          <w:rFonts w:hint="cs"/>
          <w:u w:val="single"/>
          <w:rtl/>
        </w:rPr>
        <w:t xml:space="preserve">הנזק שנגרם </w:t>
      </w:r>
      <w:r>
        <w:rPr>
          <w:rFonts w:hint="cs"/>
          <w:u w:val="single"/>
          <w:rtl/>
        </w:rPr>
        <w:t xml:space="preserve">לחברה </w:t>
      </w:r>
      <w:r w:rsidRPr="00A15C18">
        <w:rPr>
          <w:rFonts w:hint="cs"/>
          <w:u w:val="single"/>
          <w:rtl/>
        </w:rPr>
        <w:t>בעת</w:t>
      </w:r>
      <w:r w:rsidRPr="00870FF6">
        <w:rPr>
          <w:rFonts w:hint="cs"/>
          <w:u w:val="single"/>
          <w:rtl/>
        </w:rPr>
        <w:t xml:space="preserve"> ההחזקה</w:t>
      </w:r>
      <w:r>
        <w:rPr>
          <w:rFonts w:hint="cs"/>
          <w:rtl/>
        </w:rPr>
        <w:t xml:space="preserve"> של הזרעים, כפי שהם. </w:t>
      </w:r>
    </w:p>
    <w:p w14:paraId="3F1D9402" w14:textId="77777777" w:rsidR="00165C0B" w:rsidRDefault="00165C0B" w:rsidP="00165C0B">
      <w:pPr>
        <w:spacing w:line="360" w:lineRule="auto"/>
        <w:jc w:val="both"/>
        <w:rPr>
          <w:rtl/>
        </w:rPr>
      </w:pPr>
    </w:p>
    <w:p w14:paraId="6CC3E984" w14:textId="77777777" w:rsidR="00165C0B" w:rsidRDefault="00165C0B" w:rsidP="00165C0B">
      <w:pPr>
        <w:spacing w:line="360" w:lineRule="auto"/>
        <w:ind w:left="720" w:hanging="720"/>
        <w:jc w:val="both"/>
        <w:rPr>
          <w:rtl/>
        </w:rPr>
      </w:pPr>
      <w:r>
        <w:rPr>
          <w:rFonts w:hint="cs"/>
          <w:rtl/>
        </w:rPr>
        <w:t>13.</w:t>
      </w:r>
      <w:r>
        <w:rPr>
          <w:rFonts w:hint="cs"/>
          <w:rtl/>
        </w:rPr>
        <w:tab/>
        <w:t xml:space="preserve">ייאמר כבר עתה כי מקובלת עלי טענת ההגנה שלצורך קביעת מתחם העונש ההולם, הדרך הנכונה להשקיף על מכלול הזרעים שנתפסו בדירתו של הנאשם, היא על ידי התייחסות לנזק שנגרם לחברה מעצם ההחזקה של הזרעים, כפי משקלם נטו בעת ההחזקה,  וזאת במנותק מהנזק שהיה עלול להיגרם בעתיד לחברה לאור הכמות השתילים שניתן תיאורטית להפיק מהם. </w:t>
      </w:r>
    </w:p>
    <w:p w14:paraId="32E25029" w14:textId="77777777" w:rsidR="00165C0B" w:rsidRDefault="00165C0B" w:rsidP="00165C0B">
      <w:pPr>
        <w:spacing w:line="360" w:lineRule="auto"/>
        <w:ind w:left="720" w:hanging="720"/>
        <w:jc w:val="both"/>
        <w:rPr>
          <w:rtl/>
        </w:rPr>
      </w:pPr>
    </w:p>
    <w:p w14:paraId="2F29FB41" w14:textId="77777777" w:rsidR="00165C0B" w:rsidRDefault="00165C0B" w:rsidP="00165C0B">
      <w:pPr>
        <w:spacing w:line="360" w:lineRule="auto"/>
        <w:ind w:left="720" w:hanging="720"/>
        <w:jc w:val="both"/>
        <w:rPr>
          <w:rtl/>
        </w:rPr>
      </w:pPr>
      <w:r>
        <w:rPr>
          <w:rFonts w:hint="cs"/>
          <w:rtl/>
        </w:rPr>
        <w:t>14.</w:t>
      </w:r>
      <w:r>
        <w:rPr>
          <w:rFonts w:hint="cs"/>
          <w:rtl/>
        </w:rPr>
        <w:tab/>
        <w:t>ב</w:t>
      </w:r>
      <w:hyperlink r:id="rId23" w:history="1">
        <w:r w:rsidR="00B0010D" w:rsidRPr="00B0010D">
          <w:rPr>
            <w:color w:val="0000FF"/>
            <w:u w:val="single"/>
            <w:rtl/>
          </w:rPr>
          <w:t>ע"פ 8988/16</w:t>
        </w:r>
      </w:hyperlink>
      <w:r>
        <w:rPr>
          <w:rFonts w:hint="cs"/>
          <w:rtl/>
        </w:rPr>
        <w:t xml:space="preserve"> </w:t>
      </w:r>
      <w:r w:rsidRPr="00145DCB">
        <w:rPr>
          <w:rFonts w:hint="cs"/>
          <w:b/>
          <w:bCs/>
          <w:rtl/>
        </w:rPr>
        <w:t>בן סימון נ' מדינת ישראל</w:t>
      </w:r>
      <w:r>
        <w:rPr>
          <w:rFonts w:hint="cs"/>
          <w:rtl/>
        </w:rPr>
        <w:t xml:space="preserve"> (פורסם בנבו, 8.3.17) היה מדובר בהחזקה של קנבוס צמחי בצורתו הטבעית. המערער גידל 282 שתילים של קנבוס בתוך מעבדה, כאשר המשקל  של השתילים היה 87.25 ק"ג נטו. המערער טען שאין להתייחס למשקל נטו של השתילים לעניין העונש, אלא רק לסם שניתן להפיק מהשתילים לשימוש. טענה זו נדחתה ובפסקה 8 כבוד השופט ג'ובראן, בהסכמת כבוד השופטים הנדל וסולברג, קבע כדלקמן:</w:t>
      </w:r>
    </w:p>
    <w:p w14:paraId="7898B597" w14:textId="77777777" w:rsidR="00165C0B" w:rsidRDefault="00165C0B" w:rsidP="00165C0B">
      <w:pPr>
        <w:spacing w:line="360" w:lineRule="auto"/>
        <w:ind w:left="720" w:hanging="720"/>
        <w:jc w:val="both"/>
        <w:rPr>
          <w:rtl/>
        </w:rPr>
      </w:pPr>
    </w:p>
    <w:p w14:paraId="157B5EEA" w14:textId="77777777" w:rsidR="00165C0B" w:rsidRDefault="00165C0B" w:rsidP="00165C0B">
      <w:pPr>
        <w:spacing w:line="360" w:lineRule="auto"/>
        <w:ind w:left="2835"/>
        <w:jc w:val="both"/>
        <w:rPr>
          <w:rtl/>
        </w:rPr>
      </w:pPr>
      <w:r>
        <w:rPr>
          <w:rtl/>
        </w:rPr>
        <w:tab/>
      </w:r>
      <w:r>
        <w:rPr>
          <w:rFonts w:hint="cs"/>
          <w:rtl/>
        </w:rPr>
        <w:t xml:space="preserve">"זאת ועוד, פרשנותו המוצעת של המערער לפיה יש להתייחס דווקא לכמות הסם שניתן היה להפיק מהשתילים שהיו קיימים בביתו ולא למשקלם של השתילים, אינה הולמת את לשון הפקודה </w:t>
      </w:r>
      <w:r w:rsidRPr="004C628D">
        <w:rPr>
          <w:rFonts w:hint="cs"/>
          <w:i/>
          <w:iCs/>
          <w:rtl/>
        </w:rPr>
        <w:t>(</w:t>
      </w:r>
      <w:hyperlink r:id="rId24" w:history="1">
        <w:r w:rsidR="00B0010D" w:rsidRPr="00B0010D">
          <w:rPr>
            <w:i/>
            <w:iCs/>
            <w:color w:val="0000FF"/>
            <w:u w:val="single"/>
            <w:rtl/>
          </w:rPr>
          <w:t>פקודת הסמים המסוכנים</w:t>
        </w:r>
      </w:hyperlink>
      <w:r w:rsidRPr="004C628D">
        <w:rPr>
          <w:rFonts w:hint="cs"/>
          <w:i/>
          <w:iCs/>
          <w:rtl/>
        </w:rPr>
        <w:t>- ה'א'ש').</w:t>
      </w:r>
      <w:r>
        <w:rPr>
          <w:rFonts w:hint="cs"/>
          <w:rtl/>
        </w:rPr>
        <w:t xml:space="preserve"> סעיף 6 לפקודה אוסר על גידול, ייצור, הפקה, הכנה או מיצוי של סם מסוכן; התוספת הראשונה לפקודה קובעת כי הקנבוס הוא סם מסוכן וכן כי התיבה "קנבוס" מתייחסת ל- "כל צמח מהסוג קנבוס </w:t>
      </w:r>
      <w:r>
        <w:t>(Cannabis)</w:t>
      </w:r>
      <w:r>
        <w:rPr>
          <w:rFonts w:hint="cs"/>
          <w:rtl/>
        </w:rPr>
        <w:t xml:space="preserve"> </w:t>
      </w:r>
      <w:r w:rsidRPr="007055BB">
        <w:rPr>
          <w:rFonts w:hint="cs"/>
          <w:u w:val="single"/>
          <w:rtl/>
        </w:rPr>
        <w:t>וכל חלק ממנו</w:t>
      </w:r>
      <w:r>
        <w:rPr>
          <w:rFonts w:hint="cs"/>
          <w:rtl/>
        </w:rPr>
        <w:t xml:space="preserve">, לרבות שרשיו..." (ההדגשות הוספו). לפיכך, </w:t>
      </w:r>
      <w:r w:rsidRPr="004C628D">
        <w:rPr>
          <w:rFonts w:hint="cs"/>
          <w:u w:val="single"/>
          <w:rtl/>
        </w:rPr>
        <w:t>דומה שלשון הפקודה מצביעה בפשטות על כך שמשקל הסם המסוכן הוא המשקל של כל חלקי צמח הקנבוס, ואינה מתייחסת לכמות הסם לצריכה שניתן היה להפיק מהצמח</w:t>
      </w:r>
      <w:r>
        <w:rPr>
          <w:rFonts w:hint="cs"/>
          <w:rtl/>
        </w:rPr>
        <w:t xml:space="preserve">. על כן, אין להלום את פרשנותו המוצעת של המערער לפיה יש לחשב את משקל הסם שניתן היה להפיק מהצמחים לצורך צריכה. </w:t>
      </w:r>
      <w:r w:rsidRPr="004C628D">
        <w:rPr>
          <w:rFonts w:hint="cs"/>
          <w:u w:val="single"/>
          <w:rtl/>
        </w:rPr>
        <w:t>סבירה יותר בעיננו הפרשנות המתייחסת בפשטות לכמות הסם שנתפסה וצוינה בכתב האישום</w:t>
      </w:r>
      <w:r>
        <w:rPr>
          <w:rFonts w:hint="cs"/>
          <w:rtl/>
        </w:rPr>
        <w:t>."</w:t>
      </w:r>
    </w:p>
    <w:p w14:paraId="38F4F0A1" w14:textId="77777777" w:rsidR="00165C0B" w:rsidRDefault="00165C0B" w:rsidP="00165C0B">
      <w:pPr>
        <w:spacing w:line="360" w:lineRule="auto"/>
        <w:ind w:left="2835"/>
        <w:jc w:val="both"/>
        <w:rPr>
          <w:rtl/>
        </w:rPr>
      </w:pPr>
    </w:p>
    <w:p w14:paraId="27C01E1E" w14:textId="77777777" w:rsidR="00165C0B" w:rsidRDefault="00165C0B" w:rsidP="00165C0B">
      <w:pPr>
        <w:spacing w:line="360" w:lineRule="auto"/>
        <w:ind w:left="2835"/>
        <w:jc w:val="both"/>
        <w:rPr>
          <w:rtl/>
        </w:rPr>
      </w:pPr>
      <w:r>
        <w:rPr>
          <w:rFonts w:hint="cs"/>
          <w:rtl/>
        </w:rPr>
        <w:t xml:space="preserve">(ההדגשות שלי </w:t>
      </w:r>
      <w:r>
        <w:rPr>
          <w:rtl/>
        </w:rPr>
        <w:t>–</w:t>
      </w:r>
      <w:r>
        <w:rPr>
          <w:rFonts w:hint="cs"/>
          <w:rtl/>
        </w:rPr>
        <w:t xml:space="preserve"> ה'א'ש') </w:t>
      </w:r>
    </w:p>
    <w:p w14:paraId="10501F45" w14:textId="77777777" w:rsidR="00165C0B" w:rsidRDefault="00165C0B" w:rsidP="00165C0B">
      <w:pPr>
        <w:spacing w:line="360" w:lineRule="auto"/>
        <w:ind w:left="720" w:hanging="720"/>
        <w:jc w:val="both"/>
        <w:rPr>
          <w:rtl/>
        </w:rPr>
      </w:pPr>
    </w:p>
    <w:p w14:paraId="6CCC60A5" w14:textId="77777777" w:rsidR="00165C0B" w:rsidRDefault="00165C0B" w:rsidP="00165C0B">
      <w:pPr>
        <w:spacing w:line="360" w:lineRule="auto"/>
        <w:ind w:left="720" w:hanging="720"/>
        <w:jc w:val="both"/>
        <w:rPr>
          <w:rtl/>
        </w:rPr>
      </w:pPr>
      <w:r>
        <w:rPr>
          <w:rFonts w:hint="cs"/>
          <w:rtl/>
        </w:rPr>
        <w:t>15.</w:t>
      </w:r>
      <w:r>
        <w:rPr>
          <w:rtl/>
        </w:rPr>
        <w:tab/>
      </w:r>
      <w:r>
        <w:rPr>
          <w:rFonts w:hint="cs"/>
          <w:rtl/>
        </w:rPr>
        <w:t xml:space="preserve">מפסק דין </w:t>
      </w:r>
      <w:r w:rsidRPr="004C628D">
        <w:rPr>
          <w:rFonts w:hint="cs"/>
          <w:b/>
          <w:bCs/>
          <w:rtl/>
        </w:rPr>
        <w:t>בן סימון</w:t>
      </w:r>
      <w:r>
        <w:rPr>
          <w:rFonts w:hint="cs"/>
          <w:rtl/>
        </w:rPr>
        <w:t xml:space="preserve"> אנו למדים שבעת קביעת עונשו של נאשם שביצע עבירת סמים כאשר הסם הרלבנטי הוא צמח הקנבוס בצורתו הטבעית, או כל חלק ממנו, יש להתייחס רק </w:t>
      </w:r>
      <w:r>
        <w:rPr>
          <w:rFonts w:hint="cs"/>
          <w:u w:val="single"/>
          <w:rtl/>
        </w:rPr>
        <w:t>ל</w:t>
      </w:r>
      <w:r w:rsidRPr="004C628D">
        <w:rPr>
          <w:rFonts w:hint="cs"/>
          <w:u w:val="single"/>
          <w:rtl/>
        </w:rPr>
        <w:t xml:space="preserve">משקל </w:t>
      </w:r>
      <w:r>
        <w:rPr>
          <w:rFonts w:hint="cs"/>
          <w:u w:val="single"/>
          <w:rtl/>
        </w:rPr>
        <w:t>נטו</w:t>
      </w:r>
      <w:r>
        <w:rPr>
          <w:rFonts w:hint="cs"/>
          <w:rtl/>
        </w:rPr>
        <w:t xml:space="preserve"> של החומר הצמחי שנתפס </w:t>
      </w:r>
      <w:r w:rsidRPr="008E2BE4">
        <w:rPr>
          <w:rFonts w:hint="cs"/>
          <w:u w:val="single"/>
          <w:rtl/>
        </w:rPr>
        <w:t>ואין לייחס חשיבות ל</w:t>
      </w:r>
      <w:r>
        <w:rPr>
          <w:rFonts w:hint="cs"/>
          <w:u w:val="single"/>
          <w:rtl/>
        </w:rPr>
        <w:t>כמות ה</w:t>
      </w:r>
      <w:r w:rsidRPr="008E2BE4">
        <w:rPr>
          <w:rFonts w:hint="cs"/>
          <w:u w:val="single"/>
          <w:rtl/>
        </w:rPr>
        <w:t>סם</w:t>
      </w:r>
      <w:r w:rsidRPr="00610E22">
        <w:rPr>
          <w:rFonts w:hint="cs"/>
          <w:u w:val="single"/>
          <w:rtl/>
        </w:rPr>
        <w:t xml:space="preserve"> שניתן להפיק ממנו</w:t>
      </w:r>
      <w:r>
        <w:rPr>
          <w:rFonts w:hint="cs"/>
          <w:rtl/>
        </w:rPr>
        <w:t xml:space="preserve">.  יודגש, שזו הגישה שנוהגת בפסיקה גם לגבי סמים כגון הרואין וקוקאין. </w:t>
      </w:r>
    </w:p>
    <w:p w14:paraId="77A49E30" w14:textId="77777777" w:rsidR="00165C0B" w:rsidRDefault="00165C0B" w:rsidP="00165C0B">
      <w:pPr>
        <w:spacing w:line="360" w:lineRule="auto"/>
        <w:ind w:left="720" w:hanging="720"/>
        <w:jc w:val="both"/>
        <w:rPr>
          <w:rtl/>
        </w:rPr>
      </w:pPr>
    </w:p>
    <w:p w14:paraId="01558835" w14:textId="77777777" w:rsidR="00165C0B" w:rsidRDefault="00165C0B" w:rsidP="00165C0B">
      <w:pPr>
        <w:spacing w:line="360" w:lineRule="auto"/>
        <w:ind w:left="720" w:hanging="720"/>
        <w:jc w:val="both"/>
        <w:rPr>
          <w:rtl/>
        </w:rPr>
      </w:pPr>
      <w:r>
        <w:rPr>
          <w:rFonts w:hint="cs"/>
          <w:rtl/>
        </w:rPr>
        <w:t xml:space="preserve">16. </w:t>
      </w:r>
      <w:r>
        <w:rPr>
          <w:rFonts w:hint="cs"/>
          <w:rtl/>
        </w:rPr>
        <w:tab/>
        <w:t>אם נתפסת כמות כוללת של, למשל,  1 ק"ג של הירואין או קוקאין, הנאשם יורשע ויוענש כפי המשקל הכולל של 1 ק"ג, וזאת גם אם המשקל הנקי של הסם הוא רק 100 גרם בעוד ש-900 גרם הנותרים הם ערבוב של אבקה מחומרים מותרים אחרים. כמו כן, בפסיקה נקבע שאם ניתן לזהות את המשקל הנקי של הסם מתוך הכמות הכוללת יש לרשום אותו בגוף כתב האישום אבל עדיין הכמות הכוללת היא הקובעת לעניין עצם ההרשעה ולעניין העונש (ראו דעת הרוב ב-</w:t>
      </w:r>
      <w:hyperlink r:id="rId25" w:history="1">
        <w:r w:rsidR="00B0010D" w:rsidRPr="00B0010D">
          <w:rPr>
            <w:color w:val="0000FF"/>
            <w:u w:val="single"/>
            <w:rtl/>
          </w:rPr>
          <w:t>ע"פ 387/83 מדינת ישראל נ' יהודאי פ"ד לט</w:t>
        </w:r>
      </w:hyperlink>
      <w:r>
        <w:rPr>
          <w:rFonts w:hint="cs"/>
          <w:rtl/>
        </w:rPr>
        <w:t xml:space="preserve">(4) 197, 207-204 (1985), כפי שניתנה על ידי כבוד השופט גולדברג). </w:t>
      </w:r>
    </w:p>
    <w:p w14:paraId="49571AF7" w14:textId="77777777" w:rsidR="00165C0B" w:rsidRDefault="00165C0B" w:rsidP="00165C0B">
      <w:pPr>
        <w:spacing w:line="360" w:lineRule="auto"/>
        <w:ind w:left="720" w:hanging="720"/>
        <w:jc w:val="both"/>
        <w:rPr>
          <w:rtl/>
        </w:rPr>
      </w:pPr>
    </w:p>
    <w:p w14:paraId="2DB25B09" w14:textId="77777777" w:rsidR="00165C0B" w:rsidRDefault="00165C0B" w:rsidP="00165C0B">
      <w:pPr>
        <w:spacing w:line="360" w:lineRule="auto"/>
        <w:ind w:left="720" w:hanging="720"/>
        <w:jc w:val="both"/>
        <w:rPr>
          <w:rtl/>
        </w:rPr>
      </w:pPr>
      <w:r>
        <w:rPr>
          <w:rFonts w:hint="cs"/>
          <w:rtl/>
        </w:rPr>
        <w:t>17.</w:t>
      </w:r>
      <w:r>
        <w:rPr>
          <w:rtl/>
        </w:rPr>
        <w:tab/>
      </w:r>
      <w:r>
        <w:rPr>
          <w:rFonts w:hint="cs"/>
          <w:rtl/>
        </w:rPr>
        <w:t xml:space="preserve">צמח הקנבוס, וכל חלק ממנו, הוא סם אסור העומד בפני עצמו,  וזאת במנותק מהחומר הפעיל שבו שנקרא </w:t>
      </w:r>
      <w:r>
        <w:t>THC</w:t>
      </w:r>
      <w:r>
        <w:rPr>
          <w:rFonts w:hint="cs"/>
          <w:rtl/>
        </w:rPr>
        <w:t xml:space="preserve"> ומעניק את התחושה הפסיכו-אקטיבית לאחר שימוש בקנבוס. לפיכך, בעת שמדובר בקנבוס בצורתו הטבעית כצמח, או כל חלק ממנו, אין צורך לבדוק אם הוא מכיל </w:t>
      </w:r>
      <w:r>
        <w:t>THC</w:t>
      </w:r>
      <w:r>
        <w:rPr>
          <w:rFonts w:hint="cs"/>
          <w:rtl/>
        </w:rPr>
        <w:t xml:space="preserve">, או לא, וזאת בין לעניין עצם האיסור הפלילי ובין לעניין העונש. זו הגישה הנהוגה במשפט הישראלי (ראו בהרחבה בפסקאות 23 עד 30 להכרעת הדין) וזו גם הגישה הנהוגה במשפט האמריקאי הפדרלי (ראו בהרחבה בפסקאות 55 עד 57 ו-68 להכרעת הדין) וזו גם הגישה הנהוגה בדין האנגלי (ראו פסקה 69 להכרעת הדין). </w:t>
      </w:r>
    </w:p>
    <w:p w14:paraId="2E5B3D64" w14:textId="77777777" w:rsidR="00165C0B" w:rsidRDefault="00165C0B" w:rsidP="00165C0B">
      <w:pPr>
        <w:spacing w:line="360" w:lineRule="auto"/>
        <w:ind w:left="720" w:hanging="720"/>
        <w:jc w:val="both"/>
        <w:rPr>
          <w:rtl/>
        </w:rPr>
      </w:pPr>
    </w:p>
    <w:p w14:paraId="7D4EE5FD" w14:textId="77777777" w:rsidR="00165C0B" w:rsidRDefault="00165C0B" w:rsidP="00165C0B">
      <w:pPr>
        <w:spacing w:line="360" w:lineRule="auto"/>
        <w:ind w:left="720" w:hanging="720"/>
        <w:jc w:val="both"/>
        <w:rPr>
          <w:rtl/>
        </w:rPr>
      </w:pPr>
      <w:r>
        <w:rPr>
          <w:rFonts w:hint="cs"/>
          <w:rtl/>
        </w:rPr>
        <w:t xml:space="preserve">18. </w:t>
      </w:r>
      <w:r>
        <w:rPr>
          <w:rFonts w:hint="cs"/>
          <w:rtl/>
        </w:rPr>
        <w:tab/>
        <w:t xml:space="preserve">כפי שהוסבר בהרחבה בהכרעת הדין, בזרעים של קנבוס, בדרך כלל, </w:t>
      </w:r>
      <w:r w:rsidRPr="00C858E0">
        <w:rPr>
          <w:rFonts w:hint="cs"/>
          <w:u w:val="single"/>
          <w:rtl/>
        </w:rPr>
        <w:t xml:space="preserve">אין </w:t>
      </w:r>
      <w:r>
        <w:rPr>
          <w:rFonts w:hint="cs"/>
          <w:u w:val="single"/>
        </w:rPr>
        <w:t>TH</w:t>
      </w:r>
      <w:r>
        <w:rPr>
          <w:u w:val="single"/>
        </w:rPr>
        <w:t>C</w:t>
      </w:r>
      <w:r>
        <w:rPr>
          <w:rFonts w:hint="cs"/>
          <w:u w:val="single"/>
          <w:rtl/>
        </w:rPr>
        <w:t>.</w:t>
      </w:r>
      <w:r>
        <w:rPr>
          <w:rFonts w:hint="cs"/>
          <w:rtl/>
        </w:rPr>
        <w:t xml:space="preserve"> מדובר בחומר שמופיע בצמח הקנבוס רק לאחר הנבטת הזרעים ונוצר שתיל. עם זאת, הדבר לא מעלה ולא מוריד לעניין עצם האיסור הפלילי להחזיק זרעי קנבוס (ראו בהרחבה פסקאות 30-23, 68, 77-73 להכרעת הדין). על כן, בעת קביעת מתחם העונש ההולם בגין החזקת זרעים של קנבוס, אין  משמעות לעובדה שלא ניתן להשתמש בזרעים, כפי שהם, לקבלת השפעה פסיכו-אקטיבית. </w:t>
      </w:r>
    </w:p>
    <w:p w14:paraId="56DA11BF" w14:textId="77777777" w:rsidR="00165C0B" w:rsidRDefault="00165C0B" w:rsidP="00165C0B">
      <w:pPr>
        <w:spacing w:line="360" w:lineRule="auto"/>
        <w:ind w:left="720" w:hanging="720"/>
        <w:jc w:val="both"/>
        <w:rPr>
          <w:rtl/>
        </w:rPr>
      </w:pPr>
    </w:p>
    <w:p w14:paraId="06E7A987" w14:textId="77777777" w:rsidR="00165C0B" w:rsidRDefault="00165C0B" w:rsidP="00165C0B">
      <w:pPr>
        <w:spacing w:line="360" w:lineRule="auto"/>
        <w:ind w:left="720" w:hanging="720"/>
        <w:jc w:val="both"/>
        <w:rPr>
          <w:rtl/>
        </w:rPr>
      </w:pPr>
      <w:r>
        <w:rPr>
          <w:rFonts w:hint="cs"/>
          <w:rtl/>
        </w:rPr>
        <w:t>19.</w:t>
      </w:r>
      <w:r>
        <w:rPr>
          <w:rFonts w:hint="cs"/>
          <w:rtl/>
        </w:rPr>
        <w:tab/>
        <w:t xml:space="preserve">יתר על כן, בהכרעת הדין הוסבר שקיים שוני בריכוז של </w:t>
      </w:r>
      <w:r>
        <w:t>THC</w:t>
      </w:r>
      <w:r>
        <w:rPr>
          <w:rFonts w:hint="cs"/>
          <w:rtl/>
        </w:rPr>
        <w:t xml:space="preserve"> בחלקים שונים של צמח הקנבוס: 12-10 אחוז בתפרחת, 2-1 אחוז בעלים, 0.3-0.1 אחוז בגבעולים וכן פחות מ-0.03 אחוז בשורשים (פסקה 74 להכרעת הדין). עם זאת, לעניין עצם האיסור הפלילי וגם לעניין העונש, אין הבדל בין החזקת, למשל, קילוגרם של עלים לעומת קילוגרם של שרשים, על אף השוני המשמעותי בריכוז של </w:t>
      </w:r>
      <w:r>
        <w:t>TH</w:t>
      </w:r>
      <w:r>
        <w:rPr>
          <w:rFonts w:hint="cs"/>
        </w:rPr>
        <w:t>C</w:t>
      </w:r>
      <w:r>
        <w:rPr>
          <w:rFonts w:hint="cs"/>
          <w:rtl/>
        </w:rPr>
        <w:t xml:space="preserve">, בין שני חלקי הצמח האמורים. </w:t>
      </w:r>
    </w:p>
    <w:p w14:paraId="005F4B0E" w14:textId="77777777" w:rsidR="00165C0B" w:rsidRDefault="00165C0B" w:rsidP="00165C0B">
      <w:pPr>
        <w:spacing w:line="360" w:lineRule="auto"/>
        <w:ind w:left="720" w:hanging="720"/>
        <w:jc w:val="both"/>
        <w:rPr>
          <w:rtl/>
        </w:rPr>
      </w:pPr>
    </w:p>
    <w:p w14:paraId="62CF159A" w14:textId="77777777" w:rsidR="00165C0B" w:rsidRDefault="00165C0B" w:rsidP="00165C0B">
      <w:pPr>
        <w:spacing w:line="360" w:lineRule="auto"/>
        <w:ind w:left="720" w:hanging="720"/>
        <w:jc w:val="both"/>
        <w:rPr>
          <w:rtl/>
        </w:rPr>
      </w:pPr>
      <w:r>
        <w:rPr>
          <w:rFonts w:hint="cs"/>
          <w:rtl/>
        </w:rPr>
        <w:t>20.</w:t>
      </w:r>
      <w:r>
        <w:rPr>
          <w:rFonts w:hint="cs"/>
          <w:rtl/>
        </w:rPr>
        <w:tab/>
        <w:t xml:space="preserve">יתר על כן, מבחינה משפטית, החזקה של קילוגרם של קנבוס </w:t>
      </w:r>
      <w:r w:rsidRPr="0049259B">
        <w:rPr>
          <w:rFonts w:hint="cs"/>
          <w:u w:val="single"/>
          <w:rtl/>
        </w:rPr>
        <w:t>צמחי</w:t>
      </w:r>
      <w:r>
        <w:rPr>
          <w:rFonts w:hint="cs"/>
          <w:rtl/>
        </w:rPr>
        <w:t xml:space="preserve">, או קילוגרם של כל חלק ממנו, אינה שונה מהחזקה של קילוגרם של קנבוס </w:t>
      </w:r>
      <w:r w:rsidRPr="0049259B">
        <w:rPr>
          <w:rFonts w:hint="cs"/>
          <w:u w:val="single"/>
          <w:rtl/>
        </w:rPr>
        <w:t>מעובד</w:t>
      </w:r>
      <w:r>
        <w:rPr>
          <w:rFonts w:hint="cs"/>
          <w:rtl/>
        </w:rPr>
        <w:t xml:space="preserve"> בצורה של "חשיש" (קרי, שרף של קנבוס, ושידוע כ- </w:t>
      </w:r>
      <w:r>
        <w:t>Cannabis resin</w:t>
      </w:r>
      <w:r>
        <w:rPr>
          <w:rFonts w:hint="cs"/>
          <w:rtl/>
        </w:rPr>
        <w:t xml:space="preserve">). יש מקרים שבהם קנבוס צמחי שגדל בתנאי מעבדה אופטימליים עשוי להכיל רמת </w:t>
      </w:r>
      <w:r>
        <w:t>THC</w:t>
      </w:r>
      <w:r>
        <w:rPr>
          <w:rFonts w:hint="cs"/>
          <w:rtl/>
        </w:rPr>
        <w:t xml:space="preserve"> גבוהה יותר מקנבוס מעובד (חשיש) ויש מקרים שההיפך הוא נכון. </w:t>
      </w:r>
    </w:p>
    <w:p w14:paraId="3D7C93A8" w14:textId="77777777" w:rsidR="00165C0B" w:rsidRDefault="00165C0B" w:rsidP="00165C0B">
      <w:pPr>
        <w:spacing w:line="360" w:lineRule="auto"/>
        <w:ind w:left="720" w:hanging="720"/>
        <w:jc w:val="both"/>
        <w:rPr>
          <w:rtl/>
        </w:rPr>
      </w:pPr>
    </w:p>
    <w:p w14:paraId="6F396CAB" w14:textId="77777777" w:rsidR="00165C0B" w:rsidRDefault="00165C0B" w:rsidP="00165C0B">
      <w:pPr>
        <w:spacing w:line="360" w:lineRule="auto"/>
        <w:ind w:left="720" w:hanging="720"/>
        <w:jc w:val="both"/>
        <w:rPr>
          <w:rtl/>
        </w:rPr>
      </w:pPr>
      <w:r>
        <w:rPr>
          <w:rFonts w:hint="cs"/>
          <w:rtl/>
        </w:rPr>
        <w:t>21.</w:t>
      </w:r>
      <w:r>
        <w:rPr>
          <w:rFonts w:hint="cs"/>
          <w:rtl/>
        </w:rPr>
        <w:tab/>
        <w:t>למעשה, לאור ההתפתחויות הטכנולוגיות שחלו לאורך השנים, ניתן להשפיע על כמות ה-</w:t>
      </w:r>
      <w:r>
        <w:t>THC</w:t>
      </w:r>
      <w:r>
        <w:rPr>
          <w:rFonts w:hint="cs"/>
          <w:rtl/>
        </w:rPr>
        <w:t xml:space="preserve"> שניתן להפיק מקנבוס צמחי שגדל בתנאי מעבדה אופטימליים ולקבל יבולים עם ריכוז גבוה של </w:t>
      </w:r>
      <w:r>
        <w:t>THC</w:t>
      </w:r>
      <w:r>
        <w:rPr>
          <w:rFonts w:hint="cs"/>
          <w:rtl/>
        </w:rPr>
        <w:t>. לפי הדו"ח של האו"ם שנדון בהרחבה בהכרעת הדין, בשנות ה-80 של המאה הקודמת, ריכוז ה-</w:t>
      </w:r>
      <w:r>
        <w:rPr>
          <w:rFonts w:hint="cs"/>
        </w:rPr>
        <w:t>T</w:t>
      </w:r>
      <w:r>
        <w:t xml:space="preserve">HC </w:t>
      </w:r>
      <w:r>
        <w:rPr>
          <w:rFonts w:hint="cs"/>
          <w:rtl/>
        </w:rPr>
        <w:t xml:space="preserve"> בקנבוס צמחי היה בערך 1.5 אחוז, ובעוד שכיום ישנן תפיסות של קנבוס צמחי עם ריכוז </w:t>
      </w:r>
      <w:r>
        <w:t>THC</w:t>
      </w:r>
      <w:r>
        <w:rPr>
          <w:rFonts w:hint="cs"/>
          <w:rtl/>
        </w:rPr>
        <w:t xml:space="preserve"> שנע בין 10 ועד 15 אחוז (עמ' 6 לדו"ח של האו"ם, ת/9). </w:t>
      </w:r>
    </w:p>
    <w:p w14:paraId="090AD7C2" w14:textId="77777777" w:rsidR="00165C0B" w:rsidRDefault="00165C0B" w:rsidP="00165C0B">
      <w:pPr>
        <w:spacing w:line="360" w:lineRule="auto"/>
        <w:ind w:left="720" w:hanging="720"/>
        <w:jc w:val="both"/>
        <w:rPr>
          <w:rtl/>
        </w:rPr>
      </w:pPr>
    </w:p>
    <w:p w14:paraId="0003D5DE" w14:textId="77777777" w:rsidR="00165C0B" w:rsidRDefault="00165C0B" w:rsidP="00165C0B">
      <w:pPr>
        <w:spacing w:line="360" w:lineRule="auto"/>
        <w:ind w:left="720" w:hanging="720"/>
        <w:jc w:val="both"/>
        <w:rPr>
          <w:rtl/>
        </w:rPr>
      </w:pPr>
      <w:r>
        <w:rPr>
          <w:rFonts w:hint="cs"/>
          <w:rtl/>
        </w:rPr>
        <w:t>22.</w:t>
      </w:r>
      <w:r>
        <w:rPr>
          <w:rtl/>
        </w:rPr>
        <w:tab/>
      </w:r>
      <w:r w:rsidRPr="00DE46AA">
        <w:rPr>
          <w:rFonts w:hint="cs"/>
          <w:rtl/>
        </w:rPr>
        <w:t xml:space="preserve">הכלל לפיו יש לבחון את </w:t>
      </w:r>
      <w:r w:rsidRPr="00DE46AA">
        <w:rPr>
          <w:rFonts w:hint="cs"/>
          <w:u w:val="single"/>
          <w:rtl/>
        </w:rPr>
        <w:t>המשקל נטו של הקנבוס</w:t>
      </w:r>
      <w:r>
        <w:rPr>
          <w:rFonts w:hint="cs"/>
          <w:rtl/>
        </w:rPr>
        <w:t xml:space="preserve"> כפי שהוא בעת התפיסה, וזאת בין לעניין עצם האחריות הפלילית ובין לעניין העונש, עשוי לעיתים לפעול לרעת הנאשם ולעיתים אחרות עשוי לפעול לטובתו. ואבהיר: </w:t>
      </w:r>
    </w:p>
    <w:p w14:paraId="2E305574" w14:textId="77777777" w:rsidR="00165C0B" w:rsidRDefault="00165C0B" w:rsidP="00165C0B">
      <w:pPr>
        <w:spacing w:line="360" w:lineRule="auto"/>
        <w:ind w:left="720" w:hanging="720"/>
        <w:jc w:val="both"/>
        <w:rPr>
          <w:rtl/>
        </w:rPr>
      </w:pPr>
    </w:p>
    <w:p w14:paraId="0F4B18A3" w14:textId="77777777" w:rsidR="00165C0B" w:rsidRDefault="00165C0B" w:rsidP="00165C0B">
      <w:pPr>
        <w:spacing w:line="360" w:lineRule="auto"/>
        <w:ind w:left="1440" w:hanging="720"/>
        <w:jc w:val="both"/>
        <w:rPr>
          <w:rtl/>
        </w:rPr>
      </w:pPr>
      <w:r>
        <w:rPr>
          <w:rFonts w:hint="cs"/>
          <w:rtl/>
        </w:rPr>
        <w:t>א.</w:t>
      </w:r>
      <w:r>
        <w:rPr>
          <w:rtl/>
        </w:rPr>
        <w:tab/>
      </w:r>
      <w:r w:rsidRPr="001B3599">
        <w:rPr>
          <w:rFonts w:hint="cs"/>
          <w:u w:val="single"/>
          <w:rtl/>
        </w:rPr>
        <w:t>לרעת הנאשם</w:t>
      </w:r>
      <w:r>
        <w:rPr>
          <w:rFonts w:hint="cs"/>
          <w:rtl/>
        </w:rPr>
        <w:t xml:space="preserve">: דוגמא אחת היא החזקת גבעולים של קנבוס לבדם שבמשפט הישראלי הם סם אסור, על אף שלא ניתן לעשות בהם שימוש כסם וגם לא ניתן להפיק מהם שתילים חדשים. דוגמא שנייה היא זרעים של קנבוס שעברו עיקור ולא ניתנים להנבטה ולכן לא ניתן להפיק מהם </w:t>
      </w:r>
      <w:r>
        <w:t>THC</w:t>
      </w:r>
      <w:r>
        <w:rPr>
          <w:rFonts w:hint="cs"/>
          <w:rtl/>
        </w:rPr>
        <w:t xml:space="preserve"> באמצעות שתילים וגם לא ניתן לעשות שימוש בהם כסם. למרות זאת, נאשם שהחזיק גבעולים של קנבוס לבדם או זרעי קנבוס שלא ניתנים להנבטה,   עדיין יורשע וייענש בשל עצם ההחזקה. </w:t>
      </w:r>
    </w:p>
    <w:p w14:paraId="4EFCF02E" w14:textId="77777777" w:rsidR="00165C0B" w:rsidRDefault="00165C0B" w:rsidP="00165C0B">
      <w:pPr>
        <w:spacing w:line="360" w:lineRule="auto"/>
        <w:ind w:left="1440" w:hanging="720"/>
        <w:jc w:val="both"/>
        <w:rPr>
          <w:rtl/>
        </w:rPr>
      </w:pPr>
    </w:p>
    <w:p w14:paraId="5896F76E" w14:textId="77777777" w:rsidR="00165C0B" w:rsidRDefault="00165C0B" w:rsidP="00165C0B">
      <w:pPr>
        <w:spacing w:line="360" w:lineRule="auto"/>
        <w:ind w:left="1440" w:hanging="720"/>
        <w:jc w:val="both"/>
        <w:rPr>
          <w:rtl/>
        </w:rPr>
      </w:pPr>
      <w:r>
        <w:rPr>
          <w:rtl/>
        </w:rPr>
        <w:tab/>
      </w:r>
      <w:r>
        <w:rPr>
          <w:rFonts w:hint="cs"/>
          <w:rtl/>
        </w:rPr>
        <w:t xml:space="preserve">ישאל השואל, מה הטעם בהרשעת נאשמים שהחזיקו חלק מ"צמח" (כגון גבעולי קנבוס או זרעי קנבוס שלא ניתנים להנבטה) ושלא ניתן להשתמש בו כסם, ולא ניתן לקבל ממנו השפעה פסיכו-אקטיבית וגם לא ניתן להפיק ממנו סם? ואם לא די בכך גם להעניש את אותם נאשמים, לרבות על ידי השתת מאסרים עליהם מאחורי סורג ובריח? האם העובדה שמדובר בזרעים שלא ניתנים להנבטה או בגבעולים עם כמות </w:t>
      </w:r>
      <w:r>
        <w:t>THC</w:t>
      </w:r>
      <w:r>
        <w:rPr>
          <w:rFonts w:hint="cs"/>
          <w:rtl/>
        </w:rPr>
        <w:t xml:space="preserve"> מזערית ושלא ניתנים לשימוש כסם, הדבר ייראה </w:t>
      </w:r>
      <w:r w:rsidRPr="002A65D0">
        <w:rPr>
          <w:rFonts w:hint="cs"/>
          <w:u w:val="single"/>
          <w:rtl/>
        </w:rPr>
        <w:t>כנסיבה לקולא</w:t>
      </w:r>
      <w:r>
        <w:rPr>
          <w:rFonts w:hint="cs"/>
          <w:rtl/>
        </w:rPr>
        <w:t xml:space="preserve"> שתצדיק הקלה בעונש? לדעתי, התשובה היא לא, וזאת מהטעם הפשוט שהמחוקק בישראל בחר להפליל את כל חלקיו של צמח הקנבוס וזאת במנותק מהשאלה אם הוא מכיל </w:t>
      </w:r>
      <w:r>
        <w:t>THC</w:t>
      </w:r>
      <w:r>
        <w:rPr>
          <w:rFonts w:hint="cs"/>
          <w:rtl/>
        </w:rPr>
        <w:t xml:space="preserve">, או לא. </w:t>
      </w:r>
    </w:p>
    <w:p w14:paraId="329F0988" w14:textId="77777777" w:rsidR="00165C0B" w:rsidRDefault="00165C0B" w:rsidP="00165C0B">
      <w:pPr>
        <w:spacing w:line="360" w:lineRule="auto"/>
        <w:jc w:val="both"/>
        <w:rPr>
          <w:rtl/>
        </w:rPr>
      </w:pPr>
    </w:p>
    <w:p w14:paraId="1A3D86B1" w14:textId="77777777" w:rsidR="00165C0B" w:rsidRDefault="00165C0B" w:rsidP="00165C0B">
      <w:pPr>
        <w:spacing w:line="360" w:lineRule="auto"/>
        <w:ind w:left="1440" w:hanging="720"/>
        <w:jc w:val="both"/>
        <w:rPr>
          <w:rtl/>
        </w:rPr>
      </w:pPr>
      <w:r>
        <w:rPr>
          <w:rFonts w:hint="cs"/>
          <w:rtl/>
        </w:rPr>
        <w:t>ב.</w:t>
      </w:r>
      <w:r>
        <w:rPr>
          <w:rFonts w:hint="cs"/>
          <w:rtl/>
        </w:rPr>
        <w:tab/>
      </w:r>
      <w:r w:rsidRPr="00E12453">
        <w:rPr>
          <w:rFonts w:hint="cs"/>
          <w:u w:val="single"/>
          <w:rtl/>
        </w:rPr>
        <w:t>לטובת הנאשם</w:t>
      </w:r>
      <w:r>
        <w:rPr>
          <w:rFonts w:hint="cs"/>
          <w:rtl/>
        </w:rPr>
        <w:t xml:space="preserve">: ניקח למשל זרעים של קנבוס שכן ניתנים להנבטה. ברור שקילוגרם של זרעים שניתנים להנבטה עשויים להוליד ביום מן הימים כמות עצומה של שתילים. עם זאת, לדעתי עדיין לא מדובר </w:t>
      </w:r>
      <w:r w:rsidRPr="002A65D0">
        <w:rPr>
          <w:rFonts w:hint="cs"/>
          <w:u w:val="single"/>
          <w:rtl/>
        </w:rPr>
        <w:t>בנסיבה לחומרא</w:t>
      </w:r>
      <w:r>
        <w:rPr>
          <w:rFonts w:hint="cs"/>
          <w:rtl/>
        </w:rPr>
        <w:t xml:space="preserve"> לעניין העונש.  </w:t>
      </w:r>
    </w:p>
    <w:p w14:paraId="4564F770" w14:textId="77777777" w:rsidR="00165C0B" w:rsidRDefault="00165C0B" w:rsidP="00165C0B">
      <w:pPr>
        <w:spacing w:line="360" w:lineRule="auto"/>
        <w:ind w:left="1440" w:hanging="720"/>
        <w:jc w:val="both"/>
        <w:rPr>
          <w:rtl/>
        </w:rPr>
      </w:pPr>
    </w:p>
    <w:p w14:paraId="4D7553EF" w14:textId="77777777" w:rsidR="00165C0B" w:rsidRDefault="00165C0B" w:rsidP="00165C0B">
      <w:pPr>
        <w:spacing w:line="360" w:lineRule="auto"/>
        <w:ind w:left="1440"/>
        <w:jc w:val="both"/>
        <w:rPr>
          <w:rtl/>
        </w:rPr>
      </w:pPr>
      <w:r w:rsidRPr="00654D0F">
        <w:rPr>
          <w:rFonts w:hint="cs"/>
          <w:rtl/>
        </w:rPr>
        <w:t>ההגדרה של "קנבוס" ב</w:t>
      </w:r>
      <w:hyperlink r:id="rId26" w:history="1">
        <w:r w:rsidR="00B0010D" w:rsidRPr="00B0010D">
          <w:rPr>
            <w:color w:val="0000FF"/>
            <w:u w:val="single"/>
            <w:rtl/>
          </w:rPr>
          <w:t>פקודת הסמים המסוכנים</w:t>
        </w:r>
      </w:hyperlink>
      <w:r w:rsidRPr="00654D0F">
        <w:rPr>
          <w:rFonts w:hint="cs"/>
          <w:rtl/>
        </w:rPr>
        <w:t xml:space="preserve">  היא בפשטות "כל צמח מהסוג קנבוס </w:t>
      </w:r>
      <w:r w:rsidRPr="00654D0F">
        <w:t>(Cannabis)</w:t>
      </w:r>
      <w:r w:rsidRPr="00654D0F">
        <w:rPr>
          <w:rFonts w:hint="cs"/>
          <w:rtl/>
        </w:rPr>
        <w:t>, וכל חלק ממנו"</w:t>
      </w:r>
      <w:r>
        <w:rPr>
          <w:rFonts w:hint="cs"/>
          <w:rtl/>
        </w:rPr>
        <w:t xml:space="preserve"> (התוספת הראשונה לפקודת הסמים המסוכנים) </w:t>
      </w:r>
      <w:r w:rsidRPr="00654D0F">
        <w:rPr>
          <w:rFonts w:hint="cs"/>
          <w:rtl/>
        </w:rPr>
        <w:t>, קרי כולל הזרעים, בין אם הם ניתנים להנבטה ובין אם לא</w:t>
      </w:r>
      <w:r>
        <w:rPr>
          <w:rFonts w:hint="cs"/>
          <w:rtl/>
        </w:rPr>
        <w:t xml:space="preserve">. אין הוראה בחוק שקובעת שהחזקת זרעים שלא ניתנים להנבטה, היא עבירה "רגילה" ובעוד שהחזקת זרעים שניתנים להנבטה היא עבירה שמתבצעת "בנסיבות מחמירות" עם עונש מקסימאלי חמור יותר מזה שקיים לעבירה "רגילה". </w:t>
      </w:r>
    </w:p>
    <w:p w14:paraId="2921E645" w14:textId="77777777" w:rsidR="00165C0B" w:rsidRDefault="00165C0B" w:rsidP="00165C0B">
      <w:pPr>
        <w:spacing w:line="360" w:lineRule="auto"/>
        <w:ind w:left="1440" w:hanging="720"/>
        <w:jc w:val="both"/>
        <w:rPr>
          <w:rtl/>
        </w:rPr>
      </w:pPr>
    </w:p>
    <w:p w14:paraId="148BB4DE" w14:textId="77777777" w:rsidR="00165C0B" w:rsidRDefault="00165C0B" w:rsidP="00165C0B">
      <w:pPr>
        <w:spacing w:line="360" w:lineRule="auto"/>
        <w:ind w:left="1440"/>
        <w:jc w:val="both"/>
        <w:rPr>
          <w:rtl/>
        </w:rPr>
      </w:pPr>
      <w:r>
        <w:rPr>
          <w:rFonts w:hint="cs"/>
          <w:rtl/>
        </w:rPr>
        <w:t xml:space="preserve">על כן, זרעים הם זרעים, ואין רלוונטיות לפוטנציאל ההנבטה שבהם או לפוטנציאל העתידי להפיק מהם </w:t>
      </w:r>
      <w:r>
        <w:t>THC</w:t>
      </w:r>
      <w:r>
        <w:rPr>
          <w:rFonts w:hint="cs"/>
          <w:rtl/>
        </w:rPr>
        <w:t xml:space="preserve">. אם נאמר אחרת, התביעה תיאלץ </w:t>
      </w:r>
      <w:r w:rsidRPr="00DE46AA">
        <w:rPr>
          <w:rFonts w:hint="cs"/>
          <w:u w:val="single"/>
          <w:rtl/>
        </w:rPr>
        <w:t>להוכיח</w:t>
      </w:r>
      <w:r>
        <w:rPr>
          <w:rFonts w:hint="cs"/>
          <w:rtl/>
        </w:rPr>
        <w:t xml:space="preserve">, בשלב הבאת הראיות, שאכן מדובר בזרעים שניתנים להנבטה על מנת להוכיח את טענתה שיש לזרעים פוטנציאל להפוך לשתילים. בדרך זו, בתי המשפט בישראל יאמצו את הגישה של המחוקק האמריקאי לעניין אופן הגדרת האיסור נגד זרעי הקנבוס (קרי, הפללת רק הזרעים שניתנים להנבטה ומכאן הנטל הראייתי שחל על התביעה שם להוכיח שהזרעים ניתנים להנבטה, ראו בהרחבה פסקאות 53 עד 68 להכרעת הדין), וזאת מבלי שהמחוקק בישראל יאמר את דברו בעניין. </w:t>
      </w:r>
    </w:p>
    <w:p w14:paraId="4EA66D48" w14:textId="77777777" w:rsidR="00165C0B" w:rsidRDefault="00165C0B" w:rsidP="00165C0B">
      <w:pPr>
        <w:spacing w:line="360" w:lineRule="auto"/>
        <w:ind w:left="1440" w:hanging="720"/>
        <w:jc w:val="both"/>
        <w:rPr>
          <w:rtl/>
        </w:rPr>
      </w:pPr>
    </w:p>
    <w:p w14:paraId="61BB4BAE" w14:textId="77777777" w:rsidR="00165C0B" w:rsidRDefault="00165C0B" w:rsidP="00165C0B">
      <w:pPr>
        <w:spacing w:line="360" w:lineRule="auto"/>
        <w:ind w:left="1440"/>
        <w:jc w:val="both"/>
        <w:rPr>
          <w:rtl/>
        </w:rPr>
      </w:pPr>
      <w:r w:rsidRPr="00654D0F">
        <w:rPr>
          <w:rFonts w:hint="cs"/>
          <w:rtl/>
        </w:rPr>
        <w:t xml:space="preserve">בתי המשפט </w:t>
      </w:r>
      <w:r>
        <w:rPr>
          <w:rFonts w:hint="cs"/>
          <w:rtl/>
        </w:rPr>
        <w:t xml:space="preserve">בישראל </w:t>
      </w:r>
      <w:r w:rsidRPr="00654D0F">
        <w:rPr>
          <w:rFonts w:hint="cs"/>
          <w:rtl/>
        </w:rPr>
        <w:t xml:space="preserve">לא יכולים לקרוא אל תוך ההגדרה של "קנבוס" </w:t>
      </w:r>
      <w:r>
        <w:rPr>
          <w:rFonts w:hint="cs"/>
          <w:rtl/>
        </w:rPr>
        <w:t>שב</w:t>
      </w:r>
      <w:hyperlink r:id="rId27" w:history="1">
        <w:r w:rsidR="00B0010D" w:rsidRPr="00B0010D">
          <w:rPr>
            <w:color w:val="0000FF"/>
            <w:u w:val="single"/>
            <w:rtl/>
          </w:rPr>
          <w:t>פקודת הסמים המסוכנים</w:t>
        </w:r>
      </w:hyperlink>
      <w:r>
        <w:rPr>
          <w:rFonts w:hint="cs"/>
          <w:rtl/>
        </w:rPr>
        <w:t xml:space="preserve"> </w:t>
      </w:r>
      <w:r w:rsidRPr="00654D0F">
        <w:rPr>
          <w:rFonts w:hint="cs"/>
          <w:rtl/>
        </w:rPr>
        <w:t>את מה</w:t>
      </w:r>
      <w:r>
        <w:rPr>
          <w:rFonts w:hint="cs"/>
          <w:rtl/>
        </w:rPr>
        <w:t xml:space="preserve"> שאין בה, קרי החובה להוכיח שזרעי הקנבוס ניתנים להנבטה כבסיס להרשעת הנאשם ולאחר מכן ענישתו בהתאם, כפי שנהוג בדין הפדרלי בארצות הברית. על כן, יש לדחות את הטענה של המאשימה שיש להתחשב בפוטנציאל ההנבטה של הזרעים לעניין העונש, וזאת לאור העובדה שפוטנציאל זה כלל לא הוכח במשפט וגם אין דרישה להוכחתו לפי הדין החל בישראל.    </w:t>
      </w:r>
    </w:p>
    <w:p w14:paraId="69533AF5" w14:textId="77777777" w:rsidR="00165C0B" w:rsidRDefault="00165C0B" w:rsidP="00165C0B">
      <w:pPr>
        <w:spacing w:line="360" w:lineRule="auto"/>
        <w:jc w:val="both"/>
        <w:rPr>
          <w:rtl/>
        </w:rPr>
      </w:pPr>
    </w:p>
    <w:p w14:paraId="3909C6A9" w14:textId="77777777" w:rsidR="00165C0B" w:rsidRDefault="00165C0B" w:rsidP="00165C0B">
      <w:pPr>
        <w:spacing w:line="360" w:lineRule="auto"/>
        <w:ind w:left="720" w:hanging="720"/>
        <w:jc w:val="both"/>
        <w:rPr>
          <w:rtl/>
        </w:rPr>
      </w:pPr>
      <w:r>
        <w:rPr>
          <w:rFonts w:hint="cs"/>
          <w:rtl/>
        </w:rPr>
        <w:t>23.</w:t>
      </w:r>
      <w:r>
        <w:rPr>
          <w:rFonts w:hint="cs"/>
          <w:rtl/>
        </w:rPr>
        <w:tab/>
        <w:t xml:space="preserve">עינינו הרואות כי הכלל לפיו יש להתייחס למשקל נטו של הקנבוס, כפי שהוא בעת התפיסה, במנותק מהפוטנציאל שטמון בו להפקת </w:t>
      </w:r>
      <w:r>
        <w:t>THC</w:t>
      </w:r>
      <w:r>
        <w:rPr>
          <w:rFonts w:hint="cs"/>
          <w:rtl/>
        </w:rPr>
        <w:t xml:space="preserve">, לעיתים יפעל לרעת הנאשם ולעיתים אחרות יפעל לטובתו. עם זאת, לדעתי, אין מקום לערוך הבחנה בין שני המקרים ויש לאמץ </w:t>
      </w:r>
      <w:r w:rsidRPr="00F81F45">
        <w:rPr>
          <w:rFonts w:hint="cs"/>
          <w:u w:val="single"/>
          <w:rtl/>
        </w:rPr>
        <w:t xml:space="preserve">כלל אחיד </w:t>
      </w:r>
      <w:r>
        <w:rPr>
          <w:rFonts w:hint="cs"/>
          <w:u w:val="single"/>
          <w:rtl/>
        </w:rPr>
        <w:t>ופשוט</w:t>
      </w:r>
      <w:r w:rsidRPr="00691476">
        <w:rPr>
          <w:rFonts w:hint="cs"/>
          <w:rtl/>
        </w:rPr>
        <w:t>, לפיו</w:t>
      </w:r>
      <w:r>
        <w:rPr>
          <w:rFonts w:hint="cs"/>
          <w:rtl/>
        </w:rPr>
        <w:t>,</w:t>
      </w:r>
      <w:r w:rsidRPr="00691476">
        <w:rPr>
          <w:rFonts w:hint="cs"/>
          <w:rtl/>
        </w:rPr>
        <w:t xml:space="preserve"> בין לעניין שאלת האחריות ובין לעניין שאלת העונש, יש לבדוק רק את המשקל </w:t>
      </w:r>
      <w:r>
        <w:rPr>
          <w:rFonts w:hint="cs"/>
          <w:rtl/>
        </w:rPr>
        <w:t xml:space="preserve">נטו </w:t>
      </w:r>
      <w:r w:rsidRPr="00691476">
        <w:rPr>
          <w:rFonts w:hint="cs"/>
          <w:rtl/>
        </w:rPr>
        <w:t>של הקנבוס. בדרך</w:t>
      </w:r>
      <w:r>
        <w:rPr>
          <w:rFonts w:hint="cs"/>
          <w:rtl/>
        </w:rPr>
        <w:t xml:space="preserve"> זו ייחסך מבית המשפט לערוך ספקולציות, כל פעם מחדש, כיצד לגזור את דינו של נאשם שהחזיק קנבוס צמחי, או כל חלק ממנו, או קנבוס מעובד (חשיש), תוך התלבטות בשאלה כיצד ריכוז ה-</w:t>
      </w:r>
      <w:r>
        <w:t>THC</w:t>
      </w:r>
      <w:r>
        <w:rPr>
          <w:rFonts w:hint="cs"/>
          <w:rtl/>
        </w:rPr>
        <w:t xml:space="preserve"> שבו, או כמות ה-</w:t>
      </w:r>
      <w:r>
        <w:t>THC</w:t>
      </w:r>
      <w:r>
        <w:rPr>
          <w:rFonts w:hint="cs"/>
          <w:rtl/>
        </w:rPr>
        <w:t xml:space="preserve"> שניתן להפיק ממנו בעתיד, תשפיע על העונש. </w:t>
      </w:r>
    </w:p>
    <w:p w14:paraId="47170C53" w14:textId="77777777" w:rsidR="00165C0B" w:rsidRDefault="00165C0B" w:rsidP="00165C0B">
      <w:pPr>
        <w:spacing w:line="360" w:lineRule="auto"/>
        <w:jc w:val="both"/>
        <w:rPr>
          <w:rtl/>
        </w:rPr>
      </w:pPr>
    </w:p>
    <w:p w14:paraId="5A409834" w14:textId="77777777" w:rsidR="00165C0B" w:rsidRDefault="00165C0B" w:rsidP="00165C0B">
      <w:pPr>
        <w:spacing w:line="360" w:lineRule="auto"/>
        <w:ind w:left="720" w:hanging="720"/>
        <w:jc w:val="both"/>
        <w:rPr>
          <w:rtl/>
        </w:rPr>
      </w:pPr>
      <w:r>
        <w:rPr>
          <w:rFonts w:hint="cs"/>
          <w:rtl/>
        </w:rPr>
        <w:t>24.</w:t>
      </w:r>
      <w:r>
        <w:rPr>
          <w:rFonts w:hint="cs"/>
          <w:rtl/>
        </w:rPr>
        <w:tab/>
        <w:t xml:space="preserve">על כן, יש לומר בפשטות, קנבוס הוא קנבוס, ואין משמעות ל-"צורתו" או ל-"לבוש" שהוא עוטה עליו. לפיכך, כאשר מדובר בקנבוס, דין קילוגרם של עלים, כדין קילוגרם של זרעים, כדין קילוגרם של גבעולים, כדין קילוגרם של שרשים, כדין קילוגרם של תפרחת, כדין קילוגרם של שתילים, כדין קילוגרם של חשיש, וזאת בין לעניין עצם האיסור הפלילי ובין לעניין העונש. אימוץ כלל אחיד של "משקל" ושמאוד קל ליישום, מאפשר יצירת וודאות משפטית לגבי רמת הענישה הראויה וימנע יצירת תופעה בלתי רצויה של העדר עקביות בענישה.  </w:t>
      </w:r>
    </w:p>
    <w:p w14:paraId="7B1BEABD" w14:textId="77777777" w:rsidR="00165C0B" w:rsidRDefault="00165C0B" w:rsidP="00165C0B">
      <w:pPr>
        <w:spacing w:line="360" w:lineRule="auto"/>
        <w:jc w:val="both"/>
        <w:rPr>
          <w:rtl/>
        </w:rPr>
      </w:pPr>
    </w:p>
    <w:p w14:paraId="79094B6B" w14:textId="77777777" w:rsidR="00165C0B" w:rsidRDefault="00165C0B" w:rsidP="00165C0B">
      <w:pPr>
        <w:spacing w:line="360" w:lineRule="auto"/>
        <w:ind w:left="720" w:hanging="720"/>
        <w:jc w:val="both"/>
        <w:rPr>
          <w:rtl/>
        </w:rPr>
      </w:pPr>
      <w:r>
        <w:rPr>
          <w:rFonts w:hint="cs"/>
          <w:rtl/>
        </w:rPr>
        <w:t>25.</w:t>
      </w:r>
      <w:r>
        <w:rPr>
          <w:rFonts w:hint="cs"/>
          <w:rtl/>
        </w:rPr>
        <w:tab/>
        <w:t xml:space="preserve">על כן, השיקול המכריע לגבי "מידת הנזק" שנגרם לחברה מעבירה של החזקת קנבוס, הוא </w:t>
      </w:r>
      <w:r w:rsidRPr="002F712E">
        <w:rPr>
          <w:rFonts w:hint="cs"/>
          <w:u w:val="single"/>
          <w:rtl/>
        </w:rPr>
        <w:t xml:space="preserve">המשקל </w:t>
      </w:r>
      <w:r>
        <w:rPr>
          <w:rFonts w:hint="cs"/>
          <w:u w:val="single"/>
          <w:rtl/>
        </w:rPr>
        <w:t xml:space="preserve">נטו </w:t>
      </w:r>
      <w:r w:rsidRPr="002F712E">
        <w:rPr>
          <w:rFonts w:hint="cs"/>
          <w:u w:val="single"/>
          <w:rtl/>
        </w:rPr>
        <w:t>של</w:t>
      </w:r>
      <w:r w:rsidRPr="00C62940">
        <w:rPr>
          <w:rFonts w:hint="cs"/>
          <w:u w:val="single"/>
          <w:rtl/>
        </w:rPr>
        <w:t xml:space="preserve"> הקנבוס</w:t>
      </w:r>
      <w:r>
        <w:rPr>
          <w:rFonts w:hint="cs"/>
          <w:rtl/>
        </w:rPr>
        <w:t xml:space="preserve">, כפי שהוא בעת התפיסה. הא ותו לא. בעיניי, אין הבדל לעניין העונש בין החזקת קילוגרם של שתילי קנבוס בתוך מעבדה לגידול קנבוס, לבין החזקה של קילוגרם של זרעי קנבוס ללא מעבדה, לבין החזקה של סוליה של חשיש באותו משקל. </w:t>
      </w:r>
    </w:p>
    <w:p w14:paraId="749F4453" w14:textId="77777777" w:rsidR="00165C0B" w:rsidRDefault="00165C0B" w:rsidP="00165C0B">
      <w:pPr>
        <w:spacing w:line="360" w:lineRule="auto"/>
        <w:ind w:left="720" w:hanging="720"/>
        <w:jc w:val="both"/>
        <w:rPr>
          <w:rtl/>
        </w:rPr>
      </w:pPr>
    </w:p>
    <w:p w14:paraId="1D0D191E" w14:textId="77777777" w:rsidR="00165C0B" w:rsidRDefault="00165C0B" w:rsidP="00165C0B">
      <w:pPr>
        <w:spacing w:line="360" w:lineRule="auto"/>
        <w:ind w:left="720" w:hanging="720"/>
        <w:jc w:val="both"/>
        <w:rPr>
          <w:rtl/>
        </w:rPr>
      </w:pPr>
      <w:r>
        <w:rPr>
          <w:rFonts w:hint="cs"/>
          <w:rtl/>
        </w:rPr>
        <w:t>26.</w:t>
      </w:r>
      <w:r>
        <w:rPr>
          <w:rFonts w:hint="cs"/>
          <w:rtl/>
        </w:rPr>
        <w:tab/>
        <w:t xml:space="preserve">לסיכום, לצורך קביעת מתחם העונש ההולם לגבי האירוע מושא כתב האישום, יש להיזקק </w:t>
      </w:r>
      <w:r w:rsidRPr="00A50978">
        <w:rPr>
          <w:rFonts w:hint="cs"/>
          <w:u w:val="single"/>
          <w:rtl/>
        </w:rPr>
        <w:t xml:space="preserve">למשקל </w:t>
      </w:r>
      <w:r>
        <w:rPr>
          <w:rFonts w:hint="cs"/>
          <w:u w:val="single"/>
          <w:rtl/>
        </w:rPr>
        <w:t xml:space="preserve">נטו </w:t>
      </w:r>
      <w:r w:rsidRPr="00A50978">
        <w:rPr>
          <w:rFonts w:hint="cs"/>
          <w:u w:val="single"/>
          <w:rtl/>
        </w:rPr>
        <w:t>של הזרעים</w:t>
      </w:r>
      <w:r>
        <w:rPr>
          <w:rFonts w:hint="cs"/>
          <w:rtl/>
        </w:rPr>
        <w:t xml:space="preserve">, קרי 1,017 גרם. אין רלבנטיות לכמות הפוטנציאלית של שתילים שניתן להפיק מהם בעתיד וגם לא לכמות הפוטנציאלית של </w:t>
      </w:r>
      <w:r>
        <w:t>THC</w:t>
      </w:r>
      <w:r>
        <w:rPr>
          <w:rFonts w:hint="cs"/>
          <w:rtl/>
        </w:rPr>
        <w:t xml:space="preserve"> שניתן להפיק מהם בעתיד היה וינבטו ויהפכו למטע של קנבוס וגם לא לכמות החשיש שניתן להפיק מהשתילים העתידיים לאחר עיבודם. </w:t>
      </w:r>
    </w:p>
    <w:p w14:paraId="1A895C35" w14:textId="77777777" w:rsidR="00165C0B" w:rsidRDefault="00165C0B" w:rsidP="00165C0B">
      <w:pPr>
        <w:spacing w:line="360" w:lineRule="auto"/>
        <w:ind w:left="1440" w:hanging="720"/>
        <w:jc w:val="both"/>
        <w:rPr>
          <w:rtl/>
        </w:rPr>
      </w:pPr>
    </w:p>
    <w:p w14:paraId="22A31B99" w14:textId="77777777" w:rsidR="00165C0B" w:rsidRPr="007360E8" w:rsidRDefault="00165C0B" w:rsidP="00165C0B">
      <w:pPr>
        <w:spacing w:line="360" w:lineRule="auto"/>
        <w:ind w:left="720" w:hanging="720"/>
        <w:jc w:val="both"/>
        <w:rPr>
          <w:b/>
          <w:bCs/>
          <w:sz w:val="28"/>
          <w:szCs w:val="28"/>
          <w:u w:val="single"/>
          <w:rtl/>
        </w:rPr>
      </w:pPr>
      <w:r w:rsidRPr="007360E8">
        <w:rPr>
          <w:rFonts w:hint="cs"/>
          <w:b/>
          <w:bCs/>
          <w:sz w:val="28"/>
          <w:szCs w:val="28"/>
          <w:u w:val="single"/>
          <w:rtl/>
        </w:rPr>
        <w:t xml:space="preserve">מדיניות הענישה הנוהגת לגבי </w:t>
      </w:r>
      <w:r>
        <w:rPr>
          <w:rFonts w:hint="cs"/>
          <w:b/>
          <w:bCs/>
          <w:sz w:val="28"/>
          <w:szCs w:val="28"/>
          <w:u w:val="single"/>
          <w:rtl/>
        </w:rPr>
        <w:t xml:space="preserve">החזקת </w:t>
      </w:r>
      <w:r w:rsidRPr="007360E8">
        <w:rPr>
          <w:rFonts w:hint="cs"/>
          <w:b/>
          <w:bCs/>
          <w:sz w:val="28"/>
          <w:szCs w:val="28"/>
          <w:u w:val="single"/>
          <w:rtl/>
        </w:rPr>
        <w:t xml:space="preserve">ק"ג של קנבוס </w:t>
      </w:r>
    </w:p>
    <w:p w14:paraId="666674DA" w14:textId="77777777" w:rsidR="00165C0B" w:rsidRDefault="00165C0B" w:rsidP="00165C0B">
      <w:pPr>
        <w:spacing w:line="360" w:lineRule="auto"/>
        <w:ind w:left="720" w:hanging="720"/>
        <w:jc w:val="both"/>
        <w:rPr>
          <w:rtl/>
        </w:rPr>
      </w:pPr>
    </w:p>
    <w:p w14:paraId="039DB8D9" w14:textId="77777777" w:rsidR="00165C0B" w:rsidRDefault="00165C0B" w:rsidP="00165C0B">
      <w:pPr>
        <w:spacing w:line="360" w:lineRule="auto"/>
        <w:ind w:left="720" w:hanging="720"/>
        <w:jc w:val="both"/>
        <w:rPr>
          <w:rtl/>
        </w:rPr>
      </w:pPr>
      <w:r>
        <w:rPr>
          <w:rFonts w:hint="cs"/>
          <w:rtl/>
        </w:rPr>
        <w:t>27.</w:t>
      </w:r>
      <w:r>
        <w:rPr>
          <w:rFonts w:hint="cs"/>
          <w:rtl/>
        </w:rPr>
        <w:tab/>
        <w:t xml:space="preserve">בעת שבית המשפט בודק את מדיניות הענישה הנוהגת לגבי עבירות סמים, הוא לא מוגבל לפסיקה שבה היה מדובר בכמות זהה לחלוטין לכמות שנתפסה, אלא יש להתייחס למתחם כמויות שהוא קרוב לכמות שנתפסה. על כן, אביא דוגמאות מהפסיקה למדיניות הענישה הנוהגת כאשר מדובר בסם מסוג קנבוס, במתחם כמויות שנע בין 1 ק"ג לערך ועד 3 ק"ג לערך, וזאת בין בצורתו הטבעית כצמח ובין בצורתו המעובדת כחשיש: </w:t>
      </w:r>
    </w:p>
    <w:p w14:paraId="54C914A7" w14:textId="77777777" w:rsidR="00165C0B" w:rsidRDefault="00165C0B" w:rsidP="00165C0B">
      <w:pPr>
        <w:spacing w:line="360" w:lineRule="auto"/>
        <w:ind w:left="720" w:hanging="720"/>
        <w:jc w:val="both"/>
        <w:rPr>
          <w:rtl/>
        </w:rPr>
      </w:pPr>
    </w:p>
    <w:p w14:paraId="412A30DF" w14:textId="77777777" w:rsidR="00165C0B" w:rsidRDefault="00165C0B" w:rsidP="00165C0B">
      <w:pPr>
        <w:spacing w:line="360" w:lineRule="auto"/>
        <w:ind w:left="1440" w:hanging="720"/>
        <w:jc w:val="both"/>
        <w:rPr>
          <w:rtl/>
        </w:rPr>
      </w:pPr>
      <w:r>
        <w:rPr>
          <w:rFonts w:hint="cs"/>
          <w:rtl/>
        </w:rPr>
        <w:t>א.</w:t>
      </w:r>
      <w:r>
        <w:rPr>
          <w:rFonts w:hint="cs"/>
          <w:rtl/>
        </w:rPr>
        <w:tab/>
      </w:r>
      <w:hyperlink r:id="rId28" w:history="1">
        <w:r w:rsidR="00B0010D" w:rsidRPr="00B0010D">
          <w:rPr>
            <w:color w:val="0000FF"/>
            <w:u w:val="single"/>
            <w:rtl/>
          </w:rPr>
          <w:t>רע"פ 4816/13</w:t>
        </w:r>
      </w:hyperlink>
      <w:r>
        <w:rPr>
          <w:rFonts w:hint="cs"/>
          <w:rtl/>
        </w:rPr>
        <w:t xml:space="preserve"> </w:t>
      </w:r>
      <w:r w:rsidRPr="009C5295">
        <w:rPr>
          <w:rFonts w:hint="cs"/>
          <w:b/>
          <w:bCs/>
          <w:rtl/>
        </w:rPr>
        <w:t>מרדכי נ' מדינת ישראל</w:t>
      </w:r>
      <w:r>
        <w:rPr>
          <w:rFonts w:hint="cs"/>
          <w:rtl/>
        </w:rPr>
        <w:t xml:space="preserve"> (פורסם בנבו, 9.7.13). המבקש גידל בביתו שתילי קנבוס במשקל נטו של </w:t>
      </w:r>
      <w:r w:rsidRPr="009C5295">
        <w:rPr>
          <w:rFonts w:hint="cs"/>
          <w:u w:val="single"/>
          <w:rtl/>
        </w:rPr>
        <w:t>0.9 ק"ג</w:t>
      </w:r>
      <w:r>
        <w:rPr>
          <w:rFonts w:hint="cs"/>
          <w:rtl/>
        </w:rPr>
        <w:t xml:space="preserve">. בית המשפט השלום השית </w:t>
      </w:r>
      <w:r w:rsidRPr="009C5295">
        <w:rPr>
          <w:rFonts w:hint="cs"/>
          <w:u w:val="single"/>
          <w:rtl/>
        </w:rPr>
        <w:t>עליו 4 חודשי מאסר בפועל</w:t>
      </w:r>
      <w:r>
        <w:rPr>
          <w:rFonts w:hint="cs"/>
          <w:rtl/>
        </w:rPr>
        <w:t xml:space="preserve">, ולא בעבודות שירות, מאסר מותנה וקנס בסך 1,500 ₪. ערעורו לבית המשפט המחוזי נדחה וכן נדחתה בקשת רשות ערעור שהגיש לבית המשפט העליון. </w:t>
      </w:r>
    </w:p>
    <w:p w14:paraId="0AA1AB90" w14:textId="77777777" w:rsidR="00165C0B" w:rsidRDefault="00165C0B" w:rsidP="00165C0B">
      <w:pPr>
        <w:spacing w:line="360" w:lineRule="auto"/>
        <w:ind w:left="1440" w:hanging="720"/>
        <w:jc w:val="both"/>
        <w:rPr>
          <w:rtl/>
        </w:rPr>
      </w:pPr>
    </w:p>
    <w:p w14:paraId="773F70E7" w14:textId="77777777" w:rsidR="00165C0B" w:rsidRDefault="00165C0B" w:rsidP="00165C0B">
      <w:pPr>
        <w:spacing w:line="360" w:lineRule="auto"/>
        <w:ind w:left="1440" w:hanging="720"/>
        <w:jc w:val="both"/>
        <w:rPr>
          <w:rtl/>
        </w:rPr>
      </w:pPr>
      <w:r>
        <w:rPr>
          <w:rFonts w:hint="cs"/>
          <w:rtl/>
        </w:rPr>
        <w:t>ב.</w:t>
      </w:r>
      <w:r>
        <w:rPr>
          <w:rFonts w:hint="cs"/>
          <w:rtl/>
        </w:rPr>
        <w:tab/>
      </w:r>
      <w:hyperlink r:id="rId29" w:history="1">
        <w:r w:rsidR="00B0010D" w:rsidRPr="00B0010D">
          <w:rPr>
            <w:color w:val="0000FF"/>
            <w:u w:val="single"/>
            <w:rtl/>
          </w:rPr>
          <w:t>רע"פ 8280/16</w:t>
        </w:r>
      </w:hyperlink>
      <w:r>
        <w:rPr>
          <w:rFonts w:hint="cs"/>
          <w:rtl/>
        </w:rPr>
        <w:t xml:space="preserve"> </w:t>
      </w:r>
      <w:r w:rsidRPr="00691C93">
        <w:rPr>
          <w:rFonts w:hint="cs"/>
          <w:b/>
          <w:bCs/>
          <w:rtl/>
        </w:rPr>
        <w:t>אליהו נ' מדינת ישראל</w:t>
      </w:r>
      <w:r>
        <w:rPr>
          <w:rFonts w:hint="cs"/>
          <w:rtl/>
        </w:rPr>
        <w:t xml:space="preserve"> (פורסם בנבו, 8.11.16). המבקש הורשע בבית משפט השלום בראשון לציון בביצוע עבירות של קשירת קשר, אספקת סם, סחר בסם והחזקת סם לשימוש עצמי. הנאשם ניהל משא ומתן לאספקת קנבוס בכמות שנעה בין 1 ק"ג ועד 2.1 ק"ג. בסופו של יום, מכר סם מסוג </w:t>
      </w:r>
      <w:r w:rsidRPr="00601B8D">
        <w:rPr>
          <w:rFonts w:hint="cs"/>
          <w:u w:val="single"/>
          <w:rtl/>
        </w:rPr>
        <w:t xml:space="preserve">קנבוס במשקל 780.87 גרם </w:t>
      </w:r>
      <w:r>
        <w:rPr>
          <w:rFonts w:hint="cs"/>
          <w:rtl/>
        </w:rPr>
        <w:t xml:space="preserve">ובנוסף החזיק בביתו </w:t>
      </w:r>
      <w:r w:rsidRPr="00601B8D">
        <w:rPr>
          <w:rFonts w:hint="cs"/>
          <w:u w:val="single"/>
          <w:rtl/>
        </w:rPr>
        <w:t>חשיש במשקל 38.817 גרם</w:t>
      </w:r>
      <w:r>
        <w:rPr>
          <w:rFonts w:hint="cs"/>
          <w:rtl/>
        </w:rPr>
        <w:t>. בית משפט השלום השית עליו</w:t>
      </w:r>
      <w:r w:rsidRPr="00601B8D">
        <w:rPr>
          <w:rFonts w:hint="cs"/>
          <w:u w:val="single"/>
          <w:rtl/>
        </w:rPr>
        <w:t xml:space="preserve"> 7 חודשי מאסר בפועל</w:t>
      </w:r>
      <w:r>
        <w:rPr>
          <w:rFonts w:hint="cs"/>
          <w:rtl/>
        </w:rPr>
        <w:t xml:space="preserve"> והפעיל מאסרים מותנים שהיו תלויים ועומדים כנגדו, חלקם בחופף וחלקם במצטבר והעונש הסופי היה </w:t>
      </w:r>
      <w:r w:rsidRPr="00601B8D">
        <w:rPr>
          <w:rFonts w:hint="cs"/>
          <w:u w:val="single"/>
          <w:rtl/>
        </w:rPr>
        <w:t>14 חודשי מאסר בפועל ומאסר על תנאי.</w:t>
      </w:r>
      <w:r>
        <w:rPr>
          <w:rFonts w:hint="cs"/>
          <w:rtl/>
        </w:rPr>
        <w:t xml:space="preserve"> ערעורו לבית המשפט המחוזי במחוז מרכז נדחה וכן נדחתה בקשת רשות ערעור שהגיש לבית המשפט העליון. </w:t>
      </w:r>
    </w:p>
    <w:p w14:paraId="57DB3398" w14:textId="77777777" w:rsidR="00165C0B" w:rsidRDefault="00165C0B" w:rsidP="00165C0B">
      <w:pPr>
        <w:spacing w:line="360" w:lineRule="auto"/>
        <w:ind w:left="1440" w:hanging="720"/>
        <w:jc w:val="both"/>
        <w:rPr>
          <w:rtl/>
        </w:rPr>
      </w:pPr>
    </w:p>
    <w:p w14:paraId="0F573ACB" w14:textId="77777777" w:rsidR="00165C0B" w:rsidRDefault="00165C0B" w:rsidP="00165C0B">
      <w:pPr>
        <w:spacing w:line="360" w:lineRule="auto"/>
        <w:ind w:left="1440" w:hanging="720"/>
        <w:jc w:val="both"/>
        <w:rPr>
          <w:rtl/>
        </w:rPr>
      </w:pPr>
      <w:r>
        <w:rPr>
          <w:rFonts w:hint="cs"/>
          <w:rtl/>
        </w:rPr>
        <w:t>ג.</w:t>
      </w:r>
      <w:r>
        <w:rPr>
          <w:rFonts w:hint="cs"/>
          <w:rtl/>
        </w:rPr>
        <w:tab/>
      </w:r>
      <w:hyperlink r:id="rId30" w:history="1">
        <w:r w:rsidR="00B0010D" w:rsidRPr="00B0010D">
          <w:rPr>
            <w:color w:val="0000FF"/>
            <w:u w:val="single"/>
            <w:rtl/>
          </w:rPr>
          <w:t>ע"פ 6753/09</w:t>
        </w:r>
      </w:hyperlink>
      <w:r>
        <w:rPr>
          <w:rFonts w:hint="cs"/>
          <w:rtl/>
        </w:rPr>
        <w:t xml:space="preserve"> </w:t>
      </w:r>
      <w:r w:rsidRPr="00691C93">
        <w:rPr>
          <w:rFonts w:hint="cs"/>
          <w:b/>
          <w:bCs/>
          <w:rtl/>
        </w:rPr>
        <w:t>חמאמדה נ' מדינת ישראל</w:t>
      </w:r>
      <w:r>
        <w:rPr>
          <w:rFonts w:hint="cs"/>
          <w:rtl/>
        </w:rPr>
        <w:t xml:space="preserve"> (פורסם בנבו, 18.1.10). המערער  החזיק בסם מסוג </w:t>
      </w:r>
      <w:r w:rsidRPr="00601B8D">
        <w:rPr>
          <w:rFonts w:hint="cs"/>
          <w:u w:val="single"/>
          <w:rtl/>
        </w:rPr>
        <w:t>חשיש במשקל 1.5 ק"ג נטו</w:t>
      </w:r>
      <w:r>
        <w:rPr>
          <w:rFonts w:hint="cs"/>
          <w:rtl/>
        </w:rPr>
        <w:t>. בנוסף הורשע בעבירה נוספת של החזקת סכין שלא כדין. בית המשפט המחוזי בבאר שבע השית עליו</w:t>
      </w:r>
      <w:r w:rsidRPr="00601B8D">
        <w:rPr>
          <w:rFonts w:hint="cs"/>
          <w:u w:val="single"/>
          <w:rtl/>
        </w:rPr>
        <w:t xml:space="preserve"> 8 חודשי מאסר בפועל, מאסר על תנאי וקנס בסך 5,000 ₪. </w:t>
      </w:r>
      <w:r>
        <w:rPr>
          <w:rFonts w:hint="cs"/>
          <w:rtl/>
        </w:rPr>
        <w:t xml:space="preserve">ערעורו על גזר הדין לבית המשפט העליון נדחה. </w:t>
      </w:r>
    </w:p>
    <w:p w14:paraId="207738CB" w14:textId="77777777" w:rsidR="00165C0B" w:rsidRDefault="00165C0B" w:rsidP="00165C0B">
      <w:pPr>
        <w:spacing w:line="360" w:lineRule="auto"/>
        <w:ind w:left="1440" w:hanging="720"/>
        <w:jc w:val="both"/>
        <w:rPr>
          <w:rtl/>
        </w:rPr>
      </w:pPr>
    </w:p>
    <w:p w14:paraId="18CA7C52" w14:textId="77777777" w:rsidR="00165C0B" w:rsidRDefault="00165C0B" w:rsidP="00165C0B">
      <w:pPr>
        <w:spacing w:line="360" w:lineRule="auto"/>
        <w:ind w:left="1440" w:hanging="720"/>
        <w:jc w:val="both"/>
        <w:rPr>
          <w:rtl/>
        </w:rPr>
      </w:pPr>
      <w:r>
        <w:rPr>
          <w:rFonts w:hint="cs"/>
          <w:rtl/>
        </w:rPr>
        <w:t>ד.</w:t>
      </w:r>
      <w:r>
        <w:rPr>
          <w:rFonts w:hint="cs"/>
          <w:rtl/>
        </w:rPr>
        <w:tab/>
      </w:r>
      <w:hyperlink r:id="rId31" w:history="1">
        <w:r w:rsidR="00B0010D" w:rsidRPr="00B0010D">
          <w:rPr>
            <w:color w:val="0000FF"/>
            <w:u w:val="single"/>
            <w:rtl/>
          </w:rPr>
          <w:t>רע"פ 1830/16</w:t>
        </w:r>
      </w:hyperlink>
      <w:r>
        <w:rPr>
          <w:rFonts w:hint="cs"/>
          <w:rtl/>
        </w:rPr>
        <w:t xml:space="preserve"> </w:t>
      </w:r>
      <w:r w:rsidRPr="00601B8D">
        <w:rPr>
          <w:rFonts w:hint="cs"/>
          <w:b/>
          <w:bCs/>
          <w:rtl/>
        </w:rPr>
        <w:t>רקיבי נ' מדינת ישראל</w:t>
      </w:r>
      <w:r>
        <w:rPr>
          <w:rFonts w:hint="cs"/>
          <w:rtl/>
        </w:rPr>
        <w:t xml:space="preserve"> (פורסם בנבו, 11.4.16). המבקש הורשע בעבירה של החזקת סם שלא לצריכה עצמית בכך שברכבו נתפס סם מסוג </w:t>
      </w:r>
      <w:r w:rsidRPr="00601B8D">
        <w:rPr>
          <w:rFonts w:hint="cs"/>
          <w:u w:val="single"/>
          <w:rtl/>
        </w:rPr>
        <w:t>חשיש במשקל 2.3 ק"ג</w:t>
      </w:r>
      <w:r>
        <w:rPr>
          <w:rFonts w:hint="cs"/>
          <w:rtl/>
        </w:rPr>
        <w:t xml:space="preserve">. בית משפט השלום השית עליו </w:t>
      </w:r>
      <w:r w:rsidRPr="00601B8D">
        <w:rPr>
          <w:rFonts w:hint="cs"/>
          <w:u w:val="single"/>
          <w:rtl/>
        </w:rPr>
        <w:t>8 חודשי מאסר בפועל, מאסר על תנאי וקנס</w:t>
      </w:r>
      <w:r>
        <w:rPr>
          <w:rFonts w:hint="cs"/>
          <w:rtl/>
        </w:rPr>
        <w:t>, וכן הורה על חילוט הרכב. ערעורו לבית המשפט המחוזי נדחה וכן נדחתה בקשת רשות ערעור שהוגשה לבית המשפט העליון.</w:t>
      </w:r>
    </w:p>
    <w:p w14:paraId="2B100E96" w14:textId="77777777" w:rsidR="00165C0B" w:rsidRDefault="00165C0B" w:rsidP="00165C0B">
      <w:pPr>
        <w:spacing w:line="360" w:lineRule="auto"/>
        <w:ind w:left="1440" w:hanging="720"/>
        <w:jc w:val="both"/>
        <w:rPr>
          <w:rtl/>
        </w:rPr>
      </w:pPr>
    </w:p>
    <w:p w14:paraId="220C5E32" w14:textId="77777777" w:rsidR="00165C0B" w:rsidRDefault="00165C0B" w:rsidP="00165C0B">
      <w:pPr>
        <w:spacing w:line="360" w:lineRule="auto"/>
        <w:ind w:left="1440" w:hanging="720"/>
        <w:jc w:val="both"/>
        <w:rPr>
          <w:rtl/>
        </w:rPr>
      </w:pPr>
      <w:r>
        <w:rPr>
          <w:rFonts w:hint="cs"/>
          <w:rtl/>
        </w:rPr>
        <w:t>ה.</w:t>
      </w:r>
      <w:r>
        <w:rPr>
          <w:rFonts w:hint="cs"/>
          <w:rtl/>
        </w:rPr>
        <w:tab/>
      </w:r>
      <w:hyperlink r:id="rId32" w:history="1">
        <w:r w:rsidR="00B0010D" w:rsidRPr="00B0010D">
          <w:rPr>
            <w:color w:val="0000FF"/>
            <w:u w:val="single"/>
            <w:rtl/>
          </w:rPr>
          <w:t>רע"פ 314/16</w:t>
        </w:r>
      </w:hyperlink>
      <w:r>
        <w:rPr>
          <w:rFonts w:hint="cs"/>
          <w:rtl/>
        </w:rPr>
        <w:t xml:space="preserve"> </w:t>
      </w:r>
      <w:r w:rsidRPr="009C5295">
        <w:rPr>
          <w:rFonts w:hint="cs"/>
          <w:b/>
          <w:bCs/>
          <w:rtl/>
        </w:rPr>
        <w:t>בן צבי נ' מדינת ישראל</w:t>
      </w:r>
      <w:r>
        <w:rPr>
          <w:rFonts w:hint="cs"/>
          <w:rtl/>
        </w:rPr>
        <w:t xml:space="preserve"> (פורסם בנבו, 22.2.16). המבקש שכר דירה והקים במרפסת הדירה מעבדה לגידול קנבוס. לצורך הקמת המעבדה, המבקש רכש זרעים, 27 מנורות, למעלה מ-200 אדניות, שבעה שקים עם תערובת לגידול חומרים אורגניים, נוזל לדישון וציוד רב נוסף. המשקל נטו של צמחי הקנבוס שנתפסו היה </w:t>
      </w:r>
      <w:r w:rsidRPr="009C5295">
        <w:rPr>
          <w:rFonts w:hint="cs"/>
          <w:u w:val="single"/>
          <w:rtl/>
        </w:rPr>
        <w:t>2.5 ק"ג</w:t>
      </w:r>
      <w:r>
        <w:rPr>
          <w:rFonts w:hint="cs"/>
          <w:rtl/>
        </w:rPr>
        <w:t xml:space="preserve">. בית המשפט השלום קבע שמתחם העונש ההולם נע בין מספר חודשי מאסר בפועל ועד 18 חודשים והשית </w:t>
      </w:r>
      <w:r w:rsidRPr="009C5295">
        <w:rPr>
          <w:rFonts w:hint="cs"/>
          <w:u w:val="single"/>
          <w:rtl/>
        </w:rPr>
        <w:t>עליו 6 חודשי מאסר שירוצו בעבודות שירות</w:t>
      </w:r>
      <w:r>
        <w:rPr>
          <w:rFonts w:hint="cs"/>
          <w:rtl/>
        </w:rPr>
        <w:t xml:space="preserve">. ערעור המדינה לבית המשפט המחוזי התקבל והושתו עליו </w:t>
      </w:r>
      <w:r w:rsidRPr="009C5295">
        <w:rPr>
          <w:rFonts w:hint="cs"/>
          <w:u w:val="single"/>
          <w:rtl/>
        </w:rPr>
        <w:t>10 חודשי מאסר בפועל</w:t>
      </w:r>
      <w:r>
        <w:rPr>
          <w:rFonts w:hint="cs"/>
          <w:rtl/>
        </w:rPr>
        <w:t xml:space="preserve">. בקשת רשות ערעור שהוגשה לבית המשפט העליון נדחתה. </w:t>
      </w:r>
    </w:p>
    <w:p w14:paraId="4F866580" w14:textId="77777777" w:rsidR="00165C0B" w:rsidRDefault="00165C0B" w:rsidP="00165C0B">
      <w:pPr>
        <w:spacing w:line="360" w:lineRule="auto"/>
        <w:ind w:left="1440" w:hanging="720"/>
        <w:jc w:val="both"/>
        <w:rPr>
          <w:rtl/>
        </w:rPr>
      </w:pPr>
    </w:p>
    <w:p w14:paraId="71F0C852" w14:textId="77777777" w:rsidR="00165C0B" w:rsidRDefault="00165C0B" w:rsidP="00165C0B">
      <w:pPr>
        <w:spacing w:line="360" w:lineRule="auto"/>
        <w:ind w:left="1440" w:hanging="720"/>
        <w:jc w:val="both"/>
        <w:rPr>
          <w:rtl/>
        </w:rPr>
      </w:pPr>
      <w:r>
        <w:rPr>
          <w:rFonts w:hint="cs"/>
          <w:rtl/>
        </w:rPr>
        <w:t>ו.</w:t>
      </w:r>
      <w:r>
        <w:rPr>
          <w:rFonts w:hint="cs"/>
          <w:rtl/>
        </w:rPr>
        <w:tab/>
      </w:r>
      <w:hyperlink r:id="rId33" w:history="1">
        <w:r w:rsidR="00B0010D" w:rsidRPr="00B0010D">
          <w:rPr>
            <w:color w:val="0000FF"/>
            <w:u w:val="single"/>
            <w:rtl/>
          </w:rPr>
          <w:t>רע"פ 7005/14</w:t>
        </w:r>
      </w:hyperlink>
      <w:r>
        <w:rPr>
          <w:rFonts w:hint="cs"/>
          <w:rtl/>
        </w:rPr>
        <w:t xml:space="preserve"> </w:t>
      </w:r>
      <w:r w:rsidRPr="009C5295">
        <w:rPr>
          <w:rFonts w:hint="cs"/>
          <w:b/>
          <w:bCs/>
          <w:rtl/>
        </w:rPr>
        <w:t>דגן נ' מדינת ישראל</w:t>
      </w:r>
      <w:r>
        <w:rPr>
          <w:rFonts w:hint="cs"/>
          <w:rtl/>
        </w:rPr>
        <w:t xml:space="preserve"> (פורסם בנבו, 30.11.14). המבקש גידל קנבוס במעבדה בביתו במשקל נטו של </w:t>
      </w:r>
      <w:r w:rsidRPr="009C5295">
        <w:rPr>
          <w:rFonts w:hint="cs"/>
          <w:u w:val="single"/>
          <w:rtl/>
        </w:rPr>
        <w:t>2.7 ק"ג</w:t>
      </w:r>
      <w:r>
        <w:rPr>
          <w:rFonts w:hint="cs"/>
          <w:rtl/>
        </w:rPr>
        <w:t xml:space="preserve">. הצדדים הסכימו שמתחם העונש ההולם נע בין 6 ועד 12 חודשי מאסר. בית המשפט השלום השית עליו </w:t>
      </w:r>
      <w:r w:rsidRPr="009C5295">
        <w:rPr>
          <w:rFonts w:hint="cs"/>
          <w:u w:val="single"/>
          <w:rtl/>
        </w:rPr>
        <w:t>10 חודשי מאסר בפועל</w:t>
      </w:r>
      <w:r>
        <w:rPr>
          <w:rFonts w:hint="cs"/>
          <w:rtl/>
        </w:rPr>
        <w:t xml:space="preserve">. ערעורו לבית המשפט המחוזי נדחה וכן נדחתה בקשת רשות ערעור שהוגשה לבית המשפט העליון. </w:t>
      </w:r>
    </w:p>
    <w:p w14:paraId="3D41F66A" w14:textId="77777777" w:rsidR="00165C0B" w:rsidRDefault="00165C0B" w:rsidP="00165C0B">
      <w:pPr>
        <w:spacing w:line="360" w:lineRule="auto"/>
        <w:ind w:left="1440" w:hanging="720"/>
        <w:jc w:val="both"/>
        <w:rPr>
          <w:rtl/>
        </w:rPr>
      </w:pPr>
    </w:p>
    <w:p w14:paraId="26970777" w14:textId="77777777" w:rsidR="00165C0B" w:rsidRDefault="00165C0B" w:rsidP="00165C0B">
      <w:pPr>
        <w:spacing w:line="360" w:lineRule="auto"/>
        <w:ind w:left="720" w:hanging="720"/>
        <w:jc w:val="both"/>
        <w:rPr>
          <w:rtl/>
        </w:rPr>
      </w:pPr>
      <w:r>
        <w:rPr>
          <w:rFonts w:hint="cs"/>
          <w:rtl/>
        </w:rPr>
        <w:t>28.</w:t>
      </w:r>
      <w:r>
        <w:rPr>
          <w:rFonts w:hint="cs"/>
          <w:rtl/>
        </w:rPr>
        <w:tab/>
        <w:t xml:space="preserve">לפיכך, הנני קובע כי מתחם העונש ההולם לעבירה שבוצעה על ידי הנאשם נע בין 4 ועד 12 חודשי מאסר בפועל, בצירוף מאסר על תנאי, קנס ופסילת רישיון נהיגה, בין בפועל ובין על תנאי. </w:t>
      </w:r>
    </w:p>
    <w:p w14:paraId="0B063A99" w14:textId="77777777" w:rsidR="00165C0B" w:rsidRDefault="00165C0B" w:rsidP="00165C0B">
      <w:pPr>
        <w:spacing w:line="360" w:lineRule="auto"/>
        <w:ind w:left="720" w:hanging="720"/>
        <w:jc w:val="both"/>
        <w:rPr>
          <w:rtl/>
        </w:rPr>
      </w:pPr>
    </w:p>
    <w:p w14:paraId="0902B54F" w14:textId="77777777" w:rsidR="00165C0B" w:rsidRPr="00B05847" w:rsidRDefault="00165C0B" w:rsidP="00165C0B">
      <w:pPr>
        <w:spacing w:line="360" w:lineRule="auto"/>
        <w:ind w:left="720" w:hanging="720"/>
        <w:jc w:val="both"/>
        <w:rPr>
          <w:rtl/>
        </w:rPr>
      </w:pPr>
      <w:r>
        <w:rPr>
          <w:rFonts w:hint="cs"/>
          <w:rtl/>
        </w:rPr>
        <w:t>29.</w:t>
      </w:r>
      <w:r>
        <w:rPr>
          <w:rFonts w:hint="cs"/>
          <w:rtl/>
        </w:rPr>
        <w:tab/>
        <w:t xml:space="preserve">לא התרשמתי שקיימות נסיבות חריגות שמצדיקות סטייה ממתחם העונש ההולם. נסיבותיו האישיות של הנאשם יילקחו בחשבון בעת קביעת העונש המתאים בתוך מתחם העונש ההולם. </w:t>
      </w:r>
    </w:p>
    <w:p w14:paraId="47F2543E" w14:textId="77777777" w:rsidR="00165C0B" w:rsidRPr="00B05847" w:rsidRDefault="00165C0B" w:rsidP="00165C0B">
      <w:pPr>
        <w:rPr>
          <w:rtl/>
        </w:rPr>
      </w:pPr>
    </w:p>
    <w:p w14:paraId="36969F5F" w14:textId="77777777" w:rsidR="00165C0B" w:rsidRPr="00DF45A2" w:rsidRDefault="00165C0B" w:rsidP="00165C0B">
      <w:pPr>
        <w:rPr>
          <w:b/>
          <w:bCs/>
          <w:sz w:val="28"/>
          <w:szCs w:val="28"/>
          <w:u w:val="single"/>
          <w:rtl/>
        </w:rPr>
      </w:pPr>
      <w:r w:rsidRPr="00DF45A2">
        <w:rPr>
          <w:rFonts w:hint="cs"/>
          <w:b/>
          <w:bCs/>
          <w:sz w:val="28"/>
          <w:szCs w:val="28"/>
          <w:u w:val="single"/>
          <w:rtl/>
        </w:rPr>
        <w:t xml:space="preserve">העונש המתאים בתוך מתחם העונש ההולם </w:t>
      </w:r>
    </w:p>
    <w:p w14:paraId="4B6CD8FA" w14:textId="77777777" w:rsidR="00165C0B" w:rsidRPr="00B05847" w:rsidRDefault="00165C0B" w:rsidP="00165C0B">
      <w:pPr>
        <w:rPr>
          <w:rtl/>
        </w:rPr>
      </w:pPr>
    </w:p>
    <w:p w14:paraId="29CCC404" w14:textId="77777777" w:rsidR="00165C0B" w:rsidRPr="00B05847" w:rsidRDefault="00165C0B" w:rsidP="00165C0B">
      <w:pPr>
        <w:rPr>
          <w:rtl/>
        </w:rPr>
      </w:pPr>
    </w:p>
    <w:p w14:paraId="2F889516" w14:textId="77777777" w:rsidR="00165C0B" w:rsidRDefault="00165C0B" w:rsidP="00165C0B">
      <w:pPr>
        <w:spacing w:line="360" w:lineRule="auto"/>
        <w:ind w:left="720" w:hanging="720"/>
        <w:jc w:val="both"/>
        <w:rPr>
          <w:rtl/>
        </w:rPr>
      </w:pPr>
      <w:r>
        <w:rPr>
          <w:rFonts w:hint="cs"/>
          <w:rtl/>
        </w:rPr>
        <w:t>30.</w:t>
      </w:r>
      <w:r>
        <w:rPr>
          <w:rtl/>
        </w:rPr>
        <w:tab/>
      </w:r>
      <w:r>
        <w:rPr>
          <w:rFonts w:hint="cs"/>
          <w:rtl/>
        </w:rPr>
        <w:t xml:space="preserve">בעת קביעת העונש המתאים בתוך מתחם העונש ההולם לקחתי בחשבון את הנתונים שלהלן: </w:t>
      </w:r>
      <w:r w:rsidRPr="005B04D2">
        <w:rPr>
          <w:rFonts w:hint="cs"/>
          <w:u w:val="single"/>
          <w:rtl/>
        </w:rPr>
        <w:t>לחומרא</w:t>
      </w:r>
      <w:r>
        <w:rPr>
          <w:rFonts w:hint="cs"/>
          <w:rtl/>
        </w:rPr>
        <w:t xml:space="preserve">, הרישום הפלילי של הנאשם שכולל הרשעות בעבירות סמים; </w:t>
      </w:r>
      <w:r w:rsidRPr="005B04D2">
        <w:rPr>
          <w:rFonts w:hint="cs"/>
          <w:u w:val="single"/>
          <w:rtl/>
        </w:rPr>
        <w:t>לקולא</w:t>
      </w:r>
      <w:r>
        <w:rPr>
          <w:rFonts w:hint="cs"/>
          <w:rtl/>
        </w:rPr>
        <w:t xml:space="preserve">, לקחתי בחשבון את נסיבותיו המשפחתיות וכן את מצבו הפיזי של הנאשם לאור תאונת הדרכים שעבר לפני למעלה משנתיים ואשר נותנת את אותותיה עד היום. </w:t>
      </w:r>
    </w:p>
    <w:p w14:paraId="25CC3959" w14:textId="77777777" w:rsidR="00165C0B" w:rsidRDefault="00165C0B" w:rsidP="00165C0B">
      <w:pPr>
        <w:spacing w:line="360" w:lineRule="auto"/>
        <w:jc w:val="both"/>
        <w:rPr>
          <w:rtl/>
        </w:rPr>
      </w:pPr>
    </w:p>
    <w:p w14:paraId="26C0C255" w14:textId="77777777" w:rsidR="00165C0B" w:rsidRDefault="00165C0B" w:rsidP="00165C0B">
      <w:pPr>
        <w:spacing w:line="360" w:lineRule="auto"/>
        <w:jc w:val="both"/>
        <w:rPr>
          <w:rtl/>
        </w:rPr>
      </w:pPr>
      <w:r>
        <w:rPr>
          <w:rFonts w:hint="cs"/>
          <w:rtl/>
        </w:rPr>
        <w:t>31.</w:t>
      </w:r>
      <w:r>
        <w:rPr>
          <w:rFonts w:hint="cs"/>
          <w:rtl/>
        </w:rPr>
        <w:tab/>
        <w:t>לנאשם מאסר על תנאי של חמישה חודשים שניתן ב</w:t>
      </w:r>
      <w:hyperlink r:id="rId34" w:history="1">
        <w:r w:rsidR="00B0010D" w:rsidRPr="00B0010D">
          <w:rPr>
            <w:color w:val="0000FF"/>
            <w:u w:val="single"/>
            <w:rtl/>
          </w:rPr>
          <w:t>ת"פ 41851-03-11</w:t>
        </w:r>
      </w:hyperlink>
      <w:r>
        <w:rPr>
          <w:rFonts w:hint="cs"/>
          <w:rtl/>
        </w:rPr>
        <w:t xml:space="preserve"> (שאוחד יחד עם </w:t>
      </w:r>
      <w:hyperlink r:id="rId35" w:history="1">
        <w:r w:rsidR="00B0010D" w:rsidRPr="00B0010D">
          <w:rPr>
            <w:color w:val="0000FF"/>
            <w:u w:val="single"/>
            <w:rtl/>
          </w:rPr>
          <w:t xml:space="preserve">ת"פ </w:t>
        </w:r>
        <w:r w:rsidR="00B0010D" w:rsidRPr="00B0010D">
          <w:rPr>
            <w:color w:val="0000FF"/>
            <w:u w:val="single"/>
            <w:rtl/>
          </w:rPr>
          <w:tab/>
          <w:t>50319-05-11</w:t>
        </w:r>
      </w:hyperlink>
      <w:r>
        <w:rPr>
          <w:rFonts w:hint="cs"/>
          <w:rtl/>
        </w:rPr>
        <w:t xml:space="preserve">) וזאת על כל עבירת סמים מסוג עוון (ת/24). המאסר על תנאי האמור הוארך </w:t>
      </w:r>
      <w:r>
        <w:rPr>
          <w:rtl/>
        </w:rPr>
        <w:tab/>
      </w:r>
      <w:r>
        <w:rPr>
          <w:rFonts w:hint="cs"/>
          <w:rtl/>
        </w:rPr>
        <w:t xml:space="preserve">בת"פ 35655-11-14 של בית המשפט השלום ברמלה במסגרת גזר דין מיום 29.5.17 (להלן: </w:t>
      </w:r>
      <w:r>
        <w:rPr>
          <w:rtl/>
        </w:rPr>
        <w:tab/>
      </w:r>
      <w:r w:rsidRPr="0019141F">
        <w:rPr>
          <w:rFonts w:hint="cs"/>
          <w:b/>
          <w:bCs/>
          <w:rtl/>
        </w:rPr>
        <w:t>המאסר על תנאי של חמישה חודשים</w:t>
      </w:r>
      <w:r>
        <w:rPr>
          <w:rFonts w:hint="cs"/>
          <w:rtl/>
        </w:rPr>
        <w:t>).</w:t>
      </w:r>
    </w:p>
    <w:p w14:paraId="4BEBF6CB" w14:textId="77777777" w:rsidR="00165C0B" w:rsidRDefault="00165C0B" w:rsidP="00165C0B">
      <w:pPr>
        <w:spacing w:line="360" w:lineRule="auto"/>
        <w:jc w:val="both"/>
        <w:rPr>
          <w:rtl/>
        </w:rPr>
      </w:pPr>
    </w:p>
    <w:p w14:paraId="3667A143" w14:textId="77777777" w:rsidR="00165C0B" w:rsidRDefault="00165C0B" w:rsidP="00165C0B">
      <w:pPr>
        <w:spacing w:line="360" w:lineRule="auto"/>
        <w:ind w:left="720" w:hanging="720"/>
        <w:jc w:val="both"/>
        <w:rPr>
          <w:rtl/>
        </w:rPr>
      </w:pPr>
      <w:r>
        <w:rPr>
          <w:rFonts w:hint="cs"/>
          <w:rtl/>
        </w:rPr>
        <w:t>32.</w:t>
      </w:r>
      <w:r>
        <w:rPr>
          <w:rFonts w:hint="cs"/>
          <w:rtl/>
        </w:rPr>
        <w:tab/>
        <w:t xml:space="preserve">כאמור, המאסר על תנאי של חמישה חודשים מתייחס לעבירת סמים מסוג עוון. במקרה שבפניי, הנאשם הורשע בעבירת סמים מסוג פשע. הלכה פסוקה היא שמאסר על תנאי בגין עבירת סמים מסוג עוון ניתן להפעלה כאשר נאשם מבצע עבירה מאוחרת יותר של סמים מסוג פשע (ראו: </w:t>
      </w:r>
      <w:hyperlink r:id="rId36" w:history="1">
        <w:r w:rsidR="00B0010D" w:rsidRPr="00B0010D">
          <w:rPr>
            <w:color w:val="0000FF"/>
            <w:u w:val="single"/>
            <w:rtl/>
          </w:rPr>
          <w:t>ע"פ 7176/04</w:t>
        </w:r>
      </w:hyperlink>
      <w:r>
        <w:rPr>
          <w:rFonts w:hint="cs"/>
          <w:rtl/>
        </w:rPr>
        <w:t xml:space="preserve"> </w:t>
      </w:r>
      <w:r w:rsidRPr="00A853B9">
        <w:rPr>
          <w:rFonts w:hint="cs"/>
          <w:b/>
          <w:bCs/>
          <w:rtl/>
        </w:rPr>
        <w:t>תלמי נ' מדינת ישראל</w:t>
      </w:r>
      <w:r>
        <w:rPr>
          <w:rFonts w:hint="cs"/>
          <w:rtl/>
        </w:rPr>
        <w:t xml:space="preserve"> (פורסם בנבו, 2.2.06); </w:t>
      </w:r>
      <w:hyperlink r:id="rId37" w:history="1">
        <w:r w:rsidR="00B0010D" w:rsidRPr="00B0010D">
          <w:rPr>
            <w:color w:val="0000FF"/>
            <w:u w:val="single"/>
            <w:rtl/>
          </w:rPr>
          <w:t>רע"פ 7472/15</w:t>
        </w:r>
      </w:hyperlink>
      <w:r>
        <w:rPr>
          <w:rFonts w:hint="cs"/>
          <w:rtl/>
        </w:rPr>
        <w:t xml:space="preserve"> </w:t>
      </w:r>
      <w:r w:rsidRPr="00A853B9">
        <w:rPr>
          <w:rFonts w:hint="cs"/>
          <w:b/>
          <w:bCs/>
          <w:rtl/>
        </w:rPr>
        <w:t>שורצמן נ' מדינת ישראל</w:t>
      </w:r>
      <w:r>
        <w:rPr>
          <w:rFonts w:hint="cs"/>
          <w:rtl/>
        </w:rPr>
        <w:t xml:space="preserve"> (פורסם בנבו, 21.5.15)). </w:t>
      </w:r>
    </w:p>
    <w:p w14:paraId="40A2672C" w14:textId="77777777" w:rsidR="00165C0B" w:rsidRDefault="00165C0B" w:rsidP="00165C0B">
      <w:pPr>
        <w:spacing w:line="360" w:lineRule="auto"/>
        <w:jc w:val="both"/>
        <w:rPr>
          <w:rtl/>
        </w:rPr>
      </w:pPr>
    </w:p>
    <w:p w14:paraId="315CE90A" w14:textId="77777777" w:rsidR="00165C0B" w:rsidRDefault="00165C0B" w:rsidP="00165C0B">
      <w:pPr>
        <w:spacing w:line="360" w:lineRule="auto"/>
        <w:jc w:val="both"/>
        <w:rPr>
          <w:rtl/>
        </w:rPr>
      </w:pPr>
      <w:r>
        <w:rPr>
          <w:rFonts w:hint="cs"/>
          <w:rtl/>
        </w:rPr>
        <w:t>33.</w:t>
      </w:r>
      <w:r>
        <w:rPr>
          <w:rFonts w:hint="cs"/>
          <w:rtl/>
        </w:rPr>
        <w:tab/>
        <w:t xml:space="preserve">לאור כל האמור לעיל הנני משית על הנאשם את העונשים הבאים: </w:t>
      </w:r>
    </w:p>
    <w:p w14:paraId="5464E73E" w14:textId="77777777" w:rsidR="00165C0B" w:rsidRDefault="00165C0B" w:rsidP="00165C0B">
      <w:pPr>
        <w:spacing w:line="360" w:lineRule="auto"/>
        <w:jc w:val="both"/>
        <w:rPr>
          <w:rtl/>
        </w:rPr>
      </w:pPr>
    </w:p>
    <w:p w14:paraId="3E0821B8" w14:textId="77777777" w:rsidR="00165C0B" w:rsidRDefault="00165C0B" w:rsidP="00165C0B">
      <w:pPr>
        <w:spacing w:line="360" w:lineRule="auto"/>
        <w:jc w:val="both"/>
        <w:rPr>
          <w:rtl/>
        </w:rPr>
      </w:pPr>
      <w:r>
        <w:rPr>
          <w:rtl/>
        </w:rPr>
        <w:tab/>
      </w:r>
      <w:r>
        <w:rPr>
          <w:rFonts w:hint="cs"/>
          <w:rtl/>
        </w:rPr>
        <w:t>א.</w:t>
      </w:r>
      <w:r>
        <w:rPr>
          <w:rFonts w:hint="cs"/>
          <w:rtl/>
        </w:rPr>
        <w:tab/>
        <w:t xml:space="preserve">8 חודשי מאסר בפועל. </w:t>
      </w:r>
    </w:p>
    <w:p w14:paraId="590274C5" w14:textId="77777777" w:rsidR="00165C0B" w:rsidRDefault="00165C0B" w:rsidP="00165C0B">
      <w:pPr>
        <w:spacing w:line="360" w:lineRule="auto"/>
        <w:jc w:val="both"/>
        <w:rPr>
          <w:rtl/>
        </w:rPr>
      </w:pPr>
    </w:p>
    <w:p w14:paraId="4E469D1B" w14:textId="77777777" w:rsidR="00165C0B" w:rsidRDefault="00165C0B" w:rsidP="00165C0B">
      <w:pPr>
        <w:spacing w:line="360" w:lineRule="auto"/>
        <w:ind w:left="1440" w:hanging="720"/>
        <w:jc w:val="both"/>
        <w:rPr>
          <w:rtl/>
        </w:rPr>
      </w:pPr>
      <w:r>
        <w:rPr>
          <w:rFonts w:hint="cs"/>
          <w:rtl/>
        </w:rPr>
        <w:t xml:space="preserve">ב. </w:t>
      </w:r>
      <w:r>
        <w:rPr>
          <w:rtl/>
        </w:rPr>
        <w:tab/>
      </w:r>
      <w:r>
        <w:rPr>
          <w:rFonts w:hint="cs"/>
          <w:rtl/>
        </w:rPr>
        <w:t xml:space="preserve">הנני מפעיל את המאסר על תנאי של חמישה חודשים וזאת במצטבר לעונש שהושת לעיל. </w:t>
      </w:r>
    </w:p>
    <w:p w14:paraId="0605F219" w14:textId="77777777" w:rsidR="00165C0B" w:rsidRPr="0019141F" w:rsidRDefault="00165C0B" w:rsidP="00165C0B">
      <w:pPr>
        <w:spacing w:line="360" w:lineRule="auto"/>
        <w:ind w:left="1440"/>
        <w:jc w:val="both"/>
        <w:rPr>
          <w:b/>
          <w:bCs/>
          <w:rtl/>
        </w:rPr>
      </w:pPr>
      <w:r w:rsidRPr="0019141F">
        <w:rPr>
          <w:rFonts w:hint="cs"/>
          <w:b/>
          <w:bCs/>
          <w:rtl/>
        </w:rPr>
        <w:t>הנאשם ירצה</w:t>
      </w:r>
      <w:r>
        <w:rPr>
          <w:rFonts w:hint="cs"/>
          <w:b/>
          <w:bCs/>
          <w:rtl/>
        </w:rPr>
        <w:t xml:space="preserve"> בסך הכל</w:t>
      </w:r>
      <w:r w:rsidRPr="0019141F">
        <w:rPr>
          <w:rFonts w:hint="cs"/>
          <w:b/>
          <w:bCs/>
          <w:rtl/>
        </w:rPr>
        <w:t xml:space="preserve"> </w:t>
      </w:r>
      <w:r>
        <w:rPr>
          <w:rFonts w:hint="cs"/>
          <w:b/>
          <w:bCs/>
          <w:rtl/>
        </w:rPr>
        <w:t>13</w:t>
      </w:r>
      <w:r w:rsidRPr="0019141F">
        <w:rPr>
          <w:rFonts w:hint="cs"/>
          <w:b/>
          <w:bCs/>
          <w:rtl/>
        </w:rPr>
        <w:t xml:space="preserve"> חודשי מאסר בפועל בניכוי ימי מעצרו מיום 15.5.18 ועד היום. </w:t>
      </w:r>
    </w:p>
    <w:p w14:paraId="2D256207" w14:textId="77777777" w:rsidR="00165C0B" w:rsidRDefault="00165C0B" w:rsidP="00165C0B">
      <w:pPr>
        <w:spacing w:line="360" w:lineRule="auto"/>
        <w:jc w:val="both"/>
        <w:rPr>
          <w:rtl/>
        </w:rPr>
      </w:pPr>
    </w:p>
    <w:p w14:paraId="0E2E822F" w14:textId="77777777" w:rsidR="00165C0B" w:rsidRDefault="00165C0B" w:rsidP="00165C0B">
      <w:pPr>
        <w:spacing w:line="360" w:lineRule="auto"/>
        <w:ind w:left="1440" w:hanging="720"/>
        <w:jc w:val="both"/>
        <w:rPr>
          <w:rtl/>
        </w:rPr>
      </w:pPr>
      <w:r>
        <w:rPr>
          <w:rFonts w:hint="cs"/>
          <w:rtl/>
        </w:rPr>
        <w:t>ג.</w:t>
      </w:r>
      <w:r>
        <w:rPr>
          <w:rFonts w:hint="cs"/>
          <w:rtl/>
        </w:rPr>
        <w:tab/>
        <w:t xml:space="preserve">הנני משית על הנאשם 5 חודשי מאסר על תנאי והתנאי הוא שלא יעבור עבירה מסוג עוון או פשע לפי </w:t>
      </w:r>
      <w:hyperlink r:id="rId38" w:history="1">
        <w:r w:rsidR="00B0010D" w:rsidRPr="00B0010D">
          <w:rPr>
            <w:color w:val="0000FF"/>
            <w:u w:val="single"/>
            <w:rtl/>
          </w:rPr>
          <w:t>פקודת הסמים המסוכנים</w:t>
        </w:r>
      </w:hyperlink>
      <w:r>
        <w:rPr>
          <w:rFonts w:hint="cs"/>
          <w:rtl/>
        </w:rPr>
        <w:t xml:space="preserve"> תוך שלוש שנים ממועד ששחרורו. </w:t>
      </w:r>
    </w:p>
    <w:p w14:paraId="2944FE2C" w14:textId="77777777" w:rsidR="00165C0B" w:rsidRDefault="00165C0B" w:rsidP="00165C0B">
      <w:pPr>
        <w:spacing w:line="360" w:lineRule="auto"/>
        <w:jc w:val="both"/>
        <w:rPr>
          <w:rtl/>
        </w:rPr>
      </w:pPr>
    </w:p>
    <w:p w14:paraId="56D7A132" w14:textId="77777777" w:rsidR="00165C0B" w:rsidRDefault="00165C0B" w:rsidP="00165C0B">
      <w:pPr>
        <w:spacing w:line="360" w:lineRule="auto"/>
        <w:ind w:left="1440" w:hanging="720"/>
        <w:jc w:val="both"/>
        <w:rPr>
          <w:rtl/>
        </w:rPr>
      </w:pPr>
      <w:r>
        <w:rPr>
          <w:rFonts w:hint="cs"/>
          <w:rtl/>
        </w:rPr>
        <w:t>ד.</w:t>
      </w:r>
      <w:r>
        <w:rPr>
          <w:rFonts w:hint="cs"/>
          <w:rtl/>
        </w:rPr>
        <w:tab/>
        <w:t xml:space="preserve">הנאשם ישלם קנס בסך של 3,000 ₪ או 10 ימי מאסר תמורתו. הקנס ישולם ב-6 תשלומים חודשיים שווים ורצופים, כאשר הראשון שבהם עד ליום 1.3.19 והיתרה ב-1 לכל חודש שלאחריו. היה ואחד התשלומים לא ישולם במועד יעמוד מלוא סכום הקנס לפירעון מידי. </w:t>
      </w:r>
    </w:p>
    <w:p w14:paraId="294FD262" w14:textId="77777777" w:rsidR="00165C0B" w:rsidRDefault="00165C0B" w:rsidP="00165C0B">
      <w:pPr>
        <w:spacing w:line="360" w:lineRule="auto"/>
        <w:jc w:val="both"/>
        <w:rPr>
          <w:rtl/>
        </w:rPr>
      </w:pPr>
    </w:p>
    <w:p w14:paraId="7646BD8F" w14:textId="77777777" w:rsidR="00165C0B" w:rsidRDefault="00165C0B" w:rsidP="00165C0B">
      <w:pPr>
        <w:spacing w:line="360" w:lineRule="auto"/>
        <w:ind w:left="1440" w:hanging="720"/>
        <w:jc w:val="both"/>
        <w:rPr>
          <w:rtl/>
        </w:rPr>
      </w:pPr>
      <w:r>
        <w:rPr>
          <w:rFonts w:hint="cs"/>
          <w:rtl/>
        </w:rPr>
        <w:t>ה.</w:t>
      </w:r>
      <w:r>
        <w:rPr>
          <w:rFonts w:hint="cs"/>
          <w:rtl/>
        </w:rPr>
        <w:tab/>
        <w:t xml:space="preserve">הנני פוסל את הנאשם מלהחזיק או לקבל רישיון נהיגה למשך 3 חודשים. הפסילה תהיה במצטבר לכל תקופת פסילה אחרת שניתנה בעניינו. מניין ימי הפסילה יחל לאחר הפקדת רישיון הנהיגה או תצהיר רלבנטי ובכל מקרה לאחר תום ריצוי עונש המאסר בפועל. </w:t>
      </w:r>
    </w:p>
    <w:p w14:paraId="12E30D7D" w14:textId="77777777" w:rsidR="00165C0B" w:rsidRDefault="00165C0B" w:rsidP="00165C0B">
      <w:pPr>
        <w:spacing w:line="360" w:lineRule="auto"/>
        <w:jc w:val="both"/>
        <w:rPr>
          <w:rtl/>
        </w:rPr>
      </w:pPr>
    </w:p>
    <w:p w14:paraId="2B8935AD" w14:textId="77777777" w:rsidR="00165C0B" w:rsidRDefault="00165C0B" w:rsidP="00165C0B">
      <w:pPr>
        <w:spacing w:line="360" w:lineRule="auto"/>
        <w:ind w:left="1440" w:hanging="720"/>
        <w:jc w:val="both"/>
        <w:rPr>
          <w:rtl/>
        </w:rPr>
      </w:pPr>
      <w:r>
        <w:rPr>
          <w:rFonts w:hint="cs"/>
          <w:rtl/>
        </w:rPr>
        <w:t xml:space="preserve">ו. </w:t>
      </w:r>
      <w:r>
        <w:rPr>
          <w:rtl/>
        </w:rPr>
        <w:tab/>
      </w:r>
      <w:r>
        <w:rPr>
          <w:rFonts w:hint="cs"/>
          <w:rtl/>
        </w:rPr>
        <w:t xml:space="preserve">הנני פוסל את הנאשם מלהחזיק או לקבל רישיון לנהיגה וזאת למשך 4 חודשים על תנאי, והתנאי הוא שבמשך 3 שנים ממועד שחרורו לא יבצע עבירה מסוג פשע לפי </w:t>
      </w:r>
      <w:hyperlink r:id="rId39" w:history="1">
        <w:r w:rsidR="00B0010D" w:rsidRPr="00B0010D">
          <w:rPr>
            <w:color w:val="0000FF"/>
            <w:u w:val="single"/>
            <w:rtl/>
          </w:rPr>
          <w:t>פקודת הסמים המסוכנים</w:t>
        </w:r>
      </w:hyperlink>
      <w:r>
        <w:rPr>
          <w:rFonts w:hint="cs"/>
          <w:rtl/>
        </w:rPr>
        <w:t xml:space="preserve">. </w:t>
      </w:r>
    </w:p>
    <w:p w14:paraId="49DCE957" w14:textId="77777777" w:rsidR="00165C0B" w:rsidRDefault="00165C0B" w:rsidP="00165C0B">
      <w:pPr>
        <w:rPr>
          <w:rtl/>
        </w:rPr>
      </w:pPr>
    </w:p>
    <w:p w14:paraId="3AF090FD" w14:textId="77777777" w:rsidR="00165C0B" w:rsidRDefault="00165C0B" w:rsidP="00165C0B">
      <w:pPr>
        <w:spacing w:line="360" w:lineRule="auto"/>
        <w:ind w:left="720" w:hanging="720"/>
        <w:rPr>
          <w:rtl/>
        </w:rPr>
      </w:pPr>
      <w:r>
        <w:rPr>
          <w:rFonts w:hint="cs"/>
          <w:rtl/>
        </w:rPr>
        <w:t>34.</w:t>
      </w:r>
      <w:r>
        <w:rPr>
          <w:rFonts w:hint="cs"/>
          <w:rtl/>
        </w:rPr>
        <w:tab/>
        <w:t xml:space="preserve">הסך של 2,700 ₪ שנתפסו בדירתו של הנאשם על די המשטרה בעת החיפוש, וכן הטלפון הנייד של הנאשם שנתפס על ידי המשטרה, יוחזרו לנאשם. </w:t>
      </w:r>
    </w:p>
    <w:p w14:paraId="39F70058" w14:textId="77777777" w:rsidR="00165C0B" w:rsidRDefault="00165C0B" w:rsidP="00165C0B">
      <w:pPr>
        <w:spacing w:line="360" w:lineRule="auto"/>
        <w:rPr>
          <w:rtl/>
        </w:rPr>
      </w:pPr>
    </w:p>
    <w:p w14:paraId="53D4FFEB" w14:textId="77777777" w:rsidR="00165C0B" w:rsidRDefault="00165C0B" w:rsidP="00165C0B">
      <w:pPr>
        <w:rPr>
          <w:rtl/>
        </w:rPr>
      </w:pPr>
    </w:p>
    <w:p w14:paraId="2D6AACF2" w14:textId="77777777" w:rsidR="00165C0B" w:rsidRDefault="00165C0B" w:rsidP="00165C0B">
      <w:pPr>
        <w:rPr>
          <w:rtl/>
        </w:rPr>
      </w:pPr>
      <w:r>
        <w:rPr>
          <w:rFonts w:hint="cs"/>
          <w:rtl/>
        </w:rPr>
        <w:t xml:space="preserve">זכות ערעור תוך 45 ימים. </w:t>
      </w:r>
    </w:p>
    <w:p w14:paraId="707979D5" w14:textId="77777777" w:rsidR="00165C0B" w:rsidRPr="00B05847" w:rsidRDefault="00165C0B" w:rsidP="00165C0B">
      <w:pPr>
        <w:ind w:left="1440" w:hanging="720"/>
        <w:rPr>
          <w:rtl/>
        </w:rPr>
      </w:pPr>
    </w:p>
    <w:p w14:paraId="7F43C9E0" w14:textId="77777777" w:rsidR="00165C0B" w:rsidRPr="00B0010D" w:rsidRDefault="00B0010D" w:rsidP="00165C0B">
      <w:pPr>
        <w:rPr>
          <w:color w:val="FFFFFF"/>
          <w:sz w:val="2"/>
          <w:szCs w:val="2"/>
          <w:rtl/>
        </w:rPr>
      </w:pPr>
      <w:r w:rsidRPr="00B0010D">
        <w:rPr>
          <w:color w:val="FFFFFF"/>
          <w:sz w:val="2"/>
          <w:szCs w:val="2"/>
          <w:rtl/>
        </w:rPr>
        <w:t>5129371</w:t>
      </w:r>
    </w:p>
    <w:p w14:paraId="66A48CFC" w14:textId="77777777" w:rsidR="00165C0B" w:rsidRPr="00637F76" w:rsidRDefault="00B0010D" w:rsidP="00165C0B">
      <w:pPr>
        <w:rPr>
          <w:rFonts w:cs="FrankRuehl"/>
          <w:sz w:val="28"/>
          <w:szCs w:val="28"/>
          <w:rtl/>
        </w:rPr>
      </w:pPr>
      <w:r w:rsidRPr="00B0010D">
        <w:rPr>
          <w:rFonts w:ascii="Arial" w:hAnsi="Arial"/>
          <w:color w:val="FFFFFF"/>
          <w:sz w:val="2"/>
          <w:szCs w:val="2"/>
          <w:rtl/>
        </w:rPr>
        <w:t>54678313</w:t>
      </w:r>
      <w:r>
        <w:rPr>
          <w:rFonts w:ascii="Arial" w:hAnsi="Arial"/>
          <w:rtl/>
        </w:rPr>
        <w:t xml:space="preserve">ניתן היום,  ג' שבט תשע"ט, 09 ינואר 2019, במעמד הצדדים. </w:t>
      </w:r>
    </w:p>
    <w:p w14:paraId="51C18E11" w14:textId="77777777" w:rsidR="00165C0B" w:rsidRDefault="00165C0B" w:rsidP="00165C0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973F8F2" w14:textId="77777777" w:rsidR="00165C0B" w:rsidRDefault="00165C0B" w:rsidP="00165C0B">
      <w:pPr>
        <w:jc w:val="center"/>
        <w:rPr>
          <w:rFonts w:ascii="Arial" w:hAnsi="Arial" w:cs="FrankRuehl"/>
          <w:sz w:val="28"/>
          <w:szCs w:val="28"/>
          <w:rtl/>
        </w:rPr>
      </w:pPr>
    </w:p>
    <w:p w14:paraId="41221C6D" w14:textId="77777777" w:rsidR="00B0010D" w:rsidRDefault="00B0010D" w:rsidP="00B0010D">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4A96A7F" w14:textId="77777777" w:rsidR="0066799C" w:rsidRPr="0066799C" w:rsidRDefault="0066799C" w:rsidP="0066799C">
      <w:pPr>
        <w:keepNext/>
        <w:rPr>
          <w:rFonts w:ascii="David" w:hAnsi="David"/>
          <w:color w:val="000000"/>
          <w:sz w:val="22"/>
          <w:szCs w:val="22"/>
          <w:rtl/>
        </w:rPr>
      </w:pPr>
    </w:p>
    <w:p w14:paraId="02676F5E" w14:textId="77777777" w:rsidR="0066799C" w:rsidRPr="0066799C" w:rsidRDefault="0066799C" w:rsidP="0066799C">
      <w:pPr>
        <w:keepNext/>
        <w:rPr>
          <w:rFonts w:ascii="David" w:hAnsi="David"/>
          <w:color w:val="000000"/>
          <w:sz w:val="22"/>
          <w:szCs w:val="22"/>
          <w:rtl/>
        </w:rPr>
      </w:pPr>
      <w:r w:rsidRPr="0066799C">
        <w:rPr>
          <w:rFonts w:ascii="David" w:hAnsi="David"/>
          <w:color w:val="000000"/>
          <w:sz w:val="22"/>
          <w:szCs w:val="22"/>
          <w:rtl/>
        </w:rPr>
        <w:t>הישאם אבו שחאדה 54678313-/</w:t>
      </w:r>
    </w:p>
    <w:p w14:paraId="55282BD5" w14:textId="77777777" w:rsidR="00B0010D" w:rsidRPr="00B0010D" w:rsidRDefault="0066799C" w:rsidP="0066799C">
      <w:pPr>
        <w:rPr>
          <w:color w:val="0000FF"/>
          <w:u w:val="single"/>
        </w:rPr>
      </w:pPr>
      <w:r w:rsidRPr="0066799C">
        <w:rPr>
          <w:color w:val="000000"/>
          <w:u w:val="single"/>
          <w:rtl/>
        </w:rPr>
        <w:t>נוסח מסמך זה כפוף לשינויי ניסוח ועריכה</w:t>
      </w:r>
    </w:p>
    <w:sectPr w:rsidR="00B0010D" w:rsidRPr="00B0010D" w:rsidSect="0066799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BC2C7" w14:textId="77777777" w:rsidR="00FC3912" w:rsidRDefault="00FC3912" w:rsidP="00C433C0">
      <w:r>
        <w:separator/>
      </w:r>
    </w:p>
  </w:endnote>
  <w:endnote w:type="continuationSeparator" w:id="0">
    <w:p w14:paraId="09B924E3" w14:textId="77777777" w:rsidR="00FC3912" w:rsidRDefault="00FC3912" w:rsidP="00C4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04AA1" w14:textId="77777777" w:rsidR="0066799C" w:rsidRDefault="0066799C" w:rsidP="006679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73BCA31" w14:textId="77777777" w:rsidR="00A469E6" w:rsidRPr="0066799C" w:rsidRDefault="0066799C" w:rsidP="0066799C">
    <w:pPr>
      <w:pStyle w:val="a5"/>
      <w:pBdr>
        <w:top w:val="single" w:sz="4" w:space="1" w:color="auto"/>
        <w:between w:val="single" w:sz="4" w:space="0" w:color="auto"/>
      </w:pBdr>
      <w:spacing w:after="60"/>
      <w:jc w:val="center"/>
      <w:rPr>
        <w:rFonts w:ascii="FrankRuehl" w:hAnsi="FrankRuehl" w:cs="FrankRuehl"/>
        <w:color w:val="000000"/>
      </w:rPr>
    </w:pPr>
    <w:r w:rsidRPr="006679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A7549" w14:textId="77777777" w:rsidR="0066799C" w:rsidRDefault="0066799C" w:rsidP="006679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280E">
      <w:rPr>
        <w:rFonts w:ascii="FrankRuehl" w:hAnsi="FrankRuehl" w:cs="FrankRuehl"/>
        <w:noProof/>
        <w:rtl/>
      </w:rPr>
      <w:t>1</w:t>
    </w:r>
    <w:r>
      <w:rPr>
        <w:rFonts w:ascii="FrankRuehl" w:hAnsi="FrankRuehl" w:cs="FrankRuehl"/>
        <w:rtl/>
      </w:rPr>
      <w:fldChar w:fldCharType="end"/>
    </w:r>
  </w:p>
  <w:p w14:paraId="09925840" w14:textId="77777777" w:rsidR="00A469E6" w:rsidRPr="0066799C" w:rsidRDefault="0066799C" w:rsidP="0066799C">
    <w:pPr>
      <w:pStyle w:val="a5"/>
      <w:pBdr>
        <w:top w:val="single" w:sz="4" w:space="1" w:color="auto"/>
        <w:between w:val="single" w:sz="4" w:space="0" w:color="auto"/>
      </w:pBdr>
      <w:spacing w:after="60"/>
      <w:jc w:val="center"/>
      <w:rPr>
        <w:rFonts w:ascii="FrankRuehl" w:hAnsi="FrankRuehl" w:cs="FrankRuehl"/>
        <w:color w:val="000000"/>
      </w:rPr>
    </w:pPr>
    <w:r w:rsidRPr="0066799C">
      <w:rPr>
        <w:rFonts w:ascii="FrankRuehl" w:hAnsi="FrankRuehl" w:cs="FrankRuehl"/>
        <w:color w:val="000000"/>
      </w:rPr>
      <w:pict w14:anchorId="75027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B354F" w14:textId="77777777" w:rsidR="00FC3912" w:rsidRDefault="00FC3912" w:rsidP="00C433C0">
      <w:r>
        <w:separator/>
      </w:r>
    </w:p>
  </w:footnote>
  <w:footnote w:type="continuationSeparator" w:id="0">
    <w:p w14:paraId="2D93DD21" w14:textId="77777777" w:rsidR="00FC3912" w:rsidRDefault="00FC3912" w:rsidP="00C43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EA805" w14:textId="77777777" w:rsidR="00B0010D" w:rsidRPr="0066799C" w:rsidRDefault="0066799C" w:rsidP="0066799C">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(רמ') 54134-05-18</w:t>
    </w:r>
    <w:r>
      <w:rPr>
        <w:rFonts w:ascii="David" w:hAnsi="David"/>
        <w:color w:val="000000"/>
        <w:sz w:val="22"/>
        <w:szCs w:val="22"/>
        <w:rtl/>
      </w:rPr>
      <w:tab/>
      <w:t xml:space="preserve"> מדינת ישראל נ' נאדיר אבו לבן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F890A" w14:textId="77777777" w:rsidR="00B0010D" w:rsidRPr="0066799C" w:rsidRDefault="0066799C" w:rsidP="006679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54134-05-18</w:t>
    </w:r>
    <w:r>
      <w:rPr>
        <w:rFonts w:ascii="David" w:hAnsi="David"/>
        <w:color w:val="000000"/>
        <w:sz w:val="22"/>
        <w:szCs w:val="22"/>
        <w:rtl/>
      </w:rPr>
      <w:tab/>
      <w:t xml:space="preserve"> מדינת ישראל נ' נאדיר אבו לבן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5C0B"/>
    <w:rsid w:val="00023AC7"/>
    <w:rsid w:val="00165C0B"/>
    <w:rsid w:val="0030280E"/>
    <w:rsid w:val="00381020"/>
    <w:rsid w:val="003B45E9"/>
    <w:rsid w:val="0066799C"/>
    <w:rsid w:val="00712419"/>
    <w:rsid w:val="00A469E6"/>
    <w:rsid w:val="00B0010D"/>
    <w:rsid w:val="00C433C0"/>
    <w:rsid w:val="00F26682"/>
    <w:rsid w:val="00FC39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603D28"/>
  <w15:chartTrackingRefBased/>
  <w15:docId w15:val="{408DA2EF-2A17-4AB8-8941-8E01AEB5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5C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5C0B"/>
    <w:pPr>
      <w:tabs>
        <w:tab w:val="center" w:pos="4153"/>
        <w:tab w:val="right" w:pos="8306"/>
      </w:tabs>
    </w:pPr>
  </w:style>
  <w:style w:type="character" w:customStyle="1" w:styleId="a4">
    <w:name w:val="כותרת עליונה תו"/>
    <w:link w:val="a3"/>
    <w:rsid w:val="00165C0B"/>
    <w:rPr>
      <w:rFonts w:ascii="Times New Roman" w:eastAsia="Times New Roman" w:hAnsi="Times New Roman" w:cs="David"/>
      <w:sz w:val="24"/>
      <w:szCs w:val="24"/>
    </w:rPr>
  </w:style>
  <w:style w:type="paragraph" w:styleId="a5">
    <w:name w:val="footer"/>
    <w:basedOn w:val="a"/>
    <w:link w:val="a6"/>
    <w:rsid w:val="00165C0B"/>
    <w:pPr>
      <w:tabs>
        <w:tab w:val="center" w:pos="4153"/>
        <w:tab w:val="right" w:pos="8306"/>
      </w:tabs>
    </w:pPr>
  </w:style>
  <w:style w:type="character" w:customStyle="1" w:styleId="a6">
    <w:name w:val="כותרת תחתונה תו"/>
    <w:link w:val="a5"/>
    <w:rsid w:val="00165C0B"/>
    <w:rPr>
      <w:rFonts w:ascii="Times New Roman" w:eastAsia="Times New Roman" w:hAnsi="Times New Roman" w:cs="David"/>
      <w:sz w:val="24"/>
      <w:szCs w:val="24"/>
    </w:rPr>
  </w:style>
  <w:style w:type="table" w:styleId="a7">
    <w:name w:val="Table Grid"/>
    <w:basedOn w:val="a1"/>
    <w:rsid w:val="00165C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5C0B"/>
  </w:style>
  <w:style w:type="character" w:styleId="Hyperlink">
    <w:name w:val="Hyperlink"/>
    <w:rsid w:val="00B0010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40i.a.4" TargetMode="External"/><Relationship Id="rId34" Type="http://schemas.openxmlformats.org/officeDocument/2006/relationships/hyperlink" Target="http://www.nevo.co.il/case/4514726" TargetMode="External"/><Relationship Id="rId42"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i.a" TargetMode="External"/><Relationship Id="rId29" Type="http://schemas.openxmlformats.org/officeDocument/2006/relationships/hyperlink" Target="http://www.nevo.co.il/case/2151178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i.a.3."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0881083" TargetMode="External"/><Relationship Id="rId37" Type="http://schemas.openxmlformats.org/officeDocument/2006/relationships/hyperlink" Target="http://www.nevo.co.il/case/2068752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7765855" TargetMode="External"/><Relationship Id="rId36" Type="http://schemas.openxmlformats.org/officeDocument/2006/relationships/hyperlink" Target="http://www.nevo.co.il/case/6097496" TargetMode="External"/><Relationship Id="rId10" Type="http://schemas.openxmlformats.org/officeDocument/2006/relationships/hyperlink" Target="http://www.nevo.co.il/law/70301/40i.a" TargetMode="External"/><Relationship Id="rId19" Type="http://schemas.openxmlformats.org/officeDocument/2006/relationships/hyperlink" Target="http://www.nevo.co.il/law/70301/40i.a.3" TargetMode="External"/><Relationship Id="rId31" Type="http://schemas.openxmlformats.org/officeDocument/2006/relationships/hyperlink" Target="http://www.nevo.co.il/case/21017469"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case/6081459" TargetMode="External"/><Relationship Id="rId35" Type="http://schemas.openxmlformats.org/officeDocument/2006/relationships/hyperlink" Target="http://www.nevo.co.il/case/5064525" TargetMode="External"/><Relationship Id="rId43"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i.a.4" TargetMode="External"/><Relationship Id="rId17" Type="http://schemas.openxmlformats.org/officeDocument/2006/relationships/hyperlink" Target="http://www.nevo.co.il/law/70301/40i.a.3.;40i.a.4" TargetMode="External"/><Relationship Id="rId25" Type="http://schemas.openxmlformats.org/officeDocument/2006/relationships/hyperlink" Target="http://www.nevo.co.il/case/17921296" TargetMode="External"/><Relationship Id="rId33" Type="http://schemas.openxmlformats.org/officeDocument/2006/relationships/hyperlink" Target="http://www.nevo.co.il/case/18107527"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3395</Words>
  <Characters>16976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20331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3211385</vt:i4>
      </vt:variant>
      <vt:variant>
        <vt:i4>93</vt:i4>
      </vt:variant>
      <vt:variant>
        <vt:i4>0</vt:i4>
      </vt:variant>
      <vt:variant>
        <vt:i4>5</vt:i4>
      </vt:variant>
      <vt:variant>
        <vt:lpwstr>http://www.nevo.co.il/case/20687526</vt:lpwstr>
      </vt:variant>
      <vt:variant>
        <vt:lpwstr/>
      </vt:variant>
      <vt:variant>
        <vt:i4>3997818</vt:i4>
      </vt:variant>
      <vt:variant>
        <vt:i4>90</vt:i4>
      </vt:variant>
      <vt:variant>
        <vt:i4>0</vt:i4>
      </vt:variant>
      <vt:variant>
        <vt:i4>5</vt:i4>
      </vt:variant>
      <vt:variant>
        <vt:lpwstr>http://www.nevo.co.il/case/6097496</vt:lpwstr>
      </vt:variant>
      <vt:variant>
        <vt:lpwstr/>
      </vt:variant>
      <vt:variant>
        <vt:i4>3342450</vt:i4>
      </vt:variant>
      <vt:variant>
        <vt:i4>87</vt:i4>
      </vt:variant>
      <vt:variant>
        <vt:i4>0</vt:i4>
      </vt:variant>
      <vt:variant>
        <vt:i4>5</vt:i4>
      </vt:variant>
      <vt:variant>
        <vt:lpwstr>http://www.nevo.co.il/case/5064525</vt:lpwstr>
      </vt:variant>
      <vt:variant>
        <vt:lpwstr/>
      </vt:variant>
      <vt:variant>
        <vt:i4>3407991</vt:i4>
      </vt:variant>
      <vt:variant>
        <vt:i4>84</vt:i4>
      </vt:variant>
      <vt:variant>
        <vt:i4>0</vt:i4>
      </vt:variant>
      <vt:variant>
        <vt:i4>5</vt:i4>
      </vt:variant>
      <vt:variant>
        <vt:lpwstr>http://www.nevo.co.il/case/4514726</vt:lpwstr>
      </vt:variant>
      <vt:variant>
        <vt:lpwstr/>
      </vt:variant>
      <vt:variant>
        <vt:i4>3473529</vt:i4>
      </vt:variant>
      <vt:variant>
        <vt:i4>81</vt:i4>
      </vt:variant>
      <vt:variant>
        <vt:i4>0</vt:i4>
      </vt:variant>
      <vt:variant>
        <vt:i4>5</vt:i4>
      </vt:variant>
      <vt:variant>
        <vt:lpwstr>http://www.nevo.co.il/case/18107527</vt:lpwstr>
      </vt:variant>
      <vt:variant>
        <vt:lpwstr/>
      </vt:variant>
      <vt:variant>
        <vt:i4>3342460</vt:i4>
      </vt:variant>
      <vt:variant>
        <vt:i4>78</vt:i4>
      </vt:variant>
      <vt:variant>
        <vt:i4>0</vt:i4>
      </vt:variant>
      <vt:variant>
        <vt:i4>5</vt:i4>
      </vt:variant>
      <vt:variant>
        <vt:lpwstr>http://www.nevo.co.il/case/20881083</vt:lpwstr>
      </vt:variant>
      <vt:variant>
        <vt:lpwstr/>
      </vt:variant>
      <vt:variant>
        <vt:i4>3342448</vt:i4>
      </vt:variant>
      <vt:variant>
        <vt:i4>75</vt:i4>
      </vt:variant>
      <vt:variant>
        <vt:i4>0</vt:i4>
      </vt:variant>
      <vt:variant>
        <vt:i4>5</vt:i4>
      </vt:variant>
      <vt:variant>
        <vt:lpwstr>http://www.nevo.co.il/case/21017469</vt:lpwstr>
      </vt:variant>
      <vt:variant>
        <vt:lpwstr/>
      </vt:variant>
      <vt:variant>
        <vt:i4>3342448</vt:i4>
      </vt:variant>
      <vt:variant>
        <vt:i4>72</vt:i4>
      </vt:variant>
      <vt:variant>
        <vt:i4>0</vt:i4>
      </vt:variant>
      <vt:variant>
        <vt:i4>5</vt:i4>
      </vt:variant>
      <vt:variant>
        <vt:lpwstr>http://www.nevo.co.il/case/6081459</vt:lpwstr>
      </vt:variant>
      <vt:variant>
        <vt:lpwstr/>
      </vt:variant>
      <vt:variant>
        <vt:i4>4063347</vt:i4>
      </vt:variant>
      <vt:variant>
        <vt:i4>69</vt:i4>
      </vt:variant>
      <vt:variant>
        <vt:i4>0</vt:i4>
      </vt:variant>
      <vt:variant>
        <vt:i4>5</vt:i4>
      </vt:variant>
      <vt:variant>
        <vt:lpwstr>http://www.nevo.co.il/case/21511788</vt:lpwstr>
      </vt:variant>
      <vt:variant>
        <vt:lpwstr/>
      </vt:variant>
      <vt:variant>
        <vt:i4>3932275</vt:i4>
      </vt:variant>
      <vt:variant>
        <vt:i4>66</vt:i4>
      </vt:variant>
      <vt:variant>
        <vt:i4>0</vt:i4>
      </vt:variant>
      <vt:variant>
        <vt:i4>5</vt:i4>
      </vt:variant>
      <vt:variant>
        <vt:lpwstr>http://www.nevo.co.il/case/7765855</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3145843</vt:i4>
      </vt:variant>
      <vt:variant>
        <vt:i4>57</vt:i4>
      </vt:variant>
      <vt:variant>
        <vt:i4>0</vt:i4>
      </vt:variant>
      <vt:variant>
        <vt:i4>5</vt:i4>
      </vt:variant>
      <vt:variant>
        <vt:lpwstr>http://www.nevo.co.il/case/17921296</vt:lpwstr>
      </vt:variant>
      <vt:variant>
        <vt:lpwstr/>
      </vt:variant>
      <vt:variant>
        <vt:i4>8257637</vt:i4>
      </vt:variant>
      <vt:variant>
        <vt:i4>54</vt:i4>
      </vt:variant>
      <vt:variant>
        <vt:i4>0</vt:i4>
      </vt:variant>
      <vt:variant>
        <vt:i4>5</vt:i4>
      </vt:variant>
      <vt:variant>
        <vt:lpwstr>http://www.nevo.co.il/law/4216</vt:lpwstr>
      </vt:variant>
      <vt:variant>
        <vt:lpwstr/>
      </vt:variant>
      <vt:variant>
        <vt:i4>3342448</vt:i4>
      </vt:variant>
      <vt:variant>
        <vt:i4>51</vt:i4>
      </vt:variant>
      <vt:variant>
        <vt:i4>0</vt:i4>
      </vt:variant>
      <vt:variant>
        <vt:i4>5</vt:i4>
      </vt:variant>
      <vt:variant>
        <vt:lpwstr>http://www.nevo.co.il/case/21644133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6619241</vt:i4>
      </vt:variant>
      <vt:variant>
        <vt:i4>45</vt:i4>
      </vt:variant>
      <vt:variant>
        <vt:i4>0</vt:i4>
      </vt:variant>
      <vt:variant>
        <vt:i4>5</vt:i4>
      </vt:variant>
      <vt:variant>
        <vt:lpwstr>http://www.nevo.co.il/law/70301/40i.a.4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6619241</vt:i4>
      </vt:variant>
      <vt:variant>
        <vt:i4>39</vt:i4>
      </vt:variant>
      <vt:variant>
        <vt:i4>0</vt:i4>
      </vt:variant>
      <vt:variant>
        <vt:i4>5</vt:i4>
      </vt:variant>
      <vt:variant>
        <vt:lpwstr>http://www.nevo.co.il/law/70301/40i.a.3</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4390993</vt:i4>
      </vt:variant>
      <vt:variant>
        <vt:i4>33</vt:i4>
      </vt:variant>
      <vt:variant>
        <vt:i4>0</vt:i4>
      </vt:variant>
      <vt:variant>
        <vt:i4>5</vt:i4>
      </vt:variant>
      <vt:variant>
        <vt:lpwstr>http://www.nevo.co.il/law/70301/40i.a.3.;40i.a.4</vt:lpwstr>
      </vt:variant>
      <vt:variant>
        <vt:lpwstr/>
      </vt:variant>
      <vt:variant>
        <vt:i4>4915208</vt:i4>
      </vt:variant>
      <vt:variant>
        <vt:i4>30</vt:i4>
      </vt:variant>
      <vt:variant>
        <vt:i4>0</vt:i4>
      </vt:variant>
      <vt:variant>
        <vt:i4>5</vt:i4>
      </vt:variant>
      <vt:variant>
        <vt:lpwstr>http://www.nevo.co.il/law/70301/40i.a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6619241</vt:i4>
      </vt:variant>
      <vt:variant>
        <vt:i4>18</vt:i4>
      </vt:variant>
      <vt:variant>
        <vt:i4>0</vt:i4>
      </vt:variant>
      <vt:variant>
        <vt:i4>5</vt:i4>
      </vt:variant>
      <vt:variant>
        <vt:lpwstr>http://www.nevo.co.il/law/70301/40i.a.4</vt:lpwstr>
      </vt:variant>
      <vt:variant>
        <vt:lpwstr/>
      </vt:variant>
      <vt:variant>
        <vt:i4>4915290</vt:i4>
      </vt:variant>
      <vt:variant>
        <vt:i4>15</vt:i4>
      </vt:variant>
      <vt:variant>
        <vt:i4>0</vt:i4>
      </vt:variant>
      <vt:variant>
        <vt:i4>5</vt:i4>
      </vt:variant>
      <vt:variant>
        <vt:lpwstr>http://www.nevo.co.il/law/70301/40i.a.3.</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2025-04-22T23:47:00Z</dcterms:created>
  <dcterms:modified xsi:type="dcterms:W3CDTF">2025-04-22T23:47:00Z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54134</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נאדיר אבו לבן  </vt:lpwstr>
  </property>
  <property fmtid="{D5CDD505-2E9C-101B-9397-08002B2CF9AE}" pid="10" name="LAWYER">
    <vt:lpwstr>מעין דואק;רעות קורוליק</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20190109</vt:lpwstr>
  </property>
  <property fmtid="{D5CDD505-2E9C-101B-9397-08002B2CF9AE}" pid="14" name="TYPE_N_DATE">
    <vt:lpwstr>38020190109</vt:lpwstr>
  </property>
  <property fmtid="{D5CDD505-2E9C-101B-9397-08002B2CF9AE}" pid="15" name="CASESLISTTMP1">
    <vt:lpwstr>21644133;17921296;7765855;21511788;6081459;21017469;20881083;18107527;4514726;5064525;6097496;20687526</vt:lpwstr>
  </property>
  <property fmtid="{D5CDD505-2E9C-101B-9397-08002B2CF9AE}" pid="16" name="CASENOTES1">
    <vt:lpwstr>ProcID=209&amp;PartA=35655&amp;PartB=11&amp;PartC=14</vt:lpwstr>
  </property>
  <property fmtid="{D5CDD505-2E9C-101B-9397-08002B2CF9AE}" pid="17" name="CASENOTES2">
    <vt:lpwstr>ProcID=213&amp;PartA=30&amp;PartC=23</vt:lpwstr>
  </property>
  <property fmtid="{D5CDD505-2E9C-101B-9397-08002B2CF9AE}" pid="18" name="WORDNUMPAGES">
    <vt:lpwstr>11</vt:lpwstr>
  </property>
  <property fmtid="{D5CDD505-2E9C-101B-9397-08002B2CF9AE}" pid="19" name="TYPE_ABS_DATE">
    <vt:lpwstr>380020190109</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y fmtid="{D5CDD505-2E9C-101B-9397-08002B2CF9AE}" pid="39" name="LAWLISTTMP2">
    <vt:lpwstr>70301/040i.a;040i.a.3:2;040i.a.4:2</vt:lpwstr>
  </property>
</Properties>
</file>