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EF20B3" w:rsidRPr="00897C70" w14:paraId="2B660F3F" w14:textId="77777777" w:rsidTr="00F97262">
        <w:trPr>
          <w:trHeight w:hRule="exact" w:val="418"/>
          <w:jc w:val="center"/>
        </w:trPr>
        <w:tc>
          <w:tcPr>
            <w:tcW w:w="8721" w:type="dxa"/>
            <w:gridSpan w:val="2"/>
          </w:tcPr>
          <w:p w14:paraId="364FB881" w14:textId="77777777" w:rsidR="00EF20B3" w:rsidRPr="00897C70" w:rsidRDefault="00EF20B3" w:rsidP="008A65BE">
            <w:pPr>
              <w:pStyle w:val="a3"/>
              <w:jc w:val="center"/>
              <w:rPr>
                <w:rFonts w:ascii="Tahoma" w:hAnsi="Tahoma" w:cs="Tahoma"/>
                <w:color w:val="000080"/>
                <w:rtl/>
              </w:rPr>
            </w:pPr>
            <w:bookmarkStart w:id="0" w:name="FirstLawyer"/>
            <w:bookmarkStart w:id="1" w:name="LastJudge"/>
            <w:r w:rsidRPr="00897C70">
              <w:rPr>
                <w:rFonts w:ascii="Tahoma" w:hAnsi="Tahoma" w:cs="Tahoma"/>
                <w:b/>
                <w:bCs/>
                <w:color w:val="000080"/>
                <w:rtl/>
              </w:rPr>
              <w:t>בית משפט השלום ברמלה</w:t>
            </w:r>
          </w:p>
        </w:tc>
      </w:tr>
      <w:tr w:rsidR="00EF20B3" w:rsidRPr="00897C70" w14:paraId="1F721BB8" w14:textId="77777777" w:rsidTr="00F97262">
        <w:trPr>
          <w:trHeight w:val="337"/>
          <w:jc w:val="center"/>
        </w:trPr>
        <w:tc>
          <w:tcPr>
            <w:tcW w:w="5054" w:type="dxa"/>
          </w:tcPr>
          <w:p w14:paraId="0563AA53" w14:textId="77777777" w:rsidR="00EF20B3" w:rsidRPr="00897C70" w:rsidRDefault="00EF20B3" w:rsidP="008A65BE">
            <w:pPr>
              <w:rPr>
                <w:rFonts w:cs="FrankRuehl"/>
                <w:sz w:val="28"/>
                <w:szCs w:val="28"/>
                <w:rtl/>
              </w:rPr>
            </w:pPr>
            <w:r w:rsidRPr="00897C70">
              <w:rPr>
                <w:rFonts w:cs="FrankRuehl"/>
                <w:sz w:val="28"/>
                <w:szCs w:val="28"/>
                <w:rtl/>
              </w:rPr>
              <w:t>ת"פ</w:t>
            </w:r>
            <w:r w:rsidRPr="00897C70">
              <w:rPr>
                <w:rFonts w:cs="FrankRuehl" w:hint="cs"/>
                <w:sz w:val="28"/>
                <w:szCs w:val="28"/>
                <w:rtl/>
              </w:rPr>
              <w:t xml:space="preserve"> </w:t>
            </w:r>
            <w:r w:rsidRPr="00897C70">
              <w:rPr>
                <w:rFonts w:cs="FrankRuehl"/>
                <w:sz w:val="28"/>
                <w:szCs w:val="28"/>
                <w:rtl/>
              </w:rPr>
              <w:t>10086-06-18</w:t>
            </w:r>
            <w:r w:rsidRPr="00897C70">
              <w:rPr>
                <w:rFonts w:cs="FrankRuehl" w:hint="cs"/>
                <w:sz w:val="28"/>
                <w:szCs w:val="28"/>
                <w:rtl/>
              </w:rPr>
              <w:t xml:space="preserve"> </w:t>
            </w:r>
            <w:r w:rsidRPr="00897C70">
              <w:rPr>
                <w:rFonts w:cs="FrankRuehl"/>
                <w:sz w:val="28"/>
                <w:szCs w:val="28"/>
                <w:rtl/>
              </w:rPr>
              <w:t>מדינת ישראל נ' אבו מוסה</w:t>
            </w:r>
          </w:p>
          <w:p w14:paraId="5B89DBBC" w14:textId="77777777" w:rsidR="00EF20B3" w:rsidRPr="00897C70" w:rsidRDefault="00EF20B3" w:rsidP="008A65BE">
            <w:pPr>
              <w:pStyle w:val="a3"/>
              <w:rPr>
                <w:rFonts w:cs="FrankRuehl"/>
                <w:sz w:val="28"/>
                <w:szCs w:val="28"/>
                <w:rtl/>
              </w:rPr>
            </w:pPr>
          </w:p>
        </w:tc>
        <w:tc>
          <w:tcPr>
            <w:tcW w:w="3667" w:type="dxa"/>
          </w:tcPr>
          <w:p w14:paraId="52BFB43B" w14:textId="77777777" w:rsidR="00EF20B3" w:rsidRPr="00897C70" w:rsidRDefault="00EF20B3" w:rsidP="008A65BE">
            <w:pPr>
              <w:pStyle w:val="a3"/>
              <w:jc w:val="right"/>
              <w:rPr>
                <w:rFonts w:cs="FrankRuehl"/>
                <w:sz w:val="28"/>
                <w:szCs w:val="28"/>
                <w:rtl/>
              </w:rPr>
            </w:pPr>
          </w:p>
        </w:tc>
      </w:tr>
    </w:tbl>
    <w:p w14:paraId="779E24FA" w14:textId="77777777" w:rsidR="00EF20B3" w:rsidRPr="00897C70" w:rsidRDefault="00EF20B3" w:rsidP="00EF20B3">
      <w:pPr>
        <w:pStyle w:val="a3"/>
        <w:rPr>
          <w:rtl/>
        </w:rPr>
      </w:pPr>
      <w:r w:rsidRPr="00897C70">
        <w:rPr>
          <w:rFonts w:hint="cs"/>
          <w:rtl/>
        </w:rPr>
        <w:t xml:space="preserve"> </w:t>
      </w:r>
    </w:p>
    <w:p w14:paraId="08FD816F" w14:textId="77777777" w:rsidR="00EF20B3" w:rsidRPr="00897C70" w:rsidRDefault="00EF20B3" w:rsidP="00EF20B3">
      <w:pPr>
        <w:jc w:val="both"/>
        <w:rPr>
          <w:rtl/>
        </w:rPr>
      </w:pPr>
    </w:p>
    <w:p w14:paraId="005B477C" w14:textId="77777777" w:rsidR="00EF20B3" w:rsidRPr="00897C70" w:rsidRDefault="00EF20B3" w:rsidP="00EF20B3">
      <w:pPr>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6"/>
        <w:gridCol w:w="3759"/>
      </w:tblGrid>
      <w:tr w:rsidR="00EF20B3" w:rsidRPr="00897C70" w14:paraId="3A1DDFD4" w14:textId="77777777" w:rsidTr="00EF20B3">
        <w:trPr>
          <w:trHeight w:val="295"/>
          <w:jc w:val="center"/>
        </w:trPr>
        <w:tc>
          <w:tcPr>
            <w:tcW w:w="923" w:type="dxa"/>
            <w:tcBorders>
              <w:top w:val="nil"/>
              <w:left w:val="nil"/>
              <w:bottom w:val="nil"/>
              <w:right w:val="nil"/>
            </w:tcBorders>
            <w:shd w:val="clear" w:color="auto" w:fill="auto"/>
          </w:tcPr>
          <w:p w14:paraId="48D21073" w14:textId="77777777" w:rsidR="00EF20B3" w:rsidRPr="00897C70" w:rsidRDefault="00EF20B3" w:rsidP="00EF20B3">
            <w:pPr>
              <w:jc w:val="both"/>
              <w:rPr>
                <w:rFonts w:ascii="David" w:hAnsi="David"/>
                <w:b/>
                <w:bCs/>
                <w:sz w:val="28"/>
                <w:szCs w:val="28"/>
              </w:rPr>
            </w:pPr>
            <w:r w:rsidRPr="00897C70">
              <w:rPr>
                <w:rFonts w:ascii="David" w:hAnsi="David"/>
                <w:b/>
                <w:bCs/>
                <w:sz w:val="28"/>
                <w:szCs w:val="28"/>
                <w:rtl/>
              </w:rPr>
              <w:t xml:space="preserve">בפני </w:t>
            </w:r>
          </w:p>
        </w:tc>
        <w:tc>
          <w:tcPr>
            <w:tcW w:w="7897" w:type="dxa"/>
            <w:gridSpan w:val="2"/>
            <w:tcBorders>
              <w:top w:val="nil"/>
              <w:left w:val="nil"/>
              <w:bottom w:val="nil"/>
              <w:right w:val="nil"/>
            </w:tcBorders>
            <w:shd w:val="clear" w:color="auto" w:fill="auto"/>
          </w:tcPr>
          <w:p w14:paraId="3DCDF2A8" w14:textId="77777777" w:rsidR="00EF20B3" w:rsidRPr="00897C70" w:rsidRDefault="00EF20B3" w:rsidP="00EF20B3">
            <w:pPr>
              <w:jc w:val="both"/>
              <w:rPr>
                <w:rFonts w:ascii="David" w:hAnsi="David"/>
                <w:b/>
                <w:bCs/>
                <w:sz w:val="28"/>
                <w:szCs w:val="28"/>
                <w:rtl/>
              </w:rPr>
            </w:pPr>
            <w:r w:rsidRPr="00897C70">
              <w:rPr>
                <w:rFonts w:ascii="David" w:hAnsi="David"/>
                <w:b/>
                <w:bCs/>
                <w:sz w:val="28"/>
                <w:szCs w:val="28"/>
                <w:rtl/>
              </w:rPr>
              <w:t>כבוד השופט  הישאם  אבו שחאדה</w:t>
            </w:r>
          </w:p>
          <w:p w14:paraId="20E2E7F5" w14:textId="77777777" w:rsidR="00EF20B3" w:rsidRPr="00897C70" w:rsidRDefault="00EF20B3" w:rsidP="00EF20B3">
            <w:pPr>
              <w:jc w:val="both"/>
              <w:rPr>
                <w:rFonts w:ascii="David" w:hAnsi="David"/>
                <w:b/>
                <w:bCs/>
                <w:sz w:val="28"/>
                <w:szCs w:val="28"/>
                <w:rtl/>
              </w:rPr>
            </w:pPr>
          </w:p>
          <w:p w14:paraId="3BE95C13" w14:textId="77777777" w:rsidR="00EF20B3" w:rsidRPr="00897C70" w:rsidRDefault="00EF20B3" w:rsidP="00EF20B3">
            <w:pPr>
              <w:jc w:val="both"/>
              <w:rPr>
                <w:rFonts w:ascii="David" w:hAnsi="David"/>
                <w:b/>
                <w:bCs/>
                <w:sz w:val="28"/>
                <w:szCs w:val="28"/>
                <w:rtl/>
              </w:rPr>
            </w:pPr>
          </w:p>
          <w:p w14:paraId="027E15FB" w14:textId="77777777" w:rsidR="00EF20B3" w:rsidRPr="00897C70" w:rsidRDefault="00EF20B3" w:rsidP="00EF20B3">
            <w:pPr>
              <w:jc w:val="both"/>
              <w:rPr>
                <w:rFonts w:ascii="David" w:hAnsi="David"/>
                <w:b/>
                <w:bCs/>
                <w:sz w:val="28"/>
                <w:szCs w:val="28"/>
              </w:rPr>
            </w:pPr>
          </w:p>
        </w:tc>
      </w:tr>
      <w:tr w:rsidR="00EF20B3" w:rsidRPr="00897C70" w14:paraId="77DCC4FA" w14:textId="77777777" w:rsidTr="00EF20B3">
        <w:trPr>
          <w:trHeight w:val="355"/>
          <w:jc w:val="center"/>
        </w:trPr>
        <w:tc>
          <w:tcPr>
            <w:tcW w:w="923" w:type="dxa"/>
            <w:tcBorders>
              <w:top w:val="nil"/>
              <w:left w:val="nil"/>
              <w:bottom w:val="nil"/>
              <w:right w:val="nil"/>
            </w:tcBorders>
            <w:shd w:val="clear" w:color="auto" w:fill="auto"/>
          </w:tcPr>
          <w:p w14:paraId="272090DA" w14:textId="77777777" w:rsidR="00EF20B3" w:rsidRPr="00897C70" w:rsidRDefault="00EF20B3" w:rsidP="00EF20B3">
            <w:pPr>
              <w:spacing w:line="360" w:lineRule="auto"/>
              <w:jc w:val="both"/>
              <w:rPr>
                <w:rFonts w:ascii="David" w:hAnsi="David"/>
                <w:b/>
                <w:bCs/>
                <w:sz w:val="28"/>
                <w:szCs w:val="28"/>
                <w:rtl/>
              </w:rPr>
            </w:pPr>
            <w:bookmarkStart w:id="2" w:name="FirstAppellant"/>
            <w:r w:rsidRPr="00897C70">
              <w:rPr>
                <w:rFonts w:ascii="David" w:hAnsi="David"/>
                <w:b/>
                <w:bCs/>
                <w:sz w:val="28"/>
                <w:szCs w:val="28"/>
                <w:rtl/>
              </w:rPr>
              <w:t>בעניין:</w:t>
            </w:r>
          </w:p>
          <w:p w14:paraId="2761B498" w14:textId="77777777" w:rsidR="00EF20B3" w:rsidRPr="00897C70" w:rsidRDefault="00EF20B3" w:rsidP="00EF20B3">
            <w:pPr>
              <w:spacing w:line="360" w:lineRule="auto"/>
              <w:jc w:val="both"/>
              <w:rPr>
                <w:rFonts w:ascii="David" w:hAnsi="David"/>
                <w:b/>
                <w:bCs/>
                <w:sz w:val="28"/>
                <w:szCs w:val="28"/>
              </w:rPr>
            </w:pPr>
          </w:p>
        </w:tc>
        <w:tc>
          <w:tcPr>
            <w:tcW w:w="4126" w:type="dxa"/>
            <w:tcBorders>
              <w:top w:val="nil"/>
              <w:left w:val="nil"/>
              <w:bottom w:val="nil"/>
              <w:right w:val="nil"/>
            </w:tcBorders>
            <w:shd w:val="clear" w:color="auto" w:fill="auto"/>
          </w:tcPr>
          <w:p w14:paraId="6A59E3F0" w14:textId="77777777" w:rsidR="00EF20B3" w:rsidRPr="00897C70" w:rsidRDefault="00EF20B3" w:rsidP="00EF20B3">
            <w:pPr>
              <w:spacing w:line="360" w:lineRule="auto"/>
              <w:jc w:val="both"/>
              <w:rPr>
                <w:rFonts w:ascii="David" w:hAnsi="David"/>
                <w:b/>
                <w:bCs/>
                <w:sz w:val="28"/>
                <w:szCs w:val="28"/>
                <w:rtl/>
              </w:rPr>
            </w:pPr>
            <w:r w:rsidRPr="00897C70">
              <w:rPr>
                <w:rFonts w:ascii="David" w:hAnsi="David"/>
                <w:b/>
                <w:bCs/>
                <w:sz w:val="28"/>
                <w:szCs w:val="28"/>
                <w:rtl/>
              </w:rPr>
              <w:t>המאשימה</w:t>
            </w:r>
            <w:r w:rsidRPr="00897C70">
              <w:rPr>
                <w:rFonts w:ascii="David" w:hAnsi="David" w:hint="cs"/>
                <w:b/>
                <w:bCs/>
                <w:sz w:val="28"/>
                <w:szCs w:val="28"/>
                <w:rtl/>
              </w:rPr>
              <w:t xml:space="preserve"> </w:t>
            </w:r>
            <w:r w:rsidRPr="00897C70">
              <w:rPr>
                <w:rFonts w:ascii="David" w:hAnsi="David"/>
                <w:b/>
                <w:bCs/>
                <w:sz w:val="28"/>
                <w:szCs w:val="28"/>
                <w:rtl/>
              </w:rPr>
              <w:t>- מדינת ישראל</w:t>
            </w:r>
            <w:r w:rsidRPr="00897C70">
              <w:rPr>
                <w:rFonts w:ascii="David" w:hAnsi="David"/>
                <w:b/>
                <w:bCs/>
                <w:sz w:val="28"/>
                <w:szCs w:val="28"/>
                <w:rtl/>
              </w:rPr>
              <w:br/>
              <w:t xml:space="preserve">ע"י עוה"ד </w:t>
            </w:r>
            <w:r w:rsidRPr="00897C70">
              <w:rPr>
                <w:rFonts w:ascii="David" w:hAnsi="David" w:hint="cs"/>
                <w:b/>
                <w:bCs/>
                <w:sz w:val="28"/>
                <w:szCs w:val="28"/>
                <w:rtl/>
              </w:rPr>
              <w:t>סיון צדיק</w:t>
            </w:r>
          </w:p>
        </w:tc>
        <w:tc>
          <w:tcPr>
            <w:tcW w:w="3771" w:type="dxa"/>
            <w:tcBorders>
              <w:top w:val="nil"/>
              <w:left w:val="nil"/>
              <w:bottom w:val="nil"/>
              <w:right w:val="nil"/>
            </w:tcBorders>
            <w:shd w:val="clear" w:color="auto" w:fill="auto"/>
          </w:tcPr>
          <w:p w14:paraId="158A5B49" w14:textId="77777777" w:rsidR="00EF20B3" w:rsidRPr="00897C70" w:rsidRDefault="00EF20B3" w:rsidP="00EF20B3">
            <w:pPr>
              <w:jc w:val="both"/>
              <w:rPr>
                <w:rFonts w:ascii="David" w:hAnsi="David"/>
                <w:b/>
                <w:bCs/>
                <w:sz w:val="28"/>
                <w:szCs w:val="28"/>
              </w:rPr>
            </w:pPr>
          </w:p>
        </w:tc>
      </w:tr>
      <w:bookmarkEnd w:id="2"/>
      <w:tr w:rsidR="00EF20B3" w:rsidRPr="00897C70" w14:paraId="4B879FFF" w14:textId="77777777" w:rsidTr="00EF20B3">
        <w:trPr>
          <w:gridAfter w:val="2"/>
          <w:wAfter w:w="7875" w:type="dxa"/>
          <w:trHeight w:val="355"/>
          <w:jc w:val="center"/>
        </w:trPr>
        <w:tc>
          <w:tcPr>
            <w:tcW w:w="923" w:type="dxa"/>
            <w:tcBorders>
              <w:top w:val="nil"/>
              <w:left w:val="nil"/>
              <w:bottom w:val="nil"/>
              <w:right w:val="nil"/>
            </w:tcBorders>
            <w:shd w:val="clear" w:color="auto" w:fill="auto"/>
          </w:tcPr>
          <w:p w14:paraId="6B7D9345" w14:textId="77777777" w:rsidR="00EF20B3" w:rsidRPr="00897C70" w:rsidRDefault="00EF20B3" w:rsidP="00EF20B3">
            <w:pPr>
              <w:spacing w:line="360" w:lineRule="auto"/>
              <w:jc w:val="both"/>
              <w:rPr>
                <w:rFonts w:ascii="David" w:hAnsi="David"/>
                <w:b/>
                <w:bCs/>
                <w:sz w:val="28"/>
                <w:szCs w:val="28"/>
                <w:rtl/>
              </w:rPr>
            </w:pPr>
          </w:p>
        </w:tc>
      </w:tr>
      <w:tr w:rsidR="00EF20B3" w:rsidRPr="00897C70" w14:paraId="382CB17E" w14:textId="77777777" w:rsidTr="00EF20B3">
        <w:trPr>
          <w:trHeight w:val="355"/>
          <w:jc w:val="center"/>
        </w:trPr>
        <w:tc>
          <w:tcPr>
            <w:tcW w:w="923" w:type="dxa"/>
            <w:tcBorders>
              <w:top w:val="nil"/>
              <w:left w:val="nil"/>
              <w:bottom w:val="nil"/>
              <w:right w:val="nil"/>
            </w:tcBorders>
            <w:shd w:val="clear" w:color="auto" w:fill="auto"/>
          </w:tcPr>
          <w:p w14:paraId="2D11E310" w14:textId="77777777" w:rsidR="00EF20B3" w:rsidRPr="00897C70" w:rsidRDefault="00EF20B3" w:rsidP="00EF20B3">
            <w:pPr>
              <w:spacing w:line="360" w:lineRule="auto"/>
              <w:jc w:val="both"/>
              <w:rPr>
                <w:rFonts w:ascii="David" w:hAnsi="David"/>
                <w:b/>
                <w:bCs/>
                <w:sz w:val="28"/>
                <w:szCs w:val="28"/>
                <w:rtl/>
              </w:rPr>
            </w:pPr>
          </w:p>
        </w:tc>
        <w:tc>
          <w:tcPr>
            <w:tcW w:w="7897" w:type="dxa"/>
            <w:gridSpan w:val="2"/>
            <w:tcBorders>
              <w:top w:val="nil"/>
              <w:left w:val="nil"/>
              <w:bottom w:val="nil"/>
              <w:right w:val="nil"/>
            </w:tcBorders>
            <w:shd w:val="clear" w:color="auto" w:fill="auto"/>
          </w:tcPr>
          <w:p w14:paraId="2240A618" w14:textId="77777777" w:rsidR="00EF20B3" w:rsidRPr="00897C70" w:rsidRDefault="00EF20B3" w:rsidP="00EF20B3">
            <w:pPr>
              <w:spacing w:line="360" w:lineRule="auto"/>
              <w:jc w:val="both"/>
              <w:rPr>
                <w:rFonts w:ascii="David" w:hAnsi="David"/>
                <w:b/>
                <w:bCs/>
                <w:sz w:val="28"/>
                <w:szCs w:val="28"/>
                <w:rtl/>
              </w:rPr>
            </w:pPr>
          </w:p>
          <w:p w14:paraId="2530B2EC" w14:textId="77777777" w:rsidR="00EF20B3" w:rsidRPr="00897C70" w:rsidRDefault="00EF20B3" w:rsidP="00EF20B3">
            <w:pPr>
              <w:spacing w:line="360" w:lineRule="auto"/>
              <w:jc w:val="both"/>
              <w:rPr>
                <w:rFonts w:ascii="David" w:hAnsi="David"/>
                <w:b/>
                <w:bCs/>
                <w:sz w:val="28"/>
                <w:szCs w:val="28"/>
                <w:rtl/>
              </w:rPr>
            </w:pPr>
            <w:r w:rsidRPr="00897C70">
              <w:rPr>
                <w:rFonts w:ascii="David" w:hAnsi="David"/>
                <w:b/>
                <w:bCs/>
                <w:sz w:val="28"/>
                <w:szCs w:val="28"/>
                <w:rtl/>
              </w:rPr>
              <w:t xml:space="preserve">                                    נגד</w:t>
            </w:r>
          </w:p>
          <w:p w14:paraId="584CD728" w14:textId="77777777" w:rsidR="00EF20B3" w:rsidRPr="00897C70" w:rsidRDefault="00EF20B3" w:rsidP="00EF20B3">
            <w:pPr>
              <w:spacing w:line="360" w:lineRule="auto"/>
              <w:jc w:val="both"/>
              <w:rPr>
                <w:rFonts w:ascii="David" w:hAnsi="David"/>
                <w:b/>
                <w:bCs/>
                <w:sz w:val="28"/>
                <w:szCs w:val="28"/>
                <w:rtl/>
              </w:rPr>
            </w:pPr>
          </w:p>
          <w:p w14:paraId="16E7080E" w14:textId="77777777" w:rsidR="00EF20B3" w:rsidRPr="00897C70" w:rsidRDefault="00EF20B3" w:rsidP="00EF20B3">
            <w:pPr>
              <w:spacing w:line="360" w:lineRule="auto"/>
              <w:jc w:val="both"/>
              <w:rPr>
                <w:rFonts w:ascii="David" w:hAnsi="David"/>
                <w:b/>
                <w:bCs/>
                <w:sz w:val="28"/>
                <w:szCs w:val="28"/>
              </w:rPr>
            </w:pPr>
          </w:p>
        </w:tc>
      </w:tr>
      <w:tr w:rsidR="00EF20B3" w:rsidRPr="00897C70" w14:paraId="43B72A22" w14:textId="77777777" w:rsidTr="00EF20B3">
        <w:trPr>
          <w:trHeight w:val="355"/>
          <w:jc w:val="center"/>
        </w:trPr>
        <w:tc>
          <w:tcPr>
            <w:tcW w:w="923" w:type="dxa"/>
            <w:tcBorders>
              <w:top w:val="nil"/>
              <w:left w:val="nil"/>
              <w:bottom w:val="nil"/>
              <w:right w:val="nil"/>
            </w:tcBorders>
            <w:shd w:val="clear" w:color="auto" w:fill="auto"/>
          </w:tcPr>
          <w:p w14:paraId="25A1EF4A" w14:textId="77777777" w:rsidR="00EF20B3" w:rsidRPr="00897C70" w:rsidRDefault="00EF20B3" w:rsidP="00EF20B3">
            <w:pPr>
              <w:spacing w:line="360" w:lineRule="auto"/>
              <w:jc w:val="both"/>
              <w:rPr>
                <w:rFonts w:ascii="David" w:hAnsi="David"/>
                <w:b/>
                <w:bCs/>
                <w:sz w:val="28"/>
                <w:szCs w:val="28"/>
                <w:rtl/>
              </w:rPr>
            </w:pPr>
          </w:p>
        </w:tc>
        <w:tc>
          <w:tcPr>
            <w:tcW w:w="4126" w:type="dxa"/>
            <w:tcBorders>
              <w:top w:val="nil"/>
              <w:left w:val="nil"/>
              <w:bottom w:val="nil"/>
              <w:right w:val="nil"/>
            </w:tcBorders>
            <w:shd w:val="clear" w:color="auto" w:fill="auto"/>
          </w:tcPr>
          <w:p w14:paraId="5065AC6B" w14:textId="77777777" w:rsidR="00EF20B3" w:rsidRPr="00897C70" w:rsidRDefault="00EF20B3" w:rsidP="00EF20B3">
            <w:pPr>
              <w:spacing w:line="360" w:lineRule="auto"/>
              <w:jc w:val="both"/>
              <w:rPr>
                <w:rFonts w:ascii="David" w:hAnsi="David"/>
                <w:b/>
                <w:bCs/>
                <w:sz w:val="28"/>
                <w:szCs w:val="28"/>
                <w:rtl/>
              </w:rPr>
            </w:pPr>
            <w:r w:rsidRPr="00897C70">
              <w:rPr>
                <w:rFonts w:ascii="David" w:hAnsi="David"/>
                <w:b/>
                <w:bCs/>
                <w:sz w:val="28"/>
                <w:szCs w:val="28"/>
                <w:rtl/>
              </w:rPr>
              <w:t>הנאשם - מוחמד אבו מוסה</w:t>
            </w:r>
            <w:r w:rsidRPr="00897C70">
              <w:rPr>
                <w:rFonts w:ascii="David" w:hAnsi="David"/>
                <w:b/>
                <w:bCs/>
                <w:sz w:val="28"/>
                <w:szCs w:val="28"/>
                <w:rtl/>
              </w:rPr>
              <w:br/>
              <w:t xml:space="preserve">ע"י עוה"ד שאדי כבהא </w:t>
            </w:r>
          </w:p>
        </w:tc>
        <w:tc>
          <w:tcPr>
            <w:tcW w:w="3771" w:type="dxa"/>
            <w:tcBorders>
              <w:top w:val="nil"/>
              <w:left w:val="nil"/>
              <w:bottom w:val="nil"/>
              <w:right w:val="nil"/>
            </w:tcBorders>
            <w:shd w:val="clear" w:color="auto" w:fill="auto"/>
          </w:tcPr>
          <w:p w14:paraId="67946A19" w14:textId="77777777" w:rsidR="00EF20B3" w:rsidRPr="00897C70" w:rsidRDefault="00EF20B3" w:rsidP="00EF20B3">
            <w:pPr>
              <w:jc w:val="both"/>
              <w:rPr>
                <w:rFonts w:ascii="David" w:hAnsi="David"/>
                <w:b/>
                <w:bCs/>
                <w:sz w:val="28"/>
                <w:szCs w:val="28"/>
              </w:rPr>
            </w:pPr>
          </w:p>
        </w:tc>
      </w:tr>
      <w:tr w:rsidR="00EF20B3" w:rsidRPr="00897C70" w14:paraId="5362E3F9" w14:textId="77777777" w:rsidTr="00EF20B3">
        <w:trPr>
          <w:gridAfter w:val="2"/>
          <w:wAfter w:w="7875" w:type="dxa"/>
          <w:trHeight w:val="355"/>
          <w:jc w:val="center"/>
        </w:trPr>
        <w:tc>
          <w:tcPr>
            <w:tcW w:w="923" w:type="dxa"/>
            <w:tcBorders>
              <w:top w:val="nil"/>
              <w:left w:val="nil"/>
              <w:bottom w:val="nil"/>
              <w:right w:val="nil"/>
            </w:tcBorders>
            <w:shd w:val="clear" w:color="auto" w:fill="auto"/>
          </w:tcPr>
          <w:p w14:paraId="64D82727" w14:textId="77777777" w:rsidR="00EF20B3" w:rsidRPr="00897C70" w:rsidRDefault="00EF20B3" w:rsidP="00EF20B3">
            <w:pPr>
              <w:spacing w:line="360" w:lineRule="auto"/>
              <w:jc w:val="both"/>
              <w:rPr>
                <w:rFonts w:ascii="David" w:hAnsi="David"/>
                <w:b/>
                <w:bCs/>
                <w:sz w:val="28"/>
                <w:szCs w:val="28"/>
                <w:rtl/>
              </w:rPr>
            </w:pPr>
          </w:p>
        </w:tc>
      </w:tr>
    </w:tbl>
    <w:p w14:paraId="13D0BB60" w14:textId="77777777" w:rsidR="00897C70" w:rsidRPr="00897C70" w:rsidRDefault="00897C70" w:rsidP="00897C70">
      <w:pPr>
        <w:spacing w:before="120" w:after="120" w:line="240" w:lineRule="exact"/>
        <w:ind w:left="283" w:hanging="283"/>
        <w:jc w:val="both"/>
        <w:rPr>
          <w:rFonts w:ascii="FrankRuehl" w:hAnsi="FrankRuehl" w:cs="FrankRuehl"/>
          <w:rtl/>
        </w:rPr>
      </w:pPr>
    </w:p>
    <w:p w14:paraId="49B10547" w14:textId="77777777" w:rsidR="00897C70" w:rsidRPr="00897C70" w:rsidRDefault="00897C70" w:rsidP="00897C70">
      <w:pPr>
        <w:jc w:val="both"/>
        <w:rPr>
          <w:rFonts w:ascii="David" w:hAnsi="David"/>
          <w:sz w:val="28"/>
          <w:szCs w:val="28"/>
          <w:rtl/>
        </w:rPr>
      </w:pPr>
    </w:p>
    <w:p w14:paraId="27243F80" w14:textId="77777777" w:rsidR="00F97262" w:rsidRPr="00F97262" w:rsidRDefault="00F97262" w:rsidP="00F97262">
      <w:pPr>
        <w:spacing w:before="120" w:after="120" w:line="240" w:lineRule="exact"/>
        <w:ind w:left="283" w:hanging="283"/>
        <w:jc w:val="both"/>
        <w:rPr>
          <w:rFonts w:ascii="FrankRuehl" w:hAnsi="FrankRuehl" w:cs="FrankRuehl"/>
          <w:rtl/>
        </w:rPr>
      </w:pPr>
      <w:bookmarkStart w:id="3" w:name="LawTable"/>
      <w:bookmarkEnd w:id="3"/>
    </w:p>
    <w:p w14:paraId="34A4C8A6" w14:textId="77777777" w:rsidR="00F97262" w:rsidRPr="00F97262" w:rsidRDefault="00F97262" w:rsidP="00F97262">
      <w:pPr>
        <w:spacing w:before="120" w:after="120" w:line="240" w:lineRule="exact"/>
        <w:ind w:left="283" w:hanging="283"/>
        <w:jc w:val="both"/>
        <w:rPr>
          <w:rFonts w:ascii="FrankRuehl" w:hAnsi="FrankRuehl" w:cs="FrankRuehl"/>
          <w:rtl/>
        </w:rPr>
      </w:pPr>
      <w:r w:rsidRPr="00F97262">
        <w:rPr>
          <w:rFonts w:ascii="FrankRuehl" w:hAnsi="FrankRuehl" w:cs="FrankRuehl"/>
          <w:rtl/>
        </w:rPr>
        <w:t xml:space="preserve">חקיקה שאוזכרה: </w:t>
      </w:r>
    </w:p>
    <w:p w14:paraId="30B25628" w14:textId="77777777" w:rsidR="00F97262" w:rsidRPr="00F97262" w:rsidRDefault="00F97262" w:rsidP="00F97262">
      <w:pPr>
        <w:spacing w:before="120" w:after="120" w:line="240" w:lineRule="exact"/>
        <w:ind w:left="283" w:hanging="283"/>
        <w:jc w:val="both"/>
        <w:rPr>
          <w:rFonts w:ascii="FrankRuehl" w:hAnsi="FrankRuehl" w:cs="FrankRuehl"/>
          <w:color w:val="0000FF"/>
          <w:rtl/>
        </w:rPr>
      </w:pPr>
      <w:hyperlink r:id="rId6" w:history="1">
        <w:r w:rsidRPr="00F97262">
          <w:rPr>
            <w:rStyle w:val="Hyperlink"/>
            <w:rFonts w:ascii="FrankRuehl" w:hAnsi="FrankRuehl" w:cs="FrankRuehl"/>
            <w:rtl/>
          </w:rPr>
          <w:t>פקודת הסמים המסוכנים [נוסח חדש], תשל"ג-1973</w:t>
        </w:r>
      </w:hyperlink>
      <w:r w:rsidRPr="00F97262">
        <w:rPr>
          <w:rFonts w:ascii="FrankRuehl" w:hAnsi="FrankRuehl" w:cs="FrankRuehl"/>
          <w:color w:val="0000FF"/>
          <w:u w:val="single"/>
          <w:rtl/>
        </w:rPr>
        <w:t xml:space="preserve">: סע'  </w:t>
      </w:r>
      <w:hyperlink r:id="rId7" w:history="1">
        <w:r w:rsidRPr="00F97262">
          <w:rPr>
            <w:rStyle w:val="Hyperlink"/>
            <w:rFonts w:ascii="FrankRuehl" w:hAnsi="FrankRuehl" w:cs="FrankRuehl"/>
          </w:rPr>
          <w:t>6</w:t>
        </w:r>
      </w:hyperlink>
      <w:r w:rsidRPr="00F97262">
        <w:rPr>
          <w:rFonts w:ascii="FrankRuehl" w:hAnsi="FrankRuehl" w:cs="FrankRuehl"/>
          <w:color w:val="0000FF"/>
          <w:u w:val="single"/>
          <w:rtl/>
        </w:rPr>
        <w:t xml:space="preserve">, </w:t>
      </w:r>
      <w:hyperlink r:id="rId8" w:history="1">
        <w:r w:rsidRPr="00F97262">
          <w:rPr>
            <w:rStyle w:val="Hyperlink"/>
            <w:rFonts w:ascii="FrankRuehl" w:hAnsi="FrankRuehl" w:cs="FrankRuehl"/>
          </w:rPr>
          <w:t>7.</w:t>
        </w:r>
        <w:r w:rsidRPr="00F97262">
          <w:rPr>
            <w:rStyle w:val="Hyperlink"/>
            <w:rFonts w:ascii="FrankRuehl" w:hAnsi="FrankRuehl" w:cs="FrankRuehl"/>
            <w:rtl/>
          </w:rPr>
          <w:t>א</w:t>
        </w:r>
        <w:r w:rsidRPr="00F97262">
          <w:rPr>
            <w:rStyle w:val="Hyperlink"/>
            <w:rFonts w:ascii="FrankRuehl" w:hAnsi="FrankRuehl" w:cs="FrankRuehl"/>
          </w:rPr>
          <w:t>.</w:t>
        </w:r>
      </w:hyperlink>
      <w:r w:rsidRPr="00F97262">
        <w:rPr>
          <w:rFonts w:ascii="FrankRuehl" w:hAnsi="FrankRuehl" w:cs="FrankRuehl"/>
          <w:color w:val="0000FF"/>
          <w:u w:val="single"/>
          <w:rtl/>
        </w:rPr>
        <w:t xml:space="preserve">, </w:t>
      </w:r>
      <w:hyperlink r:id="rId9" w:history="1">
        <w:r w:rsidRPr="00F97262">
          <w:rPr>
            <w:rStyle w:val="Hyperlink"/>
            <w:rFonts w:ascii="FrankRuehl" w:hAnsi="FrankRuehl" w:cs="FrankRuehl"/>
          </w:rPr>
          <w:t>7.</w:t>
        </w:r>
        <w:r w:rsidRPr="00F97262">
          <w:rPr>
            <w:rStyle w:val="Hyperlink"/>
            <w:rFonts w:ascii="FrankRuehl" w:hAnsi="FrankRuehl" w:cs="FrankRuehl"/>
            <w:rtl/>
          </w:rPr>
          <w:t>ג</w:t>
        </w:r>
      </w:hyperlink>
      <w:r w:rsidRPr="00F97262">
        <w:rPr>
          <w:rFonts w:ascii="FrankRuehl" w:hAnsi="FrankRuehl" w:cs="FrankRuehl"/>
          <w:color w:val="0000FF"/>
          <w:u w:val="single"/>
          <w:rtl/>
        </w:rPr>
        <w:t xml:space="preserve">, </w:t>
      </w:r>
      <w:hyperlink r:id="rId10" w:history="1">
        <w:r w:rsidRPr="00F97262">
          <w:rPr>
            <w:rStyle w:val="Hyperlink"/>
            <w:rFonts w:ascii="FrankRuehl" w:hAnsi="FrankRuehl" w:cs="FrankRuehl"/>
          </w:rPr>
          <w:t>7</w:t>
        </w:r>
      </w:hyperlink>
      <w:r w:rsidRPr="00F97262">
        <w:rPr>
          <w:rFonts w:ascii="FrankRuehl" w:hAnsi="FrankRuehl" w:cs="FrankRuehl"/>
          <w:color w:val="0000FF"/>
          <w:rtl/>
        </w:rPr>
        <w:t xml:space="preserve">(ג1)(2), </w:t>
      </w:r>
      <w:hyperlink r:id="rId11" w:history="1">
        <w:r w:rsidRPr="00F97262">
          <w:rPr>
            <w:rStyle w:val="Hyperlink"/>
            <w:rFonts w:ascii="FrankRuehl" w:hAnsi="FrankRuehl" w:cs="FrankRuehl"/>
          </w:rPr>
          <w:t>13</w:t>
        </w:r>
      </w:hyperlink>
      <w:r w:rsidRPr="00F97262">
        <w:rPr>
          <w:rFonts w:ascii="FrankRuehl" w:hAnsi="FrankRuehl" w:cs="FrankRuehl"/>
          <w:color w:val="0000FF"/>
          <w:rtl/>
        </w:rPr>
        <w:t xml:space="preserve">, </w:t>
      </w:r>
      <w:hyperlink r:id="rId12" w:history="1">
        <w:r w:rsidRPr="00F97262">
          <w:rPr>
            <w:rStyle w:val="Hyperlink"/>
            <w:rFonts w:ascii="FrankRuehl" w:hAnsi="FrankRuehl" w:cs="FrankRuehl"/>
          </w:rPr>
          <w:t>19.</w:t>
        </w:r>
        <w:r w:rsidRPr="00F97262">
          <w:rPr>
            <w:rStyle w:val="Hyperlink"/>
            <w:rFonts w:ascii="FrankRuehl" w:hAnsi="FrankRuehl" w:cs="FrankRuehl"/>
            <w:rtl/>
          </w:rPr>
          <w:t>א</w:t>
        </w:r>
      </w:hyperlink>
    </w:p>
    <w:p w14:paraId="44A00BCE" w14:textId="77777777" w:rsidR="00F97262" w:rsidRPr="00F97262" w:rsidRDefault="00F97262" w:rsidP="00F97262">
      <w:pPr>
        <w:spacing w:before="120" w:after="120" w:line="240" w:lineRule="exact"/>
        <w:ind w:left="283" w:hanging="283"/>
        <w:jc w:val="both"/>
        <w:rPr>
          <w:rFonts w:ascii="FrankRuehl" w:hAnsi="FrankRuehl" w:cs="FrankRuehl"/>
          <w:color w:val="0000FF"/>
          <w:rtl/>
        </w:rPr>
      </w:pPr>
      <w:hyperlink r:id="rId13" w:history="1">
        <w:r w:rsidRPr="00F97262">
          <w:rPr>
            <w:rStyle w:val="Hyperlink"/>
            <w:rFonts w:ascii="FrankRuehl" w:hAnsi="FrankRuehl" w:cs="FrankRuehl"/>
            <w:rtl/>
          </w:rPr>
          <w:t>חוק העונשין, תשל"ז-1977</w:t>
        </w:r>
      </w:hyperlink>
      <w:r w:rsidRPr="00F97262">
        <w:rPr>
          <w:rFonts w:ascii="FrankRuehl" w:hAnsi="FrankRuehl" w:cs="FrankRuehl"/>
          <w:color w:val="0000FF"/>
          <w:u w:val="single"/>
          <w:rtl/>
        </w:rPr>
        <w:t xml:space="preserve">: סע'  </w:t>
      </w:r>
      <w:hyperlink r:id="rId14" w:history="1">
        <w:r w:rsidRPr="00F97262">
          <w:rPr>
            <w:rStyle w:val="Hyperlink"/>
            <w:rFonts w:ascii="FrankRuehl" w:hAnsi="FrankRuehl" w:cs="FrankRuehl"/>
          </w:rPr>
          <w:t>40</w:t>
        </w:r>
        <w:r w:rsidRPr="00F97262">
          <w:rPr>
            <w:rStyle w:val="Hyperlink"/>
            <w:rFonts w:ascii="FrankRuehl" w:hAnsi="FrankRuehl" w:cs="FrankRuehl"/>
            <w:rtl/>
          </w:rPr>
          <w:t>ד</w:t>
        </w:r>
      </w:hyperlink>
      <w:r w:rsidRPr="00F97262">
        <w:rPr>
          <w:rFonts w:ascii="FrankRuehl" w:hAnsi="FrankRuehl" w:cs="FrankRuehl"/>
          <w:color w:val="0000FF"/>
          <w:u w:val="single"/>
          <w:rtl/>
        </w:rPr>
        <w:t xml:space="preserve">, </w:t>
      </w:r>
      <w:hyperlink r:id="rId15" w:history="1">
        <w:r w:rsidRPr="00F97262">
          <w:rPr>
            <w:rStyle w:val="Hyperlink"/>
            <w:rFonts w:ascii="FrankRuehl" w:hAnsi="FrankRuehl" w:cs="FrankRuehl"/>
          </w:rPr>
          <w:t>40</w:t>
        </w:r>
        <w:r w:rsidRPr="00F97262">
          <w:rPr>
            <w:rStyle w:val="Hyperlink"/>
            <w:rFonts w:ascii="FrankRuehl" w:hAnsi="FrankRuehl" w:cs="FrankRuehl"/>
            <w:rtl/>
          </w:rPr>
          <w:t>ד</w:t>
        </w:r>
      </w:hyperlink>
      <w:r w:rsidRPr="00F97262">
        <w:rPr>
          <w:rFonts w:ascii="FrankRuehl" w:hAnsi="FrankRuehl" w:cs="FrankRuehl"/>
          <w:color w:val="0000FF"/>
          <w:rtl/>
        </w:rPr>
        <w:t xml:space="preserve">(א), </w:t>
      </w:r>
      <w:hyperlink r:id="rId16" w:history="1">
        <w:r w:rsidRPr="00F97262">
          <w:rPr>
            <w:rStyle w:val="Hyperlink"/>
            <w:rFonts w:ascii="FrankRuehl" w:hAnsi="FrankRuehl" w:cs="FrankRuehl"/>
          </w:rPr>
          <w:t>40</w:t>
        </w:r>
        <w:r w:rsidRPr="00F97262">
          <w:rPr>
            <w:rStyle w:val="Hyperlink"/>
            <w:rFonts w:ascii="FrankRuehl" w:hAnsi="FrankRuehl" w:cs="FrankRuehl"/>
            <w:rtl/>
          </w:rPr>
          <w:t>ד</w:t>
        </w:r>
      </w:hyperlink>
      <w:r w:rsidRPr="00F97262">
        <w:rPr>
          <w:rFonts w:ascii="FrankRuehl" w:hAnsi="FrankRuehl" w:cs="FrankRuehl"/>
          <w:color w:val="0000FF"/>
          <w:rtl/>
        </w:rPr>
        <w:t xml:space="preserve">(ב), </w:t>
      </w:r>
      <w:hyperlink r:id="rId17" w:history="1">
        <w:r w:rsidRPr="00F97262">
          <w:rPr>
            <w:rStyle w:val="Hyperlink"/>
            <w:rFonts w:ascii="FrankRuehl" w:hAnsi="FrankRuehl" w:cs="FrankRuehl"/>
          </w:rPr>
          <w:t>71.</w:t>
        </w:r>
        <w:r w:rsidRPr="00F97262">
          <w:rPr>
            <w:rStyle w:val="Hyperlink"/>
            <w:rFonts w:ascii="FrankRuehl" w:hAnsi="FrankRuehl" w:cs="FrankRuehl"/>
            <w:rtl/>
          </w:rPr>
          <w:t>ד</w:t>
        </w:r>
        <w:r w:rsidRPr="00F97262">
          <w:rPr>
            <w:rStyle w:val="Hyperlink"/>
            <w:rFonts w:ascii="FrankRuehl" w:hAnsi="FrankRuehl" w:cs="FrankRuehl"/>
          </w:rPr>
          <w:t>.</w:t>
        </w:r>
      </w:hyperlink>
      <w:r w:rsidRPr="00F97262">
        <w:rPr>
          <w:rFonts w:ascii="FrankRuehl" w:hAnsi="FrankRuehl" w:cs="FrankRuehl"/>
          <w:color w:val="0000FF"/>
          <w:rtl/>
        </w:rPr>
        <w:t xml:space="preserve">, </w:t>
      </w:r>
      <w:hyperlink r:id="rId18" w:history="1">
        <w:r w:rsidRPr="00F97262">
          <w:rPr>
            <w:rStyle w:val="Hyperlink"/>
            <w:rFonts w:ascii="FrankRuehl" w:hAnsi="FrankRuehl" w:cs="FrankRuehl"/>
          </w:rPr>
          <w:t>86.</w:t>
        </w:r>
        <w:r w:rsidRPr="00F97262">
          <w:rPr>
            <w:rStyle w:val="Hyperlink"/>
            <w:rFonts w:ascii="FrankRuehl" w:hAnsi="FrankRuehl" w:cs="FrankRuehl"/>
            <w:rtl/>
          </w:rPr>
          <w:t>א</w:t>
        </w:r>
      </w:hyperlink>
    </w:p>
    <w:p w14:paraId="4AF1BE6B" w14:textId="77777777" w:rsidR="00F97262" w:rsidRPr="00F97262" w:rsidRDefault="00F97262" w:rsidP="00F97262">
      <w:pPr>
        <w:spacing w:before="120" w:after="120" w:line="240" w:lineRule="exact"/>
        <w:ind w:left="283" w:hanging="283"/>
        <w:jc w:val="both"/>
        <w:rPr>
          <w:rFonts w:ascii="FrankRuehl" w:hAnsi="FrankRuehl" w:cs="FrankRuehl"/>
          <w:color w:val="0000FF"/>
          <w:u w:val="single"/>
          <w:rtl/>
        </w:rPr>
      </w:pPr>
      <w:hyperlink r:id="rId19" w:history="1">
        <w:r w:rsidRPr="00F97262">
          <w:rPr>
            <w:rStyle w:val="Hyperlink"/>
            <w:rFonts w:ascii="FrankRuehl" w:hAnsi="FrankRuehl" w:cs="FrankRuehl"/>
            <w:rtl/>
          </w:rPr>
          <w:t>פקודת המבחן [נוסח חדש], תשכ"ט-1969</w:t>
        </w:r>
      </w:hyperlink>
      <w:r w:rsidRPr="00F97262">
        <w:rPr>
          <w:rFonts w:ascii="FrankRuehl" w:hAnsi="FrankRuehl" w:cs="FrankRuehl"/>
          <w:color w:val="0000FF"/>
          <w:u w:val="single"/>
          <w:rtl/>
        </w:rPr>
        <w:t xml:space="preserve">: סע'  </w:t>
      </w:r>
      <w:hyperlink r:id="rId20" w:history="1">
        <w:r w:rsidRPr="00F97262">
          <w:rPr>
            <w:rStyle w:val="Hyperlink"/>
            <w:rFonts w:ascii="FrankRuehl" w:hAnsi="FrankRuehl" w:cs="FrankRuehl"/>
          </w:rPr>
          <w:t>18</w:t>
        </w:r>
      </w:hyperlink>
      <w:r w:rsidRPr="00F97262">
        <w:rPr>
          <w:rFonts w:ascii="FrankRuehl" w:hAnsi="FrankRuehl" w:cs="FrankRuehl"/>
          <w:color w:val="0000FF"/>
          <w:u w:val="single"/>
          <w:rtl/>
        </w:rPr>
        <w:t xml:space="preserve">, </w:t>
      </w:r>
      <w:hyperlink r:id="rId21" w:history="1">
        <w:r w:rsidRPr="00F97262">
          <w:rPr>
            <w:rStyle w:val="Hyperlink"/>
            <w:rFonts w:ascii="FrankRuehl" w:hAnsi="FrankRuehl" w:cs="FrankRuehl"/>
          </w:rPr>
          <w:t>20</w:t>
        </w:r>
      </w:hyperlink>
      <w:r w:rsidRPr="00F97262">
        <w:rPr>
          <w:rFonts w:ascii="FrankRuehl" w:hAnsi="FrankRuehl" w:cs="FrankRuehl"/>
          <w:color w:val="0000FF"/>
          <w:u w:val="single"/>
          <w:rtl/>
        </w:rPr>
        <w:t xml:space="preserve">, </w:t>
      </w:r>
      <w:hyperlink r:id="rId22" w:history="1">
        <w:r w:rsidRPr="00F97262">
          <w:rPr>
            <w:rStyle w:val="Hyperlink"/>
            <w:rFonts w:ascii="FrankRuehl" w:hAnsi="FrankRuehl" w:cs="FrankRuehl"/>
          </w:rPr>
          <w:t>25</w:t>
        </w:r>
      </w:hyperlink>
    </w:p>
    <w:p w14:paraId="3722EDE2" w14:textId="77777777" w:rsidR="00EF20B3" w:rsidRDefault="00EF20B3" w:rsidP="00F97262">
      <w:pPr>
        <w:jc w:val="both"/>
        <w:rPr>
          <w:rFonts w:ascii="David" w:hAnsi="David" w:hint="cs"/>
          <w:sz w:val="28"/>
          <w:szCs w:val="28"/>
          <w:rtl/>
        </w:rPr>
      </w:pPr>
      <w:bookmarkStart w:id="4" w:name="LawTable_End"/>
      <w:bookmarkEnd w:id="4"/>
    </w:p>
    <w:p w14:paraId="520CB6DD" w14:textId="77777777" w:rsidR="00F97262" w:rsidRPr="00F97262" w:rsidRDefault="00F97262" w:rsidP="00F97262">
      <w:pPr>
        <w:jc w:val="both"/>
        <w:rPr>
          <w:rFonts w:ascii="David" w:hAnsi="David" w:hint="cs"/>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F20B3" w:rsidRPr="00FC4B7D" w14:paraId="7A8F91BE" w14:textId="77777777" w:rsidTr="00EF20B3">
        <w:trPr>
          <w:trHeight w:val="355"/>
          <w:jc w:val="center"/>
        </w:trPr>
        <w:tc>
          <w:tcPr>
            <w:tcW w:w="8820" w:type="dxa"/>
            <w:tcBorders>
              <w:top w:val="nil"/>
              <w:left w:val="nil"/>
              <w:bottom w:val="nil"/>
              <w:right w:val="nil"/>
            </w:tcBorders>
            <w:shd w:val="clear" w:color="auto" w:fill="auto"/>
          </w:tcPr>
          <w:p w14:paraId="4CD02C3A" w14:textId="77777777" w:rsidR="00897C70" w:rsidRPr="00897C70" w:rsidRDefault="00897C70" w:rsidP="00897C70">
            <w:pPr>
              <w:jc w:val="center"/>
              <w:rPr>
                <w:rFonts w:ascii="David" w:hAnsi="David"/>
                <w:b/>
                <w:bCs/>
                <w:sz w:val="28"/>
                <w:szCs w:val="28"/>
                <w:rtl/>
              </w:rPr>
            </w:pPr>
            <w:bookmarkStart w:id="5" w:name="PsakDin" w:colFirst="0" w:colLast="0"/>
            <w:bookmarkEnd w:id="0"/>
            <w:bookmarkEnd w:id="1"/>
            <w:r w:rsidRPr="00897C70">
              <w:rPr>
                <w:rFonts w:ascii="David" w:hAnsi="David"/>
                <w:b/>
                <w:bCs/>
                <w:sz w:val="28"/>
                <w:szCs w:val="28"/>
                <w:rtl/>
              </w:rPr>
              <w:t>ג ז ר  ד י ן</w:t>
            </w:r>
          </w:p>
          <w:p w14:paraId="693D9525" w14:textId="77777777" w:rsidR="00EF20B3" w:rsidRPr="00897C70" w:rsidRDefault="00EF20B3" w:rsidP="00897C70">
            <w:pPr>
              <w:jc w:val="center"/>
              <w:rPr>
                <w:rFonts w:ascii="David" w:hAnsi="David"/>
                <w:b/>
                <w:bCs/>
                <w:sz w:val="28"/>
                <w:szCs w:val="28"/>
                <w:u w:val="single"/>
                <w:rtl/>
              </w:rPr>
            </w:pPr>
          </w:p>
        </w:tc>
      </w:tr>
      <w:bookmarkEnd w:id="5"/>
    </w:tbl>
    <w:p w14:paraId="70D7160A" w14:textId="77777777" w:rsidR="00EF20B3" w:rsidRPr="00FC4B7D" w:rsidRDefault="00EF20B3" w:rsidP="00EF20B3">
      <w:pPr>
        <w:jc w:val="both"/>
        <w:rPr>
          <w:rFonts w:ascii="David" w:hAnsi="David"/>
          <w:b/>
          <w:bCs/>
          <w:sz w:val="28"/>
          <w:szCs w:val="28"/>
          <w:rtl/>
        </w:rPr>
      </w:pPr>
    </w:p>
    <w:p w14:paraId="06756CC1" w14:textId="77777777" w:rsidR="00EF20B3" w:rsidRPr="00FC4B7D" w:rsidRDefault="00EF20B3" w:rsidP="00EF20B3">
      <w:pPr>
        <w:jc w:val="both"/>
        <w:rPr>
          <w:rFonts w:ascii="David" w:hAnsi="David"/>
          <w:b/>
          <w:bCs/>
          <w:sz w:val="28"/>
          <w:szCs w:val="28"/>
          <w:rtl/>
        </w:rPr>
      </w:pPr>
    </w:p>
    <w:p w14:paraId="61D9E9F9" w14:textId="77777777" w:rsidR="00EF20B3" w:rsidRPr="00FC4B7D" w:rsidRDefault="00EF20B3" w:rsidP="00EF20B3">
      <w:pPr>
        <w:spacing w:line="360" w:lineRule="auto"/>
        <w:jc w:val="both"/>
        <w:rPr>
          <w:rFonts w:ascii="David" w:hAnsi="David"/>
          <w:b/>
          <w:bCs/>
          <w:sz w:val="28"/>
          <w:szCs w:val="28"/>
          <w:u w:val="single"/>
          <w:rtl/>
        </w:rPr>
      </w:pPr>
      <w:r w:rsidRPr="00FC4B7D">
        <w:rPr>
          <w:rFonts w:ascii="David" w:hAnsi="David"/>
          <w:b/>
          <w:bCs/>
          <w:sz w:val="28"/>
          <w:szCs w:val="28"/>
          <w:u w:val="single"/>
          <w:rtl/>
        </w:rPr>
        <w:t>כתב האישום המתוקן</w:t>
      </w:r>
    </w:p>
    <w:p w14:paraId="7FF1E8B1" w14:textId="77777777" w:rsidR="00EF20B3" w:rsidRDefault="00EF20B3" w:rsidP="00EF20B3">
      <w:pPr>
        <w:spacing w:line="360" w:lineRule="auto"/>
        <w:jc w:val="both"/>
        <w:rPr>
          <w:rtl/>
        </w:rPr>
      </w:pPr>
    </w:p>
    <w:p w14:paraId="7E78DC70" w14:textId="77777777" w:rsidR="00EF20B3" w:rsidRDefault="00EF20B3" w:rsidP="00EF20B3">
      <w:pPr>
        <w:spacing w:line="360" w:lineRule="auto"/>
        <w:ind w:left="720" w:hanging="720"/>
        <w:jc w:val="both"/>
        <w:rPr>
          <w:rtl/>
        </w:rPr>
      </w:pPr>
      <w:r>
        <w:rPr>
          <w:rFonts w:hint="cs"/>
          <w:rtl/>
        </w:rPr>
        <w:lastRenderedPageBreak/>
        <w:t>1.</w:t>
      </w:r>
      <w:r>
        <w:rPr>
          <w:rFonts w:hint="cs"/>
          <w:rtl/>
        </w:rPr>
        <w:tab/>
      </w:r>
      <w:bookmarkStart w:id="6" w:name="ABSTRACT_START"/>
      <w:bookmarkEnd w:id="6"/>
      <w:r>
        <w:rPr>
          <w:rFonts w:hint="cs"/>
          <w:rtl/>
        </w:rPr>
        <w:t xml:space="preserve">הנאשם הודה בעובדות כתב האישום המתוקן והורשע בעבירות המפורטות בו. אין הסדר בין הצדדים לעניין העונש. כתב האישום המתוקן כולל בתוכו עשרה אישומים, כאשר האישום הראשון עניינו עבירות של גידול סמים מסוג קנבוס ואחזקתם ותשעת האישומים הנותרים עניינם סחר בסמים על ידי מכירה או אספקה של סם מסוג קנבוס לקונים שונים. </w:t>
      </w:r>
    </w:p>
    <w:p w14:paraId="7DADA48D" w14:textId="77777777" w:rsidR="00EF20B3" w:rsidRDefault="00EF20B3" w:rsidP="00EF20B3">
      <w:pPr>
        <w:spacing w:line="360" w:lineRule="auto"/>
        <w:ind w:left="720" w:hanging="720"/>
        <w:jc w:val="both"/>
        <w:rPr>
          <w:rtl/>
        </w:rPr>
      </w:pPr>
    </w:p>
    <w:p w14:paraId="098EBCC6" w14:textId="77777777" w:rsidR="00EF20B3" w:rsidRDefault="00EF20B3" w:rsidP="00EF20B3">
      <w:pPr>
        <w:spacing w:line="360" w:lineRule="auto"/>
        <w:ind w:left="720" w:hanging="720"/>
        <w:jc w:val="both"/>
        <w:rPr>
          <w:rtl/>
        </w:rPr>
      </w:pPr>
      <w:bookmarkStart w:id="7" w:name="ABSTRACT_END"/>
      <w:bookmarkEnd w:id="7"/>
      <w:r>
        <w:rPr>
          <w:rFonts w:hint="cs"/>
          <w:rtl/>
        </w:rPr>
        <w:t>2.</w:t>
      </w:r>
      <w:r>
        <w:rPr>
          <w:rFonts w:hint="cs"/>
          <w:rtl/>
        </w:rPr>
        <w:tab/>
        <w:t xml:space="preserve">באישום הראשון, הנאשם הורשע בביצוען של העבירות הבאות: גידול סמים מסוכנים לפי </w:t>
      </w:r>
      <w:hyperlink r:id="rId23" w:history="1">
        <w:r w:rsidR="00F97262" w:rsidRPr="00F97262">
          <w:rPr>
            <w:rStyle w:val="Hyperlink"/>
            <w:rFonts w:cs="David" w:hint="eastAsia"/>
            <w:rtl/>
          </w:rPr>
          <w:t>סעיף</w:t>
        </w:r>
        <w:r w:rsidR="00F97262" w:rsidRPr="00F97262">
          <w:rPr>
            <w:rStyle w:val="Hyperlink"/>
            <w:rFonts w:cs="David"/>
            <w:rtl/>
          </w:rPr>
          <w:t xml:space="preserve"> 6</w:t>
        </w:r>
      </w:hyperlink>
      <w:r>
        <w:rPr>
          <w:rFonts w:hint="cs"/>
          <w:rtl/>
        </w:rPr>
        <w:t xml:space="preserve"> ל</w:t>
      </w:r>
      <w:hyperlink r:id="rId24" w:history="1">
        <w:r w:rsidR="00897C70" w:rsidRPr="00897C70">
          <w:rPr>
            <w:color w:val="0000FF"/>
            <w:u w:val="single"/>
            <w:rtl/>
          </w:rPr>
          <w:t>פקודת הסמים המסוכנים</w:t>
        </w:r>
      </w:hyperlink>
      <w:r>
        <w:rPr>
          <w:rFonts w:hint="cs"/>
          <w:rtl/>
        </w:rPr>
        <w:t xml:space="preserve"> [נוסח חדש] תשל"ג </w:t>
      </w:r>
      <w:r>
        <w:rPr>
          <w:rtl/>
        </w:rPr>
        <w:t>–</w:t>
      </w:r>
      <w:r>
        <w:rPr>
          <w:rFonts w:hint="cs"/>
          <w:rtl/>
        </w:rPr>
        <w:t xml:space="preserve"> 1973 (להלן: </w:t>
      </w:r>
      <w:r w:rsidRPr="009336A3">
        <w:rPr>
          <w:rFonts w:hint="cs"/>
          <w:b/>
          <w:bCs/>
          <w:rtl/>
        </w:rPr>
        <w:t>הפקודה</w:t>
      </w:r>
      <w:r>
        <w:rPr>
          <w:rFonts w:hint="cs"/>
          <w:rtl/>
        </w:rPr>
        <w:t xml:space="preserve">), וכן בהחזקת סם לצריכה עצמית לפי סעיפים </w:t>
      </w:r>
      <w:hyperlink r:id="rId25" w:history="1">
        <w:r w:rsidR="00F97262" w:rsidRPr="00F97262">
          <w:rPr>
            <w:rStyle w:val="Hyperlink"/>
            <w:rFonts w:cs="David"/>
            <w:rtl/>
          </w:rPr>
          <w:t>7(א) ו-7(ג)</w:t>
        </w:r>
      </w:hyperlink>
      <w:r>
        <w:rPr>
          <w:rFonts w:hint="cs"/>
          <w:rtl/>
        </w:rPr>
        <w:t xml:space="preserve"> לפקודה. על פי עובדות האישום הראשון, ביום 21.5.18, בשעה 06:30 או בסמוך לכך, נערך חיפוש על פי צו בביתו של הנאשם שמצוי בתחומי העיר לוד. במהלך החיפוש נתפסו הפריטים הבאים: סם מסוג קנבוס במשקל 1.16 גרם נטו, סם מסוג קנבוס במשקל 6.85 גרם נטו, סם מסוג קנבוס במשקל 5.42 גרם נטו, משקל דיגיטאלי, שני טלפונים ניידים, בחדר השירותים נמצאו אדניות עם אדמה  ומנורות חימום. </w:t>
      </w:r>
    </w:p>
    <w:p w14:paraId="43EC9BAC" w14:textId="77777777" w:rsidR="00EF20B3" w:rsidRDefault="00EF20B3" w:rsidP="00EF20B3">
      <w:pPr>
        <w:spacing w:line="360" w:lineRule="auto"/>
        <w:ind w:left="720" w:hanging="720"/>
        <w:jc w:val="both"/>
        <w:rPr>
          <w:rtl/>
        </w:rPr>
      </w:pPr>
    </w:p>
    <w:p w14:paraId="671CE19C" w14:textId="77777777" w:rsidR="00EF20B3" w:rsidRDefault="00EF20B3" w:rsidP="00EF20B3">
      <w:pPr>
        <w:spacing w:line="360" w:lineRule="auto"/>
        <w:ind w:left="720" w:hanging="720"/>
        <w:jc w:val="both"/>
        <w:rPr>
          <w:rtl/>
        </w:rPr>
      </w:pPr>
      <w:r>
        <w:rPr>
          <w:rFonts w:hint="cs"/>
          <w:rtl/>
        </w:rPr>
        <w:t>3.</w:t>
      </w:r>
      <w:r>
        <w:rPr>
          <w:rFonts w:hint="cs"/>
          <w:rtl/>
        </w:rPr>
        <w:tab/>
        <w:t xml:space="preserve">באישום השני, הנאשם הורשע בביצוע עבירה של סחר בסמים לפי סעיפים </w:t>
      </w:r>
      <w:hyperlink r:id="rId26" w:history="1">
        <w:r w:rsidR="00F97262" w:rsidRPr="00F97262">
          <w:rPr>
            <w:rStyle w:val="Hyperlink"/>
            <w:rFonts w:cs="David"/>
            <w:rtl/>
          </w:rPr>
          <w:t>13 ו-19א</w:t>
        </w:r>
      </w:hyperlink>
      <w:r>
        <w:rPr>
          <w:rFonts w:hint="cs"/>
          <w:rtl/>
        </w:rPr>
        <w:t xml:space="preserve"> לפקודה. על פי עובדות האישום השני, ביום 26.10.17, בשעה שאינה ידועה במדויק למאשימה, לאחר תיאום מראש באמצעות יישומון "טלגראס" באשר לכמות הסם המבוקש, סוגו, מחירו ומקום המפגש, מכר הנאשם לקטין יליד שנת 2000, סם מסוכן מסוג קנבוס במשקל 6 גרם תמורת סך של 600 ₪. </w:t>
      </w:r>
    </w:p>
    <w:p w14:paraId="5A080C7D" w14:textId="77777777" w:rsidR="00EF20B3" w:rsidRDefault="00EF20B3" w:rsidP="00EF20B3">
      <w:pPr>
        <w:spacing w:line="360" w:lineRule="auto"/>
        <w:ind w:left="720" w:hanging="720"/>
        <w:jc w:val="both"/>
        <w:rPr>
          <w:rtl/>
        </w:rPr>
      </w:pPr>
    </w:p>
    <w:p w14:paraId="01D40A0E" w14:textId="77777777" w:rsidR="00EF20B3" w:rsidRDefault="00EF20B3" w:rsidP="00EF20B3">
      <w:pPr>
        <w:spacing w:line="360" w:lineRule="auto"/>
        <w:ind w:left="720" w:hanging="720"/>
        <w:jc w:val="both"/>
        <w:rPr>
          <w:rtl/>
        </w:rPr>
      </w:pPr>
      <w:r>
        <w:rPr>
          <w:rFonts w:hint="cs"/>
          <w:rtl/>
        </w:rPr>
        <w:t>4.</w:t>
      </w:r>
      <w:r>
        <w:rPr>
          <w:rFonts w:hint="cs"/>
          <w:rtl/>
        </w:rPr>
        <w:tab/>
        <w:t xml:space="preserve">באישום השלישי, הנאשם הורשע בביצוע שתי עבירות של סחר בסמים לפי סעיפים </w:t>
      </w:r>
      <w:hyperlink r:id="rId27" w:history="1">
        <w:r w:rsidR="00F97262" w:rsidRPr="00F97262">
          <w:rPr>
            <w:rStyle w:val="Hyperlink"/>
            <w:rFonts w:cs="David"/>
            <w:rtl/>
          </w:rPr>
          <w:t>13 ו-19א</w:t>
        </w:r>
      </w:hyperlink>
      <w:r>
        <w:rPr>
          <w:rFonts w:hint="cs"/>
          <w:rtl/>
        </w:rPr>
        <w:t xml:space="preserve"> לפקודה. על פי עובדות האישום השלישי, בחודש דצמבר 2017, בשתי הזדמנויות שונות, ברחבי העיר לוד ולאחר תיאום מראש, מכר הנאשם סם מסוכן מסוג קנבוס לקטינה ילידת שנת 2000 במשקל של כ-1 גרם תמורת סך של 100 ₪, בכל אחת מההזדמנויות. </w:t>
      </w:r>
    </w:p>
    <w:p w14:paraId="3E926B1E" w14:textId="77777777" w:rsidR="00EF20B3" w:rsidRDefault="00EF20B3" w:rsidP="00EF20B3">
      <w:pPr>
        <w:spacing w:line="360" w:lineRule="auto"/>
        <w:ind w:left="720" w:hanging="720"/>
        <w:jc w:val="both"/>
        <w:rPr>
          <w:rtl/>
        </w:rPr>
      </w:pPr>
    </w:p>
    <w:p w14:paraId="122421F0" w14:textId="77777777" w:rsidR="00EF20B3" w:rsidRDefault="00EF20B3" w:rsidP="00EF20B3">
      <w:pPr>
        <w:spacing w:line="360" w:lineRule="auto"/>
        <w:ind w:left="720" w:hanging="720"/>
        <w:jc w:val="both"/>
        <w:rPr>
          <w:rtl/>
        </w:rPr>
      </w:pPr>
      <w:r>
        <w:rPr>
          <w:rFonts w:hint="cs"/>
          <w:rtl/>
        </w:rPr>
        <w:t>5.</w:t>
      </w:r>
      <w:r>
        <w:rPr>
          <w:rFonts w:hint="cs"/>
          <w:rtl/>
        </w:rPr>
        <w:tab/>
        <w:t>באישום הרביעי, הנאשם הורשע בביצוע עבירה של סחר בסמים לפי סעיפים</w:t>
      </w:r>
      <w:hyperlink r:id="rId28" w:history="1">
        <w:r w:rsidR="00F97262" w:rsidRPr="00F97262">
          <w:rPr>
            <w:rStyle w:val="Hyperlink"/>
            <w:rFonts w:cs="David"/>
            <w:rtl/>
          </w:rPr>
          <w:t xml:space="preserve"> 13 ו-19א</w:t>
        </w:r>
      </w:hyperlink>
      <w:r>
        <w:rPr>
          <w:rFonts w:hint="cs"/>
          <w:rtl/>
        </w:rPr>
        <w:t xml:space="preserve"> לפקודה. על פי עובדות האישום הרביעי, ביום 19.5.17, בשעה שאינה ידועה במדויק למאשימה, ולאחר תיאום טלפוני מראש באשר לסוג הסם, כמותו ומחירו, הגיע הנאשם אל ביתה של הקונה שבתחומי העיר תל אביב ומכר לה סם מסוכן מסוג קנבוס במשקל של כ-27 גרם וזאת תמורת סך של 2,000 ₪. </w:t>
      </w:r>
    </w:p>
    <w:p w14:paraId="0F36BBF9" w14:textId="77777777" w:rsidR="00EF20B3" w:rsidRDefault="00EF20B3" w:rsidP="00EF20B3">
      <w:pPr>
        <w:spacing w:line="360" w:lineRule="auto"/>
        <w:ind w:left="720" w:hanging="720"/>
        <w:jc w:val="both"/>
        <w:rPr>
          <w:rtl/>
        </w:rPr>
      </w:pPr>
    </w:p>
    <w:p w14:paraId="41D5F362" w14:textId="77777777" w:rsidR="00EF20B3" w:rsidRDefault="00EF20B3" w:rsidP="00EF20B3">
      <w:pPr>
        <w:spacing w:line="360" w:lineRule="auto"/>
        <w:ind w:left="720" w:hanging="720"/>
        <w:jc w:val="both"/>
        <w:rPr>
          <w:rtl/>
        </w:rPr>
      </w:pPr>
      <w:r>
        <w:rPr>
          <w:rFonts w:hint="cs"/>
          <w:rtl/>
        </w:rPr>
        <w:t>6.</w:t>
      </w:r>
      <w:r>
        <w:rPr>
          <w:rFonts w:hint="cs"/>
          <w:rtl/>
        </w:rPr>
        <w:tab/>
        <w:t>באישום החמישי, הנאשם הורשע בביצוע שתי עבירות של סחר בסמים לפי סעיפים</w:t>
      </w:r>
      <w:hyperlink r:id="rId29" w:history="1">
        <w:r w:rsidR="00F97262" w:rsidRPr="00F97262">
          <w:rPr>
            <w:rStyle w:val="Hyperlink"/>
            <w:rFonts w:cs="David"/>
            <w:rtl/>
          </w:rPr>
          <w:t xml:space="preserve"> 13 ו-19א</w:t>
        </w:r>
      </w:hyperlink>
      <w:r>
        <w:rPr>
          <w:rFonts w:hint="cs"/>
          <w:rtl/>
        </w:rPr>
        <w:t xml:space="preserve"> לפקודה. על פי עובדות האישום החמישי, בחודש אוגוסט 2017, בשני מועדים אשר אינם ידועים במדויק למאשימה, לאחר תיאום מראש באשר לכמות הסם, מחירו ומקום המפגש, מכר הנאשם לקונה בהזדמנות אחת סם מסוכן מסוג קנבוס במשקל אשר אינו ידוע </w:t>
      </w:r>
      <w:r>
        <w:rPr>
          <w:rFonts w:hint="cs"/>
          <w:rtl/>
        </w:rPr>
        <w:lastRenderedPageBreak/>
        <w:t xml:space="preserve">במדויק למאשימה בסך 200 ₪ ובהזדמנות נוספת סם מסוכן מסוג קנבוס במשקל 2 גרם תמורת חבילת ניירות גלגול אשר מסר הקונה לנאשם תמורת הסם. </w:t>
      </w:r>
    </w:p>
    <w:p w14:paraId="47E6CBB8" w14:textId="77777777" w:rsidR="00EF20B3" w:rsidRDefault="00EF20B3" w:rsidP="00EF20B3">
      <w:pPr>
        <w:spacing w:line="360" w:lineRule="auto"/>
        <w:ind w:left="720" w:hanging="720"/>
        <w:jc w:val="both"/>
        <w:rPr>
          <w:rtl/>
        </w:rPr>
      </w:pPr>
    </w:p>
    <w:p w14:paraId="7C2238DE" w14:textId="77777777" w:rsidR="00EF20B3" w:rsidRDefault="00EF20B3" w:rsidP="00EF20B3">
      <w:pPr>
        <w:spacing w:line="360" w:lineRule="auto"/>
        <w:ind w:left="720" w:hanging="720"/>
        <w:jc w:val="both"/>
        <w:rPr>
          <w:rtl/>
        </w:rPr>
      </w:pPr>
      <w:r>
        <w:rPr>
          <w:rFonts w:hint="cs"/>
          <w:rtl/>
        </w:rPr>
        <w:t>7.</w:t>
      </w:r>
      <w:r>
        <w:rPr>
          <w:rFonts w:hint="cs"/>
          <w:rtl/>
        </w:rPr>
        <w:tab/>
        <w:t xml:space="preserve">באישום השישי, הנאשם הורשע בביצוע שתי עבירות של סחר בסמים לפי סעיפים </w:t>
      </w:r>
      <w:hyperlink r:id="rId30" w:history="1">
        <w:r w:rsidR="00F97262" w:rsidRPr="00F97262">
          <w:rPr>
            <w:rStyle w:val="Hyperlink"/>
            <w:rFonts w:cs="David"/>
            <w:rtl/>
          </w:rPr>
          <w:t>13 ו-19א</w:t>
        </w:r>
      </w:hyperlink>
      <w:r>
        <w:rPr>
          <w:rFonts w:hint="cs"/>
          <w:rtl/>
        </w:rPr>
        <w:t xml:space="preserve"> לפקודה. על פי עובדות האישום השישי, בתאריך 11.11.17, בגן מאיר שבתל אביב, בשעה שאינה ידועה במדויק למאשימה, ניגש הנאשם לקונה ומסר לה שני מספרי טלפון אשר ברשותו. באותן הנסיבות, מסר הנאשם לקונה ללא תמורה, סיגריה מגולגלת ובתוכה סם מסוכן. </w:t>
      </w:r>
    </w:p>
    <w:p w14:paraId="47EC937C" w14:textId="77777777" w:rsidR="00EF20B3" w:rsidRDefault="00EF20B3" w:rsidP="00EF20B3">
      <w:pPr>
        <w:spacing w:line="360" w:lineRule="auto"/>
        <w:ind w:left="720" w:hanging="720"/>
        <w:jc w:val="both"/>
        <w:rPr>
          <w:rtl/>
        </w:rPr>
      </w:pPr>
    </w:p>
    <w:p w14:paraId="59E2D92E" w14:textId="77777777" w:rsidR="00EF20B3" w:rsidRDefault="00EF20B3" w:rsidP="00EF20B3">
      <w:pPr>
        <w:spacing w:line="360" w:lineRule="auto"/>
        <w:ind w:left="720" w:hanging="720"/>
        <w:jc w:val="both"/>
        <w:rPr>
          <w:rtl/>
        </w:rPr>
      </w:pPr>
      <w:r>
        <w:rPr>
          <w:rFonts w:hint="cs"/>
          <w:rtl/>
        </w:rPr>
        <w:t>8.</w:t>
      </w:r>
      <w:r>
        <w:rPr>
          <w:rtl/>
        </w:rPr>
        <w:tab/>
      </w:r>
      <w:r>
        <w:rPr>
          <w:rFonts w:hint="cs"/>
          <w:rtl/>
        </w:rPr>
        <w:t xml:space="preserve">באישום השביעי, הנאשם הורשע בביצוע עבירה של סחר בסמים לפי סעיפים </w:t>
      </w:r>
      <w:hyperlink r:id="rId31" w:history="1">
        <w:r w:rsidR="00F97262" w:rsidRPr="00F97262">
          <w:rPr>
            <w:rStyle w:val="Hyperlink"/>
            <w:rFonts w:cs="David"/>
            <w:rtl/>
          </w:rPr>
          <w:t>13 ו-19א</w:t>
        </w:r>
      </w:hyperlink>
      <w:r>
        <w:rPr>
          <w:rFonts w:hint="cs"/>
          <w:rtl/>
        </w:rPr>
        <w:t xml:space="preserve"> לפקודה. על פי עובדות האישום השביעי, ביום 3.12.17, בשעה שאינה ידועה במדויק למאשימה, סמוך לתיאטרון הבימה בתל אביב, מסר הנאשם לאותה קונה שבאישום השישי, ללא תמורה, סיגריה מגולגלת ובתוכה סם מסוכן מסוג קנבוס. </w:t>
      </w:r>
    </w:p>
    <w:p w14:paraId="6EB2B172" w14:textId="77777777" w:rsidR="00EF20B3" w:rsidRDefault="00EF20B3" w:rsidP="00EF20B3">
      <w:pPr>
        <w:spacing w:line="360" w:lineRule="auto"/>
        <w:ind w:left="720" w:hanging="720"/>
        <w:jc w:val="both"/>
        <w:rPr>
          <w:rtl/>
        </w:rPr>
      </w:pPr>
    </w:p>
    <w:p w14:paraId="584E464B" w14:textId="77777777" w:rsidR="00EF20B3" w:rsidRDefault="00EF20B3" w:rsidP="00EF20B3">
      <w:pPr>
        <w:spacing w:line="360" w:lineRule="auto"/>
        <w:ind w:left="720" w:hanging="720"/>
        <w:jc w:val="both"/>
        <w:rPr>
          <w:rtl/>
        </w:rPr>
      </w:pPr>
      <w:r>
        <w:rPr>
          <w:rFonts w:hint="cs"/>
          <w:rtl/>
        </w:rPr>
        <w:t>9.</w:t>
      </w:r>
      <w:r>
        <w:rPr>
          <w:rFonts w:hint="cs"/>
          <w:rtl/>
        </w:rPr>
        <w:tab/>
        <w:t xml:space="preserve">באישום השמיני, הנאשם הורשע בביצוע עבירה של סחר בסמים לפי סעיפים </w:t>
      </w:r>
      <w:hyperlink r:id="rId32" w:history="1">
        <w:r w:rsidR="00F97262" w:rsidRPr="00F97262">
          <w:rPr>
            <w:rStyle w:val="Hyperlink"/>
            <w:rFonts w:cs="David"/>
            <w:rtl/>
          </w:rPr>
          <w:t>13 ו-19א</w:t>
        </w:r>
      </w:hyperlink>
      <w:r>
        <w:rPr>
          <w:rFonts w:hint="cs"/>
          <w:rtl/>
        </w:rPr>
        <w:t xml:space="preserve"> לפקודה. על פי עובדות האישום השמיני, במהלך חודש ספטמבר 2017, במועד אשר אינו ידוע במדויק למאשימה, לאחר תיאום מראש לגבי סוג הסם, מחירו וכמותו, מכר הנאשם בתחומי העיר לוד, לקונה סם מסוכן מסוג קנבוס במשקל של כ-5 גרם תמורת סך של 450 ₪. </w:t>
      </w:r>
    </w:p>
    <w:p w14:paraId="4DEB8A08" w14:textId="77777777" w:rsidR="00EF20B3" w:rsidRDefault="00EF20B3" w:rsidP="00EF20B3">
      <w:pPr>
        <w:spacing w:line="360" w:lineRule="auto"/>
        <w:ind w:left="720" w:hanging="720"/>
        <w:jc w:val="both"/>
        <w:rPr>
          <w:rtl/>
        </w:rPr>
      </w:pPr>
    </w:p>
    <w:p w14:paraId="601B2620" w14:textId="77777777" w:rsidR="00EF20B3" w:rsidRDefault="00EF20B3" w:rsidP="00EF20B3">
      <w:pPr>
        <w:spacing w:line="360" w:lineRule="auto"/>
        <w:ind w:left="720" w:hanging="720"/>
        <w:jc w:val="both"/>
        <w:rPr>
          <w:rtl/>
        </w:rPr>
      </w:pPr>
      <w:r>
        <w:rPr>
          <w:rFonts w:hint="cs"/>
          <w:rtl/>
        </w:rPr>
        <w:t>10.</w:t>
      </w:r>
      <w:r>
        <w:rPr>
          <w:rFonts w:hint="cs"/>
          <w:rtl/>
        </w:rPr>
        <w:tab/>
        <w:t xml:space="preserve">באישום התשיעי, הנאשם הורשע בביצוע עבירה של סחר בסמים לפי סעיפים </w:t>
      </w:r>
      <w:hyperlink r:id="rId33" w:history="1">
        <w:r w:rsidR="00F97262" w:rsidRPr="00F97262">
          <w:rPr>
            <w:rStyle w:val="Hyperlink"/>
            <w:rFonts w:cs="David"/>
            <w:rtl/>
          </w:rPr>
          <w:t>13 ו-19א</w:t>
        </w:r>
      </w:hyperlink>
      <w:r>
        <w:rPr>
          <w:rFonts w:hint="cs"/>
          <w:rtl/>
        </w:rPr>
        <w:t xml:space="preserve"> לפקודה. על פי עובדות האישום התשיעי, ביום 20.10.17 בשעה שאינה ידועה במדויק למאשימה, הנאשם מכר בתחומי העיר לוד ולאחר תיאום מראש לקונה סם מסוג מסוג קנבוס במשקל של כ-10 גרם תמורת סך של 600 ₪. </w:t>
      </w:r>
    </w:p>
    <w:p w14:paraId="0C9295EF" w14:textId="77777777" w:rsidR="00EF20B3" w:rsidRDefault="00EF20B3" w:rsidP="00EF20B3">
      <w:pPr>
        <w:spacing w:line="360" w:lineRule="auto"/>
        <w:ind w:left="720" w:hanging="720"/>
        <w:jc w:val="both"/>
        <w:rPr>
          <w:rtl/>
        </w:rPr>
      </w:pPr>
    </w:p>
    <w:p w14:paraId="6E8EB269" w14:textId="77777777" w:rsidR="00EF20B3" w:rsidRDefault="00EF20B3" w:rsidP="00EF20B3">
      <w:pPr>
        <w:spacing w:line="360" w:lineRule="auto"/>
        <w:ind w:left="720" w:hanging="720"/>
        <w:jc w:val="both"/>
        <w:rPr>
          <w:rtl/>
        </w:rPr>
      </w:pPr>
      <w:r>
        <w:rPr>
          <w:rFonts w:hint="cs"/>
          <w:rtl/>
        </w:rPr>
        <w:t>11.</w:t>
      </w:r>
      <w:r>
        <w:rPr>
          <w:rFonts w:hint="cs"/>
          <w:rtl/>
        </w:rPr>
        <w:tab/>
        <w:t xml:space="preserve">באישום העשירי, הנאשם הורשע בביצוע עבירה של סחר בסמים לפי סעיפים </w:t>
      </w:r>
      <w:hyperlink r:id="rId34" w:history="1">
        <w:r w:rsidR="00F97262" w:rsidRPr="00F97262">
          <w:rPr>
            <w:rStyle w:val="Hyperlink"/>
            <w:rFonts w:cs="David"/>
            <w:rtl/>
          </w:rPr>
          <w:t>13 ו-19א</w:t>
        </w:r>
      </w:hyperlink>
      <w:r>
        <w:rPr>
          <w:rFonts w:hint="cs"/>
          <w:rtl/>
        </w:rPr>
        <w:t xml:space="preserve"> לפקודה. על פי עובדות האישום העשירי, בתאריך 13.6.17 בשעה שאינה ידועה במדויק למאשימה, לאחר תיאום טלפוני מראש באשר לסוג הסם, כמותו, מחירו ומקום המפגש, תיאם הנאשם עם הקונה על מקום המפגש בתחומי העיר לוד, ושם מסר לו סם מסוכן מסוג קנבוס במשקל של כ-2 גרם תמורת סך של 200 ₪. </w:t>
      </w:r>
    </w:p>
    <w:p w14:paraId="735F5602" w14:textId="77777777" w:rsidR="00EF20B3" w:rsidRDefault="00EF20B3" w:rsidP="00EF20B3">
      <w:pPr>
        <w:spacing w:line="360" w:lineRule="auto"/>
        <w:ind w:left="720" w:hanging="720"/>
        <w:jc w:val="both"/>
        <w:rPr>
          <w:rtl/>
        </w:rPr>
      </w:pPr>
    </w:p>
    <w:p w14:paraId="2B739246" w14:textId="77777777" w:rsidR="00EF20B3" w:rsidRPr="00890636" w:rsidRDefault="00EF20B3" w:rsidP="00EF20B3">
      <w:pPr>
        <w:spacing w:line="360" w:lineRule="auto"/>
        <w:ind w:left="720" w:hanging="720"/>
        <w:jc w:val="both"/>
        <w:rPr>
          <w:b/>
          <w:bCs/>
          <w:sz w:val="28"/>
          <w:szCs w:val="28"/>
          <w:u w:val="single"/>
          <w:rtl/>
        </w:rPr>
      </w:pPr>
      <w:r w:rsidRPr="00890636">
        <w:rPr>
          <w:rFonts w:hint="cs"/>
          <w:b/>
          <w:bCs/>
          <w:sz w:val="28"/>
          <w:szCs w:val="28"/>
          <w:u w:val="single"/>
          <w:rtl/>
        </w:rPr>
        <w:t>תסקיר</w:t>
      </w:r>
      <w:r>
        <w:rPr>
          <w:rFonts w:hint="cs"/>
          <w:b/>
          <w:bCs/>
          <w:sz w:val="28"/>
          <w:szCs w:val="28"/>
          <w:u w:val="single"/>
          <w:rtl/>
        </w:rPr>
        <w:t>י</w:t>
      </w:r>
      <w:r w:rsidRPr="00890636">
        <w:rPr>
          <w:rFonts w:hint="cs"/>
          <w:b/>
          <w:bCs/>
          <w:sz w:val="28"/>
          <w:szCs w:val="28"/>
          <w:u w:val="single"/>
          <w:rtl/>
        </w:rPr>
        <w:t xml:space="preserve"> שירות המבחן</w:t>
      </w:r>
    </w:p>
    <w:p w14:paraId="0BBF518A" w14:textId="77777777" w:rsidR="00EF20B3" w:rsidRDefault="00EF20B3" w:rsidP="00EF20B3">
      <w:pPr>
        <w:spacing w:line="360" w:lineRule="auto"/>
        <w:ind w:left="720" w:hanging="720"/>
        <w:jc w:val="both"/>
        <w:rPr>
          <w:rtl/>
        </w:rPr>
      </w:pPr>
    </w:p>
    <w:p w14:paraId="45A7C0E6" w14:textId="77777777" w:rsidR="00EF20B3" w:rsidRDefault="00EF20B3" w:rsidP="00EF20B3">
      <w:pPr>
        <w:spacing w:line="360" w:lineRule="auto"/>
        <w:ind w:left="720" w:hanging="720"/>
        <w:jc w:val="both"/>
        <w:rPr>
          <w:rtl/>
        </w:rPr>
      </w:pPr>
      <w:r>
        <w:rPr>
          <w:rFonts w:hint="cs"/>
          <w:rtl/>
        </w:rPr>
        <w:t>12.</w:t>
      </w:r>
      <w:r>
        <w:rPr>
          <w:rFonts w:hint="cs"/>
          <w:rtl/>
        </w:rPr>
        <w:tab/>
        <w:t xml:space="preserve">התקבל תסקיר לעונש מטעם שירות המבחן מיום 11.12.19 ואשר להלן עיקריו: </w:t>
      </w:r>
    </w:p>
    <w:p w14:paraId="4FA00002" w14:textId="77777777" w:rsidR="00EF20B3" w:rsidRDefault="00EF20B3" w:rsidP="00EF20B3">
      <w:pPr>
        <w:spacing w:line="360" w:lineRule="auto"/>
        <w:ind w:left="720" w:hanging="720"/>
        <w:jc w:val="both"/>
        <w:rPr>
          <w:rtl/>
        </w:rPr>
      </w:pPr>
    </w:p>
    <w:p w14:paraId="482D3F5E" w14:textId="77777777" w:rsidR="00EF20B3" w:rsidRDefault="00EF20B3" w:rsidP="00EF20B3">
      <w:pPr>
        <w:spacing w:line="360" w:lineRule="auto"/>
        <w:ind w:left="1440" w:hanging="720"/>
        <w:jc w:val="both"/>
        <w:rPr>
          <w:rtl/>
        </w:rPr>
      </w:pPr>
      <w:r>
        <w:rPr>
          <w:rFonts w:hint="cs"/>
          <w:rtl/>
        </w:rPr>
        <w:t>א.</w:t>
      </w:r>
      <w:r>
        <w:rPr>
          <w:rtl/>
        </w:rPr>
        <w:tab/>
      </w:r>
      <w:r>
        <w:rPr>
          <w:rFonts w:hint="cs"/>
          <w:rtl/>
        </w:rPr>
        <w:t xml:space="preserve">הנאשם הוא כיום בן 30 שנים, גרוש בשנית, ללא ילדים ומתגורר בבית הוריו בתחומי העיר לוד ובעל עסק עצמאי בתחום הבניה. </w:t>
      </w:r>
    </w:p>
    <w:p w14:paraId="0AE4CF8B" w14:textId="77777777" w:rsidR="00EF20B3" w:rsidRDefault="00EF20B3" w:rsidP="00EF20B3">
      <w:pPr>
        <w:spacing w:line="360" w:lineRule="auto"/>
        <w:ind w:left="1440" w:hanging="720"/>
        <w:jc w:val="both"/>
        <w:rPr>
          <w:rtl/>
        </w:rPr>
      </w:pPr>
    </w:p>
    <w:p w14:paraId="06FACB89" w14:textId="77777777" w:rsidR="00EF20B3" w:rsidRDefault="00EF20B3" w:rsidP="00EF20B3">
      <w:pPr>
        <w:spacing w:line="360" w:lineRule="auto"/>
        <w:ind w:left="1440" w:hanging="720"/>
        <w:jc w:val="both"/>
        <w:rPr>
          <w:rtl/>
        </w:rPr>
      </w:pPr>
      <w:r>
        <w:rPr>
          <w:rFonts w:hint="cs"/>
          <w:rtl/>
        </w:rPr>
        <w:t>ב.</w:t>
      </w:r>
      <w:r>
        <w:rPr>
          <w:rFonts w:hint="cs"/>
          <w:rtl/>
        </w:rPr>
        <w:tab/>
        <w:t xml:space="preserve">שירות המבחן התרשם שהנאשם ניהל אורח חיים התמכרותי וכי בשנתיים האחרונות חלה הידרדרות במצבו על רקע שימוש תדיר בסמים. שירות המבחן המליץ על שחרורו ממעצרו בגין התיק הנוכחי לצד העמדתו בפיקוח מעצר למשך שישה חודשים וזאת לצורך הפנייתו לטיפול בתחום ההתמכרות באזור מגוריו. </w:t>
      </w:r>
    </w:p>
    <w:p w14:paraId="5E5EF78C" w14:textId="77777777" w:rsidR="00EF20B3" w:rsidRDefault="00EF20B3" w:rsidP="00EF20B3">
      <w:pPr>
        <w:spacing w:line="360" w:lineRule="auto"/>
        <w:ind w:left="1440" w:hanging="720"/>
        <w:jc w:val="both"/>
        <w:rPr>
          <w:rtl/>
        </w:rPr>
      </w:pPr>
    </w:p>
    <w:p w14:paraId="7C4B9936" w14:textId="77777777" w:rsidR="00EF20B3" w:rsidRDefault="00EF20B3" w:rsidP="00EF20B3">
      <w:pPr>
        <w:spacing w:line="360" w:lineRule="auto"/>
        <w:ind w:left="1440" w:hanging="720"/>
        <w:jc w:val="both"/>
        <w:rPr>
          <w:rtl/>
        </w:rPr>
      </w:pPr>
      <w:r>
        <w:rPr>
          <w:rFonts w:hint="cs"/>
          <w:rtl/>
        </w:rPr>
        <w:t>ג.</w:t>
      </w:r>
      <w:r>
        <w:rPr>
          <w:rFonts w:hint="cs"/>
          <w:rtl/>
        </w:rPr>
        <w:tab/>
        <w:t xml:space="preserve">הנאשם שיתף פעולה עם שירות המבחן, הגיע לפגישות שנקבעו עמו וביצע בדיקות שתן אשר העידו על ניקיונו מסמים. בהמשך, במהלך חודש נובמבר 2018, שולב ביחידה לטיפול בהתמכרויות בלוד. הנאשם שיתף פעולה עם מסגרת הטיפול וביטא מוטיבציה לשינוי אורחות חייו. </w:t>
      </w:r>
    </w:p>
    <w:p w14:paraId="7B41A746" w14:textId="77777777" w:rsidR="00EF20B3" w:rsidRDefault="00EF20B3" w:rsidP="00EF20B3">
      <w:pPr>
        <w:spacing w:line="360" w:lineRule="auto"/>
        <w:ind w:left="1440" w:hanging="720"/>
        <w:jc w:val="both"/>
        <w:rPr>
          <w:rtl/>
        </w:rPr>
      </w:pPr>
    </w:p>
    <w:p w14:paraId="20BB0F9C" w14:textId="77777777" w:rsidR="00EF20B3" w:rsidRDefault="00EF20B3" w:rsidP="00EF20B3">
      <w:pPr>
        <w:spacing w:line="360" w:lineRule="auto"/>
        <w:ind w:left="1440" w:hanging="720"/>
        <w:jc w:val="both"/>
        <w:rPr>
          <w:rtl/>
        </w:rPr>
      </w:pPr>
      <w:r>
        <w:rPr>
          <w:rFonts w:hint="cs"/>
          <w:rtl/>
        </w:rPr>
        <w:t>ד.</w:t>
      </w:r>
      <w:r>
        <w:rPr>
          <w:rFonts w:hint="cs"/>
          <w:rtl/>
        </w:rPr>
        <w:tab/>
        <w:t xml:space="preserve">שירות המבחן קיבל מידע עדכני לגבי הנאשם מהמטפלת שטיפלה בו ביחידה להתמכרויות ואשר מסרה שהנאשם החל בשיחות פרטניות ביום 3.2.19 לצד מסירת בדיקות שתן שהעידו על ניקיונו מסמים. הנאשם גילה מוטיבציה גבוהה לשיקום אורחות חייו על ידי תעסוקה נורמטיבית. הנאשם משולב בטיפול הקבוצתי אליו מגיע בקביעות ולוקח חלק פעיל בהליך הקבוצתי וכן מפנים את התכנים הלימודיים ומיישם אותם בחייו האישיים. גורמי הטיפול התרשמו שהנאשם נעזר ונתרם מההליך הטיפולי, תורם להליך הקבוצתי וניכר עליו שעבר כברת דרך מאז תחילת ההליך. בעקבות זאת, שרות המבחן התרשם שחלה הפחתה ברמת הסיכון במצבו של הנאשם. </w:t>
      </w:r>
    </w:p>
    <w:p w14:paraId="43528BCB" w14:textId="77777777" w:rsidR="00EF20B3" w:rsidRDefault="00EF20B3" w:rsidP="00EF20B3">
      <w:pPr>
        <w:spacing w:line="360" w:lineRule="auto"/>
        <w:ind w:left="1440" w:hanging="720"/>
        <w:jc w:val="both"/>
        <w:rPr>
          <w:rtl/>
        </w:rPr>
      </w:pPr>
    </w:p>
    <w:p w14:paraId="50C9C675" w14:textId="77777777" w:rsidR="00EF20B3" w:rsidRDefault="00EF20B3" w:rsidP="00EF20B3">
      <w:pPr>
        <w:spacing w:line="360" w:lineRule="auto"/>
        <w:ind w:left="1440" w:hanging="720"/>
        <w:jc w:val="both"/>
        <w:rPr>
          <w:rtl/>
        </w:rPr>
      </w:pPr>
      <w:r>
        <w:rPr>
          <w:rFonts w:hint="cs"/>
          <w:rtl/>
        </w:rPr>
        <w:t>ה.</w:t>
      </w:r>
      <w:r>
        <w:rPr>
          <w:rFonts w:hint="cs"/>
          <w:rtl/>
        </w:rPr>
        <w:tab/>
        <w:t xml:space="preserve">שירות המבחן התרשם שהנאשם יכול להמשיך ולהיתרם מההליך הטיפולי לטווח הארוך, וזאת לאור העבודה שחלו שינויים בדפוסי חשיבתו והתנהלותו. לפיכך, שירות המבחן </w:t>
      </w:r>
      <w:r w:rsidRPr="008A7412">
        <w:rPr>
          <w:rFonts w:hint="cs"/>
          <w:u w:val="single"/>
          <w:rtl/>
        </w:rPr>
        <w:t>המליץ להעמידו בצו מבחן</w:t>
      </w:r>
      <w:r>
        <w:rPr>
          <w:rFonts w:hint="cs"/>
          <w:rtl/>
        </w:rPr>
        <w:t xml:space="preserve"> לתקופה של שנה שבמהלכה ימשיך את השתתפותו בטיפול בו מצוי. בנוסף, שירות המבחן המליץ להשית על הנאשם מאסר שירוצה בדרך של עבודות שירות ומאסר מותנה. </w:t>
      </w:r>
    </w:p>
    <w:p w14:paraId="67CF5CEE" w14:textId="77777777" w:rsidR="00EF20B3" w:rsidRDefault="00EF20B3" w:rsidP="00EF20B3">
      <w:pPr>
        <w:spacing w:line="360" w:lineRule="auto"/>
        <w:jc w:val="both"/>
        <w:rPr>
          <w:rtl/>
        </w:rPr>
      </w:pPr>
    </w:p>
    <w:p w14:paraId="192CFBEB" w14:textId="77777777" w:rsidR="00EF20B3" w:rsidRDefault="00EF20B3" w:rsidP="00EF20B3">
      <w:pPr>
        <w:spacing w:line="360" w:lineRule="auto"/>
        <w:ind w:left="720" w:hanging="720"/>
        <w:jc w:val="both"/>
        <w:rPr>
          <w:rtl/>
        </w:rPr>
      </w:pPr>
      <w:r>
        <w:rPr>
          <w:rFonts w:hint="cs"/>
          <w:rtl/>
        </w:rPr>
        <w:t>13.</w:t>
      </w:r>
      <w:r>
        <w:rPr>
          <w:rFonts w:hint="cs"/>
          <w:rtl/>
        </w:rPr>
        <w:tab/>
        <w:t xml:space="preserve">בנוסף, התקבל תסקיר משלים מיום 9.2.20, ואשר לפיו דווח על ידי גורמי הטיפול ביחידה לטיפול בהתמכרויות בלוד ביום 31.12.19 כי על רקע קושי של הנאשם בקבלת כללי המסגרת, הוא התנהל באופן בעייתי במסגרת הטיפול הקבוצתי בכך שהגיב בתוקפנות מילולית ואיים בהתאבדות. על כן, שרות המבחן התרשם שיש לשלבו בתכנית טיפולית אינטנסיבית </w:t>
      </w:r>
      <w:r w:rsidRPr="008A7412">
        <w:rPr>
          <w:rFonts w:hint="cs"/>
          <w:u w:val="single"/>
          <w:rtl/>
        </w:rPr>
        <w:t>ושכיום</w:t>
      </w:r>
      <w:r>
        <w:rPr>
          <w:rFonts w:hint="cs"/>
          <w:rtl/>
        </w:rPr>
        <w:t xml:space="preserve"> טרם בשלה השעה להטלת צו מבחן על הנאשם וכי יש לדחות את מתן גזר הדין בארבעה חודשים נוספים על מנת לבחון את התקדמותו ואת נכונותו להשתלב במסגרת "מרכז היום", שהיא תכנית טיפולית אינטנסיבית ומעמיקה לגמילה מסמים. </w:t>
      </w:r>
    </w:p>
    <w:p w14:paraId="6DC91799" w14:textId="77777777" w:rsidR="00EF20B3" w:rsidRDefault="00EF20B3" w:rsidP="00EF20B3">
      <w:pPr>
        <w:spacing w:line="360" w:lineRule="auto"/>
        <w:ind w:left="720" w:hanging="720"/>
        <w:jc w:val="both"/>
        <w:rPr>
          <w:rtl/>
        </w:rPr>
      </w:pPr>
    </w:p>
    <w:p w14:paraId="569B2F62" w14:textId="77777777" w:rsidR="00EF20B3" w:rsidRDefault="00EF20B3" w:rsidP="00EF20B3">
      <w:pPr>
        <w:spacing w:line="360" w:lineRule="auto"/>
        <w:ind w:left="720" w:hanging="720"/>
        <w:jc w:val="both"/>
        <w:rPr>
          <w:rtl/>
        </w:rPr>
      </w:pPr>
      <w:r>
        <w:rPr>
          <w:rFonts w:hint="cs"/>
          <w:rtl/>
        </w:rPr>
        <w:t>14.</w:t>
      </w:r>
      <w:r>
        <w:rPr>
          <w:rFonts w:hint="cs"/>
          <w:rtl/>
        </w:rPr>
        <w:tab/>
        <w:t xml:space="preserve">הנאשם הסכים לדחייה המבוקשת מטעם שרות המבחן ובעוד שהמאשימה התנגדה לה. בסופו של יום, דחיתי את הבקשה מטעם שרות המבחן לדחיית הדיון וקבעתי שהמועד שנקבע ליום 18.2.20 למתן גזר הדין עומד בעינו, וזאת כפי שביקשה המאשימה. עם זאת, כפי שיובהר בהמשך, הדבר איננו מפחית כהוא זה מהחלטתי לסטות ממתחם העונש ההולם מטעמי שיקום, לרבות הטלת  צו מבחן. </w:t>
      </w:r>
    </w:p>
    <w:p w14:paraId="1A75A489" w14:textId="77777777" w:rsidR="00EF20B3" w:rsidRDefault="00EF20B3" w:rsidP="00EF20B3">
      <w:pPr>
        <w:spacing w:line="360" w:lineRule="auto"/>
        <w:jc w:val="both"/>
        <w:rPr>
          <w:rtl/>
        </w:rPr>
      </w:pPr>
    </w:p>
    <w:p w14:paraId="2E35DEC2" w14:textId="77777777" w:rsidR="00EF20B3" w:rsidRPr="003A05DC" w:rsidRDefault="00EF20B3" w:rsidP="00EF20B3">
      <w:pPr>
        <w:spacing w:line="360" w:lineRule="auto"/>
        <w:jc w:val="both"/>
        <w:rPr>
          <w:b/>
          <w:bCs/>
          <w:sz w:val="28"/>
          <w:szCs w:val="28"/>
          <w:u w:val="single"/>
          <w:rtl/>
        </w:rPr>
      </w:pPr>
      <w:r w:rsidRPr="003A05DC">
        <w:rPr>
          <w:rFonts w:hint="cs"/>
          <w:b/>
          <w:bCs/>
          <w:sz w:val="28"/>
          <w:szCs w:val="28"/>
          <w:u w:val="single"/>
          <w:rtl/>
        </w:rPr>
        <w:t xml:space="preserve">טענות הצדדים לעונש </w:t>
      </w:r>
    </w:p>
    <w:p w14:paraId="63AF7AC9" w14:textId="77777777" w:rsidR="00EF20B3" w:rsidRDefault="00EF20B3" w:rsidP="00EF20B3">
      <w:pPr>
        <w:spacing w:line="360" w:lineRule="auto"/>
        <w:jc w:val="both"/>
        <w:rPr>
          <w:rtl/>
        </w:rPr>
      </w:pPr>
    </w:p>
    <w:p w14:paraId="5E0667B4" w14:textId="77777777" w:rsidR="00EF20B3" w:rsidRDefault="00EF20B3" w:rsidP="00EF20B3">
      <w:pPr>
        <w:spacing w:line="360" w:lineRule="auto"/>
        <w:ind w:left="720" w:hanging="720"/>
        <w:jc w:val="both"/>
        <w:rPr>
          <w:rtl/>
        </w:rPr>
      </w:pPr>
      <w:r>
        <w:rPr>
          <w:rFonts w:hint="cs"/>
          <w:rtl/>
        </w:rPr>
        <w:t>15.</w:t>
      </w:r>
      <w:r>
        <w:rPr>
          <w:rFonts w:hint="cs"/>
          <w:rtl/>
        </w:rPr>
        <w:tab/>
        <w:t xml:space="preserve">המאשימה הפנתה לרישום הפלילי של הנאשם ואשר כולל שתי הרשעות קודמות.  הראשונה משנת 2007 בגין עבירות סמים בעת שהיה קטין שבה נדון למאסר בפועל של שישה חודשים. השנייה, משנת 2010 שעניינה ירי מנשק חם באזור מגורים והחזקת נשק ונדון לעונש מאסר בפועל של 11 חודשים. בנוסף, המאשימה הפנתה לתדפיס מידע פלילי בעבירות תעבורה, ואשר כולל 6 הרשעות קודמות, הכוללות בין השאר, נהיגה בזמן פסילה ונהיגה תחת השפעת סמים או אלכוהול (ת/1 ו-ת/2). </w:t>
      </w:r>
    </w:p>
    <w:p w14:paraId="36C559CE" w14:textId="77777777" w:rsidR="00EF20B3" w:rsidRDefault="00EF20B3" w:rsidP="00EF20B3">
      <w:pPr>
        <w:spacing w:line="360" w:lineRule="auto"/>
        <w:ind w:left="720" w:hanging="720"/>
        <w:jc w:val="both"/>
        <w:rPr>
          <w:rtl/>
        </w:rPr>
      </w:pPr>
    </w:p>
    <w:p w14:paraId="4C12FF83" w14:textId="77777777" w:rsidR="00EF20B3" w:rsidRDefault="00EF20B3" w:rsidP="00EF20B3">
      <w:pPr>
        <w:spacing w:line="360" w:lineRule="auto"/>
        <w:ind w:left="720" w:hanging="720"/>
        <w:jc w:val="both"/>
        <w:rPr>
          <w:rtl/>
        </w:rPr>
      </w:pPr>
      <w:r>
        <w:rPr>
          <w:rFonts w:hint="cs"/>
          <w:rtl/>
        </w:rPr>
        <w:t>16.</w:t>
      </w:r>
      <w:r>
        <w:rPr>
          <w:rFonts w:hint="cs"/>
          <w:rtl/>
        </w:rPr>
        <w:tab/>
        <w:t xml:space="preserve">המאשימה טענה שלאור ריבוי אירועי הסחר בסמים שבכתב האישום, עם ריבוי קונים,  יש לקבוע מתחם עונש הולם נפרד לכל אחד מהאישומים. לטענת המאשימה, לגבי האישום הרביעי המתחם צריך לנוע בין 10 ועד 24 חודשים וזאת לאור כמות הסם שהיא משמעותית גדולה יותר מהכמויות המופיעות בשאר האישומים. כמו כן, נטען שלגבי כל אחד משאר האישומים יש לקבוע מתחם עונש הולם שנע בין 6 ועד 12 חודשי מאסר בפועל. לפי עמדת המאשימה, העונש הראוי הוא מאסר מאחורי סורג ובריח לתקופה ממושכת. </w:t>
      </w:r>
    </w:p>
    <w:p w14:paraId="0FE12FF7" w14:textId="77777777" w:rsidR="00EF20B3" w:rsidRDefault="00EF20B3" w:rsidP="00EF20B3">
      <w:pPr>
        <w:spacing w:line="360" w:lineRule="auto"/>
        <w:ind w:left="720" w:hanging="720"/>
        <w:jc w:val="both"/>
        <w:rPr>
          <w:rtl/>
        </w:rPr>
      </w:pPr>
    </w:p>
    <w:p w14:paraId="4CF9D55F" w14:textId="77777777" w:rsidR="00EF20B3" w:rsidRDefault="00EF20B3" w:rsidP="00EF20B3">
      <w:pPr>
        <w:spacing w:line="360" w:lineRule="auto"/>
        <w:ind w:left="720" w:hanging="720"/>
        <w:jc w:val="both"/>
        <w:rPr>
          <w:rtl/>
        </w:rPr>
      </w:pPr>
      <w:r>
        <w:rPr>
          <w:rFonts w:hint="cs"/>
          <w:rtl/>
        </w:rPr>
        <w:t>17.</w:t>
      </w:r>
      <w:r>
        <w:rPr>
          <w:rFonts w:hint="cs"/>
          <w:rtl/>
        </w:rPr>
        <w:tab/>
        <w:t xml:space="preserve">בא כוח הנאשם טען כי מדובר במקרה מובהק שיש לסטות בו ממתחם העונש ההולם מטעמי שיקום. לטענתו, הנאשם עבר דרך ארוכה, תוך הסתייעות בשירות המבחן, לשם התנתקות ממעגל הסמים ולכן יש להושיט לו יד ולאפשר לו לסלול לעצמו דרך חדשה. על כן, בא כוח הנאשם טען שיש לאמץ את המלצות שירות המבחן ולכל היותר להשית על הנאשם מאסר שירוצה בדרך של עבודות שירות. </w:t>
      </w:r>
    </w:p>
    <w:p w14:paraId="277B71A8" w14:textId="77777777" w:rsidR="00EF20B3" w:rsidRDefault="00EF20B3" w:rsidP="00EF20B3">
      <w:pPr>
        <w:spacing w:line="360" w:lineRule="auto"/>
        <w:ind w:left="720" w:hanging="720"/>
        <w:jc w:val="both"/>
        <w:rPr>
          <w:rtl/>
        </w:rPr>
      </w:pPr>
    </w:p>
    <w:p w14:paraId="45C41332" w14:textId="77777777" w:rsidR="00EF20B3" w:rsidRPr="000B08C1" w:rsidRDefault="00EF20B3" w:rsidP="00EF20B3">
      <w:pPr>
        <w:spacing w:line="360" w:lineRule="auto"/>
        <w:ind w:left="720" w:hanging="720"/>
        <w:jc w:val="both"/>
        <w:rPr>
          <w:b/>
          <w:bCs/>
          <w:sz w:val="28"/>
          <w:szCs w:val="28"/>
          <w:u w:val="single"/>
          <w:rtl/>
        </w:rPr>
      </w:pPr>
      <w:r w:rsidRPr="000B08C1">
        <w:rPr>
          <w:rFonts w:hint="cs"/>
          <w:b/>
          <w:bCs/>
          <w:sz w:val="28"/>
          <w:szCs w:val="28"/>
          <w:u w:val="single"/>
          <w:rtl/>
        </w:rPr>
        <w:t>מתחם העונש ההולם</w:t>
      </w:r>
    </w:p>
    <w:p w14:paraId="0E2144DA" w14:textId="77777777" w:rsidR="00EF20B3" w:rsidRDefault="00EF20B3" w:rsidP="00EF20B3">
      <w:pPr>
        <w:spacing w:line="360" w:lineRule="auto"/>
        <w:ind w:left="720" w:hanging="720"/>
        <w:jc w:val="both"/>
        <w:rPr>
          <w:rtl/>
        </w:rPr>
      </w:pPr>
    </w:p>
    <w:p w14:paraId="2D5B10F3" w14:textId="77777777" w:rsidR="00EF20B3" w:rsidRDefault="00EF20B3" w:rsidP="00EF20B3">
      <w:pPr>
        <w:spacing w:line="360" w:lineRule="auto"/>
        <w:ind w:left="720" w:hanging="720"/>
        <w:jc w:val="both"/>
        <w:rPr>
          <w:rtl/>
        </w:rPr>
      </w:pPr>
      <w:r>
        <w:rPr>
          <w:rFonts w:hint="cs"/>
          <w:rtl/>
        </w:rPr>
        <w:t>18.</w:t>
      </w:r>
      <w:r>
        <w:rPr>
          <w:rFonts w:hint="cs"/>
          <w:rtl/>
        </w:rPr>
        <w:tab/>
        <w:t xml:space="preserve">אגדיר תחילה את מתחם העונש ההולם לגבי העבירות מושא כתב האישום ולאחר מכן בפרק נפרד, אדון בשאלה אם יש מקום לסטות ממתחם העונש ההולם, כפי שטענה ההגנה, או לא. על מנת לקבוע מה הם גבולות מתחם העונש ההולם לעבירות מושא כתב האישום ובנסיבות ביצוען, אפנה לפסיקה שלהלן של בית המשפט העליון: </w:t>
      </w:r>
    </w:p>
    <w:p w14:paraId="19A60522" w14:textId="77777777" w:rsidR="00EF20B3" w:rsidRDefault="00EF20B3" w:rsidP="00EF20B3">
      <w:pPr>
        <w:spacing w:line="360" w:lineRule="auto"/>
        <w:ind w:left="720" w:hanging="720"/>
        <w:jc w:val="both"/>
        <w:rPr>
          <w:rtl/>
        </w:rPr>
      </w:pPr>
    </w:p>
    <w:p w14:paraId="111FAE70" w14:textId="77777777" w:rsidR="00EF20B3" w:rsidRDefault="00EF20B3" w:rsidP="00EF20B3">
      <w:pPr>
        <w:spacing w:line="360" w:lineRule="auto"/>
        <w:ind w:left="1440" w:hanging="720"/>
        <w:jc w:val="both"/>
        <w:rPr>
          <w:rtl/>
        </w:rPr>
      </w:pPr>
      <w:r>
        <w:rPr>
          <w:rFonts w:hint="cs"/>
          <w:rtl/>
        </w:rPr>
        <w:t>א.</w:t>
      </w:r>
      <w:r>
        <w:rPr>
          <w:rFonts w:hint="cs"/>
          <w:rtl/>
        </w:rPr>
        <w:tab/>
      </w:r>
      <w:hyperlink r:id="rId35" w:history="1">
        <w:r w:rsidR="00897C70" w:rsidRPr="00897C70">
          <w:rPr>
            <w:color w:val="0000FF"/>
            <w:u w:val="single"/>
            <w:rtl/>
          </w:rPr>
          <w:t>רע"פ 6401/18</w:t>
        </w:r>
      </w:hyperlink>
      <w:r>
        <w:rPr>
          <w:rFonts w:hint="cs"/>
          <w:rtl/>
        </w:rPr>
        <w:t xml:space="preserve"> </w:t>
      </w:r>
      <w:r w:rsidRPr="003C3A74">
        <w:rPr>
          <w:rFonts w:hint="cs"/>
          <w:b/>
          <w:bCs/>
          <w:rtl/>
        </w:rPr>
        <w:t>ספיר נ' מדינת ישראל</w:t>
      </w:r>
      <w:r>
        <w:rPr>
          <w:rFonts w:hint="cs"/>
          <w:rtl/>
        </w:rPr>
        <w:t xml:space="preserve"> (פורסם בנבו, 17.9.18). במקרה זה, המבקש הורשע בבית משפט השלום בנתניה בשורת עבירות של סחר בסמים במסגרת שבעה אישומים. על פי עובדות כתב האישום, המבקש תיאם מראש עם קונים שונים  באמצעות מסרונים, מכירה של סם מסוג קנבוס בכמויות שונות שנעות בין 5 ועד 23 גרם, בכל פעם. בית משפט השלום קבע שמתחם העונש ההולם לגבי </w:t>
      </w:r>
      <w:r w:rsidRPr="000B08C1">
        <w:rPr>
          <w:rFonts w:hint="cs"/>
          <w:u w:val="single"/>
          <w:rtl/>
        </w:rPr>
        <w:t xml:space="preserve">מכלול </w:t>
      </w:r>
      <w:r>
        <w:rPr>
          <w:rFonts w:hint="cs"/>
          <w:rtl/>
        </w:rPr>
        <w:t xml:space="preserve">האישומים נע </w:t>
      </w:r>
      <w:r w:rsidRPr="003C3A74">
        <w:rPr>
          <w:rFonts w:hint="cs"/>
          <w:u w:val="single"/>
          <w:rtl/>
        </w:rPr>
        <w:t>בין 16 ועד 36 חודשי מאסר בפועל</w:t>
      </w:r>
      <w:r>
        <w:rPr>
          <w:rFonts w:hint="cs"/>
          <w:rtl/>
        </w:rPr>
        <w:t>. לאור העובדה שהמבקש עבר הליך שיקומי, בית המשפט החליט לסטות ממתחם העונש ההולם מטעמי שיקום, והשית עליו</w:t>
      </w:r>
      <w:r w:rsidRPr="003C3A74">
        <w:rPr>
          <w:rFonts w:hint="cs"/>
          <w:u w:val="single"/>
          <w:rtl/>
        </w:rPr>
        <w:t xml:space="preserve"> 12 חודשי מאסר בפועל</w:t>
      </w:r>
      <w:r>
        <w:rPr>
          <w:rFonts w:hint="cs"/>
          <w:rtl/>
        </w:rPr>
        <w:t>. ערעורו לבית המשפט המחוזי נדחה וכן נדחתה בקשת רשות ערעור שהוגשה לבית המשפט העליון.</w:t>
      </w:r>
    </w:p>
    <w:p w14:paraId="0773C44D" w14:textId="77777777" w:rsidR="00EF20B3" w:rsidRDefault="00EF20B3" w:rsidP="00EF20B3">
      <w:pPr>
        <w:spacing w:line="360" w:lineRule="auto"/>
        <w:ind w:left="1440" w:hanging="720"/>
        <w:jc w:val="both"/>
        <w:rPr>
          <w:rtl/>
        </w:rPr>
      </w:pPr>
    </w:p>
    <w:p w14:paraId="7F3E67A1" w14:textId="77777777" w:rsidR="00EF20B3" w:rsidRDefault="00EF20B3" w:rsidP="00EF20B3">
      <w:pPr>
        <w:spacing w:line="360" w:lineRule="auto"/>
        <w:ind w:left="1440" w:hanging="720"/>
        <w:jc w:val="both"/>
        <w:rPr>
          <w:rtl/>
        </w:rPr>
      </w:pPr>
      <w:r>
        <w:rPr>
          <w:rFonts w:hint="cs"/>
          <w:rtl/>
        </w:rPr>
        <w:t>ב.</w:t>
      </w:r>
      <w:r>
        <w:rPr>
          <w:rFonts w:hint="cs"/>
          <w:rtl/>
        </w:rPr>
        <w:tab/>
      </w:r>
      <w:hyperlink r:id="rId36" w:history="1">
        <w:r w:rsidR="00897C70" w:rsidRPr="00897C70">
          <w:rPr>
            <w:color w:val="0000FF"/>
            <w:u w:val="single"/>
            <w:rtl/>
          </w:rPr>
          <w:t>רע"פ 7858/19</w:t>
        </w:r>
      </w:hyperlink>
      <w:r>
        <w:rPr>
          <w:rFonts w:hint="cs"/>
          <w:rtl/>
        </w:rPr>
        <w:t xml:space="preserve"> </w:t>
      </w:r>
      <w:r w:rsidRPr="003C3A74">
        <w:rPr>
          <w:rFonts w:hint="cs"/>
          <w:b/>
          <w:bCs/>
          <w:rtl/>
        </w:rPr>
        <w:t>וקנין נ' מדינת ישראל</w:t>
      </w:r>
      <w:r>
        <w:rPr>
          <w:rFonts w:hint="cs"/>
          <w:rtl/>
        </w:rPr>
        <w:t xml:space="preserve"> (פורסם בנבו, 28.11.19)</w:t>
      </w:r>
      <w:r>
        <w:rPr>
          <w:rFonts w:hint="cs"/>
          <w:b/>
          <w:bCs/>
          <w:rtl/>
        </w:rPr>
        <w:t xml:space="preserve">. </w:t>
      </w:r>
      <w:r w:rsidRPr="008534E4">
        <w:rPr>
          <w:rFonts w:hint="cs"/>
          <w:rtl/>
        </w:rPr>
        <w:t>המבקש הורשע בביצוע שתי</w:t>
      </w:r>
      <w:r>
        <w:rPr>
          <w:rFonts w:hint="cs"/>
          <w:rtl/>
        </w:rPr>
        <w:t xml:space="preserve"> </w:t>
      </w:r>
      <w:r w:rsidRPr="008534E4">
        <w:rPr>
          <w:rFonts w:hint="cs"/>
          <w:rtl/>
        </w:rPr>
        <w:t>עבירות של סחר בסמים בכך שמכר בשני מועדים שונים סם מסוכן מסוג קנבוס במשקל כולל של כ-5.8 גרם</w:t>
      </w:r>
      <w:r>
        <w:rPr>
          <w:rFonts w:hint="cs"/>
          <w:rtl/>
        </w:rPr>
        <w:t>.</w:t>
      </w:r>
      <w:r w:rsidRPr="008534E4">
        <w:rPr>
          <w:rFonts w:hint="cs"/>
          <w:rtl/>
        </w:rPr>
        <w:t xml:space="preserve"> </w:t>
      </w:r>
      <w:r>
        <w:rPr>
          <w:rFonts w:hint="cs"/>
          <w:rtl/>
        </w:rPr>
        <w:t xml:space="preserve">בית משפט השלום בירושלים קבע שמאחר ומדובר בכמויות סם קטנות ובסכומי כסף זעומים, מתחם העונש ההולם נע בין </w:t>
      </w:r>
      <w:r w:rsidRPr="008534E4">
        <w:rPr>
          <w:rFonts w:hint="cs"/>
          <w:u w:val="single"/>
          <w:rtl/>
        </w:rPr>
        <w:t>מאסר בפועל של מספר חודשים ועד שמונה חודשים ואשר יכול וירוצו בעבודות שירות</w:t>
      </w:r>
      <w:r w:rsidRPr="000B08C1">
        <w:rPr>
          <w:rFonts w:hint="cs"/>
          <w:rtl/>
        </w:rPr>
        <w:t xml:space="preserve">. </w:t>
      </w:r>
      <w:r>
        <w:rPr>
          <w:rFonts w:hint="cs"/>
          <w:rtl/>
        </w:rPr>
        <w:t xml:space="preserve">למבקש היו מאסרים על תנאי שתלויים ועומדים כנגדו ואשר הופעלו ולכן נדון </w:t>
      </w:r>
      <w:r>
        <w:rPr>
          <w:rFonts w:hint="cs"/>
          <w:u w:val="single"/>
          <w:rtl/>
        </w:rPr>
        <w:t>למאסר בפועל למשך 12 חודשים.</w:t>
      </w:r>
      <w:r w:rsidRPr="00B56D7F">
        <w:rPr>
          <w:rFonts w:hint="cs"/>
          <w:rtl/>
        </w:rPr>
        <w:t xml:space="preserve"> </w:t>
      </w:r>
      <w:r>
        <w:rPr>
          <w:rFonts w:hint="cs"/>
          <w:rtl/>
        </w:rPr>
        <w:t xml:space="preserve">ערעורו לבית המשפט המחוזי נדחה וכן נדחתה בקשת רשות ערעור שהוגשה לבית המשפט העליון. </w:t>
      </w:r>
    </w:p>
    <w:p w14:paraId="181A8B65" w14:textId="77777777" w:rsidR="00EF20B3" w:rsidRDefault="00EF20B3" w:rsidP="00EF20B3">
      <w:pPr>
        <w:spacing w:line="360" w:lineRule="auto"/>
        <w:ind w:left="1440" w:hanging="720"/>
        <w:jc w:val="both"/>
        <w:rPr>
          <w:rtl/>
        </w:rPr>
      </w:pPr>
    </w:p>
    <w:p w14:paraId="4D625790" w14:textId="77777777" w:rsidR="00EF20B3" w:rsidRDefault="00EF20B3" w:rsidP="00EF20B3">
      <w:pPr>
        <w:spacing w:line="360" w:lineRule="auto"/>
        <w:ind w:left="1440" w:hanging="720"/>
        <w:jc w:val="both"/>
        <w:rPr>
          <w:rtl/>
        </w:rPr>
      </w:pPr>
      <w:r>
        <w:rPr>
          <w:rFonts w:hint="cs"/>
          <w:rtl/>
        </w:rPr>
        <w:t>ג.</w:t>
      </w:r>
      <w:r>
        <w:rPr>
          <w:rFonts w:hint="cs"/>
          <w:rtl/>
        </w:rPr>
        <w:tab/>
      </w:r>
      <w:hyperlink r:id="rId37" w:history="1">
        <w:r w:rsidR="00897C70" w:rsidRPr="00897C70">
          <w:rPr>
            <w:color w:val="0000FF"/>
            <w:u w:val="single"/>
            <w:rtl/>
          </w:rPr>
          <w:t>רע"פ 114/19</w:t>
        </w:r>
      </w:hyperlink>
      <w:r>
        <w:rPr>
          <w:rFonts w:hint="cs"/>
          <w:rtl/>
        </w:rPr>
        <w:t xml:space="preserve"> </w:t>
      </w:r>
      <w:r>
        <w:rPr>
          <w:rFonts w:hint="cs"/>
          <w:b/>
          <w:bCs/>
          <w:rtl/>
        </w:rPr>
        <w:t xml:space="preserve">שצ'רבקוב </w:t>
      </w:r>
      <w:r w:rsidRPr="008534E4">
        <w:rPr>
          <w:rFonts w:hint="cs"/>
          <w:b/>
          <w:bCs/>
          <w:rtl/>
        </w:rPr>
        <w:t>נ' מדינת ישראל</w:t>
      </w:r>
      <w:r>
        <w:rPr>
          <w:rFonts w:hint="cs"/>
          <w:rtl/>
        </w:rPr>
        <w:t xml:space="preserve"> (פורסם בנבו, 13.1.19). המבקשת ובן זוגה סחרו בסם מסוכן מסוג קנבוס במהלך פרק זמן של שלושה חודשים. על מנת ללמוד לגבי מלוא העובדות של אותו תיק, מן הראוי לעיין, בנוסף להחלטת בית המשפט העליון, גם בפסק הדין של בית משפט השלום בראשון לציון (</w:t>
      </w:r>
      <w:hyperlink r:id="rId38" w:history="1">
        <w:r w:rsidR="00897C70" w:rsidRPr="00897C70">
          <w:rPr>
            <w:color w:val="0000FF"/>
            <w:u w:val="single"/>
            <w:rtl/>
          </w:rPr>
          <w:t>ת"פ 12945-08-17</w:t>
        </w:r>
      </w:hyperlink>
      <w:r>
        <w:rPr>
          <w:rFonts w:hint="cs"/>
          <w:rtl/>
        </w:rPr>
        <w:t>) וגם בפסק הדין של בית המשפט המחוזי במחוז מרכז (</w:t>
      </w:r>
      <w:hyperlink r:id="rId39" w:history="1">
        <w:r w:rsidR="00897C70" w:rsidRPr="00897C70">
          <w:rPr>
            <w:color w:val="0000FF"/>
            <w:u w:val="single"/>
            <w:rtl/>
          </w:rPr>
          <w:t>עפ"ג 13500-09-18</w:t>
        </w:r>
      </w:hyperlink>
      <w:r>
        <w:rPr>
          <w:rFonts w:hint="cs"/>
          <w:rtl/>
        </w:rPr>
        <w:t xml:space="preserve">). כתב האישום כלל מספר אישומים, כאשר באישום הראשון היה מדובר בהחזקה של מספר עשרות גרמים של סם מסוכן מסוג קנבוס (84 גרם, 49 גרם, 30 גרם, 76 גרם, 35 גרם ועוד 1.5 גרם ו-2 גרם). בנוסף, היו חמישה אישומים נוספים שבכל אחד מהם היה מדובר במכירה של סם מסוג קנבוס במשקל של מספר גרמים במספר הזדמנויות. בית משפט השלום קבע מספר מתחמי עונש לאישומים השונים: מתחם שנע </w:t>
      </w:r>
      <w:r w:rsidRPr="00625BE6">
        <w:rPr>
          <w:rFonts w:hint="cs"/>
          <w:u w:val="single"/>
          <w:rtl/>
        </w:rPr>
        <w:t xml:space="preserve">בין 6 ועד 18 חודשים, </w:t>
      </w:r>
      <w:r>
        <w:rPr>
          <w:rFonts w:hint="cs"/>
          <w:u w:val="single"/>
          <w:rtl/>
        </w:rPr>
        <w:t xml:space="preserve">מתחם אחר שנע בין </w:t>
      </w:r>
      <w:r w:rsidRPr="00625BE6">
        <w:rPr>
          <w:rFonts w:hint="cs"/>
          <w:u w:val="single"/>
          <w:rtl/>
        </w:rPr>
        <w:t xml:space="preserve">מספר חודשים ועד 12 חודשים </w:t>
      </w:r>
      <w:r>
        <w:rPr>
          <w:rFonts w:hint="cs"/>
          <w:u w:val="single"/>
          <w:rtl/>
        </w:rPr>
        <w:t xml:space="preserve">ומתחם נוסף שנע בין </w:t>
      </w:r>
      <w:r w:rsidRPr="00625BE6">
        <w:rPr>
          <w:rFonts w:hint="cs"/>
          <w:u w:val="single"/>
          <w:rtl/>
        </w:rPr>
        <w:t xml:space="preserve"> 9 חודשים ועד 24 חודשים. בסופו של יום, הושתו עליה 6 ח</w:t>
      </w:r>
      <w:r>
        <w:rPr>
          <w:rFonts w:hint="cs"/>
          <w:u w:val="single"/>
          <w:rtl/>
        </w:rPr>
        <w:t>ודשי מאסר שירוצו בעבודות שירות.</w:t>
      </w:r>
      <w:r>
        <w:rPr>
          <w:rFonts w:hint="cs"/>
          <w:rtl/>
        </w:rPr>
        <w:t xml:space="preserve"> המבקשת הגישה ערעור לבית המשפט המחוזי וביקשה לבטל את ההרשעה על מנת שלא ייפגעו סיכוייה להתגייס לצה"ל. הערעור נדחה וגם נדחתה בקשת רשות ערעור שהוגשה לבית המשפט העליון. </w:t>
      </w:r>
    </w:p>
    <w:p w14:paraId="50C62027" w14:textId="77777777" w:rsidR="00EF20B3" w:rsidRDefault="00EF20B3" w:rsidP="00EF20B3">
      <w:pPr>
        <w:spacing w:line="360" w:lineRule="auto"/>
        <w:ind w:left="1440" w:hanging="720"/>
        <w:jc w:val="both"/>
        <w:rPr>
          <w:rtl/>
        </w:rPr>
      </w:pPr>
    </w:p>
    <w:p w14:paraId="5BCC6723" w14:textId="77777777" w:rsidR="00EF20B3" w:rsidRDefault="00EF20B3" w:rsidP="00EF20B3">
      <w:pPr>
        <w:spacing w:line="360" w:lineRule="auto"/>
        <w:ind w:left="1440" w:hanging="720"/>
        <w:jc w:val="both"/>
        <w:rPr>
          <w:rtl/>
        </w:rPr>
      </w:pPr>
      <w:r>
        <w:rPr>
          <w:rFonts w:hint="cs"/>
          <w:rtl/>
        </w:rPr>
        <w:t>ד.</w:t>
      </w:r>
      <w:r>
        <w:rPr>
          <w:rFonts w:hint="cs"/>
          <w:rtl/>
        </w:rPr>
        <w:tab/>
      </w:r>
      <w:hyperlink r:id="rId40" w:history="1">
        <w:r w:rsidR="00897C70" w:rsidRPr="00897C70">
          <w:rPr>
            <w:color w:val="0000FF"/>
            <w:u w:val="single"/>
            <w:rtl/>
          </w:rPr>
          <w:t>רע"פ 5712/16</w:t>
        </w:r>
      </w:hyperlink>
      <w:r>
        <w:rPr>
          <w:rFonts w:hint="cs"/>
          <w:rtl/>
        </w:rPr>
        <w:t xml:space="preserve">  </w:t>
      </w:r>
      <w:r w:rsidRPr="00D05F94">
        <w:rPr>
          <w:rFonts w:hint="cs"/>
          <w:b/>
          <w:bCs/>
          <w:rtl/>
        </w:rPr>
        <w:t>אייזנבאך נ' מדינת ישראל</w:t>
      </w:r>
      <w:r>
        <w:rPr>
          <w:rFonts w:hint="cs"/>
          <w:rtl/>
        </w:rPr>
        <w:t xml:space="preserve"> (פורסם בנבו, 17.8.16). המבקש הורשע בבית משפט השלום בביצוע 4 עבירות של סחר בסם מסוכן מסוג קנבוס במשקלים של גרמים בודדים. בית המשפט קבע מתחם </w:t>
      </w:r>
      <w:r w:rsidRPr="00B56D7F">
        <w:rPr>
          <w:rFonts w:hint="cs"/>
          <w:u w:val="single"/>
          <w:rtl/>
        </w:rPr>
        <w:t>למכלול</w:t>
      </w:r>
      <w:r>
        <w:rPr>
          <w:rFonts w:hint="cs"/>
          <w:rtl/>
        </w:rPr>
        <w:t xml:space="preserve"> העבירות שבוצעו שנע בין </w:t>
      </w:r>
      <w:r>
        <w:rPr>
          <w:rFonts w:hint="cs"/>
          <w:u w:val="single"/>
          <w:rtl/>
        </w:rPr>
        <w:t xml:space="preserve">8 ל-24 חודשי מאסר בפועל ובסופו של יום נדון ל-8 חודשי מאסר בפועל. </w:t>
      </w:r>
      <w:r>
        <w:rPr>
          <w:rFonts w:hint="cs"/>
          <w:rtl/>
        </w:rPr>
        <w:t xml:space="preserve">ערעורו לבית המשפט המחוזי נדחה וכן נדחתה בקשת רשות ערעור שהוגשה לבית המשפט העליון. </w:t>
      </w:r>
    </w:p>
    <w:p w14:paraId="4B9D83EE" w14:textId="77777777" w:rsidR="00EF20B3" w:rsidRDefault="00EF20B3" w:rsidP="00EF20B3">
      <w:pPr>
        <w:spacing w:line="360" w:lineRule="auto"/>
        <w:ind w:left="1440" w:hanging="720"/>
        <w:jc w:val="both"/>
        <w:rPr>
          <w:rtl/>
        </w:rPr>
      </w:pPr>
    </w:p>
    <w:p w14:paraId="74DB0F9C" w14:textId="77777777" w:rsidR="00EF20B3" w:rsidRPr="00D05F94" w:rsidRDefault="00EF20B3" w:rsidP="00EF20B3">
      <w:pPr>
        <w:spacing w:line="360" w:lineRule="auto"/>
        <w:ind w:left="1440" w:hanging="720"/>
        <w:jc w:val="both"/>
        <w:rPr>
          <w:rtl/>
        </w:rPr>
      </w:pPr>
      <w:r>
        <w:rPr>
          <w:rFonts w:hint="cs"/>
          <w:rtl/>
        </w:rPr>
        <w:t>ה.</w:t>
      </w:r>
      <w:r>
        <w:rPr>
          <w:rFonts w:hint="cs"/>
          <w:rtl/>
        </w:rPr>
        <w:tab/>
      </w:r>
      <w:hyperlink r:id="rId41" w:history="1">
        <w:r w:rsidR="00897C70" w:rsidRPr="00897C70">
          <w:rPr>
            <w:color w:val="0000FF"/>
            <w:u w:val="single"/>
            <w:rtl/>
          </w:rPr>
          <w:t>רע"פ 3271/17</w:t>
        </w:r>
      </w:hyperlink>
      <w:r>
        <w:rPr>
          <w:rFonts w:hint="cs"/>
          <w:rtl/>
        </w:rPr>
        <w:t xml:space="preserve"> </w:t>
      </w:r>
      <w:r w:rsidRPr="00D05F94">
        <w:rPr>
          <w:rFonts w:hint="cs"/>
          <w:b/>
          <w:bCs/>
          <w:rtl/>
        </w:rPr>
        <w:t>עמיאל נ' מדינת ישראל</w:t>
      </w:r>
      <w:r>
        <w:rPr>
          <w:rFonts w:hint="cs"/>
          <w:rtl/>
        </w:rPr>
        <w:t xml:space="preserve"> (פורסם בנבו, 23.4.17). המבקש הורשע במספר אירועים של סחר בסם מסוכן מסוג קנבוס לסוכן משטרתי סמוי. הכמות הכוללת של הסמים שנמכרו היו של עשרות גרמים. בנוסף, החזיק בביתו עשרות גרמים של סם מסוכן מסוג קנבוס שמחולק ליחידות. הוא נדון לעונש </w:t>
      </w:r>
      <w:r w:rsidRPr="00D05F94">
        <w:rPr>
          <w:rFonts w:hint="cs"/>
          <w:u w:val="single"/>
          <w:rtl/>
        </w:rPr>
        <w:t>מאסר בפועל של 12 חודש</w:t>
      </w:r>
      <w:r w:rsidRPr="00B56D7F">
        <w:rPr>
          <w:rFonts w:hint="cs"/>
          <w:u w:val="single"/>
          <w:rtl/>
        </w:rPr>
        <w:t>ים</w:t>
      </w:r>
      <w:r w:rsidRPr="00B56D7F">
        <w:rPr>
          <w:rFonts w:hint="cs"/>
          <w:rtl/>
        </w:rPr>
        <w:t xml:space="preserve"> וזאת </w:t>
      </w:r>
      <w:r>
        <w:rPr>
          <w:rFonts w:hint="cs"/>
          <w:rtl/>
        </w:rPr>
        <w:t>על אף ששולב מיוזמתו במכון לטיפול בבעיות סמים ואף היה רשום ללימודי הנדסה. ערעורו לבית המשפט המחוזי נדחה וכן נדחתה בקשת רשות ערעור שהוגשה לבית המשפט העליון.</w:t>
      </w:r>
    </w:p>
    <w:p w14:paraId="12F2BED3" w14:textId="77777777" w:rsidR="00EF20B3" w:rsidRDefault="00EF20B3" w:rsidP="00EF20B3">
      <w:pPr>
        <w:spacing w:line="360" w:lineRule="auto"/>
        <w:ind w:left="720" w:hanging="720"/>
        <w:jc w:val="both"/>
        <w:rPr>
          <w:rtl/>
        </w:rPr>
      </w:pPr>
    </w:p>
    <w:p w14:paraId="058F4E8B" w14:textId="77777777" w:rsidR="00EF20B3" w:rsidRDefault="00EF20B3" w:rsidP="00EF20B3">
      <w:pPr>
        <w:spacing w:line="360" w:lineRule="auto"/>
        <w:ind w:left="720" w:hanging="720"/>
        <w:jc w:val="both"/>
        <w:rPr>
          <w:rtl/>
        </w:rPr>
      </w:pPr>
      <w:r>
        <w:rPr>
          <w:rFonts w:hint="cs"/>
          <w:rtl/>
        </w:rPr>
        <w:t>19.</w:t>
      </w:r>
      <w:r>
        <w:rPr>
          <w:rFonts w:hint="cs"/>
          <w:rtl/>
        </w:rPr>
        <w:tab/>
        <w:t xml:space="preserve">בעת קביעת מתחם העונש ההולם, לקחתי בחשבון גם את כמויות הסמים, ריבוי העבירות והעובדה שבשתי מכירות היה מדובר בקונים שהם קטינים. לדעתי, יש לקבוע מתחם עונש הולם </w:t>
      </w:r>
      <w:r w:rsidRPr="008A7412">
        <w:rPr>
          <w:rFonts w:hint="cs"/>
          <w:u w:val="single"/>
          <w:rtl/>
        </w:rPr>
        <w:t>אחד</w:t>
      </w:r>
      <w:r>
        <w:rPr>
          <w:rFonts w:hint="cs"/>
          <w:rtl/>
        </w:rPr>
        <w:t xml:space="preserve"> למכלול האירועים שמפורטים בכתב האישום וזאת לאור הדמיון באופן ביצועם והזיקה הברורה ביניהם. כמו כן, הנני קובע שמתחם העונש ההולם</w:t>
      </w:r>
      <w:r w:rsidRPr="008A7412">
        <w:rPr>
          <w:rFonts w:hint="cs"/>
          <w:u w:val="single"/>
          <w:rtl/>
        </w:rPr>
        <w:t xml:space="preserve"> </w:t>
      </w:r>
      <w:r w:rsidRPr="003734E3">
        <w:rPr>
          <w:rFonts w:hint="cs"/>
          <w:u w:val="single"/>
          <w:rtl/>
        </w:rPr>
        <w:t>נע בין 16 ועד 36 חודשי מאסר בפועל</w:t>
      </w:r>
      <w:r>
        <w:rPr>
          <w:rFonts w:hint="cs"/>
          <w:rtl/>
        </w:rPr>
        <w:t xml:space="preserve">, בצירוף מאסר על תנאי, קנס, וכן פסילה בפועל ופסילה על תנאי של רישיון הנהיגה. </w:t>
      </w:r>
    </w:p>
    <w:p w14:paraId="65C4CC36" w14:textId="77777777" w:rsidR="00EF20B3" w:rsidRDefault="00EF20B3" w:rsidP="00EF20B3">
      <w:pPr>
        <w:spacing w:line="360" w:lineRule="auto"/>
        <w:ind w:left="720" w:hanging="720"/>
        <w:jc w:val="both"/>
        <w:rPr>
          <w:rtl/>
        </w:rPr>
      </w:pPr>
    </w:p>
    <w:p w14:paraId="49DB29C7" w14:textId="77777777" w:rsidR="00EF20B3" w:rsidRPr="000C5408" w:rsidRDefault="00EF20B3" w:rsidP="00EF20B3">
      <w:pPr>
        <w:spacing w:line="360" w:lineRule="auto"/>
        <w:ind w:left="720" w:hanging="720"/>
        <w:jc w:val="both"/>
        <w:rPr>
          <w:b/>
          <w:bCs/>
          <w:sz w:val="28"/>
          <w:szCs w:val="28"/>
          <w:u w:val="single"/>
          <w:rtl/>
        </w:rPr>
      </w:pPr>
      <w:r w:rsidRPr="000C5408">
        <w:rPr>
          <w:rFonts w:hint="cs"/>
          <w:b/>
          <w:bCs/>
          <w:sz w:val="28"/>
          <w:szCs w:val="28"/>
          <w:u w:val="single"/>
          <w:rtl/>
        </w:rPr>
        <w:t>שאלת הסטייה ממתחם העונש ההולם מטעמי שיקום</w:t>
      </w:r>
    </w:p>
    <w:p w14:paraId="77DEA24A" w14:textId="77777777" w:rsidR="00EF20B3" w:rsidRDefault="00EF20B3" w:rsidP="00EF20B3">
      <w:pPr>
        <w:spacing w:line="360" w:lineRule="auto"/>
        <w:ind w:left="720" w:hanging="720"/>
        <w:jc w:val="both"/>
        <w:rPr>
          <w:rtl/>
        </w:rPr>
      </w:pPr>
    </w:p>
    <w:p w14:paraId="3304D969" w14:textId="77777777" w:rsidR="00EF20B3" w:rsidRDefault="00EF20B3" w:rsidP="00EF20B3">
      <w:pPr>
        <w:spacing w:line="360" w:lineRule="auto"/>
        <w:ind w:left="720" w:hanging="720"/>
        <w:jc w:val="both"/>
        <w:rPr>
          <w:rtl/>
        </w:rPr>
      </w:pPr>
      <w:r>
        <w:rPr>
          <w:rFonts w:hint="cs"/>
          <w:rtl/>
        </w:rPr>
        <w:t>20.</w:t>
      </w:r>
      <w:r>
        <w:rPr>
          <w:rFonts w:hint="cs"/>
          <w:rtl/>
        </w:rPr>
        <w:tab/>
      </w:r>
      <w:hyperlink r:id="rId42" w:history="1">
        <w:r w:rsidR="00F97262" w:rsidRPr="00F97262">
          <w:rPr>
            <w:rStyle w:val="Hyperlink"/>
            <w:rFonts w:cs="David" w:hint="eastAsia"/>
            <w:rtl/>
          </w:rPr>
          <w:t>סעיף</w:t>
        </w:r>
        <w:r w:rsidR="00F97262" w:rsidRPr="00F97262">
          <w:rPr>
            <w:rStyle w:val="Hyperlink"/>
            <w:rFonts w:cs="David"/>
            <w:rtl/>
          </w:rPr>
          <w:t xml:space="preserve"> 40ד</w:t>
        </w:r>
      </w:hyperlink>
      <w:r>
        <w:rPr>
          <w:rFonts w:hint="cs"/>
          <w:rtl/>
        </w:rPr>
        <w:t xml:space="preserve"> ל</w:t>
      </w:r>
      <w:hyperlink r:id="rId43" w:history="1">
        <w:r w:rsidR="00897C70" w:rsidRPr="00897C70">
          <w:rPr>
            <w:color w:val="0000FF"/>
            <w:u w:val="single"/>
            <w:rtl/>
          </w:rPr>
          <w:t>חוק העונשין</w:t>
        </w:r>
      </w:hyperlink>
      <w:r>
        <w:rPr>
          <w:rFonts w:hint="cs"/>
          <w:rtl/>
        </w:rPr>
        <w:t xml:space="preserve"> קובע כדלקמן: </w:t>
      </w:r>
    </w:p>
    <w:p w14:paraId="5C15539B" w14:textId="77777777" w:rsidR="00EF20B3" w:rsidRDefault="00EF20B3" w:rsidP="00EF20B3">
      <w:pPr>
        <w:spacing w:line="360" w:lineRule="auto"/>
        <w:ind w:left="720" w:hanging="720"/>
        <w:jc w:val="both"/>
        <w:rPr>
          <w:rtl/>
        </w:rPr>
      </w:pPr>
    </w:p>
    <w:p w14:paraId="39353F92" w14:textId="77777777" w:rsidR="00EF20B3" w:rsidRDefault="00EF20B3" w:rsidP="00EF20B3">
      <w:pPr>
        <w:spacing w:line="360" w:lineRule="auto"/>
        <w:ind w:left="2160" w:firstLine="720"/>
        <w:jc w:val="both"/>
        <w:rPr>
          <w:rtl/>
        </w:rPr>
      </w:pPr>
      <w:r>
        <w:rPr>
          <w:rFonts w:hint="cs"/>
          <w:rtl/>
        </w:rPr>
        <w:t>"40.ד</w:t>
      </w:r>
      <w:r>
        <w:rPr>
          <w:rFonts w:hint="cs"/>
          <w:rtl/>
        </w:rPr>
        <w:tab/>
      </w:r>
      <w:r w:rsidRPr="000C5408">
        <w:rPr>
          <w:rFonts w:hint="cs"/>
          <w:b/>
          <w:bCs/>
          <w:rtl/>
        </w:rPr>
        <w:t>שיקום</w:t>
      </w:r>
      <w:r>
        <w:rPr>
          <w:rFonts w:hint="cs"/>
          <w:rtl/>
        </w:rPr>
        <w:t xml:space="preserve"> </w:t>
      </w:r>
    </w:p>
    <w:p w14:paraId="4AD48AD9" w14:textId="77777777" w:rsidR="00EF20B3" w:rsidRDefault="00EF20B3" w:rsidP="00EF20B3">
      <w:pPr>
        <w:spacing w:line="360" w:lineRule="auto"/>
        <w:ind w:left="4320" w:hanging="720"/>
        <w:jc w:val="both"/>
        <w:rPr>
          <w:rtl/>
        </w:rPr>
      </w:pPr>
      <w:r>
        <w:rPr>
          <w:rFonts w:hint="cs"/>
          <w:rtl/>
        </w:rPr>
        <w:t xml:space="preserve">(א) </w:t>
      </w:r>
      <w:r>
        <w:rPr>
          <w:rtl/>
        </w:rPr>
        <w:tab/>
      </w:r>
      <w:r>
        <w:rPr>
          <w:rFonts w:hint="cs"/>
          <w:rtl/>
        </w:rPr>
        <w:t xml:space="preserve">קבע בית המשפט את מתחם העונש ההולם בהתאם לעיקרון המנחה </w:t>
      </w:r>
      <w:r w:rsidRPr="00F90A53">
        <w:rPr>
          <w:rFonts w:hint="cs"/>
          <w:u w:val="single"/>
          <w:rtl/>
        </w:rPr>
        <w:t>ומצא כי הנאשם השתקם או כי יש סיכוי של ממש שהוא ישתקם</w:t>
      </w:r>
      <w:r>
        <w:rPr>
          <w:rFonts w:hint="cs"/>
          <w:rtl/>
        </w:rPr>
        <w:t xml:space="preserve">, רשאי הוא לחרוג ממתחם העונש ההולם ולקבוע את עונשו של הנאשם לפי שיקולי שיקומו, וכן להורות על נקיטת אמצעי שיקום כלפי הנאשם, לרבות העמדתו במבחן לפי סעיפים 82 או 86 או לפי </w:t>
      </w:r>
      <w:hyperlink r:id="rId44" w:history="1">
        <w:r w:rsidR="00897C70" w:rsidRPr="00897C70">
          <w:rPr>
            <w:color w:val="0000FF"/>
            <w:u w:val="single"/>
            <w:rtl/>
          </w:rPr>
          <w:t>פקודת המבחן</w:t>
        </w:r>
      </w:hyperlink>
      <w:r>
        <w:rPr>
          <w:rFonts w:hint="cs"/>
          <w:rtl/>
        </w:rPr>
        <w:t xml:space="preserve"> [נוסח חדש], התשכ"ט </w:t>
      </w:r>
      <w:r>
        <w:rPr>
          <w:rtl/>
        </w:rPr>
        <w:t>–</w:t>
      </w:r>
      <w:r>
        <w:rPr>
          <w:rFonts w:hint="cs"/>
          <w:rtl/>
        </w:rPr>
        <w:t xml:space="preserve"> 1969.</w:t>
      </w:r>
    </w:p>
    <w:p w14:paraId="56DF7342" w14:textId="77777777" w:rsidR="00EF20B3" w:rsidRDefault="00EF20B3" w:rsidP="00EF20B3">
      <w:pPr>
        <w:spacing w:line="360" w:lineRule="auto"/>
        <w:ind w:left="720" w:hanging="720"/>
        <w:jc w:val="both"/>
        <w:rPr>
          <w:rtl/>
        </w:rPr>
      </w:pPr>
    </w:p>
    <w:p w14:paraId="55558F4E" w14:textId="77777777" w:rsidR="00EF20B3" w:rsidRDefault="00EF20B3" w:rsidP="00EF20B3">
      <w:pPr>
        <w:spacing w:line="360" w:lineRule="auto"/>
        <w:ind w:left="4320" w:hanging="720"/>
        <w:jc w:val="both"/>
        <w:rPr>
          <w:rtl/>
        </w:rPr>
      </w:pPr>
      <w:r>
        <w:rPr>
          <w:rFonts w:hint="cs"/>
          <w:rtl/>
        </w:rPr>
        <w:t>(ב)</w:t>
      </w:r>
      <w:r>
        <w:rPr>
          <w:rtl/>
        </w:rPr>
        <w:tab/>
      </w:r>
      <w:r w:rsidRPr="00F90A53">
        <w:rPr>
          <w:rFonts w:hint="cs"/>
          <w:u w:val="single"/>
          <w:rtl/>
        </w:rPr>
        <w:t xml:space="preserve">היו מעשי העבירה ומידת אשמו של הנאשם בעלי חומרה </w:t>
      </w:r>
      <w:r w:rsidRPr="000C5408">
        <w:rPr>
          <w:rFonts w:hint="cs"/>
          <w:u w:val="single"/>
          <w:rtl/>
        </w:rPr>
        <w:t>יתרה, לא יחרוג בית המשפט ממתחם העונש ההולם</w:t>
      </w:r>
      <w:r>
        <w:rPr>
          <w:rFonts w:hint="cs"/>
          <w:rtl/>
        </w:rPr>
        <w:t xml:space="preserve"> כאמור בסעיף קטן (א) אף אם הנאשם השתקם או אם יש סיכוי של ממש שהוא ישתקם, </w:t>
      </w:r>
      <w:r w:rsidRPr="00F90A53">
        <w:rPr>
          <w:rFonts w:hint="cs"/>
          <w:u w:val="single"/>
          <w:rtl/>
        </w:rPr>
        <w:t>אלא בנסיבות מיוחדות ויוצאות דופן</w:t>
      </w:r>
      <w:r>
        <w:rPr>
          <w:rFonts w:hint="cs"/>
          <w:rtl/>
        </w:rPr>
        <w:t>, לאחר שבית המשפט שוכנע שהן גוברות על הצורך לקבוע את העונש במתחם העונש ההולם בהתאם לעיקרון המנחה, ופירט זאת בגזר הדין."</w:t>
      </w:r>
    </w:p>
    <w:p w14:paraId="4E67857E" w14:textId="77777777" w:rsidR="00EF20B3" w:rsidRDefault="00EF20B3" w:rsidP="00EF20B3">
      <w:pPr>
        <w:spacing w:line="360" w:lineRule="auto"/>
        <w:ind w:left="720" w:hanging="720"/>
        <w:jc w:val="both"/>
        <w:rPr>
          <w:rtl/>
        </w:rPr>
      </w:pPr>
    </w:p>
    <w:p w14:paraId="74790AA9" w14:textId="77777777" w:rsidR="00EF20B3" w:rsidRDefault="00EF20B3" w:rsidP="00EF20B3">
      <w:pPr>
        <w:spacing w:line="360" w:lineRule="auto"/>
        <w:ind w:left="720" w:hanging="720"/>
        <w:jc w:val="both"/>
        <w:rPr>
          <w:rtl/>
        </w:rPr>
      </w:pPr>
      <w:r>
        <w:rPr>
          <w:rtl/>
        </w:rPr>
        <w:tab/>
      </w:r>
      <w:r>
        <w:rPr>
          <w:rtl/>
        </w:rPr>
        <w:tab/>
      </w:r>
      <w:r>
        <w:rPr>
          <w:rtl/>
        </w:rPr>
        <w:tab/>
      </w:r>
      <w:r>
        <w:rPr>
          <w:rtl/>
        </w:rPr>
        <w:tab/>
      </w:r>
      <w:r>
        <w:rPr>
          <w:rtl/>
        </w:rPr>
        <w:tab/>
      </w:r>
      <w:r>
        <w:rPr>
          <w:rFonts w:hint="cs"/>
          <w:rtl/>
        </w:rPr>
        <w:t xml:space="preserve">(ההדגשות שלי </w:t>
      </w:r>
      <w:r>
        <w:rPr>
          <w:rtl/>
        </w:rPr>
        <w:t>–</w:t>
      </w:r>
      <w:r>
        <w:rPr>
          <w:rFonts w:hint="cs"/>
          <w:rtl/>
        </w:rPr>
        <w:t xml:space="preserve"> ה'א'ש')</w:t>
      </w:r>
    </w:p>
    <w:p w14:paraId="629AF811" w14:textId="77777777" w:rsidR="00EF20B3" w:rsidRPr="00B05847" w:rsidRDefault="00EF20B3" w:rsidP="00EF20B3">
      <w:pPr>
        <w:spacing w:line="360" w:lineRule="auto"/>
        <w:jc w:val="both"/>
        <w:rPr>
          <w:rtl/>
        </w:rPr>
      </w:pPr>
    </w:p>
    <w:p w14:paraId="6E2B9BFC" w14:textId="77777777" w:rsidR="00EF20B3" w:rsidRDefault="00EF20B3" w:rsidP="00EF20B3">
      <w:pPr>
        <w:spacing w:line="360" w:lineRule="auto"/>
        <w:ind w:left="720" w:hanging="720"/>
        <w:jc w:val="both"/>
        <w:rPr>
          <w:rtl/>
        </w:rPr>
      </w:pPr>
      <w:r>
        <w:rPr>
          <w:rFonts w:hint="cs"/>
          <w:rtl/>
        </w:rPr>
        <w:t>21.</w:t>
      </w:r>
      <w:r>
        <w:rPr>
          <w:rtl/>
        </w:rPr>
        <w:tab/>
      </w:r>
      <w:r>
        <w:rPr>
          <w:rFonts w:hint="cs"/>
          <w:rtl/>
        </w:rPr>
        <w:t>ב-</w:t>
      </w:r>
      <w:hyperlink r:id="rId45" w:history="1">
        <w:r w:rsidR="00897C70" w:rsidRPr="00897C70">
          <w:rPr>
            <w:color w:val="0000FF"/>
            <w:u w:val="single"/>
            <w:rtl/>
          </w:rPr>
          <w:t>ע"פ 6637/17</w:t>
        </w:r>
      </w:hyperlink>
      <w:r>
        <w:rPr>
          <w:rFonts w:hint="cs"/>
          <w:rtl/>
        </w:rPr>
        <w:t xml:space="preserve"> </w:t>
      </w:r>
      <w:r w:rsidRPr="002304F4">
        <w:rPr>
          <w:rFonts w:hint="cs"/>
          <w:b/>
          <w:bCs/>
          <w:rtl/>
        </w:rPr>
        <w:t>קרנדל נ' מדינת ישראל</w:t>
      </w:r>
      <w:r>
        <w:rPr>
          <w:rFonts w:hint="cs"/>
          <w:rtl/>
        </w:rPr>
        <w:t xml:space="preserve"> (פורסם בנבו, 18.4.18), כבוד השופטת דפנה ברק ארז שנתנה את דעת הרוב, סיכמה את הכללים המנחים לצורך שימוש </w:t>
      </w:r>
      <w:hyperlink r:id="rId46" w:history="1">
        <w:r w:rsidR="00F97262" w:rsidRPr="00F97262">
          <w:rPr>
            <w:rStyle w:val="Hyperlink"/>
            <w:rFonts w:cs="David" w:hint="eastAsia"/>
            <w:rtl/>
          </w:rPr>
          <w:t>בסעיף</w:t>
        </w:r>
        <w:r w:rsidR="00F97262" w:rsidRPr="00F97262">
          <w:rPr>
            <w:rStyle w:val="Hyperlink"/>
            <w:rFonts w:cs="David"/>
            <w:rtl/>
          </w:rPr>
          <w:t xml:space="preserve"> 40ד</w:t>
        </w:r>
      </w:hyperlink>
      <w:r>
        <w:rPr>
          <w:rFonts w:hint="cs"/>
          <w:rtl/>
        </w:rPr>
        <w:t xml:space="preserve"> ל</w:t>
      </w:r>
      <w:hyperlink r:id="rId47" w:history="1">
        <w:r w:rsidR="00897C70" w:rsidRPr="00897C70">
          <w:rPr>
            <w:color w:val="0000FF"/>
            <w:u w:val="single"/>
            <w:rtl/>
          </w:rPr>
          <w:t>חוק העונשין</w:t>
        </w:r>
      </w:hyperlink>
      <w:r>
        <w:rPr>
          <w:rFonts w:hint="cs"/>
          <w:rtl/>
        </w:rPr>
        <w:t xml:space="preserve"> (פסקאות 20 </w:t>
      </w:r>
      <w:r>
        <w:rPr>
          <w:rtl/>
        </w:rPr>
        <w:t>–</w:t>
      </w:r>
      <w:r>
        <w:rPr>
          <w:rFonts w:hint="cs"/>
          <w:rtl/>
        </w:rPr>
        <w:t xml:space="preserve"> 25  לפסק דינה): </w:t>
      </w:r>
    </w:p>
    <w:p w14:paraId="1A0BFD66" w14:textId="77777777" w:rsidR="00EF20B3" w:rsidRDefault="00EF20B3" w:rsidP="00EF20B3">
      <w:pPr>
        <w:spacing w:line="360" w:lineRule="auto"/>
        <w:ind w:left="720" w:hanging="720"/>
        <w:jc w:val="both"/>
        <w:rPr>
          <w:rtl/>
        </w:rPr>
      </w:pPr>
    </w:p>
    <w:p w14:paraId="5904E66E" w14:textId="77777777" w:rsidR="00EF20B3" w:rsidRDefault="00EF20B3" w:rsidP="00EF20B3">
      <w:pPr>
        <w:spacing w:line="360" w:lineRule="auto"/>
        <w:ind w:left="1440" w:hanging="720"/>
        <w:jc w:val="both"/>
        <w:rPr>
          <w:rtl/>
        </w:rPr>
      </w:pPr>
      <w:r>
        <w:rPr>
          <w:rFonts w:hint="cs"/>
          <w:rtl/>
        </w:rPr>
        <w:t>א.</w:t>
      </w:r>
      <w:r>
        <w:rPr>
          <w:rFonts w:hint="cs"/>
          <w:rtl/>
        </w:rPr>
        <w:tab/>
        <w:t xml:space="preserve">לבית המשפט שיקול דעת רחב ביישומו של הסעיף וכי נקודת המוצא בהפעלתו היא העדפתם של שיקולי שיקום; </w:t>
      </w:r>
    </w:p>
    <w:p w14:paraId="2C08E287" w14:textId="77777777" w:rsidR="00EF20B3" w:rsidRDefault="00EF20B3" w:rsidP="00EF20B3">
      <w:pPr>
        <w:spacing w:line="360" w:lineRule="auto"/>
        <w:ind w:left="1440" w:hanging="720"/>
        <w:jc w:val="both"/>
        <w:rPr>
          <w:rtl/>
        </w:rPr>
      </w:pPr>
    </w:p>
    <w:p w14:paraId="6BE72357" w14:textId="77777777" w:rsidR="00EF20B3" w:rsidRDefault="00EF20B3" w:rsidP="00EF20B3">
      <w:pPr>
        <w:spacing w:line="360" w:lineRule="auto"/>
        <w:ind w:left="720"/>
        <w:jc w:val="both"/>
        <w:rPr>
          <w:rtl/>
        </w:rPr>
      </w:pPr>
      <w:r>
        <w:rPr>
          <w:rFonts w:hint="cs"/>
          <w:rtl/>
        </w:rPr>
        <w:t>ב.</w:t>
      </w:r>
      <w:r>
        <w:rPr>
          <w:rFonts w:hint="cs"/>
          <w:rtl/>
        </w:rPr>
        <w:tab/>
        <w:t>גם כאשר חלים שיקולי השיקום, עדיין לא מתפוגגים מאליהם שיקולי ההלימה;</w:t>
      </w:r>
    </w:p>
    <w:p w14:paraId="1D43B9B1" w14:textId="77777777" w:rsidR="00EF20B3" w:rsidRDefault="00EF20B3" w:rsidP="00EF20B3">
      <w:pPr>
        <w:spacing w:line="360" w:lineRule="auto"/>
        <w:ind w:left="720"/>
        <w:jc w:val="both"/>
        <w:rPr>
          <w:rtl/>
        </w:rPr>
      </w:pPr>
    </w:p>
    <w:p w14:paraId="4A378328" w14:textId="77777777" w:rsidR="00EF20B3" w:rsidRDefault="00EF20B3" w:rsidP="00EF20B3">
      <w:pPr>
        <w:spacing w:line="360" w:lineRule="auto"/>
        <w:ind w:left="1440" w:hanging="720"/>
        <w:jc w:val="both"/>
        <w:rPr>
          <w:rtl/>
        </w:rPr>
      </w:pPr>
      <w:r>
        <w:rPr>
          <w:rFonts w:hint="cs"/>
          <w:rtl/>
        </w:rPr>
        <w:t>ג.</w:t>
      </w:r>
      <w:r>
        <w:rPr>
          <w:rtl/>
        </w:rPr>
        <w:tab/>
      </w:r>
      <w:r>
        <w:rPr>
          <w:rFonts w:hint="cs"/>
          <w:rtl/>
        </w:rPr>
        <w:t xml:space="preserve"> התנאי שמציב </w:t>
      </w:r>
      <w:hyperlink r:id="rId48" w:history="1">
        <w:r w:rsidR="00F97262" w:rsidRPr="00F97262">
          <w:rPr>
            <w:rStyle w:val="Hyperlink"/>
            <w:rFonts w:cs="David" w:hint="eastAsia"/>
            <w:rtl/>
          </w:rPr>
          <w:t>סעיף</w:t>
        </w:r>
        <w:r w:rsidR="00F97262" w:rsidRPr="00F97262">
          <w:rPr>
            <w:rStyle w:val="Hyperlink"/>
            <w:rFonts w:cs="David"/>
            <w:rtl/>
          </w:rPr>
          <w:t xml:space="preserve"> 40ד(א)</w:t>
        </w:r>
      </w:hyperlink>
      <w:r>
        <w:rPr>
          <w:rFonts w:hint="cs"/>
          <w:rtl/>
        </w:rPr>
        <w:t xml:space="preserve"> לחריגה ממתחם העונש ההולם הוא קיומו של הליך שיקום שהסתיים או שקיים סיכוי של ממש שהנאשם ישתקם. על מנת לעמוד בתנאי זה, על הנאשם להציג עובדות וראיות לסיכויי השיקום להבדיל מטענות בעלמא. </w:t>
      </w:r>
    </w:p>
    <w:p w14:paraId="4EAF76CA" w14:textId="77777777" w:rsidR="00EF20B3" w:rsidRDefault="00EF20B3" w:rsidP="00EF20B3">
      <w:pPr>
        <w:spacing w:line="360" w:lineRule="auto"/>
        <w:ind w:left="1440" w:hanging="720"/>
        <w:jc w:val="both"/>
        <w:rPr>
          <w:rtl/>
        </w:rPr>
      </w:pPr>
    </w:p>
    <w:p w14:paraId="3C6CF461" w14:textId="77777777" w:rsidR="00EF20B3" w:rsidRDefault="00EF20B3" w:rsidP="00EF20B3">
      <w:pPr>
        <w:spacing w:line="360" w:lineRule="auto"/>
        <w:ind w:left="1440" w:hanging="720"/>
        <w:jc w:val="both"/>
        <w:rPr>
          <w:rtl/>
        </w:rPr>
      </w:pPr>
      <w:r>
        <w:rPr>
          <w:rFonts w:hint="cs"/>
          <w:rtl/>
        </w:rPr>
        <w:t>ד.</w:t>
      </w:r>
      <w:r>
        <w:rPr>
          <w:rFonts w:hint="cs"/>
          <w:rtl/>
        </w:rPr>
        <w:tab/>
        <w:t xml:space="preserve">הפעלת הסמכות </w:t>
      </w:r>
      <w:hyperlink r:id="rId49" w:history="1">
        <w:r w:rsidR="00F97262" w:rsidRPr="00F97262">
          <w:rPr>
            <w:rStyle w:val="Hyperlink"/>
            <w:rFonts w:cs="David" w:hint="eastAsia"/>
            <w:rtl/>
          </w:rPr>
          <w:t>בסעיף</w:t>
        </w:r>
        <w:r w:rsidR="00F97262" w:rsidRPr="00F97262">
          <w:rPr>
            <w:rStyle w:val="Hyperlink"/>
            <w:rFonts w:cs="David"/>
            <w:rtl/>
          </w:rPr>
          <w:t xml:space="preserve"> 40ד</w:t>
        </w:r>
      </w:hyperlink>
      <w:r>
        <w:rPr>
          <w:rFonts w:hint="cs"/>
          <w:rtl/>
        </w:rPr>
        <w:t xml:space="preserve"> איננה מוגבלת לעבירות קלות בלבד;</w:t>
      </w:r>
    </w:p>
    <w:p w14:paraId="3AE814A4" w14:textId="77777777" w:rsidR="00EF20B3" w:rsidRDefault="00EF20B3" w:rsidP="00EF20B3">
      <w:pPr>
        <w:spacing w:line="360" w:lineRule="auto"/>
        <w:ind w:left="1440" w:hanging="720"/>
        <w:jc w:val="both"/>
        <w:rPr>
          <w:rtl/>
        </w:rPr>
      </w:pPr>
    </w:p>
    <w:p w14:paraId="746CA487" w14:textId="77777777" w:rsidR="00EF20B3" w:rsidRDefault="00EF20B3" w:rsidP="00EF20B3">
      <w:pPr>
        <w:spacing w:line="360" w:lineRule="auto"/>
        <w:ind w:left="1440" w:hanging="720"/>
        <w:jc w:val="both"/>
        <w:rPr>
          <w:rtl/>
        </w:rPr>
      </w:pPr>
      <w:r>
        <w:rPr>
          <w:rFonts w:hint="cs"/>
          <w:rtl/>
        </w:rPr>
        <w:t>ה.</w:t>
      </w:r>
      <w:r>
        <w:rPr>
          <w:rFonts w:hint="cs"/>
          <w:rtl/>
        </w:rPr>
        <w:tab/>
        <w:t xml:space="preserve">השיקולים המרכזיים שנלקחים בחשבון על מנת לבדוק קיומו של </w:t>
      </w:r>
      <w:r w:rsidRPr="002304F4">
        <w:rPr>
          <w:rFonts w:hint="cs"/>
          <w:u w:val="single"/>
          <w:rtl/>
        </w:rPr>
        <w:t>סיכוי של ממש</w:t>
      </w:r>
      <w:r>
        <w:rPr>
          <w:rFonts w:hint="cs"/>
          <w:rtl/>
        </w:rPr>
        <w:t xml:space="preserve"> לשיקום, באופן שיצדיק חריגה ממתחם העונש ההולם, כוללים: המוטיבציה שהפגין הנאשם שהורשע להשתקם, הליך של גמילה מהתמכרות שהוא עובר, השתלבות מוצלחת בהליכים טיפוליים שונים, אינדיקציות לשינוי עמוק בהתנהגות ובדרך החשיבה, הבעת חרטה כנה על המעשים. לא מדובר ברשימה סגורה, אך שילוב בין שינוי מהותי בהתייחסות הרגשית לאירוע העבירה המתבטא בנטילת אחריות, לבין אינדיקציות אובייקטיביות לקיומו של תהליך שיקומי טיפולי מוצלח וחזרה לדרך הישר, עשוי להצביע על סיכוי של ממש לשיקום. </w:t>
      </w:r>
    </w:p>
    <w:p w14:paraId="06F0BDCA" w14:textId="77777777" w:rsidR="00EF20B3" w:rsidRDefault="00EF20B3" w:rsidP="00EF20B3">
      <w:pPr>
        <w:spacing w:line="360" w:lineRule="auto"/>
        <w:ind w:left="1440" w:hanging="720"/>
        <w:jc w:val="both"/>
        <w:rPr>
          <w:rtl/>
        </w:rPr>
      </w:pPr>
      <w:r>
        <w:rPr>
          <w:rFonts w:hint="cs"/>
          <w:rtl/>
        </w:rPr>
        <w:t xml:space="preserve"> </w:t>
      </w:r>
    </w:p>
    <w:p w14:paraId="5CADB3D7" w14:textId="77777777" w:rsidR="00EF20B3" w:rsidRDefault="00EF20B3" w:rsidP="00EF20B3">
      <w:pPr>
        <w:spacing w:line="360" w:lineRule="auto"/>
        <w:ind w:left="720" w:hanging="720"/>
        <w:jc w:val="both"/>
        <w:rPr>
          <w:rtl/>
        </w:rPr>
      </w:pPr>
      <w:r>
        <w:rPr>
          <w:rFonts w:hint="cs"/>
          <w:rtl/>
        </w:rPr>
        <w:t>22.</w:t>
      </w:r>
      <w:r>
        <w:rPr>
          <w:rFonts w:hint="cs"/>
          <w:rtl/>
        </w:rPr>
        <w:tab/>
        <w:t xml:space="preserve">במקרה שבפני, מהתסקיר המקיף והמעמיק מיום 11.12.19, עולה שהנאשם מגלה סיכויים של ממש לשיקום: הוא השתתף בהליך טיפולי לגמילה מסמים במסגרת שירות המבחן; בדיקות השתן יצאו כולן נקיות ואין דיווח על מעידות; הנאשם מגלה רצינות ומוטיבציה גבוהה ליציאה ממעגל הסמים; לנאשם יש תרומה חיובית לדינאמיקה הפנימית של הקבוצות הטיפוליות; שירות המבחן המליץ על העמקת הקשר עמו בדרך של צו מבחן שבמהלך תקופת המבחן, ימשיך להשתתף בקבוצה הטיפולית על מנת להקנות לו דפוסי התנהגות תקינים ונורמטיביים של תעסוקה סדירה והתרחקות ממעגל הסמים. </w:t>
      </w:r>
    </w:p>
    <w:p w14:paraId="0ED9278F" w14:textId="77777777" w:rsidR="00EF20B3" w:rsidRDefault="00EF20B3" w:rsidP="00EF20B3">
      <w:pPr>
        <w:spacing w:line="360" w:lineRule="auto"/>
        <w:ind w:left="720" w:hanging="720"/>
        <w:jc w:val="both"/>
        <w:rPr>
          <w:rtl/>
        </w:rPr>
      </w:pPr>
    </w:p>
    <w:p w14:paraId="3BCF545E" w14:textId="77777777" w:rsidR="00EF20B3" w:rsidRDefault="00EF20B3" w:rsidP="00EF20B3">
      <w:pPr>
        <w:spacing w:line="360" w:lineRule="auto"/>
        <w:ind w:left="720" w:hanging="720"/>
        <w:jc w:val="both"/>
        <w:rPr>
          <w:rtl/>
        </w:rPr>
      </w:pPr>
      <w:r>
        <w:rPr>
          <w:rFonts w:hint="cs"/>
          <w:rtl/>
        </w:rPr>
        <w:t>23.</w:t>
      </w:r>
      <w:r>
        <w:rPr>
          <w:rtl/>
        </w:rPr>
        <w:tab/>
      </w:r>
      <w:r>
        <w:rPr>
          <w:rFonts w:hint="cs"/>
          <w:rtl/>
        </w:rPr>
        <w:t xml:space="preserve">באשר לאמור בתסקיר המשלים מיום 9.2.20, התפרצות מילולית של זעם כלפי הצוות המטפל באירוע נקודתי ומתוחם במהלך חודש דצמבר 2019, ברור שמדובר בהתנהגות פסולה לחלוטין שיש להוקיעה באופן נחרץ וברור. על הנאשם להבין שהשילוב בתכנית שיקומית, היא זכות גדולה ושאיננה מוצעת בנקל לנאשמים וככל שייפלט ממנה, תהיה הסיבה לכך אשר תהיה, אזי, אין לו אלא להלין על עצמו. עם זאת, אין באירוע זה, כשלעצמו, כדי למוטט את הבניין השיקומי שמתואר בתסקיר מיום 11.12.19 ושהנאשם בנה בעמל רב במשך תקופה ארוכה. לא מדובר בדיווח על בדיקת שתן בלתי נקייה עקב שימוש בסמים וגם לא מדובר בעזיבה מתריסה של המסגרת השיקומית. בנוסף, הנאשם הביע חרטה על מעשיו בפני שרות המבחן שהעמידו על חומרת התנהגותו. </w:t>
      </w:r>
    </w:p>
    <w:p w14:paraId="1BE47590" w14:textId="77777777" w:rsidR="00EF20B3" w:rsidRDefault="00EF20B3" w:rsidP="00EF20B3">
      <w:pPr>
        <w:spacing w:line="360" w:lineRule="auto"/>
        <w:ind w:left="720" w:hanging="720"/>
        <w:jc w:val="both"/>
        <w:rPr>
          <w:rtl/>
        </w:rPr>
      </w:pPr>
    </w:p>
    <w:p w14:paraId="267EDFDE" w14:textId="77777777" w:rsidR="00EF20B3" w:rsidRDefault="00EF20B3" w:rsidP="00EF20B3">
      <w:pPr>
        <w:spacing w:line="360" w:lineRule="auto"/>
        <w:ind w:left="720" w:hanging="720"/>
        <w:jc w:val="both"/>
        <w:rPr>
          <w:rtl/>
        </w:rPr>
      </w:pPr>
      <w:r>
        <w:rPr>
          <w:rFonts w:hint="cs"/>
          <w:rtl/>
        </w:rPr>
        <w:t>24.</w:t>
      </w:r>
      <w:r>
        <w:rPr>
          <w:rFonts w:hint="cs"/>
          <w:rtl/>
        </w:rPr>
        <w:tab/>
        <w:t xml:space="preserve">יתר על כן, "צו מבחן" כשמו כן הוא. במהלך תקופת "המבחן" שתוטל על הנאשם במסגרת גזר הדין הנוכחי, היה והנאשם לא יעמוד בתנאים שיוצבו לו על ידי שרות המבחן, בית המשפט יהיה רשאי לגזור את דינו מחדש, לרבות ביטול צו המבחן שיינתן בענייננו, עד כדי הטלת מאסר ממש מאחורי סורג ובריח (ראו הוראות סעיפים </w:t>
      </w:r>
      <w:hyperlink r:id="rId50" w:history="1">
        <w:r w:rsidR="00F97262" w:rsidRPr="00F97262">
          <w:rPr>
            <w:rStyle w:val="Hyperlink"/>
            <w:rFonts w:cs="David"/>
            <w:rtl/>
          </w:rPr>
          <w:t>71ד ו-86א</w:t>
        </w:r>
      </w:hyperlink>
      <w:r>
        <w:rPr>
          <w:rFonts w:hint="cs"/>
          <w:rtl/>
        </w:rPr>
        <w:t xml:space="preserve"> ל</w:t>
      </w:r>
      <w:hyperlink r:id="rId51" w:history="1">
        <w:r w:rsidR="00897C70" w:rsidRPr="00897C70">
          <w:rPr>
            <w:color w:val="0000FF"/>
            <w:u w:val="single"/>
            <w:rtl/>
          </w:rPr>
          <w:t>חוק העונשין</w:t>
        </w:r>
      </w:hyperlink>
      <w:r>
        <w:rPr>
          <w:rFonts w:hint="cs"/>
          <w:rtl/>
        </w:rPr>
        <w:t xml:space="preserve"> וכן הוראות סעיפים </w:t>
      </w:r>
      <w:hyperlink r:id="rId52" w:history="1">
        <w:r w:rsidR="00F97262" w:rsidRPr="00F97262">
          <w:rPr>
            <w:rStyle w:val="Hyperlink"/>
            <w:rFonts w:cs="David"/>
            <w:rtl/>
          </w:rPr>
          <w:t>18, 20 ו-25</w:t>
        </w:r>
      </w:hyperlink>
      <w:r>
        <w:rPr>
          <w:rFonts w:hint="cs"/>
          <w:rtl/>
        </w:rPr>
        <w:t xml:space="preserve"> ל</w:t>
      </w:r>
      <w:hyperlink r:id="rId53" w:history="1">
        <w:r w:rsidR="00897C70" w:rsidRPr="00897C70">
          <w:rPr>
            <w:color w:val="0000FF"/>
            <w:u w:val="single"/>
            <w:rtl/>
          </w:rPr>
          <w:t>פקודת המבחן</w:t>
        </w:r>
      </w:hyperlink>
      <w:r>
        <w:rPr>
          <w:rFonts w:hint="cs"/>
          <w:rtl/>
        </w:rPr>
        <w:t xml:space="preserve"> [נוסח חדש], התשכ"ט-1969). בנסיבות אלה, לא התרשמתי שיש צורך בדחיית מועד מתן גזר הדין בארבעה חודשים נוספים כפי שביקש  שרות המבחן בתסקירו מיום 9.2.20, וזאת על מנת לבחון אם בשלה השעה למתן צו מבחן, או לא.   </w:t>
      </w:r>
    </w:p>
    <w:p w14:paraId="6C5F1738" w14:textId="77777777" w:rsidR="00EF20B3" w:rsidRDefault="00EF20B3" w:rsidP="00EF20B3">
      <w:pPr>
        <w:spacing w:line="360" w:lineRule="auto"/>
        <w:ind w:left="720" w:hanging="720"/>
        <w:jc w:val="both"/>
        <w:rPr>
          <w:rtl/>
        </w:rPr>
      </w:pPr>
    </w:p>
    <w:p w14:paraId="170ABBCD" w14:textId="77777777" w:rsidR="00EF20B3" w:rsidRDefault="00EF20B3" w:rsidP="00EF20B3">
      <w:pPr>
        <w:spacing w:line="360" w:lineRule="auto"/>
        <w:ind w:left="720" w:hanging="720"/>
        <w:jc w:val="both"/>
        <w:rPr>
          <w:rtl/>
        </w:rPr>
      </w:pPr>
      <w:r>
        <w:rPr>
          <w:rFonts w:hint="cs"/>
          <w:rtl/>
        </w:rPr>
        <w:t>25.</w:t>
      </w:r>
      <w:r>
        <w:rPr>
          <w:rFonts w:hint="cs"/>
          <w:rtl/>
        </w:rPr>
        <w:tab/>
        <w:t xml:space="preserve">בנוסף, </w:t>
      </w:r>
      <w:hyperlink r:id="rId54" w:history="1">
        <w:r w:rsidR="00F97262" w:rsidRPr="00F97262">
          <w:rPr>
            <w:rStyle w:val="Hyperlink"/>
            <w:rFonts w:cs="David" w:hint="eastAsia"/>
            <w:rtl/>
          </w:rPr>
          <w:t>סעיף</w:t>
        </w:r>
        <w:r w:rsidR="00F97262" w:rsidRPr="00F97262">
          <w:rPr>
            <w:rStyle w:val="Hyperlink"/>
            <w:rFonts w:cs="David"/>
            <w:rtl/>
          </w:rPr>
          <w:t xml:space="preserve"> 40ד(ב)</w:t>
        </w:r>
      </w:hyperlink>
      <w:r>
        <w:rPr>
          <w:rFonts w:hint="cs"/>
          <w:rtl/>
        </w:rPr>
        <w:t xml:space="preserve"> קובע שאם "</w:t>
      </w:r>
      <w:r w:rsidRPr="00FC07B7">
        <w:rPr>
          <w:rFonts w:hint="cs"/>
          <w:b/>
          <w:bCs/>
          <w:rtl/>
        </w:rPr>
        <w:t>היו מעשי העבירה ומידת אשמו של הנאשם בעלי חומרה יתרה, לא יחרוג בית המשפט ממתחם העונש ההולם</w:t>
      </w:r>
      <w:r>
        <w:rPr>
          <w:rFonts w:hint="cs"/>
          <w:rtl/>
        </w:rPr>
        <w:t>", אלא אם כן קיימות "</w:t>
      </w:r>
      <w:r w:rsidRPr="00FC07B7">
        <w:rPr>
          <w:rFonts w:hint="cs"/>
          <w:b/>
          <w:bCs/>
          <w:rtl/>
        </w:rPr>
        <w:t>נסיבות מיוחדות ויוצאות דופן</w:t>
      </w:r>
      <w:r>
        <w:rPr>
          <w:rFonts w:hint="cs"/>
          <w:rtl/>
        </w:rPr>
        <w:t xml:space="preserve">" (ראו גם: </w:t>
      </w:r>
      <w:hyperlink r:id="rId55" w:history="1">
        <w:r w:rsidR="00897C70" w:rsidRPr="00897C70">
          <w:rPr>
            <w:color w:val="0000FF"/>
            <w:u w:val="single"/>
            <w:rtl/>
          </w:rPr>
          <w:t>ע"פ 2125/18</w:t>
        </w:r>
      </w:hyperlink>
      <w:r>
        <w:rPr>
          <w:rFonts w:hint="cs"/>
          <w:rtl/>
        </w:rPr>
        <w:t xml:space="preserve"> </w:t>
      </w:r>
      <w:r w:rsidRPr="002304F4">
        <w:rPr>
          <w:rFonts w:hint="cs"/>
          <w:b/>
          <w:bCs/>
          <w:rtl/>
        </w:rPr>
        <w:t>דוד נ' מדינת ישראל</w:t>
      </w:r>
      <w:r>
        <w:rPr>
          <w:rFonts w:hint="cs"/>
          <w:rtl/>
        </w:rPr>
        <w:t xml:space="preserve"> (פורסם בנבו, 18.12.2018) פסקה 9 לפסק דינה של כבוד השופטת ברון).  כעת יש לבחון האם מעשי העבירה ומידת אשמו של הנאשם הם בעלי "חומרה יתרה", או לא. אם לא, אין מניעה לסטות ממתחם העונש ההולם וזאת מבלי שהנאשם יאלץ להוכיח קיומן של נסיבות מיוחדות ויוצאות דופן. אם כן, ניתן לסטות ממתחם העונש ההולם אך זאת רק לאחר הוכחת קיומן של נסיבות מיוחדות ויוצאות דופן.  </w:t>
      </w:r>
    </w:p>
    <w:p w14:paraId="11D37613" w14:textId="77777777" w:rsidR="00EF20B3" w:rsidRDefault="00EF20B3" w:rsidP="00EF20B3">
      <w:pPr>
        <w:spacing w:line="360" w:lineRule="auto"/>
        <w:ind w:left="720" w:hanging="720"/>
        <w:jc w:val="both"/>
        <w:rPr>
          <w:rtl/>
        </w:rPr>
      </w:pPr>
    </w:p>
    <w:p w14:paraId="78657F21" w14:textId="77777777" w:rsidR="00EF20B3" w:rsidRDefault="00EF20B3" w:rsidP="00EF20B3">
      <w:pPr>
        <w:spacing w:line="360" w:lineRule="auto"/>
        <w:ind w:left="720" w:hanging="720"/>
        <w:jc w:val="both"/>
        <w:rPr>
          <w:rtl/>
        </w:rPr>
      </w:pPr>
      <w:r>
        <w:rPr>
          <w:rFonts w:hint="cs"/>
          <w:rtl/>
        </w:rPr>
        <w:t>26.</w:t>
      </w:r>
      <w:r>
        <w:rPr>
          <w:rtl/>
        </w:rPr>
        <w:tab/>
      </w:r>
      <w:r>
        <w:rPr>
          <w:rFonts w:hint="cs"/>
          <w:rtl/>
        </w:rPr>
        <w:t>לדעתי, מכלול האירועים מושא כתב האישום שבפני, אינם "</w:t>
      </w:r>
      <w:r w:rsidRPr="00FC07B7">
        <w:rPr>
          <w:rFonts w:hint="cs"/>
          <w:b/>
          <w:bCs/>
          <w:rtl/>
        </w:rPr>
        <w:t>בעלי חומרה יתרה</w:t>
      </w:r>
      <w:r>
        <w:rPr>
          <w:rFonts w:hint="cs"/>
          <w:rtl/>
        </w:rPr>
        <w:t xml:space="preserve">", כמשמעותו של ביטוי זה </w:t>
      </w:r>
      <w:hyperlink r:id="rId56" w:history="1">
        <w:r w:rsidR="00F97262" w:rsidRPr="00F97262">
          <w:rPr>
            <w:rStyle w:val="Hyperlink"/>
            <w:rFonts w:cs="David" w:hint="eastAsia"/>
            <w:rtl/>
          </w:rPr>
          <w:t>בסעיף</w:t>
        </w:r>
        <w:r w:rsidR="00F97262" w:rsidRPr="00F97262">
          <w:rPr>
            <w:rStyle w:val="Hyperlink"/>
            <w:rFonts w:cs="David"/>
            <w:rtl/>
          </w:rPr>
          <w:t xml:space="preserve"> 40ד(ב)</w:t>
        </w:r>
      </w:hyperlink>
      <w:r>
        <w:rPr>
          <w:rFonts w:hint="cs"/>
          <w:rtl/>
        </w:rPr>
        <w:t xml:space="preserve"> ל</w:t>
      </w:r>
      <w:hyperlink r:id="rId57" w:history="1">
        <w:r w:rsidR="00897C70" w:rsidRPr="00897C70">
          <w:rPr>
            <w:color w:val="0000FF"/>
            <w:u w:val="single"/>
            <w:rtl/>
          </w:rPr>
          <w:t>חוק העונשין</w:t>
        </w:r>
      </w:hyperlink>
      <w:r>
        <w:rPr>
          <w:rFonts w:hint="cs"/>
          <w:rtl/>
        </w:rPr>
        <w:t>, ולכן הנאשם פטור מהוכחת קיומן של "</w:t>
      </w:r>
      <w:r w:rsidRPr="000112F1">
        <w:rPr>
          <w:rFonts w:hint="cs"/>
          <w:b/>
          <w:bCs/>
          <w:rtl/>
        </w:rPr>
        <w:t>נסיבות מיוחדות ויוצאות דופן</w:t>
      </w:r>
      <w:r>
        <w:rPr>
          <w:rFonts w:hint="cs"/>
          <w:rtl/>
        </w:rPr>
        <w:t>", וזאת לאור המשקל המצטבר של חמישה נימוקים.</w:t>
      </w:r>
    </w:p>
    <w:p w14:paraId="68CB1916" w14:textId="77777777" w:rsidR="00EF20B3" w:rsidRDefault="00EF20B3" w:rsidP="00EF20B3">
      <w:pPr>
        <w:spacing w:line="360" w:lineRule="auto"/>
        <w:ind w:left="720" w:hanging="720"/>
        <w:jc w:val="both"/>
        <w:rPr>
          <w:rtl/>
        </w:rPr>
      </w:pPr>
    </w:p>
    <w:p w14:paraId="528E43D2" w14:textId="77777777" w:rsidR="00EF20B3" w:rsidRDefault="00EF20B3" w:rsidP="00EF20B3">
      <w:pPr>
        <w:spacing w:line="360" w:lineRule="auto"/>
        <w:ind w:left="720" w:hanging="720"/>
        <w:jc w:val="both"/>
        <w:rPr>
          <w:rtl/>
        </w:rPr>
      </w:pPr>
      <w:r>
        <w:rPr>
          <w:rFonts w:hint="cs"/>
          <w:rtl/>
        </w:rPr>
        <w:t>27.</w:t>
      </w:r>
      <w:r>
        <w:rPr>
          <w:rFonts w:hint="cs"/>
          <w:rtl/>
        </w:rPr>
        <w:tab/>
      </w:r>
      <w:r w:rsidRPr="00E772D6">
        <w:rPr>
          <w:rFonts w:hint="cs"/>
          <w:u w:val="single"/>
          <w:rtl/>
        </w:rPr>
        <w:t>ראשית</w:t>
      </w:r>
      <w:r>
        <w:rPr>
          <w:rFonts w:hint="cs"/>
          <w:u w:val="single"/>
          <w:rtl/>
        </w:rPr>
        <w:t>,</w:t>
      </w:r>
      <w:r w:rsidRPr="00E772D6">
        <w:rPr>
          <w:rFonts w:hint="cs"/>
          <w:u w:val="single"/>
          <w:rtl/>
        </w:rPr>
        <w:t xml:space="preserve"> סיכום כתב האישום</w:t>
      </w:r>
      <w:r>
        <w:rPr>
          <w:rFonts w:hint="cs"/>
          <w:rtl/>
        </w:rPr>
        <w:t xml:space="preserve">: לצורך בחינת חומרת מכלול האירועים מושא כתב האישום, יש לתת את הדעת לכל הנתונים שלהלן: סוג הסם, כמות הסם, האם מקבלי הסם הם בגירים או קטינים, וכן כמות הבגירים והקטינים במכלול האירועים שבכתב האישום. ניתן לסכם את מכלול האירועים שבכתב האישום באמצעות הטבלה שלהלן: </w:t>
      </w:r>
    </w:p>
    <w:p w14:paraId="36CCBF88" w14:textId="77777777" w:rsidR="00EF20B3" w:rsidRDefault="00EF20B3" w:rsidP="00EF20B3">
      <w:pPr>
        <w:spacing w:line="360" w:lineRule="auto"/>
        <w:ind w:left="1440" w:hanging="720"/>
        <w:jc w:val="both"/>
        <w:rPr>
          <w:rtl/>
        </w:rPr>
      </w:pPr>
    </w:p>
    <w:tbl>
      <w:tblPr>
        <w:bidiVisual/>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1"/>
        <w:gridCol w:w="1782"/>
        <w:gridCol w:w="911"/>
        <w:gridCol w:w="1849"/>
        <w:gridCol w:w="1402"/>
      </w:tblGrid>
      <w:tr w:rsidR="00EF20B3" w14:paraId="3A9BCAA7" w14:textId="77777777" w:rsidTr="00EF20B3">
        <w:tc>
          <w:tcPr>
            <w:tcW w:w="1111" w:type="dxa"/>
            <w:shd w:val="clear" w:color="auto" w:fill="auto"/>
          </w:tcPr>
          <w:p w14:paraId="67DCA1FD" w14:textId="77777777" w:rsidR="00EF20B3" w:rsidRPr="00EF20B3" w:rsidRDefault="00EF20B3" w:rsidP="00EF20B3">
            <w:pPr>
              <w:spacing w:line="360" w:lineRule="auto"/>
              <w:jc w:val="both"/>
              <w:rPr>
                <w:b/>
                <w:bCs/>
                <w:rtl/>
              </w:rPr>
            </w:pPr>
            <w:r w:rsidRPr="00EF20B3">
              <w:rPr>
                <w:rFonts w:hint="cs"/>
                <w:b/>
                <w:bCs/>
                <w:rtl/>
              </w:rPr>
              <w:t xml:space="preserve">האישום </w:t>
            </w:r>
          </w:p>
        </w:tc>
        <w:tc>
          <w:tcPr>
            <w:tcW w:w="1782" w:type="dxa"/>
            <w:shd w:val="clear" w:color="auto" w:fill="auto"/>
          </w:tcPr>
          <w:p w14:paraId="163F6218" w14:textId="77777777" w:rsidR="00EF20B3" w:rsidRPr="00EF20B3" w:rsidRDefault="00EF20B3" w:rsidP="00EF20B3">
            <w:pPr>
              <w:spacing w:line="360" w:lineRule="auto"/>
              <w:jc w:val="both"/>
              <w:rPr>
                <w:b/>
                <w:bCs/>
                <w:rtl/>
              </w:rPr>
            </w:pPr>
            <w:r w:rsidRPr="00EF20B3">
              <w:rPr>
                <w:rFonts w:hint="cs"/>
                <w:b/>
                <w:bCs/>
                <w:rtl/>
              </w:rPr>
              <w:t xml:space="preserve">סוג העבירה </w:t>
            </w:r>
          </w:p>
        </w:tc>
        <w:tc>
          <w:tcPr>
            <w:tcW w:w="911" w:type="dxa"/>
            <w:shd w:val="clear" w:color="auto" w:fill="auto"/>
          </w:tcPr>
          <w:p w14:paraId="18A2FDE0" w14:textId="77777777" w:rsidR="00EF20B3" w:rsidRPr="00EF20B3" w:rsidRDefault="00EF20B3" w:rsidP="00EF20B3">
            <w:pPr>
              <w:spacing w:line="360" w:lineRule="auto"/>
              <w:jc w:val="both"/>
              <w:rPr>
                <w:b/>
                <w:bCs/>
                <w:rtl/>
              </w:rPr>
            </w:pPr>
            <w:r w:rsidRPr="00EF20B3">
              <w:rPr>
                <w:rFonts w:hint="cs"/>
                <w:b/>
                <w:bCs/>
                <w:rtl/>
              </w:rPr>
              <w:t>סוג הסם</w:t>
            </w:r>
          </w:p>
        </w:tc>
        <w:tc>
          <w:tcPr>
            <w:tcW w:w="1849" w:type="dxa"/>
            <w:shd w:val="clear" w:color="auto" w:fill="auto"/>
          </w:tcPr>
          <w:p w14:paraId="3FF234F8" w14:textId="77777777" w:rsidR="00EF20B3" w:rsidRPr="00EF20B3" w:rsidRDefault="00EF20B3" w:rsidP="00EF20B3">
            <w:pPr>
              <w:spacing w:line="360" w:lineRule="auto"/>
              <w:jc w:val="both"/>
              <w:rPr>
                <w:b/>
                <w:bCs/>
                <w:rtl/>
              </w:rPr>
            </w:pPr>
            <w:r w:rsidRPr="00EF20B3">
              <w:rPr>
                <w:rFonts w:hint="cs"/>
                <w:b/>
                <w:bCs/>
                <w:rtl/>
              </w:rPr>
              <w:t>כמות הסם</w:t>
            </w:r>
          </w:p>
        </w:tc>
        <w:tc>
          <w:tcPr>
            <w:tcW w:w="1402" w:type="dxa"/>
            <w:shd w:val="clear" w:color="auto" w:fill="auto"/>
          </w:tcPr>
          <w:p w14:paraId="49E6E995" w14:textId="77777777" w:rsidR="00EF20B3" w:rsidRPr="00EF20B3" w:rsidRDefault="00EF20B3" w:rsidP="00EF20B3">
            <w:pPr>
              <w:spacing w:line="360" w:lineRule="auto"/>
              <w:jc w:val="both"/>
              <w:rPr>
                <w:b/>
                <w:bCs/>
                <w:rtl/>
              </w:rPr>
            </w:pPr>
            <w:r w:rsidRPr="00EF20B3">
              <w:rPr>
                <w:rFonts w:hint="cs"/>
                <w:b/>
                <w:bCs/>
                <w:rtl/>
              </w:rPr>
              <w:t>מקבל הסם</w:t>
            </w:r>
          </w:p>
        </w:tc>
      </w:tr>
      <w:tr w:rsidR="00EF20B3" w14:paraId="67070948" w14:textId="77777777" w:rsidTr="00EF20B3">
        <w:tc>
          <w:tcPr>
            <w:tcW w:w="1111" w:type="dxa"/>
            <w:shd w:val="clear" w:color="auto" w:fill="auto"/>
          </w:tcPr>
          <w:p w14:paraId="05BA3420" w14:textId="77777777" w:rsidR="00EF20B3" w:rsidRDefault="00EF20B3" w:rsidP="00EF20B3">
            <w:pPr>
              <w:spacing w:line="360" w:lineRule="auto"/>
              <w:jc w:val="both"/>
              <w:rPr>
                <w:rtl/>
              </w:rPr>
            </w:pPr>
            <w:r>
              <w:rPr>
                <w:rFonts w:hint="cs"/>
                <w:rtl/>
              </w:rPr>
              <w:t xml:space="preserve">הראשון </w:t>
            </w:r>
          </w:p>
        </w:tc>
        <w:tc>
          <w:tcPr>
            <w:tcW w:w="1782" w:type="dxa"/>
            <w:shd w:val="clear" w:color="auto" w:fill="auto"/>
          </w:tcPr>
          <w:p w14:paraId="536E5FBA" w14:textId="77777777" w:rsidR="00EF20B3" w:rsidRDefault="00EF20B3" w:rsidP="00EF20B3">
            <w:pPr>
              <w:spacing w:line="360" w:lineRule="auto"/>
              <w:jc w:val="both"/>
              <w:rPr>
                <w:rtl/>
              </w:rPr>
            </w:pPr>
            <w:r>
              <w:rPr>
                <w:rFonts w:hint="cs"/>
                <w:rtl/>
              </w:rPr>
              <w:t xml:space="preserve">גידול </w:t>
            </w:r>
            <w:r>
              <w:rPr>
                <w:rtl/>
              </w:rPr>
              <w:t>–</w:t>
            </w:r>
            <w:r>
              <w:rPr>
                <w:rFonts w:hint="cs"/>
                <w:rtl/>
              </w:rPr>
              <w:t xml:space="preserve"> פשע </w:t>
            </w:r>
          </w:p>
          <w:p w14:paraId="4C5B53F0" w14:textId="77777777" w:rsidR="00EF20B3" w:rsidRDefault="00EF20B3" w:rsidP="00EF20B3">
            <w:pPr>
              <w:spacing w:line="360" w:lineRule="auto"/>
              <w:jc w:val="both"/>
              <w:rPr>
                <w:rtl/>
              </w:rPr>
            </w:pPr>
            <w:r>
              <w:rPr>
                <w:rFonts w:hint="cs"/>
                <w:rtl/>
              </w:rPr>
              <w:t xml:space="preserve">והחזקה לשימוש עצמי </w:t>
            </w:r>
            <w:r>
              <w:rPr>
                <w:rtl/>
              </w:rPr>
              <w:t>–</w:t>
            </w:r>
            <w:r>
              <w:rPr>
                <w:rFonts w:hint="cs"/>
                <w:rtl/>
              </w:rPr>
              <w:t xml:space="preserve"> עוון </w:t>
            </w:r>
          </w:p>
        </w:tc>
        <w:tc>
          <w:tcPr>
            <w:tcW w:w="911" w:type="dxa"/>
            <w:shd w:val="clear" w:color="auto" w:fill="auto"/>
          </w:tcPr>
          <w:p w14:paraId="66AFF135" w14:textId="77777777" w:rsidR="00EF20B3" w:rsidRDefault="00EF20B3" w:rsidP="00EF20B3">
            <w:pPr>
              <w:spacing w:line="360" w:lineRule="auto"/>
              <w:jc w:val="both"/>
              <w:rPr>
                <w:rtl/>
              </w:rPr>
            </w:pPr>
            <w:r>
              <w:rPr>
                <w:rFonts w:hint="cs"/>
                <w:rtl/>
              </w:rPr>
              <w:t>קנבוס</w:t>
            </w:r>
          </w:p>
        </w:tc>
        <w:tc>
          <w:tcPr>
            <w:tcW w:w="1849" w:type="dxa"/>
            <w:shd w:val="clear" w:color="auto" w:fill="auto"/>
          </w:tcPr>
          <w:p w14:paraId="06C561FD" w14:textId="77777777" w:rsidR="00EF20B3" w:rsidRDefault="00EF20B3" w:rsidP="00EF20B3">
            <w:pPr>
              <w:spacing w:line="360" w:lineRule="auto"/>
              <w:jc w:val="both"/>
              <w:rPr>
                <w:rtl/>
              </w:rPr>
            </w:pPr>
            <w:r>
              <w:rPr>
                <w:rFonts w:hint="cs"/>
                <w:rtl/>
              </w:rPr>
              <w:t>13.16 גרם</w:t>
            </w:r>
          </w:p>
        </w:tc>
        <w:tc>
          <w:tcPr>
            <w:tcW w:w="1402" w:type="dxa"/>
            <w:shd w:val="clear" w:color="auto" w:fill="auto"/>
          </w:tcPr>
          <w:p w14:paraId="5D4CD151" w14:textId="77777777" w:rsidR="00EF20B3" w:rsidRDefault="00EF20B3" w:rsidP="00EF20B3">
            <w:pPr>
              <w:spacing w:line="360" w:lineRule="auto"/>
              <w:jc w:val="both"/>
              <w:rPr>
                <w:rtl/>
              </w:rPr>
            </w:pPr>
            <w:r>
              <w:rPr>
                <w:rFonts w:hint="cs"/>
                <w:rtl/>
              </w:rPr>
              <w:t>שימוש עצמי</w:t>
            </w:r>
          </w:p>
        </w:tc>
      </w:tr>
      <w:tr w:rsidR="00EF20B3" w14:paraId="4AB9E8D5" w14:textId="77777777" w:rsidTr="00EF20B3">
        <w:tc>
          <w:tcPr>
            <w:tcW w:w="1111" w:type="dxa"/>
            <w:shd w:val="clear" w:color="auto" w:fill="auto"/>
          </w:tcPr>
          <w:p w14:paraId="13FC0ED6" w14:textId="77777777" w:rsidR="00EF20B3" w:rsidRDefault="00EF20B3" w:rsidP="00EF20B3">
            <w:pPr>
              <w:spacing w:line="360" w:lineRule="auto"/>
              <w:jc w:val="both"/>
              <w:rPr>
                <w:rtl/>
              </w:rPr>
            </w:pPr>
            <w:r>
              <w:rPr>
                <w:rFonts w:hint="cs"/>
                <w:rtl/>
              </w:rPr>
              <w:t>השני</w:t>
            </w:r>
          </w:p>
        </w:tc>
        <w:tc>
          <w:tcPr>
            <w:tcW w:w="1782" w:type="dxa"/>
            <w:shd w:val="clear" w:color="auto" w:fill="auto"/>
          </w:tcPr>
          <w:p w14:paraId="47D1EF00" w14:textId="77777777" w:rsidR="00EF20B3" w:rsidRDefault="00EF20B3" w:rsidP="00EF20B3">
            <w:pPr>
              <w:spacing w:line="360" w:lineRule="auto"/>
              <w:jc w:val="both"/>
              <w:rPr>
                <w:rtl/>
              </w:rPr>
            </w:pPr>
            <w:r>
              <w:rPr>
                <w:rFonts w:hint="cs"/>
                <w:rtl/>
              </w:rPr>
              <w:t>סחר - פשע</w:t>
            </w:r>
          </w:p>
        </w:tc>
        <w:tc>
          <w:tcPr>
            <w:tcW w:w="911" w:type="dxa"/>
            <w:shd w:val="clear" w:color="auto" w:fill="auto"/>
          </w:tcPr>
          <w:p w14:paraId="5BCAA2DF" w14:textId="77777777" w:rsidR="00EF20B3" w:rsidRDefault="00EF20B3" w:rsidP="00EF20B3">
            <w:pPr>
              <w:spacing w:line="360" w:lineRule="auto"/>
              <w:jc w:val="both"/>
              <w:rPr>
                <w:rtl/>
              </w:rPr>
            </w:pPr>
            <w:r>
              <w:rPr>
                <w:rFonts w:hint="cs"/>
                <w:rtl/>
              </w:rPr>
              <w:t>קנבוס</w:t>
            </w:r>
          </w:p>
        </w:tc>
        <w:tc>
          <w:tcPr>
            <w:tcW w:w="1849" w:type="dxa"/>
            <w:shd w:val="clear" w:color="auto" w:fill="auto"/>
          </w:tcPr>
          <w:p w14:paraId="07D736FB" w14:textId="77777777" w:rsidR="00EF20B3" w:rsidRDefault="00EF20B3" w:rsidP="00EF20B3">
            <w:pPr>
              <w:spacing w:line="360" w:lineRule="auto"/>
              <w:jc w:val="both"/>
              <w:rPr>
                <w:rtl/>
              </w:rPr>
            </w:pPr>
            <w:r>
              <w:rPr>
                <w:rFonts w:hint="cs"/>
                <w:rtl/>
              </w:rPr>
              <w:t>6 גרם</w:t>
            </w:r>
          </w:p>
        </w:tc>
        <w:tc>
          <w:tcPr>
            <w:tcW w:w="1402" w:type="dxa"/>
            <w:shd w:val="clear" w:color="auto" w:fill="auto"/>
          </w:tcPr>
          <w:p w14:paraId="6664F939" w14:textId="77777777" w:rsidR="00EF20B3" w:rsidRDefault="00EF20B3" w:rsidP="00EF20B3">
            <w:pPr>
              <w:spacing w:line="360" w:lineRule="auto"/>
              <w:jc w:val="both"/>
              <w:rPr>
                <w:rtl/>
              </w:rPr>
            </w:pPr>
            <w:r>
              <w:rPr>
                <w:rFonts w:hint="cs"/>
                <w:rtl/>
              </w:rPr>
              <w:t>קטין יליד שנת 2000</w:t>
            </w:r>
          </w:p>
        </w:tc>
      </w:tr>
      <w:tr w:rsidR="00EF20B3" w14:paraId="2303064D" w14:textId="77777777" w:rsidTr="00EF20B3">
        <w:tc>
          <w:tcPr>
            <w:tcW w:w="1111" w:type="dxa"/>
            <w:shd w:val="clear" w:color="auto" w:fill="auto"/>
          </w:tcPr>
          <w:p w14:paraId="59260726" w14:textId="77777777" w:rsidR="00EF20B3" w:rsidRDefault="00EF20B3" w:rsidP="00EF20B3">
            <w:pPr>
              <w:spacing w:line="360" w:lineRule="auto"/>
              <w:jc w:val="both"/>
              <w:rPr>
                <w:rtl/>
              </w:rPr>
            </w:pPr>
            <w:r>
              <w:rPr>
                <w:rFonts w:hint="cs"/>
                <w:rtl/>
              </w:rPr>
              <w:t>השלישי</w:t>
            </w:r>
          </w:p>
        </w:tc>
        <w:tc>
          <w:tcPr>
            <w:tcW w:w="1782" w:type="dxa"/>
            <w:shd w:val="clear" w:color="auto" w:fill="auto"/>
          </w:tcPr>
          <w:p w14:paraId="22ED197E" w14:textId="77777777" w:rsidR="00EF20B3" w:rsidRDefault="00EF20B3" w:rsidP="00EF20B3">
            <w:pPr>
              <w:spacing w:line="360" w:lineRule="auto"/>
              <w:jc w:val="both"/>
              <w:rPr>
                <w:rtl/>
              </w:rPr>
            </w:pPr>
            <w:r>
              <w:rPr>
                <w:rFonts w:hint="cs"/>
                <w:rtl/>
              </w:rPr>
              <w:t xml:space="preserve">סחר </w:t>
            </w:r>
            <w:r>
              <w:rPr>
                <w:rtl/>
              </w:rPr>
              <w:t>–</w:t>
            </w:r>
            <w:r>
              <w:rPr>
                <w:rFonts w:hint="cs"/>
                <w:rtl/>
              </w:rPr>
              <w:t xml:space="preserve"> פשע</w:t>
            </w:r>
          </w:p>
        </w:tc>
        <w:tc>
          <w:tcPr>
            <w:tcW w:w="911" w:type="dxa"/>
            <w:shd w:val="clear" w:color="auto" w:fill="auto"/>
          </w:tcPr>
          <w:p w14:paraId="7CF7C4B2" w14:textId="77777777" w:rsidR="00EF20B3" w:rsidRDefault="00EF20B3" w:rsidP="00EF20B3">
            <w:pPr>
              <w:spacing w:line="360" w:lineRule="auto"/>
              <w:jc w:val="both"/>
              <w:rPr>
                <w:rtl/>
              </w:rPr>
            </w:pPr>
            <w:r>
              <w:rPr>
                <w:rFonts w:hint="cs"/>
                <w:rtl/>
              </w:rPr>
              <w:t>קנבוס</w:t>
            </w:r>
          </w:p>
        </w:tc>
        <w:tc>
          <w:tcPr>
            <w:tcW w:w="1849" w:type="dxa"/>
            <w:shd w:val="clear" w:color="auto" w:fill="auto"/>
          </w:tcPr>
          <w:p w14:paraId="4841DD45" w14:textId="77777777" w:rsidR="00EF20B3" w:rsidRDefault="00EF20B3" w:rsidP="00EF20B3">
            <w:pPr>
              <w:spacing w:line="360" w:lineRule="auto"/>
              <w:jc w:val="both"/>
              <w:rPr>
                <w:rtl/>
              </w:rPr>
            </w:pPr>
            <w:r>
              <w:rPr>
                <w:rFonts w:hint="cs"/>
                <w:rtl/>
              </w:rPr>
              <w:t>2 גרם (1 גרם</w:t>
            </w:r>
            <w:r>
              <w:t xml:space="preserve">x </w:t>
            </w:r>
            <w:r>
              <w:rPr>
                <w:rFonts w:hint="cs"/>
                <w:rtl/>
              </w:rPr>
              <w:t xml:space="preserve"> 2)</w:t>
            </w:r>
          </w:p>
        </w:tc>
        <w:tc>
          <w:tcPr>
            <w:tcW w:w="1402" w:type="dxa"/>
            <w:shd w:val="clear" w:color="auto" w:fill="auto"/>
          </w:tcPr>
          <w:p w14:paraId="21D27C9B" w14:textId="77777777" w:rsidR="00EF20B3" w:rsidRDefault="00EF20B3" w:rsidP="00EF20B3">
            <w:pPr>
              <w:spacing w:line="360" w:lineRule="auto"/>
              <w:jc w:val="both"/>
              <w:rPr>
                <w:rtl/>
              </w:rPr>
            </w:pPr>
            <w:r>
              <w:rPr>
                <w:rFonts w:hint="cs"/>
                <w:rtl/>
              </w:rPr>
              <w:t>קטינה ילידת שנת 2000</w:t>
            </w:r>
          </w:p>
        </w:tc>
      </w:tr>
      <w:tr w:rsidR="00EF20B3" w14:paraId="3E0716AB" w14:textId="77777777" w:rsidTr="00EF20B3">
        <w:tc>
          <w:tcPr>
            <w:tcW w:w="1111" w:type="dxa"/>
            <w:shd w:val="clear" w:color="auto" w:fill="auto"/>
          </w:tcPr>
          <w:p w14:paraId="46157018" w14:textId="77777777" w:rsidR="00EF20B3" w:rsidRDefault="00EF20B3" w:rsidP="00EF20B3">
            <w:pPr>
              <w:spacing w:line="360" w:lineRule="auto"/>
              <w:jc w:val="both"/>
              <w:rPr>
                <w:rtl/>
              </w:rPr>
            </w:pPr>
            <w:r>
              <w:rPr>
                <w:rFonts w:hint="cs"/>
                <w:rtl/>
              </w:rPr>
              <w:t>הרביעי</w:t>
            </w:r>
          </w:p>
        </w:tc>
        <w:tc>
          <w:tcPr>
            <w:tcW w:w="1782" w:type="dxa"/>
            <w:shd w:val="clear" w:color="auto" w:fill="auto"/>
          </w:tcPr>
          <w:p w14:paraId="3F7A246E" w14:textId="77777777" w:rsidR="00EF20B3" w:rsidRDefault="00EF20B3" w:rsidP="00EF20B3">
            <w:pPr>
              <w:spacing w:line="360" w:lineRule="auto"/>
              <w:jc w:val="both"/>
              <w:rPr>
                <w:rtl/>
              </w:rPr>
            </w:pPr>
            <w:r>
              <w:rPr>
                <w:rFonts w:hint="cs"/>
                <w:rtl/>
              </w:rPr>
              <w:t xml:space="preserve">סחר </w:t>
            </w:r>
            <w:r>
              <w:rPr>
                <w:rtl/>
              </w:rPr>
              <w:t>–</w:t>
            </w:r>
            <w:r>
              <w:rPr>
                <w:rFonts w:hint="cs"/>
                <w:rtl/>
              </w:rPr>
              <w:t xml:space="preserve"> פשע</w:t>
            </w:r>
          </w:p>
        </w:tc>
        <w:tc>
          <w:tcPr>
            <w:tcW w:w="911" w:type="dxa"/>
            <w:shd w:val="clear" w:color="auto" w:fill="auto"/>
          </w:tcPr>
          <w:p w14:paraId="4BD47663" w14:textId="77777777" w:rsidR="00EF20B3" w:rsidRDefault="00EF20B3" w:rsidP="00EF20B3">
            <w:pPr>
              <w:spacing w:line="360" w:lineRule="auto"/>
              <w:jc w:val="both"/>
              <w:rPr>
                <w:rtl/>
              </w:rPr>
            </w:pPr>
            <w:r>
              <w:rPr>
                <w:rFonts w:hint="cs"/>
                <w:rtl/>
              </w:rPr>
              <w:t>קנבוס</w:t>
            </w:r>
          </w:p>
        </w:tc>
        <w:tc>
          <w:tcPr>
            <w:tcW w:w="1849" w:type="dxa"/>
            <w:shd w:val="clear" w:color="auto" w:fill="auto"/>
          </w:tcPr>
          <w:p w14:paraId="30CE996B" w14:textId="77777777" w:rsidR="00EF20B3" w:rsidRDefault="00EF20B3" w:rsidP="00EF20B3">
            <w:pPr>
              <w:spacing w:line="360" w:lineRule="auto"/>
              <w:jc w:val="both"/>
              <w:rPr>
                <w:rtl/>
              </w:rPr>
            </w:pPr>
            <w:r>
              <w:rPr>
                <w:rFonts w:hint="cs"/>
                <w:rtl/>
              </w:rPr>
              <w:t>27 גרם</w:t>
            </w:r>
          </w:p>
        </w:tc>
        <w:tc>
          <w:tcPr>
            <w:tcW w:w="1402" w:type="dxa"/>
            <w:shd w:val="clear" w:color="auto" w:fill="auto"/>
          </w:tcPr>
          <w:p w14:paraId="00E07577" w14:textId="77777777" w:rsidR="00EF20B3" w:rsidRDefault="00EF20B3" w:rsidP="00EF20B3">
            <w:pPr>
              <w:spacing w:line="360" w:lineRule="auto"/>
              <w:jc w:val="both"/>
              <w:rPr>
                <w:rtl/>
              </w:rPr>
            </w:pPr>
            <w:r>
              <w:rPr>
                <w:rFonts w:hint="cs"/>
                <w:rtl/>
              </w:rPr>
              <w:t>בגירה</w:t>
            </w:r>
          </w:p>
        </w:tc>
      </w:tr>
      <w:tr w:rsidR="00EF20B3" w14:paraId="5C959D19" w14:textId="77777777" w:rsidTr="00EF20B3">
        <w:tc>
          <w:tcPr>
            <w:tcW w:w="1111" w:type="dxa"/>
            <w:shd w:val="clear" w:color="auto" w:fill="auto"/>
          </w:tcPr>
          <w:p w14:paraId="30FD800E" w14:textId="77777777" w:rsidR="00EF20B3" w:rsidRDefault="00EF20B3" w:rsidP="00EF20B3">
            <w:pPr>
              <w:spacing w:line="360" w:lineRule="auto"/>
              <w:jc w:val="both"/>
              <w:rPr>
                <w:rtl/>
              </w:rPr>
            </w:pPr>
            <w:r>
              <w:rPr>
                <w:rFonts w:hint="cs"/>
                <w:rtl/>
              </w:rPr>
              <w:t>החמישי</w:t>
            </w:r>
          </w:p>
        </w:tc>
        <w:tc>
          <w:tcPr>
            <w:tcW w:w="1782" w:type="dxa"/>
            <w:shd w:val="clear" w:color="auto" w:fill="auto"/>
          </w:tcPr>
          <w:p w14:paraId="0826678A" w14:textId="77777777" w:rsidR="00EF20B3" w:rsidRDefault="00EF20B3" w:rsidP="00EF20B3">
            <w:pPr>
              <w:spacing w:line="360" w:lineRule="auto"/>
              <w:jc w:val="both"/>
              <w:rPr>
                <w:rtl/>
              </w:rPr>
            </w:pPr>
            <w:r>
              <w:rPr>
                <w:rFonts w:hint="cs"/>
                <w:rtl/>
              </w:rPr>
              <w:t xml:space="preserve">סחר </w:t>
            </w:r>
            <w:r>
              <w:rPr>
                <w:rtl/>
              </w:rPr>
              <w:t>–</w:t>
            </w:r>
            <w:r>
              <w:rPr>
                <w:rFonts w:hint="cs"/>
                <w:rtl/>
              </w:rPr>
              <w:t xml:space="preserve"> פשע</w:t>
            </w:r>
          </w:p>
        </w:tc>
        <w:tc>
          <w:tcPr>
            <w:tcW w:w="911" w:type="dxa"/>
            <w:shd w:val="clear" w:color="auto" w:fill="auto"/>
          </w:tcPr>
          <w:p w14:paraId="445ED36D" w14:textId="77777777" w:rsidR="00EF20B3" w:rsidRDefault="00EF20B3" w:rsidP="00EF20B3">
            <w:pPr>
              <w:spacing w:line="360" w:lineRule="auto"/>
              <w:jc w:val="both"/>
              <w:rPr>
                <w:rtl/>
              </w:rPr>
            </w:pPr>
            <w:r>
              <w:rPr>
                <w:rFonts w:hint="cs"/>
                <w:rtl/>
              </w:rPr>
              <w:t>קנבוס</w:t>
            </w:r>
          </w:p>
        </w:tc>
        <w:tc>
          <w:tcPr>
            <w:tcW w:w="1849" w:type="dxa"/>
            <w:shd w:val="clear" w:color="auto" w:fill="auto"/>
          </w:tcPr>
          <w:p w14:paraId="04E1E294" w14:textId="77777777" w:rsidR="00EF20B3" w:rsidRDefault="00EF20B3" w:rsidP="00EF20B3">
            <w:pPr>
              <w:spacing w:line="360" w:lineRule="auto"/>
              <w:jc w:val="both"/>
              <w:rPr>
                <w:rtl/>
              </w:rPr>
            </w:pPr>
            <w:r>
              <w:rPr>
                <w:rFonts w:hint="cs"/>
                <w:rtl/>
              </w:rPr>
              <w:t>2 גרם ועוד כמות מזערית לא ידועה</w:t>
            </w:r>
          </w:p>
        </w:tc>
        <w:tc>
          <w:tcPr>
            <w:tcW w:w="1402" w:type="dxa"/>
            <w:shd w:val="clear" w:color="auto" w:fill="auto"/>
          </w:tcPr>
          <w:p w14:paraId="68BE0368" w14:textId="77777777" w:rsidR="00EF20B3" w:rsidRDefault="00EF20B3" w:rsidP="00EF20B3">
            <w:pPr>
              <w:spacing w:line="360" w:lineRule="auto"/>
              <w:jc w:val="both"/>
              <w:rPr>
                <w:rtl/>
              </w:rPr>
            </w:pPr>
            <w:r>
              <w:rPr>
                <w:rFonts w:hint="cs"/>
                <w:rtl/>
              </w:rPr>
              <w:t>בגיר</w:t>
            </w:r>
          </w:p>
        </w:tc>
      </w:tr>
      <w:tr w:rsidR="00EF20B3" w14:paraId="1806DC51" w14:textId="77777777" w:rsidTr="00EF20B3">
        <w:tc>
          <w:tcPr>
            <w:tcW w:w="1111" w:type="dxa"/>
            <w:shd w:val="clear" w:color="auto" w:fill="auto"/>
          </w:tcPr>
          <w:p w14:paraId="72B8ACA2" w14:textId="77777777" w:rsidR="00EF20B3" w:rsidRDefault="00EF20B3" w:rsidP="00EF20B3">
            <w:pPr>
              <w:spacing w:line="360" w:lineRule="auto"/>
              <w:jc w:val="both"/>
              <w:rPr>
                <w:rtl/>
              </w:rPr>
            </w:pPr>
            <w:r>
              <w:rPr>
                <w:rFonts w:hint="cs"/>
                <w:rtl/>
              </w:rPr>
              <w:t>השישי</w:t>
            </w:r>
          </w:p>
        </w:tc>
        <w:tc>
          <w:tcPr>
            <w:tcW w:w="1782" w:type="dxa"/>
            <w:shd w:val="clear" w:color="auto" w:fill="auto"/>
          </w:tcPr>
          <w:p w14:paraId="31C3B9EA" w14:textId="77777777" w:rsidR="00EF20B3" w:rsidRDefault="00EF20B3" w:rsidP="00EF20B3">
            <w:pPr>
              <w:spacing w:line="360" w:lineRule="auto"/>
              <w:jc w:val="both"/>
              <w:rPr>
                <w:rtl/>
              </w:rPr>
            </w:pPr>
            <w:r>
              <w:rPr>
                <w:rFonts w:hint="cs"/>
                <w:rtl/>
              </w:rPr>
              <w:t xml:space="preserve">סחר </w:t>
            </w:r>
            <w:r>
              <w:rPr>
                <w:rtl/>
              </w:rPr>
              <w:t>–</w:t>
            </w:r>
            <w:r>
              <w:rPr>
                <w:rFonts w:hint="cs"/>
                <w:rtl/>
              </w:rPr>
              <w:t xml:space="preserve"> פשע</w:t>
            </w:r>
          </w:p>
        </w:tc>
        <w:tc>
          <w:tcPr>
            <w:tcW w:w="911" w:type="dxa"/>
            <w:shd w:val="clear" w:color="auto" w:fill="auto"/>
          </w:tcPr>
          <w:p w14:paraId="3CC0119C" w14:textId="77777777" w:rsidR="00EF20B3" w:rsidRDefault="00EF20B3" w:rsidP="00EF20B3">
            <w:pPr>
              <w:spacing w:line="360" w:lineRule="auto"/>
              <w:jc w:val="both"/>
              <w:rPr>
                <w:rtl/>
              </w:rPr>
            </w:pPr>
            <w:r>
              <w:rPr>
                <w:rFonts w:hint="cs"/>
                <w:rtl/>
              </w:rPr>
              <w:t>קנבוס</w:t>
            </w:r>
          </w:p>
        </w:tc>
        <w:tc>
          <w:tcPr>
            <w:tcW w:w="1849" w:type="dxa"/>
            <w:shd w:val="clear" w:color="auto" w:fill="auto"/>
          </w:tcPr>
          <w:p w14:paraId="2F707214" w14:textId="77777777" w:rsidR="00EF20B3" w:rsidRDefault="00EF20B3" w:rsidP="00EF20B3">
            <w:pPr>
              <w:spacing w:line="360" w:lineRule="auto"/>
              <w:jc w:val="both"/>
              <w:rPr>
                <w:rtl/>
              </w:rPr>
            </w:pPr>
            <w:r>
              <w:rPr>
                <w:rFonts w:hint="cs"/>
                <w:rtl/>
              </w:rPr>
              <w:t>סיגריה מגולגלת- המכילה סם</w:t>
            </w:r>
          </w:p>
        </w:tc>
        <w:tc>
          <w:tcPr>
            <w:tcW w:w="1402" w:type="dxa"/>
            <w:shd w:val="clear" w:color="auto" w:fill="auto"/>
          </w:tcPr>
          <w:p w14:paraId="07D52C08" w14:textId="77777777" w:rsidR="00EF20B3" w:rsidRDefault="00EF20B3" w:rsidP="00EF20B3">
            <w:pPr>
              <w:spacing w:line="360" w:lineRule="auto"/>
              <w:jc w:val="both"/>
              <w:rPr>
                <w:rtl/>
              </w:rPr>
            </w:pPr>
            <w:r>
              <w:rPr>
                <w:rFonts w:hint="cs"/>
                <w:rtl/>
              </w:rPr>
              <w:t>בגירה</w:t>
            </w:r>
          </w:p>
        </w:tc>
      </w:tr>
      <w:tr w:rsidR="00EF20B3" w14:paraId="5FC7F74E" w14:textId="77777777" w:rsidTr="00EF20B3">
        <w:tc>
          <w:tcPr>
            <w:tcW w:w="1111" w:type="dxa"/>
            <w:shd w:val="clear" w:color="auto" w:fill="auto"/>
          </w:tcPr>
          <w:p w14:paraId="5A3EC5BF" w14:textId="77777777" w:rsidR="00EF20B3" w:rsidRDefault="00EF20B3" w:rsidP="00EF20B3">
            <w:pPr>
              <w:spacing w:line="360" w:lineRule="auto"/>
              <w:jc w:val="both"/>
              <w:rPr>
                <w:rtl/>
              </w:rPr>
            </w:pPr>
            <w:r>
              <w:rPr>
                <w:rFonts w:hint="cs"/>
                <w:rtl/>
              </w:rPr>
              <w:t>השביעי</w:t>
            </w:r>
          </w:p>
        </w:tc>
        <w:tc>
          <w:tcPr>
            <w:tcW w:w="1782" w:type="dxa"/>
            <w:shd w:val="clear" w:color="auto" w:fill="auto"/>
          </w:tcPr>
          <w:p w14:paraId="353524AD" w14:textId="77777777" w:rsidR="00EF20B3" w:rsidRDefault="00EF20B3" w:rsidP="00EF20B3">
            <w:pPr>
              <w:spacing w:line="360" w:lineRule="auto"/>
              <w:jc w:val="both"/>
              <w:rPr>
                <w:rtl/>
              </w:rPr>
            </w:pPr>
            <w:r>
              <w:rPr>
                <w:rFonts w:hint="cs"/>
                <w:rtl/>
              </w:rPr>
              <w:t xml:space="preserve">סחר </w:t>
            </w:r>
            <w:r>
              <w:rPr>
                <w:rtl/>
              </w:rPr>
              <w:t>–</w:t>
            </w:r>
            <w:r>
              <w:rPr>
                <w:rFonts w:hint="cs"/>
                <w:rtl/>
              </w:rPr>
              <w:t xml:space="preserve"> פשע</w:t>
            </w:r>
          </w:p>
        </w:tc>
        <w:tc>
          <w:tcPr>
            <w:tcW w:w="911" w:type="dxa"/>
            <w:shd w:val="clear" w:color="auto" w:fill="auto"/>
          </w:tcPr>
          <w:p w14:paraId="52CCD717" w14:textId="77777777" w:rsidR="00EF20B3" w:rsidRDefault="00EF20B3" w:rsidP="00EF20B3">
            <w:pPr>
              <w:spacing w:line="360" w:lineRule="auto"/>
              <w:jc w:val="both"/>
              <w:rPr>
                <w:rtl/>
              </w:rPr>
            </w:pPr>
            <w:r>
              <w:rPr>
                <w:rFonts w:hint="cs"/>
                <w:rtl/>
              </w:rPr>
              <w:t>קנבוס</w:t>
            </w:r>
          </w:p>
        </w:tc>
        <w:tc>
          <w:tcPr>
            <w:tcW w:w="1849" w:type="dxa"/>
            <w:shd w:val="clear" w:color="auto" w:fill="auto"/>
          </w:tcPr>
          <w:p w14:paraId="176469D2" w14:textId="77777777" w:rsidR="00EF20B3" w:rsidRDefault="00EF20B3" w:rsidP="00EF20B3">
            <w:pPr>
              <w:spacing w:line="360" w:lineRule="auto"/>
              <w:jc w:val="both"/>
              <w:rPr>
                <w:rtl/>
              </w:rPr>
            </w:pPr>
            <w:r>
              <w:rPr>
                <w:rFonts w:hint="cs"/>
                <w:rtl/>
              </w:rPr>
              <w:t>סיגריה מגולגלת המכילה סם</w:t>
            </w:r>
          </w:p>
        </w:tc>
        <w:tc>
          <w:tcPr>
            <w:tcW w:w="1402" w:type="dxa"/>
            <w:shd w:val="clear" w:color="auto" w:fill="auto"/>
          </w:tcPr>
          <w:p w14:paraId="023C5650" w14:textId="77777777" w:rsidR="00EF20B3" w:rsidRDefault="00EF20B3" w:rsidP="00EF20B3">
            <w:pPr>
              <w:spacing w:line="360" w:lineRule="auto"/>
              <w:jc w:val="both"/>
              <w:rPr>
                <w:rtl/>
              </w:rPr>
            </w:pPr>
            <w:r>
              <w:rPr>
                <w:rFonts w:hint="cs"/>
                <w:rtl/>
              </w:rPr>
              <w:t>בגירה</w:t>
            </w:r>
          </w:p>
        </w:tc>
      </w:tr>
      <w:tr w:rsidR="00EF20B3" w14:paraId="11399794" w14:textId="77777777" w:rsidTr="00EF20B3">
        <w:tc>
          <w:tcPr>
            <w:tcW w:w="1111" w:type="dxa"/>
            <w:shd w:val="clear" w:color="auto" w:fill="auto"/>
          </w:tcPr>
          <w:p w14:paraId="156746AE" w14:textId="77777777" w:rsidR="00EF20B3" w:rsidRDefault="00EF20B3" w:rsidP="00EF20B3">
            <w:pPr>
              <w:spacing w:line="360" w:lineRule="auto"/>
              <w:jc w:val="both"/>
              <w:rPr>
                <w:rtl/>
              </w:rPr>
            </w:pPr>
            <w:r>
              <w:rPr>
                <w:rFonts w:hint="cs"/>
                <w:rtl/>
              </w:rPr>
              <w:t>השמיני</w:t>
            </w:r>
          </w:p>
        </w:tc>
        <w:tc>
          <w:tcPr>
            <w:tcW w:w="1782" w:type="dxa"/>
            <w:shd w:val="clear" w:color="auto" w:fill="auto"/>
          </w:tcPr>
          <w:p w14:paraId="360F3570" w14:textId="77777777" w:rsidR="00EF20B3" w:rsidRDefault="00EF20B3" w:rsidP="00EF20B3">
            <w:pPr>
              <w:spacing w:line="360" w:lineRule="auto"/>
              <w:jc w:val="both"/>
              <w:rPr>
                <w:rtl/>
              </w:rPr>
            </w:pPr>
            <w:r>
              <w:rPr>
                <w:rFonts w:hint="cs"/>
                <w:rtl/>
              </w:rPr>
              <w:t xml:space="preserve">סחר </w:t>
            </w:r>
            <w:r>
              <w:rPr>
                <w:rtl/>
              </w:rPr>
              <w:t>–</w:t>
            </w:r>
            <w:r>
              <w:rPr>
                <w:rFonts w:hint="cs"/>
                <w:rtl/>
              </w:rPr>
              <w:t xml:space="preserve"> פשע</w:t>
            </w:r>
          </w:p>
        </w:tc>
        <w:tc>
          <w:tcPr>
            <w:tcW w:w="911" w:type="dxa"/>
            <w:shd w:val="clear" w:color="auto" w:fill="auto"/>
          </w:tcPr>
          <w:p w14:paraId="0081D452" w14:textId="77777777" w:rsidR="00EF20B3" w:rsidRDefault="00EF20B3" w:rsidP="00EF20B3">
            <w:pPr>
              <w:spacing w:line="360" w:lineRule="auto"/>
              <w:jc w:val="both"/>
              <w:rPr>
                <w:rtl/>
              </w:rPr>
            </w:pPr>
            <w:r>
              <w:rPr>
                <w:rFonts w:hint="cs"/>
                <w:rtl/>
              </w:rPr>
              <w:t>קנבוס</w:t>
            </w:r>
          </w:p>
        </w:tc>
        <w:tc>
          <w:tcPr>
            <w:tcW w:w="1849" w:type="dxa"/>
            <w:shd w:val="clear" w:color="auto" w:fill="auto"/>
          </w:tcPr>
          <w:p w14:paraId="0FBAFDF9" w14:textId="77777777" w:rsidR="00EF20B3" w:rsidRDefault="00EF20B3" w:rsidP="00EF20B3">
            <w:pPr>
              <w:spacing w:line="360" w:lineRule="auto"/>
              <w:jc w:val="both"/>
              <w:rPr>
                <w:rtl/>
              </w:rPr>
            </w:pPr>
            <w:r>
              <w:rPr>
                <w:rFonts w:hint="cs"/>
                <w:rtl/>
              </w:rPr>
              <w:t xml:space="preserve">5 גרם </w:t>
            </w:r>
          </w:p>
        </w:tc>
        <w:tc>
          <w:tcPr>
            <w:tcW w:w="1402" w:type="dxa"/>
            <w:shd w:val="clear" w:color="auto" w:fill="auto"/>
          </w:tcPr>
          <w:p w14:paraId="13ADE512" w14:textId="77777777" w:rsidR="00EF20B3" w:rsidRDefault="00EF20B3" w:rsidP="00EF20B3">
            <w:pPr>
              <w:spacing w:line="360" w:lineRule="auto"/>
              <w:jc w:val="both"/>
              <w:rPr>
                <w:rtl/>
              </w:rPr>
            </w:pPr>
            <w:r>
              <w:rPr>
                <w:rFonts w:hint="cs"/>
                <w:rtl/>
              </w:rPr>
              <w:t>בגירה</w:t>
            </w:r>
          </w:p>
        </w:tc>
      </w:tr>
      <w:tr w:rsidR="00EF20B3" w14:paraId="26FBD0E6" w14:textId="77777777" w:rsidTr="00EF20B3">
        <w:tc>
          <w:tcPr>
            <w:tcW w:w="1111" w:type="dxa"/>
            <w:shd w:val="clear" w:color="auto" w:fill="auto"/>
          </w:tcPr>
          <w:p w14:paraId="6978D527" w14:textId="77777777" w:rsidR="00EF20B3" w:rsidRDefault="00EF20B3" w:rsidP="00EF20B3">
            <w:pPr>
              <w:spacing w:line="360" w:lineRule="auto"/>
              <w:jc w:val="both"/>
              <w:rPr>
                <w:rtl/>
              </w:rPr>
            </w:pPr>
            <w:r>
              <w:rPr>
                <w:rFonts w:hint="cs"/>
                <w:rtl/>
              </w:rPr>
              <w:t>התשיעי</w:t>
            </w:r>
          </w:p>
        </w:tc>
        <w:tc>
          <w:tcPr>
            <w:tcW w:w="1782" w:type="dxa"/>
            <w:shd w:val="clear" w:color="auto" w:fill="auto"/>
          </w:tcPr>
          <w:p w14:paraId="5B962D31" w14:textId="77777777" w:rsidR="00EF20B3" w:rsidRDefault="00EF20B3" w:rsidP="00EF20B3">
            <w:pPr>
              <w:spacing w:line="360" w:lineRule="auto"/>
              <w:jc w:val="both"/>
              <w:rPr>
                <w:rtl/>
              </w:rPr>
            </w:pPr>
            <w:r>
              <w:rPr>
                <w:rFonts w:hint="cs"/>
                <w:rtl/>
              </w:rPr>
              <w:t xml:space="preserve">סחר </w:t>
            </w:r>
            <w:r>
              <w:rPr>
                <w:rtl/>
              </w:rPr>
              <w:t>–</w:t>
            </w:r>
            <w:r>
              <w:rPr>
                <w:rFonts w:hint="cs"/>
                <w:rtl/>
              </w:rPr>
              <w:t xml:space="preserve"> פשע</w:t>
            </w:r>
          </w:p>
        </w:tc>
        <w:tc>
          <w:tcPr>
            <w:tcW w:w="911" w:type="dxa"/>
            <w:shd w:val="clear" w:color="auto" w:fill="auto"/>
          </w:tcPr>
          <w:p w14:paraId="2B50A83D" w14:textId="77777777" w:rsidR="00EF20B3" w:rsidRDefault="00EF20B3" w:rsidP="00EF20B3">
            <w:pPr>
              <w:spacing w:line="360" w:lineRule="auto"/>
              <w:jc w:val="both"/>
              <w:rPr>
                <w:rtl/>
              </w:rPr>
            </w:pPr>
            <w:r>
              <w:rPr>
                <w:rFonts w:hint="cs"/>
                <w:rtl/>
              </w:rPr>
              <w:t>קנבוס</w:t>
            </w:r>
          </w:p>
        </w:tc>
        <w:tc>
          <w:tcPr>
            <w:tcW w:w="1849" w:type="dxa"/>
            <w:shd w:val="clear" w:color="auto" w:fill="auto"/>
          </w:tcPr>
          <w:p w14:paraId="5052F42A" w14:textId="77777777" w:rsidR="00EF20B3" w:rsidRDefault="00EF20B3" w:rsidP="00EF20B3">
            <w:pPr>
              <w:spacing w:line="360" w:lineRule="auto"/>
              <w:jc w:val="both"/>
              <w:rPr>
                <w:rtl/>
              </w:rPr>
            </w:pPr>
            <w:r>
              <w:rPr>
                <w:rFonts w:hint="cs"/>
                <w:rtl/>
              </w:rPr>
              <w:t>10 גרם</w:t>
            </w:r>
          </w:p>
        </w:tc>
        <w:tc>
          <w:tcPr>
            <w:tcW w:w="1402" w:type="dxa"/>
            <w:shd w:val="clear" w:color="auto" w:fill="auto"/>
          </w:tcPr>
          <w:p w14:paraId="196DDE74" w14:textId="77777777" w:rsidR="00EF20B3" w:rsidRDefault="00EF20B3" w:rsidP="00EF20B3">
            <w:pPr>
              <w:spacing w:line="360" w:lineRule="auto"/>
              <w:jc w:val="both"/>
              <w:rPr>
                <w:rtl/>
              </w:rPr>
            </w:pPr>
            <w:r>
              <w:rPr>
                <w:rFonts w:hint="cs"/>
                <w:rtl/>
              </w:rPr>
              <w:t>בגירה</w:t>
            </w:r>
          </w:p>
        </w:tc>
      </w:tr>
      <w:tr w:rsidR="00EF20B3" w14:paraId="6EF6C669" w14:textId="77777777" w:rsidTr="00EF20B3">
        <w:tc>
          <w:tcPr>
            <w:tcW w:w="1111" w:type="dxa"/>
            <w:shd w:val="clear" w:color="auto" w:fill="auto"/>
          </w:tcPr>
          <w:p w14:paraId="2589C958" w14:textId="77777777" w:rsidR="00EF20B3" w:rsidRDefault="00EF20B3" w:rsidP="00EF20B3">
            <w:pPr>
              <w:spacing w:line="360" w:lineRule="auto"/>
              <w:jc w:val="both"/>
              <w:rPr>
                <w:rtl/>
              </w:rPr>
            </w:pPr>
            <w:r>
              <w:rPr>
                <w:rFonts w:hint="cs"/>
                <w:rtl/>
              </w:rPr>
              <w:t>העשירי</w:t>
            </w:r>
          </w:p>
        </w:tc>
        <w:tc>
          <w:tcPr>
            <w:tcW w:w="1782" w:type="dxa"/>
            <w:shd w:val="clear" w:color="auto" w:fill="auto"/>
          </w:tcPr>
          <w:p w14:paraId="31FDFAE1" w14:textId="77777777" w:rsidR="00EF20B3" w:rsidRDefault="00EF20B3" w:rsidP="00EF20B3">
            <w:pPr>
              <w:spacing w:line="360" w:lineRule="auto"/>
              <w:jc w:val="both"/>
              <w:rPr>
                <w:rtl/>
              </w:rPr>
            </w:pPr>
            <w:r>
              <w:rPr>
                <w:rFonts w:hint="cs"/>
                <w:rtl/>
              </w:rPr>
              <w:t>סחר - פשע</w:t>
            </w:r>
          </w:p>
        </w:tc>
        <w:tc>
          <w:tcPr>
            <w:tcW w:w="911" w:type="dxa"/>
            <w:shd w:val="clear" w:color="auto" w:fill="auto"/>
          </w:tcPr>
          <w:p w14:paraId="778E4F45" w14:textId="77777777" w:rsidR="00EF20B3" w:rsidRDefault="00EF20B3" w:rsidP="00EF20B3">
            <w:pPr>
              <w:spacing w:line="360" w:lineRule="auto"/>
              <w:jc w:val="both"/>
              <w:rPr>
                <w:rtl/>
              </w:rPr>
            </w:pPr>
            <w:r>
              <w:rPr>
                <w:rFonts w:hint="cs"/>
                <w:rtl/>
              </w:rPr>
              <w:t>קנבוס</w:t>
            </w:r>
          </w:p>
        </w:tc>
        <w:tc>
          <w:tcPr>
            <w:tcW w:w="1849" w:type="dxa"/>
            <w:shd w:val="clear" w:color="auto" w:fill="auto"/>
          </w:tcPr>
          <w:p w14:paraId="2983F97D" w14:textId="77777777" w:rsidR="00EF20B3" w:rsidRDefault="00EF20B3" w:rsidP="00EF20B3">
            <w:pPr>
              <w:spacing w:line="360" w:lineRule="auto"/>
              <w:jc w:val="both"/>
              <w:rPr>
                <w:rtl/>
              </w:rPr>
            </w:pPr>
            <w:r>
              <w:rPr>
                <w:rFonts w:hint="cs"/>
                <w:rtl/>
              </w:rPr>
              <w:t>2 גרם</w:t>
            </w:r>
          </w:p>
        </w:tc>
        <w:tc>
          <w:tcPr>
            <w:tcW w:w="1402" w:type="dxa"/>
            <w:shd w:val="clear" w:color="auto" w:fill="auto"/>
          </w:tcPr>
          <w:p w14:paraId="4706E7C8" w14:textId="77777777" w:rsidR="00EF20B3" w:rsidRDefault="00EF20B3" w:rsidP="00EF20B3">
            <w:pPr>
              <w:spacing w:line="360" w:lineRule="auto"/>
              <w:jc w:val="both"/>
              <w:rPr>
                <w:rtl/>
              </w:rPr>
            </w:pPr>
            <w:r>
              <w:rPr>
                <w:rFonts w:hint="cs"/>
                <w:rtl/>
              </w:rPr>
              <w:t>בגיר</w:t>
            </w:r>
          </w:p>
        </w:tc>
      </w:tr>
      <w:tr w:rsidR="00EF20B3" w:rsidRPr="002F57FC" w14:paraId="6665A0C4" w14:textId="77777777" w:rsidTr="00EF20B3">
        <w:tc>
          <w:tcPr>
            <w:tcW w:w="1111" w:type="dxa"/>
            <w:shd w:val="clear" w:color="auto" w:fill="auto"/>
          </w:tcPr>
          <w:p w14:paraId="0C26936C" w14:textId="77777777" w:rsidR="00EF20B3" w:rsidRPr="00EF20B3" w:rsidRDefault="00EF20B3" w:rsidP="00EF20B3">
            <w:pPr>
              <w:spacing w:line="360" w:lineRule="auto"/>
              <w:jc w:val="both"/>
              <w:rPr>
                <w:b/>
                <w:bCs/>
                <w:rtl/>
              </w:rPr>
            </w:pPr>
            <w:r w:rsidRPr="00EF20B3">
              <w:rPr>
                <w:rFonts w:hint="cs"/>
                <w:b/>
                <w:bCs/>
                <w:rtl/>
              </w:rPr>
              <w:t>סיכום</w:t>
            </w:r>
          </w:p>
        </w:tc>
        <w:tc>
          <w:tcPr>
            <w:tcW w:w="1782" w:type="dxa"/>
            <w:shd w:val="clear" w:color="auto" w:fill="auto"/>
          </w:tcPr>
          <w:p w14:paraId="3EF251A7" w14:textId="77777777" w:rsidR="00EF20B3" w:rsidRPr="00EF20B3" w:rsidRDefault="00EF20B3" w:rsidP="00EF20B3">
            <w:pPr>
              <w:spacing w:line="360" w:lineRule="auto"/>
              <w:jc w:val="both"/>
              <w:rPr>
                <w:b/>
                <w:bCs/>
                <w:rtl/>
              </w:rPr>
            </w:pPr>
            <w:r w:rsidRPr="00EF20B3">
              <w:rPr>
                <w:rFonts w:hint="cs"/>
                <w:b/>
                <w:bCs/>
                <w:rtl/>
              </w:rPr>
              <w:t xml:space="preserve">9 עבירות סחר </w:t>
            </w:r>
          </w:p>
          <w:p w14:paraId="71334F14" w14:textId="77777777" w:rsidR="00EF20B3" w:rsidRPr="00EF20B3" w:rsidRDefault="00EF20B3" w:rsidP="00EF20B3">
            <w:pPr>
              <w:spacing w:line="360" w:lineRule="auto"/>
              <w:jc w:val="both"/>
              <w:rPr>
                <w:b/>
                <w:bCs/>
                <w:rtl/>
              </w:rPr>
            </w:pPr>
            <w:r w:rsidRPr="00EF20B3">
              <w:rPr>
                <w:rFonts w:hint="cs"/>
                <w:b/>
                <w:bCs/>
                <w:rtl/>
              </w:rPr>
              <w:t xml:space="preserve">1 שימוש עצמי </w:t>
            </w:r>
          </w:p>
          <w:p w14:paraId="586DA32E" w14:textId="77777777" w:rsidR="00EF20B3" w:rsidRPr="00EF20B3" w:rsidRDefault="00EF20B3" w:rsidP="00EF20B3">
            <w:pPr>
              <w:spacing w:line="360" w:lineRule="auto"/>
              <w:jc w:val="both"/>
              <w:rPr>
                <w:b/>
                <w:bCs/>
                <w:rtl/>
              </w:rPr>
            </w:pPr>
            <w:r w:rsidRPr="00EF20B3">
              <w:rPr>
                <w:rFonts w:hint="cs"/>
                <w:b/>
                <w:bCs/>
                <w:rtl/>
              </w:rPr>
              <w:t>1 גידול</w:t>
            </w:r>
          </w:p>
        </w:tc>
        <w:tc>
          <w:tcPr>
            <w:tcW w:w="911" w:type="dxa"/>
            <w:shd w:val="clear" w:color="auto" w:fill="auto"/>
          </w:tcPr>
          <w:p w14:paraId="011A11BA" w14:textId="77777777" w:rsidR="00EF20B3" w:rsidRPr="00EF20B3" w:rsidRDefault="00EF20B3" w:rsidP="00EF20B3">
            <w:pPr>
              <w:spacing w:line="360" w:lineRule="auto"/>
              <w:jc w:val="both"/>
              <w:rPr>
                <w:b/>
                <w:bCs/>
                <w:rtl/>
              </w:rPr>
            </w:pPr>
            <w:r w:rsidRPr="00EF20B3">
              <w:rPr>
                <w:rFonts w:hint="cs"/>
                <w:b/>
                <w:bCs/>
                <w:rtl/>
              </w:rPr>
              <w:t xml:space="preserve">קנבוס </w:t>
            </w:r>
          </w:p>
        </w:tc>
        <w:tc>
          <w:tcPr>
            <w:tcW w:w="1849" w:type="dxa"/>
            <w:shd w:val="clear" w:color="auto" w:fill="auto"/>
          </w:tcPr>
          <w:p w14:paraId="6026C344" w14:textId="77777777" w:rsidR="00EF20B3" w:rsidRPr="00EF20B3" w:rsidRDefault="00EF20B3" w:rsidP="00EF20B3">
            <w:pPr>
              <w:spacing w:line="360" w:lineRule="auto"/>
              <w:jc w:val="both"/>
              <w:rPr>
                <w:b/>
                <w:bCs/>
                <w:rtl/>
              </w:rPr>
            </w:pPr>
            <w:r w:rsidRPr="00EF20B3">
              <w:rPr>
                <w:rFonts w:hint="cs"/>
                <w:b/>
                <w:bCs/>
                <w:rtl/>
              </w:rPr>
              <w:t>67.16 גרם ועוד 2 סיגריות</w:t>
            </w:r>
          </w:p>
        </w:tc>
        <w:tc>
          <w:tcPr>
            <w:tcW w:w="1402" w:type="dxa"/>
            <w:shd w:val="clear" w:color="auto" w:fill="auto"/>
          </w:tcPr>
          <w:p w14:paraId="4A1DF879" w14:textId="77777777" w:rsidR="00EF20B3" w:rsidRPr="00EF20B3" w:rsidRDefault="00EF20B3" w:rsidP="00EF20B3">
            <w:pPr>
              <w:spacing w:line="360" w:lineRule="auto"/>
              <w:jc w:val="both"/>
              <w:rPr>
                <w:b/>
                <w:bCs/>
                <w:rtl/>
              </w:rPr>
            </w:pPr>
            <w:r w:rsidRPr="00EF20B3">
              <w:rPr>
                <w:rFonts w:hint="cs"/>
                <w:b/>
                <w:bCs/>
                <w:rtl/>
              </w:rPr>
              <w:t xml:space="preserve">2 קטינים </w:t>
            </w:r>
          </w:p>
          <w:p w14:paraId="7AD2070E" w14:textId="77777777" w:rsidR="00EF20B3" w:rsidRPr="00EF20B3" w:rsidRDefault="00EF20B3" w:rsidP="00EF20B3">
            <w:pPr>
              <w:spacing w:line="360" w:lineRule="auto"/>
              <w:jc w:val="both"/>
              <w:rPr>
                <w:b/>
                <w:bCs/>
                <w:rtl/>
              </w:rPr>
            </w:pPr>
            <w:r w:rsidRPr="00EF20B3">
              <w:rPr>
                <w:rFonts w:hint="cs"/>
                <w:b/>
                <w:bCs/>
                <w:rtl/>
              </w:rPr>
              <w:t>7 בגירים</w:t>
            </w:r>
          </w:p>
        </w:tc>
      </w:tr>
    </w:tbl>
    <w:p w14:paraId="63D562A2" w14:textId="77777777" w:rsidR="00EF20B3" w:rsidRDefault="00EF20B3" w:rsidP="00EF20B3">
      <w:pPr>
        <w:spacing w:line="360" w:lineRule="auto"/>
        <w:ind w:left="1440" w:hanging="720"/>
        <w:jc w:val="both"/>
        <w:rPr>
          <w:rtl/>
        </w:rPr>
      </w:pPr>
    </w:p>
    <w:p w14:paraId="0C35BC1E" w14:textId="77777777" w:rsidR="00EF20B3" w:rsidRDefault="00EF20B3" w:rsidP="00EF20B3">
      <w:pPr>
        <w:spacing w:line="360" w:lineRule="auto"/>
        <w:ind w:left="1440" w:hanging="720"/>
        <w:jc w:val="both"/>
        <w:rPr>
          <w:rtl/>
        </w:rPr>
      </w:pPr>
    </w:p>
    <w:p w14:paraId="047E8785" w14:textId="77777777" w:rsidR="00EF20B3" w:rsidRDefault="00EF20B3" w:rsidP="00EF20B3">
      <w:pPr>
        <w:spacing w:line="360" w:lineRule="auto"/>
        <w:ind w:left="720" w:hanging="720"/>
        <w:jc w:val="both"/>
        <w:rPr>
          <w:rFonts w:ascii="David" w:hAnsi="David"/>
          <w:rtl/>
        </w:rPr>
      </w:pPr>
      <w:r>
        <w:rPr>
          <w:rFonts w:hint="cs"/>
          <w:rtl/>
        </w:rPr>
        <w:t>28.</w:t>
      </w:r>
      <w:r>
        <w:rPr>
          <w:rFonts w:hint="cs"/>
          <w:rtl/>
        </w:rPr>
        <w:tab/>
      </w:r>
      <w:r w:rsidRPr="00E772D6">
        <w:rPr>
          <w:rFonts w:hint="cs"/>
          <w:u w:val="single"/>
          <w:rtl/>
        </w:rPr>
        <w:t>שנית, סוג  הסם</w:t>
      </w:r>
      <w:r w:rsidRPr="00D04688">
        <w:rPr>
          <w:rFonts w:hint="cs"/>
          <w:rtl/>
        </w:rPr>
        <w:t>:</w:t>
      </w:r>
      <w:r>
        <w:rPr>
          <w:rFonts w:hint="cs"/>
          <w:rtl/>
        </w:rPr>
        <w:t xml:space="preserve"> כל העבירות מושא כתב האישום, הן עבירות בסם מסוג קנבוס. הלכה פסוקה היא שהסם </w:t>
      </w:r>
      <w:r w:rsidRPr="00D04688">
        <w:rPr>
          <w:rFonts w:ascii="David" w:hAnsi="David"/>
          <w:rtl/>
        </w:rPr>
        <w:t>מסוג קנבוס הוא "סם קל" (</w:t>
      </w:r>
      <w:hyperlink r:id="rId58" w:history="1">
        <w:r w:rsidR="00897C70" w:rsidRPr="00897C70">
          <w:rPr>
            <w:rFonts w:ascii="David" w:hAnsi="David" w:cs="Times New Roman"/>
            <w:color w:val="0000FF"/>
            <w:u w:val="single"/>
            <w:rtl/>
          </w:rPr>
          <w:t>בש"פ 2374/09</w:t>
        </w:r>
      </w:hyperlink>
      <w:r w:rsidRPr="00D04688">
        <w:rPr>
          <w:rFonts w:ascii="David" w:hAnsi="David"/>
          <w:rtl/>
        </w:rPr>
        <w:t xml:space="preserve"> </w:t>
      </w:r>
      <w:r w:rsidRPr="00D04688">
        <w:rPr>
          <w:rFonts w:ascii="David" w:hAnsi="David"/>
          <w:b/>
          <w:bCs/>
          <w:rtl/>
        </w:rPr>
        <w:t>מוסא נ' מדינת ישראל</w:t>
      </w:r>
      <w:r w:rsidRPr="00D04688">
        <w:rPr>
          <w:rFonts w:ascii="David" w:hAnsi="David"/>
          <w:rtl/>
        </w:rPr>
        <w:t xml:space="preserve"> [פורסם בנבו] (13.4.09) פסקה 8 להחלטתו של כבוד השופט מלצר), ובעוד שקוקאין והרואין נתפסים כ"סמים קשים" (ראו למשל </w:t>
      </w:r>
      <w:hyperlink r:id="rId59" w:history="1">
        <w:r w:rsidR="00897C70" w:rsidRPr="00897C70">
          <w:rPr>
            <w:rFonts w:ascii="David" w:hAnsi="David" w:cs="Times New Roman"/>
            <w:color w:val="0000FF"/>
            <w:u w:val="single"/>
            <w:rtl/>
          </w:rPr>
          <w:t>ע"פ 8033/11</w:t>
        </w:r>
      </w:hyperlink>
      <w:r w:rsidRPr="00D04688">
        <w:rPr>
          <w:rFonts w:ascii="David" w:hAnsi="David"/>
          <w:rtl/>
        </w:rPr>
        <w:t xml:space="preserve"> </w:t>
      </w:r>
      <w:r w:rsidRPr="00D04688">
        <w:rPr>
          <w:rFonts w:ascii="David" w:hAnsi="David"/>
          <w:b/>
          <w:bCs/>
          <w:rtl/>
        </w:rPr>
        <w:t>סאלם נ' מדינת ישראל</w:t>
      </w:r>
      <w:r w:rsidRPr="00D04688">
        <w:rPr>
          <w:rFonts w:ascii="David" w:hAnsi="David"/>
          <w:rtl/>
        </w:rPr>
        <w:t xml:space="preserve"> [פורסם בנבו] (19.9.12) סעיף 3 לפסק דינו של כבוד השופט סולברג; </w:t>
      </w:r>
      <w:hyperlink r:id="rId60" w:history="1">
        <w:r w:rsidR="00897C70" w:rsidRPr="00897C70">
          <w:rPr>
            <w:rFonts w:ascii="David" w:hAnsi="David" w:cs="Times New Roman"/>
            <w:color w:val="0000FF"/>
            <w:u w:val="single"/>
            <w:rtl/>
          </w:rPr>
          <w:t>ע"פ 3625/11</w:t>
        </w:r>
      </w:hyperlink>
      <w:r w:rsidRPr="00D04688">
        <w:rPr>
          <w:rFonts w:ascii="David" w:hAnsi="David"/>
          <w:rtl/>
        </w:rPr>
        <w:t xml:space="preserve"> </w:t>
      </w:r>
      <w:r w:rsidRPr="00D04688">
        <w:rPr>
          <w:rFonts w:ascii="David" w:hAnsi="David"/>
          <w:b/>
          <w:bCs/>
          <w:rtl/>
        </w:rPr>
        <w:t>פלוני נ' מדינת ישראל</w:t>
      </w:r>
      <w:r w:rsidRPr="00D04688">
        <w:rPr>
          <w:rFonts w:ascii="David" w:hAnsi="David"/>
          <w:rtl/>
        </w:rPr>
        <w:t xml:space="preserve"> [פורסם בנבו] (6.11.12) פסקה 6 לפסק דינו של כבוד השופט סולברג; </w:t>
      </w:r>
      <w:hyperlink r:id="rId61" w:history="1">
        <w:r w:rsidR="00897C70" w:rsidRPr="00897C70">
          <w:rPr>
            <w:rFonts w:ascii="David" w:hAnsi="David" w:cs="Times New Roman"/>
            <w:color w:val="0000FF"/>
            <w:u w:val="single"/>
            <w:rtl/>
          </w:rPr>
          <w:t>בש"פ 8262/12</w:t>
        </w:r>
      </w:hyperlink>
      <w:r w:rsidRPr="00D04688">
        <w:rPr>
          <w:rFonts w:ascii="David" w:hAnsi="David"/>
          <w:rtl/>
        </w:rPr>
        <w:t xml:space="preserve"> </w:t>
      </w:r>
      <w:r w:rsidRPr="00D04688">
        <w:rPr>
          <w:rFonts w:ascii="David" w:hAnsi="David"/>
          <w:b/>
          <w:bCs/>
          <w:rtl/>
        </w:rPr>
        <w:t>אילדנפירי נ' מדינת ישראל</w:t>
      </w:r>
      <w:r w:rsidRPr="00D04688">
        <w:rPr>
          <w:rFonts w:ascii="David" w:hAnsi="David"/>
          <w:rtl/>
        </w:rPr>
        <w:t xml:space="preserve"> [פורסם בנבו] (28.11.12) פסקה 9 להחלטתה של כבוד השופטת ברק ארז; </w:t>
      </w:r>
      <w:hyperlink r:id="rId62" w:history="1">
        <w:r w:rsidR="00897C70" w:rsidRPr="00897C70">
          <w:rPr>
            <w:rFonts w:ascii="David" w:hAnsi="David" w:cs="Times New Roman"/>
            <w:color w:val="0000FF"/>
            <w:u w:val="single"/>
            <w:rtl/>
          </w:rPr>
          <w:t>ע"פ 1905/12</w:t>
        </w:r>
      </w:hyperlink>
      <w:r w:rsidRPr="00D04688">
        <w:rPr>
          <w:rFonts w:ascii="David" w:hAnsi="David"/>
          <w:rtl/>
        </w:rPr>
        <w:t xml:space="preserve"> </w:t>
      </w:r>
      <w:r w:rsidRPr="00D04688">
        <w:rPr>
          <w:rFonts w:ascii="David" w:hAnsi="David"/>
          <w:b/>
          <w:bCs/>
          <w:rtl/>
        </w:rPr>
        <w:t>דהן נ' מדינת ישראל</w:t>
      </w:r>
      <w:r w:rsidRPr="00D04688">
        <w:rPr>
          <w:rFonts w:ascii="David" w:hAnsi="David"/>
          <w:rtl/>
        </w:rPr>
        <w:t xml:space="preserve"> [פורסם בנבו] (8.11.12) פסקה ח' לפסק דינו של כבוד השופט רובינשטיין; </w:t>
      </w:r>
      <w:hyperlink r:id="rId63" w:history="1">
        <w:r w:rsidR="00897C70" w:rsidRPr="00897C70">
          <w:rPr>
            <w:rFonts w:ascii="David" w:hAnsi="David" w:cs="Times New Roman"/>
            <w:color w:val="0000FF"/>
            <w:u w:val="single"/>
            <w:rtl/>
          </w:rPr>
          <w:t>בש"פ 1627/13</w:t>
        </w:r>
      </w:hyperlink>
      <w:r w:rsidRPr="00D04688">
        <w:rPr>
          <w:rFonts w:ascii="David" w:hAnsi="David"/>
          <w:rtl/>
        </w:rPr>
        <w:t xml:space="preserve"> </w:t>
      </w:r>
      <w:r w:rsidRPr="00D04688">
        <w:rPr>
          <w:rFonts w:ascii="David" w:hAnsi="David"/>
          <w:b/>
          <w:bCs/>
          <w:rtl/>
        </w:rPr>
        <w:t xml:space="preserve">מלכם נ' מדינת ישראל </w:t>
      </w:r>
      <w:r w:rsidRPr="00D04688">
        <w:rPr>
          <w:rFonts w:ascii="David" w:hAnsi="David"/>
          <w:rtl/>
        </w:rPr>
        <w:t xml:space="preserve">[פורסם בנבו] (14.3.13) פסקה יא' להחלטתו של כבוד השופט רובינשטיין). </w:t>
      </w:r>
    </w:p>
    <w:p w14:paraId="0521AAC6" w14:textId="77777777" w:rsidR="00EF20B3" w:rsidRDefault="00EF20B3" w:rsidP="00EF20B3">
      <w:pPr>
        <w:spacing w:line="360" w:lineRule="auto"/>
        <w:ind w:left="720"/>
        <w:jc w:val="both"/>
        <w:rPr>
          <w:rFonts w:ascii="David" w:hAnsi="David"/>
          <w:rtl/>
        </w:rPr>
      </w:pPr>
    </w:p>
    <w:p w14:paraId="77A11CE8" w14:textId="77777777" w:rsidR="00EF20B3" w:rsidRDefault="00EF20B3" w:rsidP="00EF20B3">
      <w:pPr>
        <w:spacing w:line="360" w:lineRule="auto"/>
        <w:ind w:left="720"/>
        <w:jc w:val="both"/>
        <w:rPr>
          <w:rtl/>
        </w:rPr>
      </w:pPr>
      <w:r w:rsidRPr="00D04688">
        <w:rPr>
          <w:rFonts w:ascii="David" w:hAnsi="David"/>
          <w:rtl/>
        </w:rPr>
        <w:t xml:space="preserve">יתר על כן, נזכיר גם </w:t>
      </w:r>
      <w:r>
        <w:rPr>
          <w:rFonts w:ascii="David" w:hAnsi="David" w:hint="cs"/>
          <w:rtl/>
        </w:rPr>
        <w:t xml:space="preserve">את הוראות </w:t>
      </w:r>
      <w:hyperlink r:id="rId64" w:history="1">
        <w:r w:rsidR="00F97262" w:rsidRPr="00F97262">
          <w:rPr>
            <w:rStyle w:val="Hyperlink"/>
            <w:rFonts w:ascii="David" w:hAnsi="David" w:cs="David" w:hint="eastAsia"/>
            <w:rtl/>
          </w:rPr>
          <w:t>סעיף</w:t>
        </w:r>
        <w:r w:rsidR="00F97262" w:rsidRPr="00F97262">
          <w:rPr>
            <w:rStyle w:val="Hyperlink"/>
            <w:rFonts w:ascii="David" w:hAnsi="David" w:cs="David"/>
            <w:rtl/>
          </w:rPr>
          <w:t xml:space="preserve"> 7(ג1)(2)</w:t>
        </w:r>
      </w:hyperlink>
      <w:r>
        <w:rPr>
          <w:rFonts w:ascii="David" w:hAnsi="David" w:hint="cs"/>
          <w:rtl/>
        </w:rPr>
        <w:t xml:space="preserve"> ל</w:t>
      </w:r>
      <w:hyperlink r:id="rId65" w:history="1">
        <w:r w:rsidR="00897C70" w:rsidRPr="00897C70">
          <w:rPr>
            <w:rFonts w:ascii="David" w:hAnsi="David"/>
            <w:color w:val="0000FF"/>
            <w:u w:val="single"/>
            <w:rtl/>
          </w:rPr>
          <w:t>פקודת הסמים המסוכנים</w:t>
        </w:r>
      </w:hyperlink>
      <w:r>
        <w:rPr>
          <w:rFonts w:ascii="David" w:hAnsi="David" w:hint="cs"/>
          <w:rtl/>
        </w:rPr>
        <w:t xml:space="preserve"> אשר לפיו עבירה של החזקה או שימוש בקנבוס לצריכה עצמית, בנסיבות המתאימות, יראו אותה </w:t>
      </w:r>
      <w:r w:rsidRPr="00E73E8E">
        <w:rPr>
          <w:rFonts w:ascii="David" w:hAnsi="David" w:hint="cs"/>
          <w:u w:val="single"/>
          <w:rtl/>
        </w:rPr>
        <w:t>כעבירת קנס</w:t>
      </w:r>
      <w:r>
        <w:rPr>
          <w:rFonts w:ascii="David" w:hAnsi="David" w:hint="cs"/>
          <w:rtl/>
        </w:rPr>
        <w:t xml:space="preserve"> שלא מוגש בה כתב אישום ורק נמסרת למבצע העבירה הודעת קנס, וזאת כאינדיקציה נוספת לתפיסה לפיה קנבוס הוא "סם קל". במקרה שבפניי, כל האישומים עניינם "סם קל" מסוג קנבוס ואין באישומים "סמים קשים". </w:t>
      </w:r>
    </w:p>
    <w:p w14:paraId="7ADEEC36" w14:textId="77777777" w:rsidR="00EF20B3" w:rsidRDefault="00EF20B3" w:rsidP="00EF20B3">
      <w:pPr>
        <w:spacing w:line="360" w:lineRule="auto"/>
        <w:ind w:left="720" w:hanging="720"/>
        <w:jc w:val="both"/>
        <w:rPr>
          <w:rtl/>
        </w:rPr>
      </w:pPr>
    </w:p>
    <w:p w14:paraId="5518BE3D" w14:textId="77777777" w:rsidR="00EF20B3" w:rsidRDefault="00EF20B3" w:rsidP="00EF20B3">
      <w:pPr>
        <w:spacing w:line="360" w:lineRule="auto"/>
        <w:ind w:left="720" w:hanging="720"/>
        <w:jc w:val="both"/>
        <w:rPr>
          <w:rtl/>
        </w:rPr>
      </w:pPr>
      <w:r>
        <w:rPr>
          <w:rFonts w:hint="cs"/>
          <w:rtl/>
        </w:rPr>
        <w:t>29.</w:t>
      </w:r>
      <w:r>
        <w:rPr>
          <w:rFonts w:hint="cs"/>
          <w:rtl/>
        </w:rPr>
        <w:tab/>
      </w:r>
      <w:r w:rsidRPr="00D04688">
        <w:rPr>
          <w:rFonts w:hint="cs"/>
          <w:u w:val="single"/>
          <w:rtl/>
        </w:rPr>
        <w:t>שלישי</w:t>
      </w:r>
      <w:r>
        <w:rPr>
          <w:rFonts w:hint="cs"/>
          <w:u w:val="single"/>
          <w:rtl/>
        </w:rPr>
        <w:t>ת</w:t>
      </w:r>
      <w:r w:rsidRPr="00D04688">
        <w:rPr>
          <w:rFonts w:hint="cs"/>
          <w:u w:val="single"/>
          <w:rtl/>
        </w:rPr>
        <w:t>, כמות הסם</w:t>
      </w:r>
      <w:r>
        <w:rPr>
          <w:rFonts w:hint="cs"/>
          <w:rtl/>
        </w:rPr>
        <w:t>: הכמות הכוללת של הסמים במכלול האישומים, היא ברף הנמוך. מדובר בעשרות גרמים, וזאת על אחת כמה וכמה כאשר לפי מצוות המחוקק, כמות של עד 15 גרם ייחשבו כהחזקה לצריכה עצמית (ראו: התוספת השנייה ל</w:t>
      </w:r>
      <w:hyperlink r:id="rId66" w:history="1">
        <w:r w:rsidR="00897C70" w:rsidRPr="00897C70">
          <w:rPr>
            <w:color w:val="0000FF"/>
            <w:u w:val="single"/>
            <w:rtl/>
          </w:rPr>
          <w:t>פקודת הסמים המסוכנים</w:t>
        </w:r>
      </w:hyperlink>
      <w:r>
        <w:rPr>
          <w:rFonts w:hint="cs"/>
          <w:rtl/>
        </w:rPr>
        <w:t xml:space="preserve">). </w:t>
      </w:r>
    </w:p>
    <w:p w14:paraId="31471648" w14:textId="77777777" w:rsidR="00EF20B3" w:rsidRDefault="00EF20B3" w:rsidP="00EF20B3">
      <w:pPr>
        <w:spacing w:line="360" w:lineRule="auto"/>
        <w:ind w:left="720" w:hanging="720"/>
        <w:jc w:val="both"/>
        <w:rPr>
          <w:rtl/>
        </w:rPr>
      </w:pPr>
    </w:p>
    <w:p w14:paraId="0F2EA61F" w14:textId="77777777" w:rsidR="00EF20B3" w:rsidRDefault="00EF20B3" w:rsidP="00EF20B3">
      <w:pPr>
        <w:spacing w:line="360" w:lineRule="auto"/>
        <w:ind w:left="720" w:hanging="720"/>
        <w:jc w:val="both"/>
        <w:rPr>
          <w:rtl/>
        </w:rPr>
      </w:pPr>
      <w:r>
        <w:rPr>
          <w:rFonts w:hint="cs"/>
          <w:rtl/>
        </w:rPr>
        <w:t>30.</w:t>
      </w:r>
      <w:r>
        <w:rPr>
          <w:rFonts w:hint="cs"/>
          <w:rtl/>
        </w:rPr>
        <w:tab/>
      </w:r>
      <w:r w:rsidRPr="00374456">
        <w:rPr>
          <w:rFonts w:hint="cs"/>
          <w:u w:val="single"/>
          <w:rtl/>
        </w:rPr>
        <w:t>רביעית, כמות הקטינים</w:t>
      </w:r>
      <w:r>
        <w:rPr>
          <w:rFonts w:hint="cs"/>
          <w:u w:val="single"/>
          <w:rtl/>
        </w:rPr>
        <w:t xml:space="preserve"> וכמות הבגירים</w:t>
      </w:r>
      <w:r>
        <w:rPr>
          <w:rFonts w:hint="cs"/>
          <w:rtl/>
        </w:rPr>
        <w:t xml:space="preserve">: אספקה ומכירה של סמים לקטינים היא עבירה חמורה. עם זאת, במקרה שבפני, יש לזכור ששני הקטינים הם ילידי שנת 2000, כאשר העבירות בוצעו בשנת 2017, קרי היו בני 17 שנים או בסמוך לכך. שאר מקבלי הסם היו בגירים. בנסיבות אלה, העובדה ששניים ממקבלי הסמים היו קטינים, איננה מונעת חריגה ממתחם העונש ההולם מטעמי "חומרה יתרה" של המעשים, אלא משפיעה לחומרה רק על מידת החריגה ממתחם העונש ההולם. </w:t>
      </w:r>
    </w:p>
    <w:p w14:paraId="0BA79E33" w14:textId="77777777" w:rsidR="00EF20B3" w:rsidRDefault="00EF20B3" w:rsidP="00EF20B3">
      <w:pPr>
        <w:spacing w:line="360" w:lineRule="auto"/>
        <w:ind w:left="720" w:hanging="720"/>
        <w:jc w:val="both"/>
        <w:rPr>
          <w:rtl/>
        </w:rPr>
      </w:pPr>
    </w:p>
    <w:p w14:paraId="386CC113" w14:textId="77777777" w:rsidR="00EF20B3" w:rsidRDefault="00EF20B3" w:rsidP="00EF20B3">
      <w:pPr>
        <w:spacing w:line="360" w:lineRule="auto"/>
        <w:ind w:left="720"/>
        <w:jc w:val="both"/>
        <w:rPr>
          <w:rtl/>
        </w:rPr>
      </w:pPr>
      <w:r>
        <w:rPr>
          <w:rFonts w:hint="cs"/>
          <w:rtl/>
        </w:rPr>
        <w:t xml:space="preserve">מצד אחד, מידת החריגה ממתחם העונש ההולם צריכה להיות כזו שלא יושת על הנאשם עונש של מאסר בפועל מאחורי סורג ובריח, אלא בדרך ריצוי של עבודות שירות. מצד שני, העובדה שמדובר בשני מקבלים קטינים, מחייבת הצבתו של הנאשם בגבול העליון, קרי תשעה חודשי מאסר שירוצו בדרך של עבודות שירות, ולא פחות.  </w:t>
      </w:r>
    </w:p>
    <w:p w14:paraId="3F37D8BC" w14:textId="77777777" w:rsidR="00EF20B3" w:rsidRDefault="00EF20B3" w:rsidP="00EF20B3">
      <w:pPr>
        <w:spacing w:line="360" w:lineRule="auto"/>
        <w:jc w:val="both"/>
        <w:rPr>
          <w:rtl/>
        </w:rPr>
      </w:pPr>
    </w:p>
    <w:p w14:paraId="5C826E2D" w14:textId="77777777" w:rsidR="00EF20B3" w:rsidRDefault="00EF20B3" w:rsidP="00EF20B3">
      <w:pPr>
        <w:spacing w:line="360" w:lineRule="auto"/>
        <w:ind w:left="720" w:hanging="720"/>
        <w:jc w:val="both"/>
        <w:rPr>
          <w:rtl/>
        </w:rPr>
      </w:pPr>
      <w:r>
        <w:rPr>
          <w:rFonts w:hint="cs"/>
          <w:rtl/>
        </w:rPr>
        <w:t>31.</w:t>
      </w:r>
      <w:r>
        <w:rPr>
          <w:rFonts w:hint="cs"/>
          <w:rtl/>
        </w:rPr>
        <w:tab/>
      </w:r>
      <w:r w:rsidRPr="00374456">
        <w:rPr>
          <w:rFonts w:hint="cs"/>
          <w:u w:val="single"/>
          <w:rtl/>
        </w:rPr>
        <w:t>חמישית, פסיקה רלוונטית</w:t>
      </w:r>
      <w:r>
        <w:rPr>
          <w:rFonts w:hint="cs"/>
          <w:rtl/>
        </w:rPr>
        <w:t>: אפנה ל-</w:t>
      </w:r>
      <w:hyperlink r:id="rId67" w:history="1">
        <w:r w:rsidR="00897C70" w:rsidRPr="00897C70">
          <w:rPr>
            <w:color w:val="0000FF"/>
            <w:u w:val="single"/>
            <w:rtl/>
          </w:rPr>
          <w:t>רע"פ 5478/19</w:t>
        </w:r>
      </w:hyperlink>
      <w:r>
        <w:rPr>
          <w:rFonts w:hint="cs"/>
          <w:rtl/>
        </w:rPr>
        <w:t xml:space="preserve"> </w:t>
      </w:r>
      <w:r w:rsidRPr="008604BF">
        <w:rPr>
          <w:rFonts w:hint="cs"/>
          <w:b/>
          <w:bCs/>
          <w:rtl/>
        </w:rPr>
        <w:t>לוין נ' מדינת ישראל</w:t>
      </w:r>
      <w:r>
        <w:rPr>
          <w:rFonts w:hint="cs"/>
          <w:rtl/>
        </w:rPr>
        <w:t xml:space="preserve"> (פורסם בנבו, 25.8.19 (להלן: </w:t>
      </w:r>
      <w:r w:rsidRPr="0071088A">
        <w:rPr>
          <w:rFonts w:hint="cs"/>
          <w:b/>
          <w:bCs/>
          <w:rtl/>
        </w:rPr>
        <w:t>עניין לוין</w:t>
      </w:r>
      <w:r>
        <w:rPr>
          <w:rFonts w:hint="cs"/>
          <w:rtl/>
        </w:rPr>
        <w:t>)). על מנת ללמוד על עובדות המקרה, יש לעיין גם בפסק הדין של בית המשפט המחוזי מרכז (</w:t>
      </w:r>
      <w:hyperlink r:id="rId68" w:history="1">
        <w:r w:rsidR="00897C70" w:rsidRPr="00897C70">
          <w:rPr>
            <w:color w:val="0000FF"/>
            <w:u w:val="single"/>
            <w:rtl/>
          </w:rPr>
          <w:t>עפ"ג 70570-05-19</w:t>
        </w:r>
      </w:hyperlink>
      <w:r>
        <w:rPr>
          <w:rFonts w:hint="cs"/>
          <w:rtl/>
        </w:rPr>
        <w:t>, פורסם בנבו, 8.7.19) וגם בפסק הדין של בית משפט השלום ברחובות (</w:t>
      </w:r>
      <w:hyperlink r:id="rId69" w:history="1">
        <w:r w:rsidR="00897C70" w:rsidRPr="00897C70">
          <w:rPr>
            <w:color w:val="0000FF"/>
            <w:u w:val="single"/>
            <w:rtl/>
          </w:rPr>
          <w:t>ת"פ 64135-02-18</w:t>
        </w:r>
      </w:hyperlink>
      <w:r>
        <w:rPr>
          <w:rFonts w:hint="cs"/>
          <w:rtl/>
        </w:rPr>
        <w:t>, פורסם בנבו, 11.2.19). כנגד המבקשת הוגש כתב אישום לבית משפט השלום ברחובות ואשר כולל תשעה אישומים, שכולם עניינם מכירה של קנבוס במספר רב של הזדמנויות בכל אישום, הן לבגירים והן קטינים, הכל תוך שימוש ביישומון "טלגראס".</w:t>
      </w:r>
    </w:p>
    <w:p w14:paraId="12C991F0" w14:textId="77777777" w:rsidR="00EF20B3" w:rsidRDefault="00EF20B3" w:rsidP="00EF20B3">
      <w:pPr>
        <w:spacing w:line="360" w:lineRule="auto"/>
        <w:jc w:val="both"/>
        <w:rPr>
          <w:rtl/>
        </w:rPr>
      </w:pPr>
    </w:p>
    <w:p w14:paraId="59F052A4" w14:textId="77777777" w:rsidR="00EF20B3" w:rsidRDefault="00EF20B3" w:rsidP="00EF20B3">
      <w:pPr>
        <w:spacing w:line="360" w:lineRule="auto"/>
        <w:ind w:left="720" w:hanging="720"/>
        <w:jc w:val="both"/>
        <w:rPr>
          <w:rtl/>
        </w:rPr>
      </w:pPr>
      <w:r>
        <w:rPr>
          <w:rFonts w:hint="cs"/>
          <w:rtl/>
        </w:rPr>
        <w:t>32.</w:t>
      </w:r>
      <w:r>
        <w:rPr>
          <w:rFonts w:hint="cs"/>
          <w:rtl/>
        </w:rPr>
        <w:tab/>
        <w:t xml:space="preserve">בעניין </w:t>
      </w:r>
      <w:r w:rsidRPr="0071088A">
        <w:rPr>
          <w:rFonts w:hint="cs"/>
          <w:b/>
          <w:bCs/>
          <w:rtl/>
        </w:rPr>
        <w:t>לוין</w:t>
      </w:r>
      <w:r>
        <w:rPr>
          <w:rFonts w:hint="cs"/>
          <w:rtl/>
        </w:rPr>
        <w:t xml:space="preserve">, המבקשת הייתה בגירה וחיילת בצה"ל ולקראת קורס מפקדים. בית משפט השלום ברחובות, לאור התסקיר החיובי שהתקבל, והפסקת השימוש בסמים, הורה על ביטול ההרשעה. המדינה הגישה ערעור לבית המשפט המחוזי על אי ההרשעה. הערעור התקבל והמבקשת הורשעה  והושת </w:t>
      </w:r>
      <w:r w:rsidRPr="00F64A4D">
        <w:rPr>
          <w:rFonts w:hint="cs"/>
          <w:u w:val="single"/>
          <w:rtl/>
        </w:rPr>
        <w:t>עליה מאסר על תנאי</w:t>
      </w:r>
      <w:r>
        <w:rPr>
          <w:rFonts w:hint="cs"/>
          <w:rtl/>
        </w:rPr>
        <w:t xml:space="preserve">. המבקשת הגישה בקשת רשות ערעור לבית המשפט העליון על עצם ההרשעה והבקשה נדחתה. </w:t>
      </w:r>
    </w:p>
    <w:p w14:paraId="739F4F17" w14:textId="77777777" w:rsidR="00EF20B3" w:rsidRDefault="00EF20B3" w:rsidP="00EF20B3">
      <w:pPr>
        <w:spacing w:line="360" w:lineRule="auto"/>
        <w:ind w:left="720" w:hanging="720"/>
        <w:jc w:val="both"/>
        <w:rPr>
          <w:rtl/>
        </w:rPr>
      </w:pPr>
    </w:p>
    <w:p w14:paraId="41AA2CAD" w14:textId="77777777" w:rsidR="00EF20B3" w:rsidRDefault="00EF20B3" w:rsidP="00EF20B3">
      <w:pPr>
        <w:spacing w:line="360" w:lineRule="auto"/>
        <w:ind w:left="720" w:hanging="720"/>
        <w:jc w:val="both"/>
        <w:rPr>
          <w:rtl/>
        </w:rPr>
      </w:pPr>
      <w:r>
        <w:rPr>
          <w:rFonts w:hint="cs"/>
          <w:rtl/>
        </w:rPr>
        <w:t>33.</w:t>
      </w:r>
      <w:r>
        <w:rPr>
          <w:rFonts w:hint="cs"/>
          <w:rtl/>
        </w:rPr>
        <w:tab/>
        <w:t xml:space="preserve">מן הראוי לציין שבעניין </w:t>
      </w:r>
      <w:r w:rsidRPr="0071088A">
        <w:rPr>
          <w:rFonts w:hint="cs"/>
          <w:b/>
          <w:bCs/>
          <w:rtl/>
        </w:rPr>
        <w:t>לוין</w:t>
      </w:r>
      <w:r>
        <w:rPr>
          <w:rFonts w:hint="cs"/>
          <w:rtl/>
        </w:rPr>
        <w:t xml:space="preserve">, בכל שלוש הערכאות לא נאמר מה מתחם העונש ההולם וגם לא נאמר שהעונש של מאסר על תנאי, שהיה העונש הסופי שהושת עליה, היה מכוח חריגה ממתחם העונש ההולם, או שמא עונש מקל שהוגדר בתוך המתחם. מכל מקום, לאור העונש המקל שניתן, מאסר על תנאי בלבד ללא רכיב של מאסר בפועל, ברור שמדובר בעונש </w:t>
      </w:r>
      <w:r w:rsidRPr="00E73E8E">
        <w:rPr>
          <w:rFonts w:hint="cs"/>
          <w:u w:val="single"/>
          <w:rtl/>
        </w:rPr>
        <w:t>שחורג</w:t>
      </w:r>
      <w:r>
        <w:rPr>
          <w:rFonts w:hint="cs"/>
          <w:rtl/>
        </w:rPr>
        <w:t xml:space="preserve"> באופן משמעותי ממתחם העונש ההולם.</w:t>
      </w:r>
    </w:p>
    <w:p w14:paraId="3880C47C" w14:textId="77777777" w:rsidR="00EF20B3" w:rsidRDefault="00EF20B3" w:rsidP="00EF20B3">
      <w:pPr>
        <w:spacing w:line="360" w:lineRule="auto"/>
        <w:ind w:left="720" w:hanging="720"/>
        <w:jc w:val="both"/>
        <w:rPr>
          <w:rtl/>
        </w:rPr>
      </w:pPr>
    </w:p>
    <w:p w14:paraId="3EFEA882" w14:textId="77777777" w:rsidR="00EF20B3" w:rsidRDefault="00EF20B3" w:rsidP="00EF20B3">
      <w:pPr>
        <w:spacing w:line="360" w:lineRule="auto"/>
        <w:ind w:left="720" w:hanging="720"/>
        <w:jc w:val="both"/>
        <w:rPr>
          <w:rtl/>
        </w:rPr>
      </w:pPr>
      <w:r>
        <w:rPr>
          <w:rFonts w:hint="cs"/>
          <w:rtl/>
        </w:rPr>
        <w:t>34.</w:t>
      </w:r>
      <w:r>
        <w:rPr>
          <w:rtl/>
        </w:rPr>
        <w:tab/>
      </w:r>
      <w:r>
        <w:rPr>
          <w:rFonts w:hint="cs"/>
          <w:rtl/>
        </w:rPr>
        <w:t xml:space="preserve">ולעניינו, מעניין </w:t>
      </w:r>
      <w:r w:rsidRPr="0071088A">
        <w:rPr>
          <w:rFonts w:hint="cs"/>
          <w:b/>
          <w:bCs/>
          <w:rtl/>
        </w:rPr>
        <w:t>לוין</w:t>
      </w:r>
      <w:r>
        <w:rPr>
          <w:rFonts w:hint="cs"/>
          <w:rtl/>
        </w:rPr>
        <w:t xml:space="preserve"> ניתן להסיק שריבוי אירועי מכירה של קנבוס בכמויות קטנות, גם אם חלק ממקבלי הסם הם קטינים, אינם בגדר מעשים "בעלי חומרה יתרה", כמשמעות ביטוי זה </w:t>
      </w:r>
      <w:hyperlink r:id="rId70" w:history="1">
        <w:r w:rsidR="00F97262" w:rsidRPr="00F97262">
          <w:rPr>
            <w:rStyle w:val="Hyperlink"/>
            <w:rFonts w:cs="David" w:hint="eastAsia"/>
            <w:rtl/>
          </w:rPr>
          <w:t>בסעיף</w:t>
        </w:r>
        <w:r w:rsidR="00F97262" w:rsidRPr="00F97262">
          <w:rPr>
            <w:rStyle w:val="Hyperlink"/>
            <w:rFonts w:cs="David"/>
            <w:rtl/>
          </w:rPr>
          <w:t>40ד(ב)</w:t>
        </w:r>
      </w:hyperlink>
      <w:r>
        <w:rPr>
          <w:rFonts w:hint="cs"/>
          <w:rtl/>
        </w:rPr>
        <w:t xml:space="preserve"> ל</w:t>
      </w:r>
      <w:hyperlink r:id="rId71" w:history="1">
        <w:r w:rsidR="00897C70" w:rsidRPr="00897C70">
          <w:rPr>
            <w:color w:val="0000FF"/>
            <w:u w:val="single"/>
            <w:rtl/>
          </w:rPr>
          <w:t>חוק העונשין</w:t>
        </w:r>
      </w:hyperlink>
      <w:r>
        <w:rPr>
          <w:rFonts w:hint="cs"/>
          <w:rtl/>
        </w:rPr>
        <w:t xml:space="preserve">, ולכן אין חובה להוכיח "נסיבות מיוחדות ויוצאות דופן" על מנת לסטות ממתחם העונש ההולם. </w:t>
      </w:r>
    </w:p>
    <w:p w14:paraId="4A934670" w14:textId="77777777" w:rsidR="00EF20B3" w:rsidRDefault="00EF20B3" w:rsidP="00EF20B3">
      <w:pPr>
        <w:spacing w:line="360" w:lineRule="auto"/>
        <w:ind w:left="720" w:hanging="720"/>
        <w:jc w:val="both"/>
        <w:rPr>
          <w:rtl/>
        </w:rPr>
      </w:pPr>
    </w:p>
    <w:p w14:paraId="0F020DE8" w14:textId="77777777" w:rsidR="00EF20B3" w:rsidRDefault="00EF20B3" w:rsidP="00EF20B3">
      <w:pPr>
        <w:spacing w:line="360" w:lineRule="auto"/>
        <w:ind w:left="720" w:hanging="720"/>
        <w:jc w:val="both"/>
        <w:rPr>
          <w:rtl/>
        </w:rPr>
      </w:pPr>
      <w:r>
        <w:rPr>
          <w:rFonts w:hint="cs"/>
          <w:rtl/>
        </w:rPr>
        <w:t>35.</w:t>
      </w:r>
      <w:r>
        <w:rPr>
          <w:rtl/>
        </w:rPr>
        <w:tab/>
      </w:r>
      <w:r>
        <w:rPr>
          <w:rFonts w:hint="cs"/>
          <w:rtl/>
        </w:rPr>
        <w:t>ההגנה הפנתה ל-</w:t>
      </w:r>
      <w:hyperlink r:id="rId72" w:history="1">
        <w:r w:rsidR="00897C70" w:rsidRPr="00897C70">
          <w:rPr>
            <w:color w:val="0000FF"/>
            <w:u w:val="single"/>
            <w:rtl/>
          </w:rPr>
          <w:t>ע"פ 1882/18</w:t>
        </w:r>
      </w:hyperlink>
      <w:r>
        <w:rPr>
          <w:rFonts w:hint="cs"/>
          <w:rtl/>
        </w:rPr>
        <w:t xml:space="preserve"> </w:t>
      </w:r>
      <w:r w:rsidRPr="00757083">
        <w:rPr>
          <w:rFonts w:hint="cs"/>
          <w:b/>
          <w:bCs/>
          <w:rtl/>
        </w:rPr>
        <w:t>חלילי נ' מדינת ישראל</w:t>
      </w:r>
      <w:r>
        <w:rPr>
          <w:rFonts w:hint="cs"/>
          <w:rtl/>
        </w:rPr>
        <w:t xml:space="preserve"> (פורסם בנבו, 4.7.19). על מנת ללמוד על עבודות המקרה, יש לעיין בגזר הדין של בית המשפט המחוזי בתל אביב באותו עניין ושניתן ב-</w:t>
      </w:r>
      <w:hyperlink r:id="rId73" w:history="1">
        <w:r w:rsidR="00897C70" w:rsidRPr="00897C70">
          <w:rPr>
            <w:color w:val="0000FF"/>
            <w:u w:val="single"/>
            <w:rtl/>
          </w:rPr>
          <w:t>ת"פ 47785-09-16</w:t>
        </w:r>
      </w:hyperlink>
      <w:r>
        <w:rPr>
          <w:rFonts w:hint="cs"/>
          <w:rtl/>
        </w:rPr>
        <w:t xml:space="preserve"> (פורסם בנבו, 25.1.18). באותו עניין, המערער הורשע בסחר בסם מסוכן מסוג קוקאין במשקל 4.47 גרם לסוכן משטרתי וכן בעבירות של גניבת רכבים (אופנועים) ומסחר בחלקים גנובים של רכב. בית המשפט המחוזי בתל אביב השית עליו 25 חודשי מאסר בפועל. ערעורו לבית המשפט העליון התקבל ובפסק הדין של בית המשפט העליון, נאמרו הדברים הבאים: </w:t>
      </w:r>
    </w:p>
    <w:p w14:paraId="5CDC413D" w14:textId="77777777" w:rsidR="00EF20B3" w:rsidRDefault="00EF20B3" w:rsidP="00EF20B3">
      <w:pPr>
        <w:spacing w:line="360" w:lineRule="auto"/>
        <w:ind w:left="720" w:hanging="720"/>
        <w:jc w:val="both"/>
        <w:rPr>
          <w:rtl/>
        </w:rPr>
      </w:pPr>
    </w:p>
    <w:p w14:paraId="08BFB7B3" w14:textId="77777777" w:rsidR="00EF20B3" w:rsidRDefault="00EF20B3" w:rsidP="00EF20B3">
      <w:pPr>
        <w:spacing w:line="360" w:lineRule="auto"/>
        <w:ind w:left="2880"/>
        <w:jc w:val="both"/>
        <w:rPr>
          <w:rtl/>
        </w:rPr>
      </w:pPr>
      <w:r>
        <w:rPr>
          <w:rFonts w:hint="cs"/>
          <w:rtl/>
        </w:rPr>
        <w:t xml:space="preserve">"בשים לב </w:t>
      </w:r>
      <w:r w:rsidRPr="00E6694B">
        <w:rPr>
          <w:rFonts w:hint="cs"/>
          <w:u w:val="single"/>
          <w:rtl/>
        </w:rPr>
        <w:t>לתהליך השיקומי המרשים</w:t>
      </w:r>
      <w:r>
        <w:rPr>
          <w:rFonts w:hint="cs"/>
          <w:rtl/>
        </w:rPr>
        <w:t xml:space="preserve"> שעבר המערער ולהמלצה המובהקת של שירות המבחן, הסכימה המדינה לקבלת הערעור </w:t>
      </w:r>
      <w:r w:rsidRPr="00E6694B">
        <w:rPr>
          <w:rFonts w:hint="cs"/>
          <w:u w:val="single"/>
          <w:rtl/>
        </w:rPr>
        <w:t>במובן זה שעונש המאסר בפועל של המערער יועמד על 9 חודשים שירוצו בדרך של עבודות שירות</w:t>
      </w:r>
      <w:r>
        <w:rPr>
          <w:rFonts w:hint="cs"/>
          <w:rtl/>
        </w:rPr>
        <w:t>".</w:t>
      </w:r>
    </w:p>
    <w:p w14:paraId="3DF70F24" w14:textId="77777777" w:rsidR="00EF20B3" w:rsidRDefault="00EF20B3" w:rsidP="00EF20B3">
      <w:pPr>
        <w:spacing w:line="360" w:lineRule="auto"/>
        <w:ind w:left="2880"/>
        <w:jc w:val="both"/>
        <w:rPr>
          <w:rtl/>
        </w:rPr>
      </w:pPr>
    </w:p>
    <w:p w14:paraId="4A0CABFF" w14:textId="77777777" w:rsidR="00EF20B3" w:rsidRDefault="00EF20B3" w:rsidP="00EF20B3">
      <w:pPr>
        <w:spacing w:line="360" w:lineRule="auto"/>
        <w:ind w:left="2880"/>
        <w:jc w:val="both"/>
        <w:rPr>
          <w:rtl/>
        </w:rPr>
      </w:pPr>
      <w:r>
        <w:rPr>
          <w:rFonts w:hint="cs"/>
          <w:rtl/>
        </w:rPr>
        <w:t xml:space="preserve">(ההדגשות שלי </w:t>
      </w:r>
      <w:r>
        <w:rPr>
          <w:rtl/>
        </w:rPr>
        <w:t>–</w:t>
      </w:r>
      <w:r>
        <w:rPr>
          <w:rFonts w:hint="cs"/>
          <w:rtl/>
        </w:rPr>
        <w:t xml:space="preserve"> ה'א'ש') </w:t>
      </w:r>
    </w:p>
    <w:p w14:paraId="632F4042" w14:textId="77777777" w:rsidR="00EF20B3" w:rsidRDefault="00EF20B3" w:rsidP="00EF20B3">
      <w:pPr>
        <w:spacing w:line="360" w:lineRule="auto"/>
        <w:jc w:val="both"/>
        <w:rPr>
          <w:b/>
          <w:bCs/>
          <w:u w:val="single"/>
          <w:rtl/>
        </w:rPr>
      </w:pPr>
    </w:p>
    <w:p w14:paraId="26C11006" w14:textId="77777777" w:rsidR="00EF20B3" w:rsidRPr="00887F9D" w:rsidRDefault="00EF20B3" w:rsidP="00EF20B3">
      <w:pPr>
        <w:spacing w:line="360" w:lineRule="auto"/>
        <w:jc w:val="both"/>
        <w:rPr>
          <w:b/>
          <w:bCs/>
          <w:sz w:val="28"/>
          <w:szCs w:val="28"/>
          <w:u w:val="single"/>
          <w:rtl/>
        </w:rPr>
      </w:pPr>
      <w:r w:rsidRPr="00887F9D">
        <w:rPr>
          <w:rFonts w:hint="cs"/>
          <w:b/>
          <w:bCs/>
          <w:sz w:val="28"/>
          <w:szCs w:val="28"/>
          <w:u w:val="single"/>
          <w:rtl/>
        </w:rPr>
        <w:t xml:space="preserve">העונש הסופי </w:t>
      </w:r>
    </w:p>
    <w:p w14:paraId="57908D2C" w14:textId="77777777" w:rsidR="00EF20B3" w:rsidRDefault="00EF20B3" w:rsidP="00EF20B3">
      <w:pPr>
        <w:spacing w:line="360" w:lineRule="auto"/>
        <w:jc w:val="both"/>
        <w:rPr>
          <w:rtl/>
        </w:rPr>
      </w:pPr>
    </w:p>
    <w:p w14:paraId="5F84A667" w14:textId="77777777" w:rsidR="00EF20B3" w:rsidRDefault="00EF20B3" w:rsidP="00EF20B3">
      <w:pPr>
        <w:spacing w:line="360" w:lineRule="auto"/>
        <w:ind w:left="720" w:hanging="720"/>
        <w:jc w:val="both"/>
        <w:rPr>
          <w:rtl/>
        </w:rPr>
      </w:pPr>
      <w:r>
        <w:rPr>
          <w:rFonts w:hint="cs"/>
          <w:rtl/>
        </w:rPr>
        <w:t>36.</w:t>
      </w:r>
      <w:r>
        <w:rPr>
          <w:rFonts w:hint="cs"/>
          <w:rtl/>
        </w:rPr>
        <w:tab/>
        <w:t xml:space="preserve">לאור כל האמור לעיל, הנני קובע שיש ליישם את הוראות </w:t>
      </w:r>
      <w:hyperlink r:id="rId74" w:history="1">
        <w:r w:rsidR="00F97262" w:rsidRPr="00F97262">
          <w:rPr>
            <w:rStyle w:val="Hyperlink"/>
            <w:rFonts w:cs="David" w:hint="eastAsia"/>
            <w:rtl/>
          </w:rPr>
          <w:t>סעיף</w:t>
        </w:r>
        <w:r w:rsidR="00F97262" w:rsidRPr="00F97262">
          <w:rPr>
            <w:rStyle w:val="Hyperlink"/>
            <w:rFonts w:cs="David"/>
            <w:rtl/>
          </w:rPr>
          <w:t xml:space="preserve"> 40ד(א)</w:t>
        </w:r>
      </w:hyperlink>
      <w:r>
        <w:rPr>
          <w:rFonts w:hint="cs"/>
          <w:rtl/>
        </w:rPr>
        <w:t xml:space="preserve"> ל</w:t>
      </w:r>
      <w:hyperlink r:id="rId75" w:history="1">
        <w:r w:rsidR="00897C70" w:rsidRPr="00897C70">
          <w:rPr>
            <w:color w:val="0000FF"/>
            <w:u w:val="single"/>
            <w:rtl/>
          </w:rPr>
          <w:t>חוק העונשין</w:t>
        </w:r>
      </w:hyperlink>
      <w:r>
        <w:rPr>
          <w:rFonts w:hint="cs"/>
          <w:rtl/>
        </w:rPr>
        <w:t xml:space="preserve"> בעניינו של הנאשם ולסטות לקולא מהגבול התחתון של מתחם העונש ההולם, שכאמור הועמד על 16 חודשי מאסר בפועל. כמו כן, לאור העובדה שהמכירות כללו מכירות לשני קטינים, מן הראוי שהנאשם ירצה את תקופת  המאסר המקסימאלית המותרת לריצוי בדרך של עבודות שירות, והיא תשעה חודשים. </w:t>
      </w:r>
    </w:p>
    <w:p w14:paraId="7EF099F3" w14:textId="77777777" w:rsidR="00EF20B3" w:rsidRDefault="00EF20B3" w:rsidP="00EF20B3">
      <w:pPr>
        <w:spacing w:line="360" w:lineRule="auto"/>
        <w:ind w:left="720" w:hanging="720"/>
        <w:jc w:val="both"/>
        <w:rPr>
          <w:rtl/>
        </w:rPr>
      </w:pPr>
    </w:p>
    <w:p w14:paraId="6F4F0BFD" w14:textId="77777777" w:rsidR="00EF20B3" w:rsidRDefault="00EF20B3" w:rsidP="00EF20B3">
      <w:pPr>
        <w:spacing w:line="360" w:lineRule="auto"/>
        <w:ind w:left="720" w:hanging="720"/>
        <w:jc w:val="both"/>
        <w:rPr>
          <w:rtl/>
        </w:rPr>
      </w:pPr>
      <w:r>
        <w:rPr>
          <w:rFonts w:hint="cs"/>
          <w:rtl/>
        </w:rPr>
        <w:t>37.</w:t>
      </w:r>
      <w:r>
        <w:rPr>
          <w:rFonts w:hint="cs"/>
          <w:rtl/>
        </w:rPr>
        <w:tab/>
        <w:t xml:space="preserve">מן הראוי להבהיר שלמרות הדמיון בין סוג העבירות שבוצעו בעניין </w:t>
      </w:r>
      <w:r w:rsidRPr="008C48E5">
        <w:rPr>
          <w:rFonts w:hint="cs"/>
          <w:b/>
          <w:bCs/>
          <w:rtl/>
        </w:rPr>
        <w:t>לוין</w:t>
      </w:r>
      <w:r>
        <w:rPr>
          <w:rFonts w:hint="cs"/>
          <w:rtl/>
        </w:rPr>
        <w:t xml:space="preserve">, לבין סוג העבירות שבוצעו במקרה שבפנַי, העונש שהושת בעניין </w:t>
      </w:r>
      <w:r w:rsidRPr="00B74DBE">
        <w:rPr>
          <w:rFonts w:hint="cs"/>
          <w:b/>
          <w:bCs/>
          <w:rtl/>
        </w:rPr>
        <w:t>לוין</w:t>
      </w:r>
      <w:r>
        <w:rPr>
          <w:rFonts w:hint="cs"/>
          <w:rtl/>
        </w:rPr>
        <w:t xml:space="preserve"> של מאסר על תנאי בלבד, איננו העונש הראוי לנאשם. ראשית, הנאשם שבפנַי, הוא בגיל 30 שנים ובעוד שהמבקשת בעניין </w:t>
      </w:r>
      <w:r w:rsidRPr="00B74DBE">
        <w:rPr>
          <w:rFonts w:hint="cs"/>
          <w:b/>
          <w:bCs/>
          <w:rtl/>
        </w:rPr>
        <w:t>לוין</w:t>
      </w:r>
      <w:r>
        <w:rPr>
          <w:rFonts w:hint="cs"/>
          <w:rtl/>
        </w:rPr>
        <w:t xml:space="preserve"> הייתה "בגירה צעירה" (מעט לאחר גיל 18 שנים). שנית, להבדיל מעניין </w:t>
      </w:r>
      <w:r w:rsidRPr="00A1467D">
        <w:rPr>
          <w:rFonts w:hint="cs"/>
          <w:b/>
          <w:bCs/>
          <w:rtl/>
        </w:rPr>
        <w:t>לוין</w:t>
      </w:r>
      <w:r w:rsidRPr="00A1467D">
        <w:rPr>
          <w:rFonts w:hint="cs"/>
          <w:rtl/>
        </w:rPr>
        <w:t xml:space="preserve"> שבו המבקשת הייתה נעדרת עבר פלילי</w:t>
      </w:r>
      <w:r>
        <w:rPr>
          <w:rFonts w:hint="cs"/>
          <w:rtl/>
        </w:rPr>
        <w:t xml:space="preserve">, לנאשם שבפנַי יש שתי הרשעות קודמות, אחת בעבירות של סחר בסמים והשנייה בעבירות של ירי עם נשק חם באזור מגורים, כאשר בשתי ההרשעות נדון לעונשי מאסר בפועל מאחורי סורג ובריח. </w:t>
      </w:r>
    </w:p>
    <w:p w14:paraId="468BEDE8" w14:textId="77777777" w:rsidR="00EF20B3" w:rsidRDefault="00EF20B3" w:rsidP="00EF20B3">
      <w:pPr>
        <w:spacing w:line="360" w:lineRule="auto"/>
        <w:ind w:left="720" w:hanging="720"/>
        <w:jc w:val="both"/>
        <w:rPr>
          <w:rtl/>
        </w:rPr>
      </w:pPr>
    </w:p>
    <w:p w14:paraId="0132C702" w14:textId="77777777" w:rsidR="00EF20B3" w:rsidRDefault="00EF20B3" w:rsidP="00EF20B3">
      <w:pPr>
        <w:spacing w:line="360" w:lineRule="auto"/>
        <w:ind w:left="720" w:hanging="720"/>
        <w:jc w:val="both"/>
        <w:rPr>
          <w:rtl/>
        </w:rPr>
      </w:pPr>
      <w:r>
        <w:rPr>
          <w:rFonts w:hint="cs"/>
          <w:rtl/>
        </w:rPr>
        <w:t>38.</w:t>
      </w:r>
      <w:r>
        <w:rPr>
          <w:rFonts w:hint="cs"/>
          <w:rtl/>
        </w:rPr>
        <w:tab/>
        <w:t xml:space="preserve">לפיכך, הנני משית על הנאשם את העונשים הבאים: </w:t>
      </w:r>
    </w:p>
    <w:p w14:paraId="14095685" w14:textId="77777777" w:rsidR="00EF20B3" w:rsidRDefault="00EF20B3" w:rsidP="00EF20B3">
      <w:pPr>
        <w:spacing w:line="360" w:lineRule="auto"/>
        <w:ind w:left="720" w:hanging="720"/>
        <w:jc w:val="both"/>
        <w:rPr>
          <w:rtl/>
        </w:rPr>
      </w:pPr>
    </w:p>
    <w:p w14:paraId="4548E809" w14:textId="77777777" w:rsidR="00EF20B3" w:rsidRDefault="00EF20B3" w:rsidP="00EF20B3">
      <w:pPr>
        <w:spacing w:line="360" w:lineRule="auto"/>
        <w:ind w:left="1440" w:hanging="720"/>
        <w:jc w:val="both"/>
        <w:rPr>
          <w:rtl/>
        </w:rPr>
      </w:pPr>
      <w:r>
        <w:rPr>
          <w:rFonts w:hint="cs"/>
          <w:rtl/>
        </w:rPr>
        <w:t>א.</w:t>
      </w:r>
      <w:r>
        <w:rPr>
          <w:rFonts w:hint="cs"/>
          <w:rtl/>
        </w:rPr>
        <w:tab/>
        <w:t>9 חודשי מאסר בפועל שירוצו בדרך של עבודות שירות. הנאשם יתייצב ביום 22.3.20 בשעה 08:00 במשרדי הממונה על עבודות שירות ברמלה לתחילת ריצוי עבודות שירות. עבודות השירות יבוצעו במפעל "חסד יד ביד" בדרך בית הדין 10 לוד. הנאשם יועסק חמישה ימים בשבוע על פי טווח השעות המתאפשר ב</w:t>
      </w:r>
      <w:hyperlink r:id="rId76" w:history="1">
        <w:r w:rsidR="00897C70" w:rsidRPr="00897C70">
          <w:rPr>
            <w:color w:val="0000FF"/>
            <w:u w:val="single"/>
            <w:rtl/>
          </w:rPr>
          <w:t>חוק העונשין</w:t>
        </w:r>
      </w:hyperlink>
      <w:r>
        <w:rPr>
          <w:rFonts w:hint="cs"/>
          <w:rtl/>
        </w:rPr>
        <w:t xml:space="preserve">. </w:t>
      </w:r>
    </w:p>
    <w:p w14:paraId="18FA7DB2" w14:textId="77777777" w:rsidR="00EF20B3" w:rsidRDefault="00EF20B3" w:rsidP="00EF20B3">
      <w:pPr>
        <w:spacing w:line="360" w:lineRule="auto"/>
        <w:ind w:left="1440" w:hanging="720"/>
        <w:jc w:val="both"/>
        <w:rPr>
          <w:rtl/>
        </w:rPr>
      </w:pPr>
    </w:p>
    <w:p w14:paraId="5CB4DE58" w14:textId="77777777" w:rsidR="00EF20B3" w:rsidRDefault="00EF20B3" w:rsidP="00EF20B3">
      <w:pPr>
        <w:spacing w:line="360" w:lineRule="auto"/>
        <w:ind w:left="1440" w:hanging="720"/>
        <w:jc w:val="both"/>
        <w:rPr>
          <w:rtl/>
        </w:rPr>
      </w:pPr>
      <w:r>
        <w:rPr>
          <w:rFonts w:hint="cs"/>
          <w:rtl/>
        </w:rPr>
        <w:t>ב.</w:t>
      </w:r>
      <w:r>
        <w:rPr>
          <w:rFonts w:hint="cs"/>
          <w:rtl/>
        </w:rPr>
        <w:tab/>
        <w:t xml:space="preserve">10 חודשי מאסר על תנאי והתנאי הוא שבמשך 3 שנים מהיום הנאשם לא יבצע עבירת פשע לפי </w:t>
      </w:r>
      <w:hyperlink r:id="rId77" w:history="1">
        <w:r w:rsidR="00897C70" w:rsidRPr="00897C70">
          <w:rPr>
            <w:color w:val="0000FF"/>
            <w:u w:val="single"/>
            <w:rtl/>
          </w:rPr>
          <w:t>פקודת הסמים המסוכנים</w:t>
        </w:r>
      </w:hyperlink>
      <w:r>
        <w:rPr>
          <w:rFonts w:hint="cs"/>
          <w:rtl/>
        </w:rPr>
        <w:t xml:space="preserve">. </w:t>
      </w:r>
    </w:p>
    <w:p w14:paraId="21C2B727" w14:textId="77777777" w:rsidR="00EF20B3" w:rsidRDefault="00EF20B3" w:rsidP="00EF20B3">
      <w:pPr>
        <w:spacing w:line="360" w:lineRule="auto"/>
        <w:ind w:left="1440" w:hanging="720"/>
        <w:jc w:val="both"/>
        <w:rPr>
          <w:rtl/>
        </w:rPr>
      </w:pPr>
    </w:p>
    <w:p w14:paraId="45F91D32" w14:textId="77777777" w:rsidR="00EF20B3" w:rsidRDefault="00EF20B3" w:rsidP="00EF20B3">
      <w:pPr>
        <w:spacing w:line="360" w:lineRule="auto"/>
        <w:ind w:left="1440" w:hanging="720"/>
        <w:jc w:val="both"/>
        <w:rPr>
          <w:rtl/>
        </w:rPr>
      </w:pPr>
      <w:r>
        <w:rPr>
          <w:rFonts w:hint="cs"/>
          <w:rtl/>
        </w:rPr>
        <w:t>ג.</w:t>
      </w:r>
      <w:r>
        <w:rPr>
          <w:rFonts w:hint="cs"/>
          <w:rtl/>
        </w:rPr>
        <w:tab/>
        <w:t xml:space="preserve">4 חודשי מאסר על תנאי והתנאי הוא שבמשך 3 שנים מהיום הנאשם לא יבצע עבירת עוון לפי </w:t>
      </w:r>
      <w:hyperlink r:id="rId78" w:history="1">
        <w:r w:rsidR="00897C70" w:rsidRPr="00897C70">
          <w:rPr>
            <w:color w:val="0000FF"/>
            <w:u w:val="single"/>
            <w:rtl/>
          </w:rPr>
          <w:t>פקודת הסמים המסוכנים</w:t>
        </w:r>
      </w:hyperlink>
      <w:r>
        <w:rPr>
          <w:rFonts w:hint="cs"/>
          <w:rtl/>
        </w:rPr>
        <w:t xml:space="preserve">. </w:t>
      </w:r>
    </w:p>
    <w:p w14:paraId="00E1F2B1" w14:textId="77777777" w:rsidR="00EF20B3" w:rsidRDefault="00EF20B3" w:rsidP="00EF20B3">
      <w:pPr>
        <w:spacing w:line="360" w:lineRule="auto"/>
        <w:rPr>
          <w:rtl/>
        </w:rPr>
      </w:pPr>
      <w:r>
        <w:rPr>
          <w:rtl/>
        </w:rPr>
        <w:tab/>
      </w:r>
    </w:p>
    <w:p w14:paraId="77281683" w14:textId="77777777" w:rsidR="00EF20B3" w:rsidRDefault="00EF20B3" w:rsidP="00EF20B3">
      <w:pPr>
        <w:spacing w:line="360" w:lineRule="auto"/>
        <w:ind w:left="1440" w:hanging="720"/>
        <w:jc w:val="both"/>
        <w:rPr>
          <w:rtl/>
        </w:rPr>
      </w:pPr>
      <w:r>
        <w:rPr>
          <w:rFonts w:hint="cs"/>
          <w:rtl/>
        </w:rPr>
        <w:t xml:space="preserve">ד. </w:t>
      </w:r>
      <w:r>
        <w:rPr>
          <w:rtl/>
        </w:rPr>
        <w:tab/>
      </w:r>
      <w:r w:rsidRPr="005C4D2F">
        <w:rPr>
          <w:rFonts w:hint="cs"/>
          <w:rtl/>
        </w:rPr>
        <w:t xml:space="preserve">הנאשם ישלם קנס בסך </w:t>
      </w:r>
      <w:r>
        <w:rPr>
          <w:rFonts w:hint="cs"/>
          <w:rtl/>
        </w:rPr>
        <w:t>5,000</w:t>
      </w:r>
      <w:r w:rsidRPr="005C4D2F">
        <w:rPr>
          <w:rFonts w:hint="cs"/>
          <w:rtl/>
        </w:rPr>
        <w:t xml:space="preserve">  ₪, או </w:t>
      </w:r>
      <w:r>
        <w:rPr>
          <w:rFonts w:hint="cs"/>
          <w:rtl/>
        </w:rPr>
        <w:t>20</w:t>
      </w:r>
      <w:r w:rsidRPr="005C4D2F">
        <w:rPr>
          <w:rFonts w:hint="cs"/>
          <w:rtl/>
        </w:rPr>
        <w:t xml:space="preserve"> </w:t>
      </w:r>
      <w:r>
        <w:rPr>
          <w:rFonts w:hint="cs"/>
          <w:rtl/>
        </w:rPr>
        <w:t xml:space="preserve"> </w:t>
      </w:r>
      <w:r w:rsidRPr="005C4D2F">
        <w:rPr>
          <w:rFonts w:hint="cs"/>
          <w:rtl/>
        </w:rPr>
        <w:t>ימי מאסר תמורתו. הקנס ישולם ב-</w:t>
      </w:r>
      <w:r>
        <w:rPr>
          <w:rFonts w:hint="cs"/>
          <w:rtl/>
        </w:rPr>
        <w:t>10</w:t>
      </w:r>
      <w:r w:rsidRPr="005C4D2F">
        <w:rPr>
          <w:rFonts w:hint="cs"/>
          <w:rtl/>
        </w:rPr>
        <w:t xml:space="preserve">  תשלומים חודש</w:t>
      </w:r>
      <w:r>
        <w:rPr>
          <w:rFonts w:hint="cs"/>
          <w:rtl/>
        </w:rPr>
        <w:t>י</w:t>
      </w:r>
      <w:r w:rsidRPr="005C4D2F">
        <w:rPr>
          <w:rFonts w:hint="cs"/>
          <w:rtl/>
        </w:rPr>
        <w:t xml:space="preserve">ים שווים ורצופים כאשר הראשון שבהם עד ליום </w:t>
      </w:r>
      <w:r>
        <w:rPr>
          <w:rFonts w:hint="cs"/>
          <w:rtl/>
        </w:rPr>
        <w:t>1.4.20</w:t>
      </w:r>
      <w:r w:rsidRPr="005C4D2F">
        <w:rPr>
          <w:rFonts w:hint="cs"/>
          <w:rtl/>
        </w:rPr>
        <w:t xml:space="preserve">  והיתרה ב-1 לכל חודש שלאחריו. היה ואחד התשלומים לא ישולם במועד, אזי יעמוד מלוא סכום הקנס לפ</w:t>
      </w:r>
      <w:r>
        <w:rPr>
          <w:rFonts w:hint="cs"/>
          <w:rtl/>
        </w:rPr>
        <w:t>י</w:t>
      </w:r>
      <w:r w:rsidRPr="005C4D2F">
        <w:rPr>
          <w:rFonts w:hint="cs"/>
          <w:rtl/>
        </w:rPr>
        <w:t xml:space="preserve">רעון מידי. </w:t>
      </w:r>
    </w:p>
    <w:p w14:paraId="57F491DB" w14:textId="77777777" w:rsidR="00EF20B3" w:rsidRDefault="00EF20B3" w:rsidP="00EF20B3">
      <w:pPr>
        <w:spacing w:line="360" w:lineRule="auto"/>
        <w:rPr>
          <w:rtl/>
        </w:rPr>
      </w:pPr>
    </w:p>
    <w:p w14:paraId="5C8C6416" w14:textId="77777777" w:rsidR="00EF20B3" w:rsidRDefault="00EF20B3" w:rsidP="00EF20B3">
      <w:pPr>
        <w:spacing w:line="360" w:lineRule="auto"/>
        <w:ind w:left="1440" w:hanging="720"/>
        <w:jc w:val="both"/>
        <w:rPr>
          <w:rtl/>
        </w:rPr>
      </w:pPr>
      <w:r>
        <w:rPr>
          <w:rFonts w:hint="cs"/>
          <w:rtl/>
        </w:rPr>
        <w:t>ה.</w:t>
      </w:r>
      <w:r>
        <w:rPr>
          <w:rFonts w:hint="cs"/>
          <w:rtl/>
        </w:rPr>
        <w:tab/>
        <w:t xml:space="preserve">הנני משית על הנאשם צו מבחן למשך 12 חודשים מהיום. הנאשם מוזהר שאם לא ימלא אחרי צו המבחן, בית המשפט יהיה רשאי לבטל את צו המבחן ולגזור את דינו מחדש.  </w:t>
      </w:r>
    </w:p>
    <w:p w14:paraId="10E87E8E" w14:textId="77777777" w:rsidR="00EF20B3" w:rsidRDefault="00EF20B3" w:rsidP="00EF20B3">
      <w:pPr>
        <w:spacing w:line="360" w:lineRule="auto"/>
        <w:jc w:val="both"/>
        <w:rPr>
          <w:rtl/>
        </w:rPr>
      </w:pPr>
    </w:p>
    <w:p w14:paraId="424BC9E7" w14:textId="77777777" w:rsidR="00EF20B3" w:rsidRDefault="00EF20B3" w:rsidP="00EF20B3">
      <w:pPr>
        <w:spacing w:line="360" w:lineRule="auto"/>
        <w:ind w:left="1440" w:hanging="720"/>
        <w:jc w:val="both"/>
        <w:rPr>
          <w:rtl/>
        </w:rPr>
      </w:pPr>
      <w:r>
        <w:rPr>
          <w:rFonts w:hint="cs"/>
          <w:rtl/>
        </w:rPr>
        <w:t>ו.</w:t>
      </w:r>
      <w:r>
        <w:rPr>
          <w:rFonts w:hint="cs"/>
          <w:rtl/>
        </w:rPr>
        <w:tab/>
        <w:t xml:space="preserve">הנני פוסל את הנאשם מלקבל או להחזיק רישיון נהיגה וזאת למשך 4 חודשים וזאת במצטבר לכל פסילה אחרת. על הנאשם לבצע הפקדה של הרישיון ובהעדר קיומו של רישיון נהיגה ברשותו, עליו להפקיד תצהיר מתאים על כך במזכירות בית המשפט, שאם לא כן, לא יתחיל מניין ימי הפסילה. </w:t>
      </w:r>
    </w:p>
    <w:p w14:paraId="708D8539" w14:textId="77777777" w:rsidR="00EF20B3" w:rsidRDefault="00EF20B3" w:rsidP="00EF20B3">
      <w:pPr>
        <w:spacing w:line="360" w:lineRule="auto"/>
        <w:ind w:left="1440" w:hanging="720"/>
        <w:rPr>
          <w:rtl/>
        </w:rPr>
      </w:pPr>
    </w:p>
    <w:p w14:paraId="003CC18A" w14:textId="77777777" w:rsidR="00EF20B3" w:rsidRDefault="00EF20B3" w:rsidP="00EF20B3">
      <w:pPr>
        <w:spacing w:line="360" w:lineRule="auto"/>
        <w:ind w:left="1440" w:hanging="720"/>
        <w:jc w:val="both"/>
        <w:rPr>
          <w:rtl/>
        </w:rPr>
      </w:pPr>
      <w:r>
        <w:rPr>
          <w:rFonts w:hint="cs"/>
          <w:rtl/>
        </w:rPr>
        <w:t>ז.</w:t>
      </w:r>
      <w:r>
        <w:rPr>
          <w:rFonts w:hint="cs"/>
          <w:rtl/>
        </w:rPr>
        <w:tab/>
        <w:t xml:space="preserve">הנני פוסל את הנאשם מלקבל או להחזיק רישיון נהיגה לתקופה של 4 חודשים וזאת על תנאי למשך 3 שנים מהיום, והתנאי הוא שהנאשם לא יבצע עבירה לפי </w:t>
      </w:r>
      <w:hyperlink r:id="rId79" w:history="1">
        <w:r w:rsidR="00897C70" w:rsidRPr="00897C70">
          <w:rPr>
            <w:color w:val="0000FF"/>
            <w:u w:val="single"/>
            <w:rtl/>
          </w:rPr>
          <w:t>פקודת הסמים המסוכנים</w:t>
        </w:r>
      </w:hyperlink>
      <w:r>
        <w:rPr>
          <w:rFonts w:hint="cs"/>
          <w:rtl/>
        </w:rPr>
        <w:t xml:space="preserve"> מסוג פשע. </w:t>
      </w:r>
    </w:p>
    <w:p w14:paraId="35D978EA" w14:textId="77777777" w:rsidR="00EF20B3" w:rsidRDefault="00EF20B3" w:rsidP="00EF20B3">
      <w:pPr>
        <w:spacing w:line="360" w:lineRule="auto"/>
        <w:ind w:left="1440" w:hanging="720"/>
        <w:rPr>
          <w:rtl/>
        </w:rPr>
      </w:pPr>
    </w:p>
    <w:p w14:paraId="7300822C" w14:textId="77777777" w:rsidR="00EF20B3" w:rsidRDefault="00EF20B3" w:rsidP="00EF20B3">
      <w:pPr>
        <w:spacing w:line="360" w:lineRule="auto"/>
        <w:ind w:left="1440" w:hanging="720"/>
        <w:rPr>
          <w:rtl/>
        </w:rPr>
      </w:pPr>
      <w:r>
        <w:rPr>
          <w:rFonts w:hint="cs"/>
          <w:rtl/>
        </w:rPr>
        <w:t xml:space="preserve">זכות ערעור תוך 45 יום. </w:t>
      </w:r>
    </w:p>
    <w:p w14:paraId="758EC00D" w14:textId="77777777" w:rsidR="00EF20B3" w:rsidRDefault="00EF20B3" w:rsidP="00EF20B3">
      <w:pPr>
        <w:spacing w:line="360" w:lineRule="auto"/>
        <w:ind w:left="1440" w:hanging="720"/>
        <w:rPr>
          <w:rtl/>
        </w:rPr>
      </w:pPr>
    </w:p>
    <w:p w14:paraId="006AAC7C" w14:textId="77777777" w:rsidR="00EF20B3" w:rsidRPr="00E2217C" w:rsidRDefault="00EF20B3" w:rsidP="00EF20B3">
      <w:pPr>
        <w:spacing w:line="360" w:lineRule="auto"/>
        <w:ind w:left="1440" w:hanging="720"/>
        <w:rPr>
          <w:b/>
          <w:bCs/>
          <w:rtl/>
        </w:rPr>
      </w:pPr>
      <w:r w:rsidRPr="00E2217C">
        <w:rPr>
          <w:rFonts w:hint="cs"/>
          <w:b/>
          <w:bCs/>
          <w:rtl/>
        </w:rPr>
        <w:t xml:space="preserve">המזכירות תשגר העתק גזר הדין לשרות המבחן. </w:t>
      </w:r>
    </w:p>
    <w:p w14:paraId="1767CAF8" w14:textId="77777777" w:rsidR="00EF20B3" w:rsidRPr="00897C70" w:rsidRDefault="00897C70" w:rsidP="00EF20B3">
      <w:pPr>
        <w:spacing w:line="360" w:lineRule="auto"/>
        <w:jc w:val="both"/>
        <w:rPr>
          <w:rFonts w:ascii="Arial" w:hAnsi="Arial"/>
          <w:color w:val="FFFFFF"/>
          <w:sz w:val="2"/>
          <w:szCs w:val="2"/>
          <w:rtl/>
        </w:rPr>
      </w:pPr>
      <w:r w:rsidRPr="00897C70">
        <w:rPr>
          <w:rFonts w:ascii="Arial" w:hAnsi="Arial"/>
          <w:color w:val="FFFFFF"/>
          <w:sz w:val="2"/>
          <w:szCs w:val="2"/>
          <w:rtl/>
        </w:rPr>
        <w:t>5129371</w:t>
      </w:r>
    </w:p>
    <w:p w14:paraId="03E24F3C" w14:textId="77777777" w:rsidR="00EF20B3" w:rsidRDefault="00897C70" w:rsidP="00EF20B3">
      <w:pPr>
        <w:jc w:val="both"/>
        <w:rPr>
          <w:rFonts w:cs="FrankRuehl"/>
          <w:sz w:val="28"/>
          <w:szCs w:val="28"/>
          <w:rtl/>
        </w:rPr>
      </w:pPr>
      <w:bookmarkStart w:id="8" w:name="Nitan"/>
      <w:r w:rsidRPr="00897C70">
        <w:rPr>
          <w:rFonts w:ascii="Arial" w:hAnsi="Arial"/>
          <w:color w:val="FFFFFF"/>
          <w:sz w:val="2"/>
          <w:szCs w:val="2"/>
          <w:rtl/>
        </w:rPr>
        <w:t>54678313</w:t>
      </w:r>
      <w:r>
        <w:rPr>
          <w:rFonts w:ascii="Arial" w:hAnsi="Arial"/>
          <w:rtl/>
        </w:rPr>
        <w:t xml:space="preserve">ניתן היום,  כ"ג שבט תש"פ, 18 פברואר 2020, במעמד הצדדים. </w:t>
      </w:r>
      <w:bookmarkEnd w:id="8"/>
    </w:p>
    <w:p w14:paraId="1C066630" w14:textId="77777777" w:rsidR="00EF20B3" w:rsidRDefault="00EF20B3" w:rsidP="00897C70">
      <w:pPr>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C8AEFCE" w14:textId="77777777" w:rsidR="00EF20B3" w:rsidRDefault="00EF20B3" w:rsidP="00EF20B3">
      <w:pPr>
        <w:jc w:val="both"/>
        <w:rPr>
          <w:rFonts w:ascii="Arial" w:hAnsi="Arial" w:cs="FrankRuehl"/>
          <w:sz w:val="28"/>
          <w:szCs w:val="28"/>
          <w:rtl/>
        </w:rPr>
      </w:pPr>
    </w:p>
    <w:p w14:paraId="391E820C" w14:textId="77777777" w:rsidR="00897C70" w:rsidRDefault="00897C70" w:rsidP="00897C70">
      <w:pPr>
        <w:rPr>
          <w:rtl/>
        </w:rPr>
      </w:pPr>
    </w:p>
    <w:p w14:paraId="626FDE2C" w14:textId="77777777" w:rsidR="00897C70" w:rsidRDefault="00897C70" w:rsidP="00897C70">
      <w:pPr>
        <w:jc w:val="center"/>
        <w:rPr>
          <w:color w:val="0000FF"/>
          <w:u w:val="single"/>
        </w:rPr>
      </w:pPr>
      <w:hyperlink r:id="rId80" w:history="1">
        <w:r>
          <w:rPr>
            <w:color w:val="0000FF"/>
            <w:u w:val="single"/>
            <w:rtl/>
          </w:rPr>
          <w:t>בעניין עריכה ושינויים במסמכי פסיקה, חקיקה ועוד באתר נבו – הקש כאן</w:t>
        </w:r>
      </w:hyperlink>
    </w:p>
    <w:p w14:paraId="78AB39B0" w14:textId="77777777" w:rsidR="00F97262" w:rsidRPr="00F97262" w:rsidRDefault="00F97262" w:rsidP="00F97262">
      <w:pPr>
        <w:keepNext/>
        <w:rPr>
          <w:rFonts w:ascii="David" w:hAnsi="David"/>
          <w:color w:val="000000"/>
          <w:sz w:val="22"/>
          <w:szCs w:val="22"/>
          <w:rtl/>
        </w:rPr>
      </w:pPr>
    </w:p>
    <w:p w14:paraId="5BD110DE" w14:textId="77777777" w:rsidR="00F97262" w:rsidRPr="00F97262" w:rsidRDefault="00F97262" w:rsidP="00F97262">
      <w:pPr>
        <w:keepNext/>
        <w:rPr>
          <w:rFonts w:ascii="David" w:hAnsi="David"/>
          <w:color w:val="000000"/>
          <w:sz w:val="22"/>
          <w:szCs w:val="22"/>
          <w:rtl/>
        </w:rPr>
      </w:pPr>
      <w:r w:rsidRPr="00F97262">
        <w:rPr>
          <w:rFonts w:ascii="David" w:hAnsi="David"/>
          <w:color w:val="000000"/>
          <w:sz w:val="22"/>
          <w:szCs w:val="22"/>
          <w:rtl/>
        </w:rPr>
        <w:t>הישאם אבו שחאדה 54678313-/</w:t>
      </w:r>
    </w:p>
    <w:p w14:paraId="7E80FF45" w14:textId="77777777" w:rsidR="00897C70" w:rsidRPr="00897C70" w:rsidRDefault="00F97262" w:rsidP="00F97262">
      <w:pPr>
        <w:rPr>
          <w:color w:val="0000FF"/>
          <w:u w:val="single"/>
        </w:rPr>
      </w:pPr>
      <w:r w:rsidRPr="00F97262">
        <w:rPr>
          <w:color w:val="000000"/>
          <w:u w:val="single"/>
          <w:rtl/>
        </w:rPr>
        <w:t>נוסח מסמך זה כפוף לשינויי ניסוח ועריכה</w:t>
      </w:r>
    </w:p>
    <w:sectPr w:rsidR="00897C70" w:rsidRPr="00897C70" w:rsidSect="00F97262">
      <w:headerReference w:type="even" r:id="rId81"/>
      <w:headerReference w:type="default" r:id="rId82"/>
      <w:footerReference w:type="even" r:id="rId83"/>
      <w:footerReference w:type="default" r:id="rId8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8AB3CB" w14:textId="77777777" w:rsidR="00CC728B" w:rsidRDefault="00CC728B" w:rsidP="00FA36FA">
      <w:r>
        <w:separator/>
      </w:r>
    </w:p>
  </w:endnote>
  <w:endnote w:type="continuationSeparator" w:id="0">
    <w:p w14:paraId="1A41CC10" w14:textId="77777777" w:rsidR="00CC728B" w:rsidRDefault="00CC728B" w:rsidP="00FA3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5FF07" w14:textId="77777777" w:rsidR="00F97262" w:rsidRDefault="00F97262" w:rsidP="00F9726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AE584BC" w14:textId="77777777" w:rsidR="008A65BE" w:rsidRPr="00F97262" w:rsidRDefault="00F97262" w:rsidP="00F97262">
    <w:pPr>
      <w:pStyle w:val="a5"/>
      <w:pBdr>
        <w:top w:val="single" w:sz="4" w:space="1" w:color="auto"/>
        <w:between w:val="single" w:sz="4" w:space="0" w:color="auto"/>
      </w:pBdr>
      <w:spacing w:after="60"/>
      <w:jc w:val="center"/>
      <w:rPr>
        <w:rFonts w:ascii="FrankRuehl" w:hAnsi="FrankRuehl" w:cs="FrankRuehl"/>
        <w:color w:val="000000"/>
      </w:rPr>
    </w:pPr>
    <w:r w:rsidRPr="00F9726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B1F99" w14:textId="77777777" w:rsidR="00F97262" w:rsidRDefault="00F97262" w:rsidP="00F9726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7690A">
      <w:rPr>
        <w:rFonts w:ascii="FrankRuehl" w:hAnsi="FrankRuehl" w:cs="FrankRuehl"/>
        <w:noProof/>
        <w:rtl/>
      </w:rPr>
      <w:t>1</w:t>
    </w:r>
    <w:r>
      <w:rPr>
        <w:rFonts w:ascii="FrankRuehl" w:hAnsi="FrankRuehl" w:cs="FrankRuehl"/>
        <w:rtl/>
      </w:rPr>
      <w:fldChar w:fldCharType="end"/>
    </w:r>
  </w:p>
  <w:p w14:paraId="27480DF2" w14:textId="77777777" w:rsidR="008A65BE" w:rsidRPr="00F97262" w:rsidRDefault="00F97262" w:rsidP="00F97262">
    <w:pPr>
      <w:pStyle w:val="a5"/>
      <w:pBdr>
        <w:top w:val="single" w:sz="4" w:space="1" w:color="auto"/>
        <w:between w:val="single" w:sz="4" w:space="0" w:color="auto"/>
      </w:pBdr>
      <w:spacing w:after="60"/>
      <w:jc w:val="center"/>
      <w:rPr>
        <w:rFonts w:ascii="FrankRuehl" w:hAnsi="FrankRuehl" w:cs="FrankRuehl"/>
        <w:color w:val="000000"/>
      </w:rPr>
    </w:pPr>
    <w:r w:rsidRPr="00F97262">
      <w:rPr>
        <w:rFonts w:ascii="FrankRuehl" w:hAnsi="FrankRuehl" w:cs="FrankRuehl"/>
        <w:color w:val="000000"/>
      </w:rPr>
      <w:pict w14:anchorId="24C089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01BDAD" w14:textId="77777777" w:rsidR="00CC728B" w:rsidRDefault="00CC728B" w:rsidP="00FA36FA">
      <w:r>
        <w:separator/>
      </w:r>
    </w:p>
  </w:footnote>
  <w:footnote w:type="continuationSeparator" w:id="0">
    <w:p w14:paraId="36F49430" w14:textId="77777777" w:rsidR="00CC728B" w:rsidRDefault="00CC728B" w:rsidP="00FA36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C57015" w14:textId="77777777" w:rsidR="00897C70" w:rsidRPr="00F97262" w:rsidRDefault="00F97262" w:rsidP="00F9726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10086-06-18</w:t>
    </w:r>
    <w:r>
      <w:rPr>
        <w:rFonts w:ascii="David" w:hAnsi="David"/>
        <w:color w:val="000000"/>
        <w:sz w:val="22"/>
        <w:szCs w:val="22"/>
        <w:rtl/>
      </w:rPr>
      <w:tab/>
      <w:t xml:space="preserve"> מדינת ישראל נ' מוחמד אבו מוסה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DCDFD" w14:textId="77777777" w:rsidR="00897C70" w:rsidRPr="00F97262" w:rsidRDefault="00F97262" w:rsidP="00F9726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10086-06-18</w:t>
    </w:r>
    <w:r>
      <w:rPr>
        <w:rFonts w:ascii="David" w:hAnsi="David"/>
        <w:color w:val="000000"/>
        <w:sz w:val="22"/>
        <w:szCs w:val="22"/>
        <w:rtl/>
      </w:rPr>
      <w:tab/>
      <w:t xml:space="preserve"> מדינת ישראל נ' מוחמד אבו מוסה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F20B3"/>
    <w:rsid w:val="00837689"/>
    <w:rsid w:val="00897C70"/>
    <w:rsid w:val="008A65BE"/>
    <w:rsid w:val="00C501AB"/>
    <w:rsid w:val="00CC728B"/>
    <w:rsid w:val="00D05C64"/>
    <w:rsid w:val="00D7690A"/>
    <w:rsid w:val="00EF20B3"/>
    <w:rsid w:val="00F97262"/>
    <w:rsid w:val="00FA36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EE61376"/>
  <w15:chartTrackingRefBased/>
  <w15:docId w15:val="{8886C0C2-FE90-4410-9EB1-8C8B76E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F20B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F20B3"/>
    <w:pPr>
      <w:tabs>
        <w:tab w:val="center" w:pos="4153"/>
        <w:tab w:val="right" w:pos="8306"/>
      </w:tabs>
    </w:pPr>
  </w:style>
  <w:style w:type="character" w:customStyle="1" w:styleId="a4">
    <w:name w:val="כותרת עליונה תו"/>
    <w:link w:val="a3"/>
    <w:rsid w:val="00EF20B3"/>
    <w:rPr>
      <w:rFonts w:ascii="Times New Roman" w:eastAsia="Times New Roman" w:hAnsi="Times New Roman" w:cs="David"/>
      <w:sz w:val="24"/>
      <w:szCs w:val="24"/>
    </w:rPr>
  </w:style>
  <w:style w:type="paragraph" w:styleId="a5">
    <w:name w:val="footer"/>
    <w:basedOn w:val="a"/>
    <w:link w:val="a6"/>
    <w:rsid w:val="00EF20B3"/>
    <w:pPr>
      <w:tabs>
        <w:tab w:val="center" w:pos="4153"/>
        <w:tab w:val="right" w:pos="8306"/>
      </w:tabs>
    </w:pPr>
  </w:style>
  <w:style w:type="character" w:customStyle="1" w:styleId="a6">
    <w:name w:val="כותרת תחתונה תו"/>
    <w:link w:val="a5"/>
    <w:rsid w:val="00EF20B3"/>
    <w:rPr>
      <w:rFonts w:ascii="Times New Roman" w:eastAsia="Times New Roman" w:hAnsi="Times New Roman" w:cs="David"/>
      <w:sz w:val="24"/>
      <w:szCs w:val="24"/>
    </w:rPr>
  </w:style>
  <w:style w:type="table" w:styleId="a7">
    <w:name w:val="Table Grid"/>
    <w:basedOn w:val="a1"/>
    <w:rsid w:val="00EF20B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F20B3"/>
  </w:style>
  <w:style w:type="character" w:styleId="Hyperlink">
    <w:name w:val="Hyperlink"/>
    <w:rsid w:val="00EF20B3"/>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13;19.a" TargetMode="External"/><Relationship Id="rId21" Type="http://schemas.openxmlformats.org/officeDocument/2006/relationships/hyperlink" Target="http://www.nevo.co.il/law/71553/20" TargetMode="External"/><Relationship Id="rId42" Type="http://schemas.openxmlformats.org/officeDocument/2006/relationships/hyperlink" Target="http://www.nevo.co.il/law/70301/40d" TargetMode="External"/><Relationship Id="rId47" Type="http://schemas.openxmlformats.org/officeDocument/2006/relationships/hyperlink" Target="http://www.nevo.co.il/law/70301" TargetMode="External"/><Relationship Id="rId63" Type="http://schemas.openxmlformats.org/officeDocument/2006/relationships/hyperlink" Target="http://www.nevo.co.il/case/6712757" TargetMode="External"/><Relationship Id="rId68" Type="http://schemas.openxmlformats.org/officeDocument/2006/relationships/hyperlink" Target="http://www.nevo.co.il/case/25739896" TargetMode="External"/><Relationship Id="rId84" Type="http://schemas.openxmlformats.org/officeDocument/2006/relationships/footer" Target="footer2.xml"/><Relationship Id="rId16" Type="http://schemas.openxmlformats.org/officeDocument/2006/relationships/hyperlink" Target="http://www.nevo.co.il/law/70301/40d.b" TargetMode="External"/><Relationship Id="rId11" Type="http://schemas.openxmlformats.org/officeDocument/2006/relationships/hyperlink" Target="http://www.nevo.co.il/law/4216/13" TargetMode="External"/><Relationship Id="rId32" Type="http://schemas.openxmlformats.org/officeDocument/2006/relationships/hyperlink" Target="http://www.nevo.co.il/law/4216/13;19.a" TargetMode="External"/><Relationship Id="rId37" Type="http://schemas.openxmlformats.org/officeDocument/2006/relationships/hyperlink" Target="http://www.nevo.co.il/case/25294518" TargetMode="External"/><Relationship Id="rId53" Type="http://schemas.openxmlformats.org/officeDocument/2006/relationships/hyperlink" Target="http://www.nevo.co.il/law/71553" TargetMode="External"/><Relationship Id="rId58" Type="http://schemas.openxmlformats.org/officeDocument/2006/relationships/hyperlink" Target="http://www.nevo.co.il/case/5828978" TargetMode="External"/><Relationship Id="rId74" Type="http://schemas.openxmlformats.org/officeDocument/2006/relationships/hyperlink" Target="http://www.nevo.co.il/law/70301/40d.a" TargetMode="External"/><Relationship Id="rId79" Type="http://schemas.openxmlformats.org/officeDocument/2006/relationships/hyperlink" Target="http://www.nevo.co.il/law/4216" TargetMode="External"/><Relationship Id="rId5" Type="http://schemas.openxmlformats.org/officeDocument/2006/relationships/endnotes" Target="endnotes.xml"/><Relationship Id="rId19" Type="http://schemas.openxmlformats.org/officeDocument/2006/relationships/hyperlink" Target="http://www.nevo.co.il/law/71553" TargetMode="External"/><Relationship Id="rId14" Type="http://schemas.openxmlformats.org/officeDocument/2006/relationships/hyperlink" Target="http://www.nevo.co.il/law/70301/40d" TargetMode="External"/><Relationship Id="rId22" Type="http://schemas.openxmlformats.org/officeDocument/2006/relationships/hyperlink" Target="http://www.nevo.co.il/law/71553/25" TargetMode="External"/><Relationship Id="rId27" Type="http://schemas.openxmlformats.org/officeDocument/2006/relationships/hyperlink" Target="http://www.nevo.co.il/law/4216/13;19.a" TargetMode="External"/><Relationship Id="rId30" Type="http://schemas.openxmlformats.org/officeDocument/2006/relationships/hyperlink" Target="http://www.nevo.co.il/law/4216/13;19.a" TargetMode="External"/><Relationship Id="rId35" Type="http://schemas.openxmlformats.org/officeDocument/2006/relationships/hyperlink" Target="http://www.nevo.co.il/case/24975541"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0301/40d.a" TargetMode="External"/><Relationship Id="rId56" Type="http://schemas.openxmlformats.org/officeDocument/2006/relationships/hyperlink" Target="http://www.nevo.co.il/law/70301/40d.b" TargetMode="External"/><Relationship Id="rId64" Type="http://schemas.openxmlformats.org/officeDocument/2006/relationships/hyperlink" Target="http://www.nevo.co.il/law/4216/7.c1.2" TargetMode="External"/><Relationship Id="rId69" Type="http://schemas.openxmlformats.org/officeDocument/2006/relationships/hyperlink" Target="http://www.nevo.co.il/case/23674614" TargetMode="External"/><Relationship Id="rId77" Type="http://schemas.openxmlformats.org/officeDocument/2006/relationships/hyperlink" Target="http://www.nevo.co.il/law/4216" TargetMode="External"/><Relationship Id="rId8" Type="http://schemas.openxmlformats.org/officeDocument/2006/relationships/hyperlink" Target="http://www.nevo.co.il/law/4216/7.a." TargetMode="External"/><Relationship Id="rId51" Type="http://schemas.openxmlformats.org/officeDocument/2006/relationships/hyperlink" Target="http://www.nevo.co.il/law/70301" TargetMode="External"/><Relationship Id="rId72" Type="http://schemas.openxmlformats.org/officeDocument/2006/relationships/hyperlink" Target="http://www.nevo.co.il/case/23762284" TargetMode="External"/><Relationship Id="rId80" Type="http://schemas.openxmlformats.org/officeDocument/2006/relationships/hyperlink" Target="http://www.nevo.co.il/advertisements/nevo-100.doc" TargetMode="External"/><Relationship Id="rId85"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www.nevo.co.il/law/4216/19.a" TargetMode="External"/><Relationship Id="rId17" Type="http://schemas.openxmlformats.org/officeDocument/2006/relationships/hyperlink" Target="http://www.nevo.co.il/law/70301/71.d." TargetMode="External"/><Relationship Id="rId25" Type="http://schemas.openxmlformats.org/officeDocument/2006/relationships/hyperlink" Target="http://www.nevo.co.il/law/4216/7.a.;7.c" TargetMode="External"/><Relationship Id="rId33" Type="http://schemas.openxmlformats.org/officeDocument/2006/relationships/hyperlink" Target="http://www.nevo.co.il/law/4216/13;19.a" TargetMode="External"/><Relationship Id="rId38" Type="http://schemas.openxmlformats.org/officeDocument/2006/relationships/hyperlink" Target="http://www.nevo.co.il/case/22900379" TargetMode="External"/><Relationship Id="rId46" Type="http://schemas.openxmlformats.org/officeDocument/2006/relationships/hyperlink" Target="http://www.nevo.co.il/law/70301/40d" TargetMode="External"/><Relationship Id="rId59" Type="http://schemas.openxmlformats.org/officeDocument/2006/relationships/hyperlink" Target="http://www.nevo.co.il/case/5605610" TargetMode="External"/><Relationship Id="rId67" Type="http://schemas.openxmlformats.org/officeDocument/2006/relationships/hyperlink" Target="http://www.nevo.co.il/case/25975844" TargetMode="External"/><Relationship Id="rId20" Type="http://schemas.openxmlformats.org/officeDocument/2006/relationships/hyperlink" Target="http://www.nevo.co.il/law/71553/18" TargetMode="External"/><Relationship Id="rId41" Type="http://schemas.openxmlformats.org/officeDocument/2006/relationships/hyperlink" Target="http://www.nevo.co.il/case/22536268" TargetMode="External"/><Relationship Id="rId54" Type="http://schemas.openxmlformats.org/officeDocument/2006/relationships/hyperlink" Target="http://www.nevo.co.il/law/70301/40d.b" TargetMode="External"/><Relationship Id="rId62" Type="http://schemas.openxmlformats.org/officeDocument/2006/relationships/hyperlink" Target="http://www.nevo.co.il/case/5578372" TargetMode="External"/><Relationship Id="rId70" Type="http://schemas.openxmlformats.org/officeDocument/2006/relationships/hyperlink" Target="http://www.nevo.co.il/law/70301/40d.b" TargetMode="External"/><Relationship Id="rId75" Type="http://schemas.openxmlformats.org/officeDocument/2006/relationships/hyperlink" Target="http://www.nevo.co.il/law/70301" TargetMode="External"/><Relationship Id="rId83"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5" Type="http://schemas.openxmlformats.org/officeDocument/2006/relationships/hyperlink" Target="http://www.nevo.co.il/law/70301/40d.a" TargetMode="External"/><Relationship Id="rId23" Type="http://schemas.openxmlformats.org/officeDocument/2006/relationships/hyperlink" Target="http://www.nevo.co.il/law/4216/6" TargetMode="External"/><Relationship Id="rId28" Type="http://schemas.openxmlformats.org/officeDocument/2006/relationships/hyperlink" Target="http://www.nevo.co.il/law/4216/13;19.a" TargetMode="External"/><Relationship Id="rId36" Type="http://schemas.openxmlformats.org/officeDocument/2006/relationships/hyperlink" Target="http://www.nevo.co.il/case/26222649" TargetMode="External"/><Relationship Id="rId49" Type="http://schemas.openxmlformats.org/officeDocument/2006/relationships/hyperlink" Target="http://www.nevo.co.il/law/70301/40d" TargetMode="External"/><Relationship Id="rId57" Type="http://schemas.openxmlformats.org/officeDocument/2006/relationships/hyperlink" Target="http://www.nevo.co.il/law/70301" TargetMode="External"/><Relationship Id="rId10" Type="http://schemas.openxmlformats.org/officeDocument/2006/relationships/hyperlink" Target="http://www.nevo.co.il/law/4216/7.c1.2" TargetMode="External"/><Relationship Id="rId31" Type="http://schemas.openxmlformats.org/officeDocument/2006/relationships/hyperlink" Target="http://www.nevo.co.il/law/4216/13;19.a" TargetMode="External"/><Relationship Id="rId44" Type="http://schemas.openxmlformats.org/officeDocument/2006/relationships/hyperlink" Target="http://www.nevo.co.il/law/71553" TargetMode="External"/><Relationship Id="rId52" Type="http://schemas.openxmlformats.org/officeDocument/2006/relationships/hyperlink" Target="http://www.nevo.co.il/law/71553/18;20;25" TargetMode="External"/><Relationship Id="rId60" Type="http://schemas.openxmlformats.org/officeDocument/2006/relationships/hyperlink" Target="http://www.nevo.co.il/case/6245080" TargetMode="External"/><Relationship Id="rId65" Type="http://schemas.openxmlformats.org/officeDocument/2006/relationships/hyperlink" Target="http://www.nevo.co.il/law/4216" TargetMode="External"/><Relationship Id="rId73" Type="http://schemas.openxmlformats.org/officeDocument/2006/relationships/hyperlink" Target="http://www.nevo.co.il/case/21497007" TargetMode="External"/><Relationship Id="rId78" Type="http://schemas.openxmlformats.org/officeDocument/2006/relationships/hyperlink" Target="http://www.nevo.co.il/law/4216" TargetMode="External"/><Relationship Id="rId81" Type="http://schemas.openxmlformats.org/officeDocument/2006/relationships/header" Target="header1.xml"/><Relationship Id="rId86"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4216/7.c" TargetMode="External"/><Relationship Id="rId13" Type="http://schemas.openxmlformats.org/officeDocument/2006/relationships/hyperlink" Target="http://www.nevo.co.il/law/70301" TargetMode="External"/><Relationship Id="rId18" Type="http://schemas.openxmlformats.org/officeDocument/2006/relationships/hyperlink" Target="http://www.nevo.co.il/law/70301/86.a" TargetMode="External"/><Relationship Id="rId39" Type="http://schemas.openxmlformats.org/officeDocument/2006/relationships/hyperlink" Target="http://www.nevo.co.il/case/24973744" TargetMode="External"/><Relationship Id="rId34" Type="http://schemas.openxmlformats.org/officeDocument/2006/relationships/hyperlink" Target="http://www.nevo.co.il/law/4216/13;19.a" TargetMode="External"/><Relationship Id="rId50" Type="http://schemas.openxmlformats.org/officeDocument/2006/relationships/hyperlink" Target="http://www.nevo.co.il/law/70301/71.d.;86.a" TargetMode="External"/><Relationship Id="rId55" Type="http://schemas.openxmlformats.org/officeDocument/2006/relationships/hyperlink" Target="http://www.nevo.co.il/case/23785604" TargetMode="External"/><Relationship Id="rId76" Type="http://schemas.openxmlformats.org/officeDocument/2006/relationships/hyperlink" Target="http://www.nevo.co.il/law/70301" TargetMode="External"/><Relationship Id="rId7" Type="http://schemas.openxmlformats.org/officeDocument/2006/relationships/hyperlink" Target="http://www.nevo.co.il/law/4216/6" TargetMode="External"/><Relationship Id="rId71" Type="http://schemas.openxmlformats.org/officeDocument/2006/relationships/hyperlink" Target="http://www.nevo.co.il/law/70301" TargetMode="External"/><Relationship Id="rId2" Type="http://schemas.openxmlformats.org/officeDocument/2006/relationships/settings" Target="settings.xml"/><Relationship Id="rId29" Type="http://schemas.openxmlformats.org/officeDocument/2006/relationships/hyperlink" Target="http://www.nevo.co.il/law/4216/13;19.a" TargetMode="External"/><Relationship Id="rId24" Type="http://schemas.openxmlformats.org/officeDocument/2006/relationships/hyperlink" Target="http://www.nevo.co.il/law/4216" TargetMode="External"/><Relationship Id="rId40" Type="http://schemas.openxmlformats.org/officeDocument/2006/relationships/hyperlink" Target="http://www.nevo.co.il/case/21477472" TargetMode="External"/><Relationship Id="rId45" Type="http://schemas.openxmlformats.org/officeDocument/2006/relationships/hyperlink" Target="http://www.nevo.co.il/case/22938500" TargetMode="External"/><Relationship Id="rId66" Type="http://schemas.openxmlformats.org/officeDocument/2006/relationships/hyperlink" Target="http://www.nevo.co.il/law/4216" TargetMode="External"/><Relationship Id="rId61" Type="http://schemas.openxmlformats.org/officeDocument/2006/relationships/hyperlink" Target="http://www.nevo.co.il/case/5606303" TargetMode="External"/><Relationship Id="rId8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4613</Words>
  <Characters>23069</Characters>
  <Application>Microsoft Office Word</Application>
  <DocSecurity>0</DocSecurity>
  <Lines>192</Lines>
  <Paragraphs>55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27627</CharactersWithSpaces>
  <SharedDoc>false</SharedDoc>
  <HLinks>
    <vt:vector size="450" baseType="variant">
      <vt:variant>
        <vt:i4>393283</vt:i4>
      </vt:variant>
      <vt:variant>
        <vt:i4>222</vt:i4>
      </vt:variant>
      <vt:variant>
        <vt:i4>0</vt:i4>
      </vt:variant>
      <vt:variant>
        <vt:i4>5</vt:i4>
      </vt:variant>
      <vt:variant>
        <vt:lpwstr>http://www.nevo.co.il/advertisements/nevo-100.doc</vt:lpwstr>
      </vt:variant>
      <vt:variant>
        <vt:lpwstr/>
      </vt:variant>
      <vt:variant>
        <vt:i4>8257637</vt:i4>
      </vt:variant>
      <vt:variant>
        <vt:i4>219</vt:i4>
      </vt:variant>
      <vt:variant>
        <vt:i4>0</vt:i4>
      </vt:variant>
      <vt:variant>
        <vt:i4>5</vt:i4>
      </vt:variant>
      <vt:variant>
        <vt:lpwstr>http://www.nevo.co.il/law/4216</vt:lpwstr>
      </vt:variant>
      <vt:variant>
        <vt:lpwstr/>
      </vt:variant>
      <vt:variant>
        <vt:i4>8257637</vt:i4>
      </vt:variant>
      <vt:variant>
        <vt:i4>216</vt:i4>
      </vt:variant>
      <vt:variant>
        <vt:i4>0</vt:i4>
      </vt:variant>
      <vt:variant>
        <vt:i4>5</vt:i4>
      </vt:variant>
      <vt:variant>
        <vt:lpwstr>http://www.nevo.co.il/law/4216</vt:lpwstr>
      </vt:variant>
      <vt:variant>
        <vt:lpwstr/>
      </vt:variant>
      <vt:variant>
        <vt:i4>8257637</vt:i4>
      </vt:variant>
      <vt:variant>
        <vt:i4>213</vt:i4>
      </vt:variant>
      <vt:variant>
        <vt:i4>0</vt:i4>
      </vt:variant>
      <vt:variant>
        <vt:i4>5</vt:i4>
      </vt:variant>
      <vt:variant>
        <vt:lpwstr>http://www.nevo.co.il/law/4216</vt:lpwstr>
      </vt:variant>
      <vt:variant>
        <vt:lpwstr/>
      </vt:variant>
      <vt:variant>
        <vt:i4>7995492</vt:i4>
      </vt:variant>
      <vt:variant>
        <vt:i4>210</vt:i4>
      </vt:variant>
      <vt:variant>
        <vt:i4>0</vt:i4>
      </vt:variant>
      <vt:variant>
        <vt:i4>5</vt:i4>
      </vt:variant>
      <vt:variant>
        <vt:lpwstr>http://www.nevo.co.il/law/70301</vt:lpwstr>
      </vt:variant>
      <vt:variant>
        <vt:lpwstr/>
      </vt:variant>
      <vt:variant>
        <vt:i4>7995492</vt:i4>
      </vt:variant>
      <vt:variant>
        <vt:i4>207</vt:i4>
      </vt:variant>
      <vt:variant>
        <vt:i4>0</vt:i4>
      </vt:variant>
      <vt:variant>
        <vt:i4>5</vt:i4>
      </vt:variant>
      <vt:variant>
        <vt:lpwstr>http://www.nevo.co.il/law/70301</vt:lpwstr>
      </vt:variant>
      <vt:variant>
        <vt:lpwstr/>
      </vt:variant>
      <vt:variant>
        <vt:i4>4915205</vt:i4>
      </vt:variant>
      <vt:variant>
        <vt:i4>204</vt:i4>
      </vt:variant>
      <vt:variant>
        <vt:i4>0</vt:i4>
      </vt:variant>
      <vt:variant>
        <vt:i4>5</vt:i4>
      </vt:variant>
      <vt:variant>
        <vt:lpwstr>http://www.nevo.co.il/law/70301/40d.a</vt:lpwstr>
      </vt:variant>
      <vt:variant>
        <vt:lpwstr/>
      </vt:variant>
      <vt:variant>
        <vt:i4>3211388</vt:i4>
      </vt:variant>
      <vt:variant>
        <vt:i4>201</vt:i4>
      </vt:variant>
      <vt:variant>
        <vt:i4>0</vt:i4>
      </vt:variant>
      <vt:variant>
        <vt:i4>5</vt:i4>
      </vt:variant>
      <vt:variant>
        <vt:lpwstr>http://www.nevo.co.il/case/21497007</vt:lpwstr>
      </vt:variant>
      <vt:variant>
        <vt:lpwstr/>
      </vt:variant>
      <vt:variant>
        <vt:i4>4128883</vt:i4>
      </vt:variant>
      <vt:variant>
        <vt:i4>198</vt:i4>
      </vt:variant>
      <vt:variant>
        <vt:i4>0</vt:i4>
      </vt:variant>
      <vt:variant>
        <vt:i4>5</vt:i4>
      </vt:variant>
      <vt:variant>
        <vt:lpwstr>http://www.nevo.co.il/case/23762284</vt:lpwstr>
      </vt:variant>
      <vt:variant>
        <vt:lpwstr/>
      </vt:variant>
      <vt:variant>
        <vt:i4>7995492</vt:i4>
      </vt:variant>
      <vt:variant>
        <vt:i4>195</vt:i4>
      </vt:variant>
      <vt:variant>
        <vt:i4>0</vt:i4>
      </vt:variant>
      <vt:variant>
        <vt:i4>5</vt:i4>
      </vt:variant>
      <vt:variant>
        <vt:lpwstr>http://www.nevo.co.il/law/70301</vt:lpwstr>
      </vt:variant>
      <vt:variant>
        <vt:lpwstr/>
      </vt:variant>
      <vt:variant>
        <vt:i4>4915205</vt:i4>
      </vt:variant>
      <vt:variant>
        <vt:i4>192</vt:i4>
      </vt:variant>
      <vt:variant>
        <vt:i4>0</vt:i4>
      </vt:variant>
      <vt:variant>
        <vt:i4>5</vt:i4>
      </vt:variant>
      <vt:variant>
        <vt:lpwstr>http://www.nevo.co.il/law/70301/40d.b</vt:lpwstr>
      </vt:variant>
      <vt:variant>
        <vt:lpwstr/>
      </vt:variant>
      <vt:variant>
        <vt:i4>3211382</vt:i4>
      </vt:variant>
      <vt:variant>
        <vt:i4>189</vt:i4>
      </vt:variant>
      <vt:variant>
        <vt:i4>0</vt:i4>
      </vt:variant>
      <vt:variant>
        <vt:i4>5</vt:i4>
      </vt:variant>
      <vt:variant>
        <vt:lpwstr>http://www.nevo.co.il/case/23674614</vt:lpwstr>
      </vt:variant>
      <vt:variant>
        <vt:lpwstr/>
      </vt:variant>
      <vt:variant>
        <vt:i4>3473530</vt:i4>
      </vt:variant>
      <vt:variant>
        <vt:i4>186</vt:i4>
      </vt:variant>
      <vt:variant>
        <vt:i4>0</vt:i4>
      </vt:variant>
      <vt:variant>
        <vt:i4>5</vt:i4>
      </vt:variant>
      <vt:variant>
        <vt:lpwstr>http://www.nevo.co.il/case/25739896</vt:lpwstr>
      </vt:variant>
      <vt:variant>
        <vt:lpwstr/>
      </vt:variant>
      <vt:variant>
        <vt:i4>3801214</vt:i4>
      </vt:variant>
      <vt:variant>
        <vt:i4>183</vt:i4>
      </vt:variant>
      <vt:variant>
        <vt:i4>0</vt:i4>
      </vt:variant>
      <vt:variant>
        <vt:i4>5</vt:i4>
      </vt:variant>
      <vt:variant>
        <vt:lpwstr>http://www.nevo.co.il/case/25975844</vt:lpwstr>
      </vt:variant>
      <vt:variant>
        <vt:lpwstr/>
      </vt:variant>
      <vt:variant>
        <vt:i4>8257637</vt:i4>
      </vt:variant>
      <vt:variant>
        <vt:i4>180</vt:i4>
      </vt:variant>
      <vt:variant>
        <vt:i4>0</vt:i4>
      </vt:variant>
      <vt:variant>
        <vt:i4>5</vt:i4>
      </vt:variant>
      <vt:variant>
        <vt:lpwstr>http://www.nevo.co.il/law/4216</vt:lpwstr>
      </vt:variant>
      <vt:variant>
        <vt:lpwstr/>
      </vt:variant>
      <vt:variant>
        <vt:i4>8257637</vt:i4>
      </vt:variant>
      <vt:variant>
        <vt:i4>177</vt:i4>
      </vt:variant>
      <vt:variant>
        <vt:i4>0</vt:i4>
      </vt:variant>
      <vt:variant>
        <vt:i4>5</vt:i4>
      </vt:variant>
      <vt:variant>
        <vt:lpwstr>http://www.nevo.co.il/law/4216</vt:lpwstr>
      </vt:variant>
      <vt:variant>
        <vt:lpwstr/>
      </vt:variant>
      <vt:variant>
        <vt:i4>262229</vt:i4>
      </vt:variant>
      <vt:variant>
        <vt:i4>174</vt:i4>
      </vt:variant>
      <vt:variant>
        <vt:i4>0</vt:i4>
      </vt:variant>
      <vt:variant>
        <vt:i4>5</vt:i4>
      </vt:variant>
      <vt:variant>
        <vt:lpwstr>http://www.nevo.co.il/law/4216/7.c1.2</vt:lpwstr>
      </vt:variant>
      <vt:variant>
        <vt:lpwstr/>
      </vt:variant>
      <vt:variant>
        <vt:i4>3604596</vt:i4>
      </vt:variant>
      <vt:variant>
        <vt:i4>171</vt:i4>
      </vt:variant>
      <vt:variant>
        <vt:i4>0</vt:i4>
      </vt:variant>
      <vt:variant>
        <vt:i4>5</vt:i4>
      </vt:variant>
      <vt:variant>
        <vt:lpwstr>http://www.nevo.co.il/case/6712757</vt:lpwstr>
      </vt:variant>
      <vt:variant>
        <vt:lpwstr/>
      </vt:variant>
      <vt:variant>
        <vt:i4>3342462</vt:i4>
      </vt:variant>
      <vt:variant>
        <vt:i4>168</vt:i4>
      </vt:variant>
      <vt:variant>
        <vt:i4>0</vt:i4>
      </vt:variant>
      <vt:variant>
        <vt:i4>5</vt:i4>
      </vt:variant>
      <vt:variant>
        <vt:lpwstr>http://www.nevo.co.il/case/5578372</vt:lpwstr>
      </vt:variant>
      <vt:variant>
        <vt:lpwstr/>
      </vt:variant>
      <vt:variant>
        <vt:i4>3473524</vt:i4>
      </vt:variant>
      <vt:variant>
        <vt:i4>165</vt:i4>
      </vt:variant>
      <vt:variant>
        <vt:i4>0</vt:i4>
      </vt:variant>
      <vt:variant>
        <vt:i4>5</vt:i4>
      </vt:variant>
      <vt:variant>
        <vt:lpwstr>http://www.nevo.co.il/case/5606303</vt:lpwstr>
      </vt:variant>
      <vt:variant>
        <vt:lpwstr/>
      </vt:variant>
      <vt:variant>
        <vt:i4>3276923</vt:i4>
      </vt:variant>
      <vt:variant>
        <vt:i4>162</vt:i4>
      </vt:variant>
      <vt:variant>
        <vt:i4>0</vt:i4>
      </vt:variant>
      <vt:variant>
        <vt:i4>5</vt:i4>
      </vt:variant>
      <vt:variant>
        <vt:lpwstr>http://www.nevo.co.il/case/6245080</vt:lpwstr>
      </vt:variant>
      <vt:variant>
        <vt:lpwstr/>
      </vt:variant>
      <vt:variant>
        <vt:i4>3342454</vt:i4>
      </vt:variant>
      <vt:variant>
        <vt:i4>159</vt:i4>
      </vt:variant>
      <vt:variant>
        <vt:i4>0</vt:i4>
      </vt:variant>
      <vt:variant>
        <vt:i4>5</vt:i4>
      </vt:variant>
      <vt:variant>
        <vt:lpwstr>http://www.nevo.co.il/case/5605610</vt:lpwstr>
      </vt:variant>
      <vt:variant>
        <vt:lpwstr/>
      </vt:variant>
      <vt:variant>
        <vt:i4>3539059</vt:i4>
      </vt:variant>
      <vt:variant>
        <vt:i4>156</vt:i4>
      </vt:variant>
      <vt:variant>
        <vt:i4>0</vt:i4>
      </vt:variant>
      <vt:variant>
        <vt:i4>5</vt:i4>
      </vt:variant>
      <vt:variant>
        <vt:lpwstr>http://www.nevo.co.il/case/5828978</vt:lpwstr>
      </vt:variant>
      <vt:variant>
        <vt:lpwstr/>
      </vt:variant>
      <vt:variant>
        <vt:i4>7995492</vt:i4>
      </vt:variant>
      <vt:variant>
        <vt:i4>153</vt:i4>
      </vt:variant>
      <vt:variant>
        <vt:i4>0</vt:i4>
      </vt:variant>
      <vt:variant>
        <vt:i4>5</vt:i4>
      </vt:variant>
      <vt:variant>
        <vt:lpwstr>http://www.nevo.co.il/law/70301</vt:lpwstr>
      </vt:variant>
      <vt:variant>
        <vt:lpwstr/>
      </vt:variant>
      <vt:variant>
        <vt:i4>4915205</vt:i4>
      </vt:variant>
      <vt:variant>
        <vt:i4>150</vt:i4>
      </vt:variant>
      <vt:variant>
        <vt:i4>0</vt:i4>
      </vt:variant>
      <vt:variant>
        <vt:i4>5</vt:i4>
      </vt:variant>
      <vt:variant>
        <vt:lpwstr>http://www.nevo.co.il/law/70301/40d.b</vt:lpwstr>
      </vt:variant>
      <vt:variant>
        <vt:lpwstr/>
      </vt:variant>
      <vt:variant>
        <vt:i4>3145849</vt:i4>
      </vt:variant>
      <vt:variant>
        <vt:i4>147</vt:i4>
      </vt:variant>
      <vt:variant>
        <vt:i4>0</vt:i4>
      </vt:variant>
      <vt:variant>
        <vt:i4>5</vt:i4>
      </vt:variant>
      <vt:variant>
        <vt:lpwstr>http://www.nevo.co.il/case/23785604</vt:lpwstr>
      </vt:variant>
      <vt:variant>
        <vt:lpwstr/>
      </vt:variant>
      <vt:variant>
        <vt:i4>4915205</vt:i4>
      </vt:variant>
      <vt:variant>
        <vt:i4>144</vt:i4>
      </vt:variant>
      <vt:variant>
        <vt:i4>0</vt:i4>
      </vt:variant>
      <vt:variant>
        <vt:i4>5</vt:i4>
      </vt:variant>
      <vt:variant>
        <vt:lpwstr>http://www.nevo.co.il/law/70301/40d.b</vt:lpwstr>
      </vt:variant>
      <vt:variant>
        <vt:lpwstr/>
      </vt:variant>
      <vt:variant>
        <vt:i4>8257634</vt:i4>
      </vt:variant>
      <vt:variant>
        <vt:i4>141</vt:i4>
      </vt:variant>
      <vt:variant>
        <vt:i4>0</vt:i4>
      </vt:variant>
      <vt:variant>
        <vt:i4>5</vt:i4>
      </vt:variant>
      <vt:variant>
        <vt:lpwstr>http://www.nevo.co.il/law/71553</vt:lpwstr>
      </vt:variant>
      <vt:variant>
        <vt:lpwstr/>
      </vt:variant>
      <vt:variant>
        <vt:i4>5570649</vt:i4>
      </vt:variant>
      <vt:variant>
        <vt:i4>138</vt:i4>
      </vt:variant>
      <vt:variant>
        <vt:i4>0</vt:i4>
      </vt:variant>
      <vt:variant>
        <vt:i4>5</vt:i4>
      </vt:variant>
      <vt:variant>
        <vt:lpwstr>http://www.nevo.co.il/law/71553/18;20;25</vt:lpwstr>
      </vt:variant>
      <vt:variant>
        <vt:lpwstr/>
      </vt:variant>
      <vt:variant>
        <vt:i4>7995492</vt:i4>
      </vt:variant>
      <vt:variant>
        <vt:i4>135</vt:i4>
      </vt:variant>
      <vt:variant>
        <vt:i4>0</vt:i4>
      </vt:variant>
      <vt:variant>
        <vt:i4>5</vt:i4>
      </vt:variant>
      <vt:variant>
        <vt:lpwstr>http://www.nevo.co.il/law/70301</vt:lpwstr>
      </vt:variant>
      <vt:variant>
        <vt:lpwstr/>
      </vt:variant>
      <vt:variant>
        <vt:i4>7078004</vt:i4>
      </vt:variant>
      <vt:variant>
        <vt:i4>132</vt:i4>
      </vt:variant>
      <vt:variant>
        <vt:i4>0</vt:i4>
      </vt:variant>
      <vt:variant>
        <vt:i4>5</vt:i4>
      </vt:variant>
      <vt:variant>
        <vt:lpwstr>http://www.nevo.co.il/law/70301/71.d.;86.a</vt:lpwstr>
      </vt:variant>
      <vt:variant>
        <vt:lpwstr/>
      </vt:variant>
      <vt:variant>
        <vt:i4>6619233</vt:i4>
      </vt:variant>
      <vt:variant>
        <vt:i4>129</vt:i4>
      </vt:variant>
      <vt:variant>
        <vt:i4>0</vt:i4>
      </vt:variant>
      <vt:variant>
        <vt:i4>5</vt:i4>
      </vt:variant>
      <vt:variant>
        <vt:lpwstr>http://www.nevo.co.il/law/70301/40d</vt:lpwstr>
      </vt:variant>
      <vt:variant>
        <vt:lpwstr/>
      </vt:variant>
      <vt:variant>
        <vt:i4>4915205</vt:i4>
      </vt:variant>
      <vt:variant>
        <vt:i4>126</vt:i4>
      </vt:variant>
      <vt:variant>
        <vt:i4>0</vt:i4>
      </vt:variant>
      <vt:variant>
        <vt:i4>5</vt:i4>
      </vt:variant>
      <vt:variant>
        <vt:lpwstr>http://www.nevo.co.il/law/70301/40d.a</vt:lpwstr>
      </vt:variant>
      <vt:variant>
        <vt:lpwstr/>
      </vt:variant>
      <vt:variant>
        <vt:i4>7995492</vt:i4>
      </vt:variant>
      <vt:variant>
        <vt:i4>123</vt:i4>
      </vt:variant>
      <vt:variant>
        <vt:i4>0</vt:i4>
      </vt:variant>
      <vt:variant>
        <vt:i4>5</vt:i4>
      </vt:variant>
      <vt:variant>
        <vt:lpwstr>http://www.nevo.co.il/law/70301</vt:lpwstr>
      </vt:variant>
      <vt:variant>
        <vt:lpwstr/>
      </vt:variant>
      <vt:variant>
        <vt:i4>6619233</vt:i4>
      </vt:variant>
      <vt:variant>
        <vt:i4>120</vt:i4>
      </vt:variant>
      <vt:variant>
        <vt:i4>0</vt:i4>
      </vt:variant>
      <vt:variant>
        <vt:i4>5</vt:i4>
      </vt:variant>
      <vt:variant>
        <vt:lpwstr>http://www.nevo.co.il/law/70301/40d</vt:lpwstr>
      </vt:variant>
      <vt:variant>
        <vt:lpwstr/>
      </vt:variant>
      <vt:variant>
        <vt:i4>3342448</vt:i4>
      </vt:variant>
      <vt:variant>
        <vt:i4>117</vt:i4>
      </vt:variant>
      <vt:variant>
        <vt:i4>0</vt:i4>
      </vt:variant>
      <vt:variant>
        <vt:i4>5</vt:i4>
      </vt:variant>
      <vt:variant>
        <vt:lpwstr>http://www.nevo.co.il/case/22938500</vt:lpwstr>
      </vt:variant>
      <vt:variant>
        <vt:lpwstr/>
      </vt:variant>
      <vt:variant>
        <vt:i4>8257634</vt:i4>
      </vt:variant>
      <vt:variant>
        <vt:i4>114</vt:i4>
      </vt:variant>
      <vt:variant>
        <vt:i4>0</vt:i4>
      </vt:variant>
      <vt:variant>
        <vt:i4>5</vt:i4>
      </vt:variant>
      <vt:variant>
        <vt:lpwstr>http://www.nevo.co.il/law/71553</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6619233</vt:i4>
      </vt:variant>
      <vt:variant>
        <vt:i4>108</vt:i4>
      </vt:variant>
      <vt:variant>
        <vt:i4>0</vt:i4>
      </vt:variant>
      <vt:variant>
        <vt:i4>5</vt:i4>
      </vt:variant>
      <vt:variant>
        <vt:lpwstr>http://www.nevo.co.il/law/70301/40d</vt:lpwstr>
      </vt:variant>
      <vt:variant>
        <vt:lpwstr/>
      </vt:variant>
      <vt:variant>
        <vt:i4>3604599</vt:i4>
      </vt:variant>
      <vt:variant>
        <vt:i4>105</vt:i4>
      </vt:variant>
      <vt:variant>
        <vt:i4>0</vt:i4>
      </vt:variant>
      <vt:variant>
        <vt:i4>5</vt:i4>
      </vt:variant>
      <vt:variant>
        <vt:lpwstr>http://www.nevo.co.il/case/22536268</vt:lpwstr>
      </vt:variant>
      <vt:variant>
        <vt:lpwstr/>
      </vt:variant>
      <vt:variant>
        <vt:i4>3539062</vt:i4>
      </vt:variant>
      <vt:variant>
        <vt:i4>102</vt:i4>
      </vt:variant>
      <vt:variant>
        <vt:i4>0</vt:i4>
      </vt:variant>
      <vt:variant>
        <vt:i4>5</vt:i4>
      </vt:variant>
      <vt:variant>
        <vt:lpwstr>http://www.nevo.co.il/case/21477472</vt:lpwstr>
      </vt:variant>
      <vt:variant>
        <vt:lpwstr/>
      </vt:variant>
      <vt:variant>
        <vt:i4>3932272</vt:i4>
      </vt:variant>
      <vt:variant>
        <vt:i4>99</vt:i4>
      </vt:variant>
      <vt:variant>
        <vt:i4>0</vt:i4>
      </vt:variant>
      <vt:variant>
        <vt:i4>5</vt:i4>
      </vt:variant>
      <vt:variant>
        <vt:lpwstr>http://www.nevo.co.il/case/24973744</vt:lpwstr>
      </vt:variant>
      <vt:variant>
        <vt:lpwstr/>
      </vt:variant>
      <vt:variant>
        <vt:i4>3932277</vt:i4>
      </vt:variant>
      <vt:variant>
        <vt:i4>96</vt:i4>
      </vt:variant>
      <vt:variant>
        <vt:i4>0</vt:i4>
      </vt:variant>
      <vt:variant>
        <vt:i4>5</vt:i4>
      </vt:variant>
      <vt:variant>
        <vt:lpwstr>http://www.nevo.co.il/case/22900379</vt:lpwstr>
      </vt:variant>
      <vt:variant>
        <vt:lpwstr/>
      </vt:variant>
      <vt:variant>
        <vt:i4>3473533</vt:i4>
      </vt:variant>
      <vt:variant>
        <vt:i4>93</vt:i4>
      </vt:variant>
      <vt:variant>
        <vt:i4>0</vt:i4>
      </vt:variant>
      <vt:variant>
        <vt:i4>5</vt:i4>
      </vt:variant>
      <vt:variant>
        <vt:lpwstr>http://www.nevo.co.il/case/25294518</vt:lpwstr>
      </vt:variant>
      <vt:variant>
        <vt:lpwstr/>
      </vt:variant>
      <vt:variant>
        <vt:i4>3539062</vt:i4>
      </vt:variant>
      <vt:variant>
        <vt:i4>90</vt:i4>
      </vt:variant>
      <vt:variant>
        <vt:i4>0</vt:i4>
      </vt:variant>
      <vt:variant>
        <vt:i4>5</vt:i4>
      </vt:variant>
      <vt:variant>
        <vt:lpwstr>http://www.nevo.co.il/case/26222649</vt:lpwstr>
      </vt:variant>
      <vt:variant>
        <vt:lpwstr/>
      </vt:variant>
      <vt:variant>
        <vt:i4>3801202</vt:i4>
      </vt:variant>
      <vt:variant>
        <vt:i4>87</vt:i4>
      </vt:variant>
      <vt:variant>
        <vt:i4>0</vt:i4>
      </vt:variant>
      <vt:variant>
        <vt:i4>5</vt:i4>
      </vt:variant>
      <vt:variant>
        <vt:lpwstr>http://www.nevo.co.il/case/24975541</vt:lpwstr>
      </vt:variant>
      <vt:variant>
        <vt:lpwstr/>
      </vt:variant>
      <vt:variant>
        <vt:i4>2883686</vt:i4>
      </vt:variant>
      <vt:variant>
        <vt:i4>84</vt:i4>
      </vt:variant>
      <vt:variant>
        <vt:i4>0</vt:i4>
      </vt:variant>
      <vt:variant>
        <vt:i4>5</vt:i4>
      </vt:variant>
      <vt:variant>
        <vt:lpwstr>http://www.nevo.co.il/law/4216/13;19.a</vt:lpwstr>
      </vt:variant>
      <vt:variant>
        <vt:lpwstr/>
      </vt:variant>
      <vt:variant>
        <vt:i4>2883686</vt:i4>
      </vt:variant>
      <vt:variant>
        <vt:i4>81</vt:i4>
      </vt:variant>
      <vt:variant>
        <vt:i4>0</vt:i4>
      </vt:variant>
      <vt:variant>
        <vt:i4>5</vt:i4>
      </vt:variant>
      <vt:variant>
        <vt:lpwstr>http://www.nevo.co.il/law/4216/13;19.a</vt:lpwstr>
      </vt:variant>
      <vt:variant>
        <vt:lpwstr/>
      </vt:variant>
      <vt:variant>
        <vt:i4>2883686</vt:i4>
      </vt:variant>
      <vt:variant>
        <vt:i4>78</vt:i4>
      </vt:variant>
      <vt:variant>
        <vt:i4>0</vt:i4>
      </vt:variant>
      <vt:variant>
        <vt:i4>5</vt:i4>
      </vt:variant>
      <vt:variant>
        <vt:lpwstr>http://www.nevo.co.il/law/4216/13;19.a</vt:lpwstr>
      </vt:variant>
      <vt:variant>
        <vt:lpwstr/>
      </vt:variant>
      <vt:variant>
        <vt:i4>2883686</vt:i4>
      </vt:variant>
      <vt:variant>
        <vt:i4>75</vt:i4>
      </vt:variant>
      <vt:variant>
        <vt:i4>0</vt:i4>
      </vt:variant>
      <vt:variant>
        <vt:i4>5</vt:i4>
      </vt:variant>
      <vt:variant>
        <vt:lpwstr>http://www.nevo.co.il/law/4216/13;19.a</vt:lpwstr>
      </vt:variant>
      <vt:variant>
        <vt:lpwstr/>
      </vt:variant>
      <vt:variant>
        <vt:i4>2883686</vt:i4>
      </vt:variant>
      <vt:variant>
        <vt:i4>72</vt:i4>
      </vt:variant>
      <vt:variant>
        <vt:i4>0</vt:i4>
      </vt:variant>
      <vt:variant>
        <vt:i4>5</vt:i4>
      </vt:variant>
      <vt:variant>
        <vt:lpwstr>http://www.nevo.co.il/law/4216/13;19.a</vt:lpwstr>
      </vt:variant>
      <vt:variant>
        <vt:lpwstr/>
      </vt:variant>
      <vt:variant>
        <vt:i4>2883686</vt:i4>
      </vt:variant>
      <vt:variant>
        <vt:i4>69</vt:i4>
      </vt:variant>
      <vt:variant>
        <vt:i4>0</vt:i4>
      </vt:variant>
      <vt:variant>
        <vt:i4>5</vt:i4>
      </vt:variant>
      <vt:variant>
        <vt:lpwstr>http://www.nevo.co.il/law/4216/13;19.a</vt:lpwstr>
      </vt:variant>
      <vt:variant>
        <vt:lpwstr/>
      </vt:variant>
      <vt:variant>
        <vt:i4>2883686</vt:i4>
      </vt:variant>
      <vt:variant>
        <vt:i4>66</vt:i4>
      </vt:variant>
      <vt:variant>
        <vt:i4>0</vt:i4>
      </vt:variant>
      <vt:variant>
        <vt:i4>5</vt:i4>
      </vt:variant>
      <vt:variant>
        <vt:lpwstr>http://www.nevo.co.il/law/4216/13;19.a</vt:lpwstr>
      </vt:variant>
      <vt:variant>
        <vt:lpwstr/>
      </vt:variant>
      <vt:variant>
        <vt:i4>2883686</vt:i4>
      </vt:variant>
      <vt:variant>
        <vt:i4>63</vt:i4>
      </vt:variant>
      <vt:variant>
        <vt:i4>0</vt:i4>
      </vt:variant>
      <vt:variant>
        <vt:i4>5</vt:i4>
      </vt:variant>
      <vt:variant>
        <vt:lpwstr>http://www.nevo.co.il/law/4216/13;19.a</vt:lpwstr>
      </vt:variant>
      <vt:variant>
        <vt:lpwstr/>
      </vt:variant>
      <vt:variant>
        <vt:i4>2883686</vt:i4>
      </vt:variant>
      <vt:variant>
        <vt:i4>60</vt:i4>
      </vt:variant>
      <vt:variant>
        <vt:i4>0</vt:i4>
      </vt:variant>
      <vt:variant>
        <vt:i4>5</vt:i4>
      </vt:variant>
      <vt:variant>
        <vt:lpwstr>http://www.nevo.co.il/law/4216/13;19.a</vt:lpwstr>
      </vt:variant>
      <vt:variant>
        <vt:lpwstr/>
      </vt:variant>
      <vt:variant>
        <vt:i4>3997821</vt:i4>
      </vt:variant>
      <vt:variant>
        <vt:i4>57</vt:i4>
      </vt:variant>
      <vt:variant>
        <vt:i4>0</vt:i4>
      </vt:variant>
      <vt:variant>
        <vt:i4>5</vt:i4>
      </vt:variant>
      <vt:variant>
        <vt:lpwstr>http://www.nevo.co.il/law/4216/7.a.;7.c</vt:lpwstr>
      </vt:variant>
      <vt:variant>
        <vt:lpwstr/>
      </vt:variant>
      <vt:variant>
        <vt:i4>8257637</vt:i4>
      </vt:variant>
      <vt:variant>
        <vt:i4>54</vt:i4>
      </vt:variant>
      <vt:variant>
        <vt:i4>0</vt:i4>
      </vt:variant>
      <vt:variant>
        <vt:i4>5</vt:i4>
      </vt:variant>
      <vt:variant>
        <vt:lpwstr>http://www.nevo.co.il/law/4216</vt:lpwstr>
      </vt:variant>
      <vt:variant>
        <vt:lpwstr/>
      </vt:variant>
      <vt:variant>
        <vt:i4>4718666</vt:i4>
      </vt:variant>
      <vt:variant>
        <vt:i4>51</vt:i4>
      </vt:variant>
      <vt:variant>
        <vt:i4>0</vt:i4>
      </vt:variant>
      <vt:variant>
        <vt:i4>5</vt:i4>
      </vt:variant>
      <vt:variant>
        <vt:lpwstr>http://www.nevo.co.il/law/4216/6</vt:lpwstr>
      </vt:variant>
      <vt:variant>
        <vt:lpwstr/>
      </vt:variant>
      <vt:variant>
        <vt:i4>6553699</vt:i4>
      </vt:variant>
      <vt:variant>
        <vt:i4>48</vt:i4>
      </vt:variant>
      <vt:variant>
        <vt:i4>0</vt:i4>
      </vt:variant>
      <vt:variant>
        <vt:i4>5</vt:i4>
      </vt:variant>
      <vt:variant>
        <vt:lpwstr>http://www.nevo.co.il/law/71553/25</vt:lpwstr>
      </vt:variant>
      <vt:variant>
        <vt:lpwstr/>
      </vt:variant>
      <vt:variant>
        <vt:i4>6357091</vt:i4>
      </vt:variant>
      <vt:variant>
        <vt:i4>45</vt:i4>
      </vt:variant>
      <vt:variant>
        <vt:i4>0</vt:i4>
      </vt:variant>
      <vt:variant>
        <vt:i4>5</vt:i4>
      </vt:variant>
      <vt:variant>
        <vt:lpwstr>http://www.nevo.co.il/law/71553/20</vt:lpwstr>
      </vt:variant>
      <vt:variant>
        <vt:lpwstr/>
      </vt:variant>
      <vt:variant>
        <vt:i4>6881376</vt:i4>
      </vt:variant>
      <vt:variant>
        <vt:i4>42</vt:i4>
      </vt:variant>
      <vt:variant>
        <vt:i4>0</vt:i4>
      </vt:variant>
      <vt:variant>
        <vt:i4>5</vt:i4>
      </vt:variant>
      <vt:variant>
        <vt:lpwstr>http://www.nevo.co.il/law/71553/18</vt:lpwstr>
      </vt:variant>
      <vt:variant>
        <vt:lpwstr/>
      </vt:variant>
      <vt:variant>
        <vt:i4>8257634</vt:i4>
      </vt:variant>
      <vt:variant>
        <vt:i4>39</vt:i4>
      </vt:variant>
      <vt:variant>
        <vt:i4>0</vt:i4>
      </vt:variant>
      <vt:variant>
        <vt:i4>5</vt:i4>
      </vt:variant>
      <vt:variant>
        <vt:lpwstr>http://www.nevo.co.il/law/71553</vt:lpwstr>
      </vt:variant>
      <vt:variant>
        <vt:lpwstr/>
      </vt:variant>
      <vt:variant>
        <vt:i4>131139</vt:i4>
      </vt:variant>
      <vt:variant>
        <vt:i4>36</vt:i4>
      </vt:variant>
      <vt:variant>
        <vt:i4>0</vt:i4>
      </vt:variant>
      <vt:variant>
        <vt:i4>5</vt:i4>
      </vt:variant>
      <vt:variant>
        <vt:lpwstr>http://www.nevo.co.il/law/70301/86.a</vt:lpwstr>
      </vt:variant>
      <vt:variant>
        <vt:lpwstr/>
      </vt:variant>
      <vt:variant>
        <vt:i4>76</vt:i4>
      </vt:variant>
      <vt:variant>
        <vt:i4>33</vt:i4>
      </vt:variant>
      <vt:variant>
        <vt:i4>0</vt:i4>
      </vt:variant>
      <vt:variant>
        <vt:i4>5</vt:i4>
      </vt:variant>
      <vt:variant>
        <vt:lpwstr>http://www.nevo.co.il/law/70301/71.d.</vt:lpwstr>
      </vt:variant>
      <vt:variant>
        <vt:lpwstr/>
      </vt:variant>
      <vt:variant>
        <vt:i4>4915205</vt:i4>
      </vt:variant>
      <vt:variant>
        <vt:i4>30</vt:i4>
      </vt:variant>
      <vt:variant>
        <vt:i4>0</vt:i4>
      </vt:variant>
      <vt:variant>
        <vt:i4>5</vt:i4>
      </vt:variant>
      <vt:variant>
        <vt:lpwstr>http://www.nevo.co.il/law/70301/40d.b</vt:lpwstr>
      </vt:variant>
      <vt:variant>
        <vt:lpwstr/>
      </vt:variant>
      <vt:variant>
        <vt:i4>4915205</vt:i4>
      </vt:variant>
      <vt:variant>
        <vt:i4>27</vt:i4>
      </vt:variant>
      <vt:variant>
        <vt:i4>0</vt:i4>
      </vt:variant>
      <vt:variant>
        <vt:i4>5</vt:i4>
      </vt:variant>
      <vt:variant>
        <vt:lpwstr>http://www.nevo.co.il/law/70301/40d.a</vt:lpwstr>
      </vt:variant>
      <vt:variant>
        <vt:lpwstr/>
      </vt:variant>
      <vt:variant>
        <vt:i4>6619233</vt:i4>
      </vt:variant>
      <vt:variant>
        <vt:i4>24</vt:i4>
      </vt:variant>
      <vt:variant>
        <vt:i4>0</vt:i4>
      </vt:variant>
      <vt:variant>
        <vt:i4>5</vt:i4>
      </vt:variant>
      <vt:variant>
        <vt:lpwstr>http://www.nevo.co.il/law/70301/40d</vt:lpwstr>
      </vt:variant>
      <vt:variant>
        <vt:lpwstr/>
      </vt:variant>
      <vt:variant>
        <vt:i4>7995492</vt:i4>
      </vt:variant>
      <vt:variant>
        <vt:i4>21</vt:i4>
      </vt:variant>
      <vt:variant>
        <vt:i4>0</vt:i4>
      </vt:variant>
      <vt:variant>
        <vt:i4>5</vt:i4>
      </vt:variant>
      <vt:variant>
        <vt:lpwstr>http://www.nevo.co.il/law/70301</vt:lpwstr>
      </vt:variant>
      <vt:variant>
        <vt:lpwstr/>
      </vt:variant>
      <vt:variant>
        <vt:i4>6357107</vt:i4>
      </vt:variant>
      <vt:variant>
        <vt:i4>18</vt:i4>
      </vt:variant>
      <vt:variant>
        <vt:i4>0</vt:i4>
      </vt:variant>
      <vt:variant>
        <vt:i4>5</vt:i4>
      </vt:variant>
      <vt:variant>
        <vt:lpwstr>http://www.nevo.co.il/law/4216/19.a</vt:lpwstr>
      </vt:variant>
      <vt:variant>
        <vt:lpwstr/>
      </vt:variant>
      <vt:variant>
        <vt:i4>5177418</vt:i4>
      </vt:variant>
      <vt:variant>
        <vt:i4>15</vt:i4>
      </vt:variant>
      <vt:variant>
        <vt:i4>0</vt:i4>
      </vt:variant>
      <vt:variant>
        <vt:i4>5</vt:i4>
      </vt:variant>
      <vt:variant>
        <vt:lpwstr>http://www.nevo.co.il/law/4216/13</vt:lpwstr>
      </vt:variant>
      <vt:variant>
        <vt:lpwstr/>
      </vt:variant>
      <vt:variant>
        <vt:i4>262229</vt:i4>
      </vt:variant>
      <vt:variant>
        <vt:i4>12</vt:i4>
      </vt:variant>
      <vt:variant>
        <vt:i4>0</vt:i4>
      </vt:variant>
      <vt:variant>
        <vt:i4>5</vt:i4>
      </vt:variant>
      <vt:variant>
        <vt:lpwstr>http://www.nevo.co.il/law/4216/7.c1.2</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2025-04-22T23:48:00Z</dcterms:created>
  <dcterms:modified xsi:type="dcterms:W3CDTF">2025-04-22T23:48:00Z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10086</vt:lpwstr>
  </property>
  <property fmtid="{D5CDD505-2E9C-101B-9397-08002B2CF9AE}" pid="6" name="NEWPARTB">
    <vt:lpwstr>06</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מוחמד אבו מוסה</vt:lpwstr>
  </property>
  <property fmtid="{D5CDD505-2E9C-101B-9397-08002B2CF9AE}" pid="10" name="LAWYER">
    <vt:lpwstr>סיון צדיק;שאדי כבהא</vt:lpwstr>
  </property>
  <property fmtid="{D5CDD505-2E9C-101B-9397-08002B2CF9AE}" pid="11" name="JUDGE">
    <vt:lpwstr>הישאם אבו שחאדה</vt:lpwstr>
  </property>
  <property fmtid="{D5CDD505-2E9C-101B-9397-08002B2CF9AE}" pid="12" name="CITY">
    <vt:lpwstr>רמ'</vt:lpwstr>
  </property>
  <property fmtid="{D5CDD505-2E9C-101B-9397-08002B2CF9AE}" pid="13" name="DATE">
    <vt:lpwstr>20200218</vt:lpwstr>
  </property>
  <property fmtid="{D5CDD505-2E9C-101B-9397-08002B2CF9AE}" pid="14" name="TYPE_N_DATE">
    <vt:lpwstr>38020200218</vt:lpwstr>
  </property>
  <property fmtid="{D5CDD505-2E9C-101B-9397-08002B2CF9AE}" pid="15" name="CASESLISTTMP1">
    <vt:lpwstr>24975541;26222649;25294518;22900379;24973744;21477472;22536268;22938500;23785604;5828978;5605610;6245080;5606303;5578372;6712757;25975844;25739896;23674614;23762284;21497007</vt:lpwstr>
  </property>
  <property fmtid="{D5CDD505-2E9C-101B-9397-08002B2CF9AE}" pid="16" name="WORDNUMPAGES">
    <vt:lpwstr>14</vt:lpwstr>
  </property>
  <property fmtid="{D5CDD505-2E9C-101B-9397-08002B2CF9AE}" pid="17" name="TYPE_ABS_DATE">
    <vt:lpwstr>380020200218</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4216/006;007.a;007.c;013:9;019.a:9;007.c1.2</vt:lpwstr>
  </property>
  <property fmtid="{D5CDD505-2E9C-101B-9397-08002B2CF9AE}" pid="37" name="LAWLISTTMP2">
    <vt:lpwstr>70301/040d:3;040d.a:2;071.d;086.a;040d.b:3</vt:lpwstr>
  </property>
  <property fmtid="{D5CDD505-2E9C-101B-9397-08002B2CF9AE}" pid="38" name="LAWLISTTMP3">
    <vt:lpwstr>71553/018;020;025</vt:lpwstr>
  </property>
</Properties>
</file>