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9916F8" w:rsidRPr="00B70022" w14:paraId="06ECFCFE" w14:textId="77777777" w:rsidTr="00117A61">
        <w:trPr>
          <w:trHeight w:hRule="exact" w:val="704"/>
          <w:jc w:val="center"/>
        </w:trPr>
        <w:tc>
          <w:tcPr>
            <w:tcW w:w="8721" w:type="dxa"/>
            <w:gridSpan w:val="2"/>
          </w:tcPr>
          <w:p w14:paraId="1A834985" w14:textId="77777777" w:rsidR="009916F8" w:rsidRPr="00B70022" w:rsidRDefault="009916F8" w:rsidP="00117A61">
            <w:pPr>
              <w:pStyle w:val="a3"/>
              <w:jc w:val="center"/>
              <w:rPr>
                <w:rFonts w:ascii="Tahoma" w:hAnsi="Tahoma" w:cs="Tahoma"/>
                <w:b/>
                <w:bCs/>
                <w:color w:val="000080"/>
                <w:rtl/>
              </w:rPr>
            </w:pPr>
            <w:bookmarkStart w:id="0" w:name="FirstLawyer"/>
            <w:bookmarkStart w:id="1" w:name="LastJudge"/>
            <w:r w:rsidRPr="00B70022">
              <w:rPr>
                <w:rFonts w:ascii="Tahoma" w:hAnsi="Tahoma" w:cs="Tahoma"/>
                <w:b/>
                <w:bCs/>
                <w:color w:val="000080"/>
                <w:rtl/>
              </w:rPr>
              <w:t>בית משפט השלום בבאר שבע</w:t>
            </w:r>
          </w:p>
          <w:p w14:paraId="39A841B1" w14:textId="77777777" w:rsidR="009916F8" w:rsidRPr="00B70022" w:rsidRDefault="009916F8" w:rsidP="00117A61">
            <w:pPr>
              <w:pStyle w:val="a3"/>
              <w:jc w:val="center"/>
              <w:rPr>
                <w:rFonts w:ascii="Tahoma" w:hAnsi="Tahoma" w:cs="Tahoma"/>
                <w:color w:val="000080"/>
                <w:rtl/>
              </w:rPr>
            </w:pPr>
          </w:p>
        </w:tc>
      </w:tr>
      <w:tr w:rsidR="009916F8" w:rsidRPr="00B70022" w14:paraId="2AE6C680" w14:textId="77777777" w:rsidTr="00117A61">
        <w:trPr>
          <w:trHeight w:val="337"/>
          <w:jc w:val="center"/>
        </w:trPr>
        <w:tc>
          <w:tcPr>
            <w:tcW w:w="4473" w:type="dxa"/>
          </w:tcPr>
          <w:p w14:paraId="4CB26002" w14:textId="77777777" w:rsidR="009916F8" w:rsidRPr="00B70022" w:rsidRDefault="009916F8" w:rsidP="00117A61">
            <w:pPr>
              <w:rPr>
                <w:b/>
                <w:bCs/>
                <w:sz w:val="26"/>
                <w:szCs w:val="26"/>
                <w:rtl/>
              </w:rPr>
            </w:pPr>
          </w:p>
        </w:tc>
        <w:tc>
          <w:tcPr>
            <w:tcW w:w="4248" w:type="dxa"/>
          </w:tcPr>
          <w:p w14:paraId="721A0E5B" w14:textId="77777777" w:rsidR="009916F8" w:rsidRPr="00B70022" w:rsidRDefault="009916F8" w:rsidP="00117A61">
            <w:pPr>
              <w:pStyle w:val="a3"/>
              <w:jc w:val="right"/>
              <w:rPr>
                <w:b/>
                <w:bCs/>
                <w:sz w:val="26"/>
                <w:szCs w:val="26"/>
                <w:rtl/>
              </w:rPr>
            </w:pPr>
            <w:r w:rsidRPr="00B70022">
              <w:rPr>
                <w:rFonts w:hint="cs"/>
                <w:b/>
                <w:bCs/>
                <w:sz w:val="26"/>
                <w:szCs w:val="26"/>
                <w:rtl/>
              </w:rPr>
              <w:t>ה' ניסן תשפ"א</w:t>
            </w:r>
          </w:p>
          <w:p w14:paraId="6CA5ACE5" w14:textId="77777777" w:rsidR="009916F8" w:rsidRPr="00B70022" w:rsidRDefault="009916F8" w:rsidP="00117A61">
            <w:pPr>
              <w:pStyle w:val="a3"/>
              <w:jc w:val="right"/>
              <w:rPr>
                <w:b/>
                <w:bCs/>
                <w:sz w:val="26"/>
                <w:szCs w:val="26"/>
                <w:rtl/>
              </w:rPr>
            </w:pPr>
            <w:r w:rsidRPr="00B70022">
              <w:rPr>
                <w:rFonts w:hint="cs"/>
                <w:b/>
                <w:bCs/>
                <w:sz w:val="26"/>
                <w:szCs w:val="26"/>
                <w:rtl/>
              </w:rPr>
              <w:t>18 מרץ 2021</w:t>
            </w:r>
          </w:p>
        </w:tc>
      </w:tr>
      <w:tr w:rsidR="009916F8" w:rsidRPr="00B70022" w14:paraId="7C0A4B26" w14:textId="77777777" w:rsidTr="00117A61">
        <w:trPr>
          <w:trHeight w:val="337"/>
          <w:jc w:val="center"/>
        </w:trPr>
        <w:tc>
          <w:tcPr>
            <w:tcW w:w="8721" w:type="dxa"/>
            <w:gridSpan w:val="2"/>
          </w:tcPr>
          <w:p w14:paraId="7259F955" w14:textId="77777777" w:rsidR="009916F8" w:rsidRPr="00B70022" w:rsidRDefault="00B70022" w:rsidP="00117A61">
            <w:pPr>
              <w:rPr>
                <w:b/>
                <w:bCs/>
                <w:sz w:val="26"/>
                <w:szCs w:val="26"/>
                <w:rtl/>
              </w:rPr>
            </w:pPr>
            <w:hyperlink r:id="rId7" w:history="1">
              <w:r w:rsidRPr="00B70022">
                <w:rPr>
                  <w:b/>
                  <w:bCs/>
                  <w:color w:val="0000FF"/>
                  <w:sz w:val="26"/>
                  <w:szCs w:val="26"/>
                  <w:u w:val="single"/>
                  <w:rtl/>
                </w:rPr>
                <w:t>ת"פ 17321-06-18</w:t>
              </w:r>
            </w:hyperlink>
            <w:r w:rsidR="009916F8" w:rsidRPr="00B70022">
              <w:rPr>
                <w:b/>
                <w:bCs/>
                <w:sz w:val="26"/>
                <w:szCs w:val="26"/>
                <w:rtl/>
              </w:rPr>
              <w:t xml:space="preserve"> מדינת ישראל נ' אבו שנדי</w:t>
            </w:r>
          </w:p>
          <w:p w14:paraId="00BF341C" w14:textId="77777777" w:rsidR="009916F8" w:rsidRPr="00B70022" w:rsidRDefault="009916F8" w:rsidP="00117A61">
            <w:pPr>
              <w:rPr>
                <w:rtl/>
              </w:rPr>
            </w:pPr>
          </w:p>
          <w:p w14:paraId="423EBDF6" w14:textId="77777777" w:rsidR="009916F8" w:rsidRPr="00B70022" w:rsidRDefault="009916F8" w:rsidP="00117A61">
            <w:pPr>
              <w:rPr>
                <w:rtl/>
              </w:rPr>
            </w:pPr>
            <w:r w:rsidRPr="00B70022">
              <w:rPr>
                <w:rFonts w:hint="cs"/>
                <w:sz w:val="20"/>
                <w:szCs w:val="20"/>
                <w:rtl/>
              </w:rPr>
              <w:t>תיק חיצוני</w:t>
            </w:r>
            <w:r w:rsidRPr="00B70022">
              <w:rPr>
                <w:rFonts w:hint="cs"/>
                <w:rtl/>
              </w:rPr>
              <w:t xml:space="preserve">: </w:t>
            </w:r>
            <w:r w:rsidRPr="00B70022">
              <w:rPr>
                <w:sz w:val="20"/>
                <w:szCs w:val="20"/>
              </w:rPr>
              <w:t>3690/2018</w:t>
            </w:r>
          </w:p>
        </w:tc>
      </w:tr>
    </w:tbl>
    <w:p w14:paraId="31F1F2BB" w14:textId="77777777" w:rsidR="009916F8" w:rsidRPr="00B70022" w:rsidRDefault="009916F8" w:rsidP="009916F8">
      <w:pPr>
        <w:pStyle w:val="a3"/>
        <w:rPr>
          <w:rtl/>
        </w:rPr>
      </w:pPr>
      <w:r w:rsidRPr="00B70022">
        <w:rPr>
          <w:rtl/>
        </w:rPr>
        <w:t xml:space="preserve"> </w:t>
      </w:r>
    </w:p>
    <w:p w14:paraId="29F9C893" w14:textId="77777777" w:rsidR="009916F8" w:rsidRPr="00B70022" w:rsidRDefault="009916F8" w:rsidP="009916F8">
      <w:pPr>
        <w:suppressLineNumbers/>
        <w:rPr>
          <w:rtl/>
        </w:rPr>
      </w:pPr>
    </w:p>
    <w:p w14:paraId="6E9084AB" w14:textId="77777777" w:rsidR="009916F8" w:rsidRPr="00B70022" w:rsidRDefault="009916F8" w:rsidP="009916F8">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9916F8" w:rsidRPr="00B70022" w14:paraId="7C3F64B2" w14:textId="77777777" w:rsidTr="009916F8">
        <w:trPr>
          <w:jc w:val="center"/>
        </w:trPr>
        <w:tc>
          <w:tcPr>
            <w:tcW w:w="743" w:type="dxa"/>
            <w:shd w:val="clear" w:color="auto" w:fill="auto"/>
          </w:tcPr>
          <w:p w14:paraId="393E8916" w14:textId="77777777" w:rsidR="009916F8" w:rsidRPr="00B70022" w:rsidRDefault="009916F8" w:rsidP="009916F8">
            <w:pPr>
              <w:jc w:val="both"/>
              <w:rPr>
                <w:rFonts w:ascii="Arial" w:hAnsi="Arial"/>
                <w:b/>
                <w:bCs/>
              </w:rPr>
            </w:pPr>
            <w:r w:rsidRPr="00B70022">
              <w:rPr>
                <w:rFonts w:ascii="Arial" w:hAnsi="Arial" w:hint="cs"/>
                <w:b/>
                <w:bCs/>
                <w:rtl/>
              </w:rPr>
              <w:t>לפני</w:t>
            </w:r>
          </w:p>
        </w:tc>
        <w:tc>
          <w:tcPr>
            <w:tcW w:w="8077" w:type="dxa"/>
            <w:gridSpan w:val="2"/>
            <w:shd w:val="clear" w:color="auto" w:fill="auto"/>
          </w:tcPr>
          <w:p w14:paraId="2F1DD94D" w14:textId="77777777" w:rsidR="009916F8" w:rsidRPr="00B70022" w:rsidRDefault="009916F8" w:rsidP="00117A61">
            <w:pPr>
              <w:rPr>
                <w:rFonts w:ascii="Arial" w:hAnsi="Arial"/>
                <w:b/>
                <w:bCs/>
                <w:rtl/>
              </w:rPr>
            </w:pPr>
            <w:r w:rsidRPr="00B70022">
              <w:rPr>
                <w:rFonts w:ascii="Arial" w:hAnsi="Arial" w:hint="cs"/>
                <w:b/>
                <w:bCs/>
                <w:rtl/>
              </w:rPr>
              <w:t>כב' ה</w:t>
            </w:r>
            <w:r w:rsidRPr="00B70022">
              <w:rPr>
                <w:rFonts w:ascii="Arial" w:hAnsi="Arial"/>
                <w:b/>
                <w:bCs/>
                <w:rtl/>
              </w:rPr>
              <w:t>שופט</w:t>
            </w:r>
            <w:r w:rsidRPr="00B70022">
              <w:rPr>
                <w:rFonts w:ascii="Arial" w:hAnsi="Arial" w:hint="cs"/>
                <w:b/>
                <w:bCs/>
                <w:rtl/>
              </w:rPr>
              <w:t xml:space="preserve">  </w:t>
            </w:r>
            <w:r w:rsidRPr="00B70022">
              <w:rPr>
                <w:rFonts w:ascii="Arial" w:hAnsi="Arial"/>
                <w:b/>
                <w:bCs/>
                <w:rtl/>
              </w:rPr>
              <w:t>רון סולקין</w:t>
            </w:r>
          </w:p>
          <w:p w14:paraId="27261D51" w14:textId="77777777" w:rsidR="009916F8" w:rsidRPr="00B70022" w:rsidRDefault="009916F8" w:rsidP="00117A61">
            <w:pPr>
              <w:rPr>
                <w:rFonts w:ascii="Arial" w:hAnsi="Arial" w:cs="FrankRuehl"/>
                <w:sz w:val="28"/>
                <w:szCs w:val="28"/>
                <w:highlight w:val="yellow"/>
              </w:rPr>
            </w:pPr>
          </w:p>
        </w:tc>
      </w:tr>
      <w:tr w:rsidR="009916F8" w:rsidRPr="00B70022" w14:paraId="78D55FD4" w14:textId="77777777" w:rsidTr="009916F8">
        <w:trPr>
          <w:jc w:val="center"/>
        </w:trPr>
        <w:tc>
          <w:tcPr>
            <w:tcW w:w="3249" w:type="dxa"/>
            <w:gridSpan w:val="2"/>
            <w:shd w:val="clear" w:color="auto" w:fill="auto"/>
          </w:tcPr>
          <w:p w14:paraId="2706EA51" w14:textId="77777777" w:rsidR="009916F8" w:rsidRPr="00B70022" w:rsidRDefault="009916F8" w:rsidP="009916F8">
            <w:pPr>
              <w:bidi w:val="0"/>
              <w:jc w:val="right"/>
              <w:rPr>
                <w:rFonts w:ascii="Arial" w:hAnsi="Arial"/>
                <w:b/>
                <w:bCs/>
                <w:sz w:val="26"/>
                <w:szCs w:val="26"/>
                <w:rtl/>
              </w:rPr>
            </w:pPr>
            <w:bookmarkStart w:id="2" w:name="FirstAppellant"/>
            <w:r w:rsidRPr="00B70022">
              <w:rPr>
                <w:rFonts w:ascii="Arial" w:hAnsi="Arial" w:hint="cs"/>
                <w:b/>
                <w:bCs/>
                <w:sz w:val="26"/>
                <w:szCs w:val="26"/>
                <w:rtl/>
              </w:rPr>
              <w:t>המאשימה</w:t>
            </w:r>
          </w:p>
        </w:tc>
        <w:tc>
          <w:tcPr>
            <w:tcW w:w="5571" w:type="dxa"/>
            <w:shd w:val="clear" w:color="auto" w:fill="auto"/>
          </w:tcPr>
          <w:p w14:paraId="4F57DD66" w14:textId="77777777" w:rsidR="009916F8" w:rsidRPr="00B70022" w:rsidRDefault="009916F8" w:rsidP="00117A61">
            <w:pPr>
              <w:rPr>
                <w:b/>
                <w:bCs/>
                <w:sz w:val="26"/>
                <w:szCs w:val="26"/>
              </w:rPr>
            </w:pPr>
            <w:r w:rsidRPr="00B70022">
              <w:rPr>
                <w:rFonts w:ascii="Arial" w:hAnsi="Arial"/>
                <w:b/>
                <w:bCs/>
                <w:sz w:val="26"/>
                <w:szCs w:val="26"/>
                <w:rtl/>
              </w:rPr>
              <w:t>מדינת ישראל</w:t>
            </w:r>
            <w:r w:rsidRPr="00B70022">
              <w:rPr>
                <w:b/>
                <w:bCs/>
                <w:rtl/>
              </w:rPr>
              <w:t xml:space="preserve"> – פמ"</w:t>
            </w:r>
            <w:r w:rsidRPr="00B70022">
              <w:rPr>
                <w:rFonts w:hint="cs"/>
                <w:b/>
                <w:bCs/>
                <w:rtl/>
              </w:rPr>
              <w:t>ד</w:t>
            </w:r>
            <w:r w:rsidRPr="00B70022">
              <w:rPr>
                <w:b/>
                <w:bCs/>
                <w:rtl/>
              </w:rPr>
              <w:br/>
            </w:r>
            <w:r w:rsidRPr="00B70022">
              <w:rPr>
                <w:rFonts w:hint="cs"/>
                <w:b/>
                <w:bCs/>
                <w:rtl/>
              </w:rPr>
              <w:t>ע"י ב"כ עו"ד דניאל גלעד</w:t>
            </w:r>
          </w:p>
        </w:tc>
      </w:tr>
      <w:bookmarkEnd w:id="2"/>
      <w:tr w:rsidR="009916F8" w:rsidRPr="00B70022" w14:paraId="4F397F23" w14:textId="77777777" w:rsidTr="009916F8">
        <w:trPr>
          <w:jc w:val="center"/>
        </w:trPr>
        <w:tc>
          <w:tcPr>
            <w:tcW w:w="8820" w:type="dxa"/>
            <w:gridSpan w:val="3"/>
            <w:shd w:val="clear" w:color="auto" w:fill="auto"/>
          </w:tcPr>
          <w:p w14:paraId="2CCA36B0" w14:textId="77777777" w:rsidR="009916F8" w:rsidRPr="00B70022" w:rsidRDefault="009916F8" w:rsidP="00117A61">
            <w:pPr>
              <w:rPr>
                <w:rFonts w:ascii="Arial" w:hAnsi="Arial"/>
                <w:b/>
                <w:bCs/>
                <w:sz w:val="26"/>
                <w:szCs w:val="26"/>
                <w:rtl/>
              </w:rPr>
            </w:pPr>
          </w:p>
          <w:p w14:paraId="64A0BC5A" w14:textId="77777777" w:rsidR="009916F8" w:rsidRPr="00B70022" w:rsidRDefault="009916F8" w:rsidP="009916F8">
            <w:pPr>
              <w:jc w:val="center"/>
              <w:rPr>
                <w:rFonts w:ascii="Arial" w:hAnsi="Arial"/>
                <w:b/>
                <w:bCs/>
                <w:sz w:val="26"/>
                <w:szCs w:val="26"/>
                <w:rtl/>
              </w:rPr>
            </w:pPr>
            <w:r w:rsidRPr="00B70022">
              <w:rPr>
                <w:rFonts w:ascii="Arial" w:hAnsi="Arial"/>
                <w:b/>
                <w:bCs/>
                <w:sz w:val="26"/>
                <w:szCs w:val="26"/>
                <w:rtl/>
              </w:rPr>
              <w:t>נגד</w:t>
            </w:r>
          </w:p>
          <w:p w14:paraId="0566AE4D" w14:textId="77777777" w:rsidR="009916F8" w:rsidRPr="00B70022" w:rsidRDefault="009916F8" w:rsidP="00117A61">
            <w:pPr>
              <w:rPr>
                <w:rFonts w:ascii="Arial" w:hAnsi="Arial"/>
                <w:b/>
                <w:bCs/>
                <w:sz w:val="26"/>
                <w:szCs w:val="26"/>
              </w:rPr>
            </w:pPr>
          </w:p>
        </w:tc>
      </w:tr>
      <w:tr w:rsidR="009916F8" w:rsidRPr="00B70022" w14:paraId="52C8348D" w14:textId="77777777" w:rsidTr="009916F8">
        <w:trPr>
          <w:jc w:val="center"/>
        </w:trPr>
        <w:tc>
          <w:tcPr>
            <w:tcW w:w="3249" w:type="dxa"/>
            <w:gridSpan w:val="2"/>
            <w:shd w:val="clear" w:color="auto" w:fill="auto"/>
          </w:tcPr>
          <w:p w14:paraId="6BCF4046" w14:textId="77777777" w:rsidR="009916F8" w:rsidRPr="00B70022" w:rsidRDefault="009916F8" w:rsidP="00117A61">
            <w:pPr>
              <w:rPr>
                <w:rFonts w:ascii="Arial" w:hAnsi="Arial"/>
                <w:b/>
                <w:bCs/>
                <w:sz w:val="26"/>
                <w:szCs w:val="26"/>
              </w:rPr>
            </w:pPr>
            <w:r w:rsidRPr="00B70022">
              <w:rPr>
                <w:rFonts w:ascii="Arial" w:hAnsi="Arial" w:hint="cs"/>
                <w:b/>
                <w:bCs/>
                <w:sz w:val="26"/>
                <w:szCs w:val="26"/>
                <w:rtl/>
              </w:rPr>
              <w:t>הנאשם</w:t>
            </w:r>
          </w:p>
        </w:tc>
        <w:tc>
          <w:tcPr>
            <w:tcW w:w="5571" w:type="dxa"/>
            <w:shd w:val="clear" w:color="auto" w:fill="auto"/>
          </w:tcPr>
          <w:p w14:paraId="08E1A01D" w14:textId="77777777" w:rsidR="009916F8" w:rsidRPr="00B70022" w:rsidRDefault="009916F8" w:rsidP="00117A61">
            <w:pPr>
              <w:rPr>
                <w:b/>
                <w:bCs/>
                <w:sz w:val="26"/>
                <w:szCs w:val="26"/>
                <w:rtl/>
              </w:rPr>
            </w:pPr>
            <w:r w:rsidRPr="00B70022">
              <w:rPr>
                <w:rFonts w:ascii="Arial" w:hAnsi="Arial"/>
                <w:b/>
                <w:bCs/>
                <w:sz w:val="26"/>
                <w:szCs w:val="26"/>
                <w:rtl/>
              </w:rPr>
              <w:t xml:space="preserve">מוחמד </w:t>
            </w:r>
            <w:r w:rsidRPr="00B70022">
              <w:rPr>
                <w:rFonts w:ascii="Arial" w:hAnsi="Arial" w:hint="cs"/>
                <w:b/>
                <w:bCs/>
                <w:sz w:val="26"/>
                <w:szCs w:val="26"/>
                <w:rtl/>
              </w:rPr>
              <w:t xml:space="preserve">בן אחמד </w:t>
            </w:r>
            <w:r w:rsidRPr="00B70022">
              <w:rPr>
                <w:rFonts w:ascii="Arial" w:hAnsi="Arial"/>
                <w:b/>
                <w:bCs/>
                <w:sz w:val="26"/>
                <w:szCs w:val="26"/>
                <w:rtl/>
              </w:rPr>
              <w:t>אבו שנדי</w:t>
            </w:r>
            <w:r w:rsidRPr="00B70022">
              <w:rPr>
                <w:rFonts w:ascii="Arial" w:hAnsi="Arial"/>
                <w:b/>
                <w:bCs/>
                <w:sz w:val="26"/>
                <w:szCs w:val="26"/>
                <w:rtl/>
              </w:rPr>
              <w:br/>
            </w:r>
            <w:r w:rsidRPr="00B70022">
              <w:rPr>
                <w:rFonts w:hint="cs"/>
                <w:b/>
                <w:bCs/>
                <w:rtl/>
              </w:rPr>
              <w:t>ע"י ב"כ עו"ד דמיטרי ורניצקי</w:t>
            </w:r>
          </w:p>
        </w:tc>
      </w:tr>
    </w:tbl>
    <w:p w14:paraId="6594F204" w14:textId="77777777" w:rsidR="009916F8" w:rsidRPr="00B70022" w:rsidRDefault="009916F8" w:rsidP="009916F8">
      <w:pPr>
        <w:suppressLineNumbers/>
      </w:pPr>
    </w:p>
    <w:p w14:paraId="1E1579C4" w14:textId="77777777" w:rsidR="0051514C" w:rsidRPr="0051514C" w:rsidRDefault="0051514C" w:rsidP="0051514C">
      <w:pPr>
        <w:spacing w:before="120" w:after="120" w:line="240" w:lineRule="exact"/>
        <w:ind w:left="283" w:hanging="283"/>
        <w:jc w:val="both"/>
        <w:rPr>
          <w:rFonts w:ascii="FrankRuehl" w:hAnsi="FrankRuehl" w:cs="FrankRuehl"/>
          <w:rtl/>
        </w:rPr>
      </w:pPr>
    </w:p>
    <w:p w14:paraId="38ED26C6" w14:textId="77777777" w:rsidR="00171466" w:rsidRDefault="00171466" w:rsidP="00171466">
      <w:pPr>
        <w:spacing w:line="360" w:lineRule="auto"/>
        <w:jc w:val="both"/>
        <w:rPr>
          <w:rFonts w:ascii="Arial" w:hAnsi="Arial"/>
          <w:rtl/>
        </w:rPr>
      </w:pPr>
      <w:bookmarkStart w:id="3" w:name="LawTable"/>
      <w:bookmarkEnd w:id="3"/>
    </w:p>
    <w:p w14:paraId="7CF55A36" w14:textId="77777777" w:rsidR="00171466" w:rsidRPr="00171466" w:rsidRDefault="00171466" w:rsidP="00171466">
      <w:pPr>
        <w:spacing w:before="120" w:after="120" w:line="240" w:lineRule="exact"/>
        <w:ind w:left="283" w:hanging="283"/>
        <w:jc w:val="both"/>
        <w:rPr>
          <w:rFonts w:ascii="FrankRuehl" w:hAnsi="FrankRuehl" w:cs="FrankRuehl"/>
          <w:rtl/>
        </w:rPr>
      </w:pPr>
    </w:p>
    <w:p w14:paraId="6B92B31D" w14:textId="77777777" w:rsidR="00171466" w:rsidRPr="00171466" w:rsidRDefault="00171466" w:rsidP="00171466">
      <w:pPr>
        <w:spacing w:before="120" w:after="120" w:line="240" w:lineRule="exact"/>
        <w:ind w:left="283" w:hanging="283"/>
        <w:jc w:val="both"/>
        <w:rPr>
          <w:rFonts w:ascii="FrankRuehl" w:hAnsi="FrankRuehl" w:cs="FrankRuehl"/>
          <w:rtl/>
        </w:rPr>
      </w:pPr>
    </w:p>
    <w:p w14:paraId="75EE5625" w14:textId="77777777" w:rsidR="00171466" w:rsidRPr="00171466" w:rsidRDefault="00171466" w:rsidP="00171466">
      <w:pPr>
        <w:spacing w:before="120" w:after="120" w:line="240" w:lineRule="exact"/>
        <w:ind w:left="283" w:hanging="283"/>
        <w:jc w:val="both"/>
        <w:rPr>
          <w:rFonts w:ascii="FrankRuehl" w:hAnsi="FrankRuehl" w:cs="FrankRuehl"/>
          <w:rtl/>
        </w:rPr>
      </w:pPr>
      <w:r w:rsidRPr="00171466">
        <w:rPr>
          <w:rFonts w:ascii="FrankRuehl" w:hAnsi="FrankRuehl" w:cs="FrankRuehl"/>
          <w:rtl/>
        </w:rPr>
        <w:t xml:space="preserve">חקיקה שאוזכרה: </w:t>
      </w:r>
    </w:p>
    <w:p w14:paraId="536BB7F6" w14:textId="77777777" w:rsidR="00171466" w:rsidRPr="00171466" w:rsidRDefault="00171466" w:rsidP="00171466">
      <w:pPr>
        <w:spacing w:before="120" w:after="120" w:line="240" w:lineRule="exact"/>
        <w:ind w:left="283" w:hanging="283"/>
        <w:jc w:val="both"/>
        <w:rPr>
          <w:rFonts w:ascii="FrankRuehl" w:hAnsi="FrankRuehl" w:cs="FrankRuehl"/>
          <w:rtl/>
        </w:rPr>
      </w:pPr>
      <w:hyperlink r:id="rId8" w:history="1">
        <w:r w:rsidRPr="00171466">
          <w:rPr>
            <w:rFonts w:ascii="FrankRuehl" w:hAnsi="FrankRuehl" w:cs="FrankRuehl"/>
            <w:color w:val="0000FF"/>
            <w:rtl/>
          </w:rPr>
          <w:t>פקודת הסמים המסוכנים [נוסח חדש], תשל"ג-1973</w:t>
        </w:r>
      </w:hyperlink>
      <w:r w:rsidRPr="00171466">
        <w:rPr>
          <w:rFonts w:ascii="FrankRuehl" w:hAnsi="FrankRuehl" w:cs="FrankRuehl"/>
          <w:rtl/>
        </w:rPr>
        <w:t xml:space="preserve">: סע'  </w:t>
      </w:r>
      <w:hyperlink r:id="rId9" w:history="1">
        <w:r w:rsidRPr="00171466">
          <w:rPr>
            <w:rFonts w:ascii="FrankRuehl" w:hAnsi="FrankRuehl" w:cs="FrankRuehl"/>
            <w:color w:val="0000FF"/>
            <w:rtl/>
          </w:rPr>
          <w:t>6</w:t>
        </w:r>
      </w:hyperlink>
      <w:r w:rsidRPr="00171466">
        <w:rPr>
          <w:rFonts w:ascii="FrankRuehl" w:hAnsi="FrankRuehl" w:cs="FrankRuehl"/>
          <w:rtl/>
        </w:rPr>
        <w:t xml:space="preserve">, </w:t>
      </w:r>
      <w:hyperlink r:id="rId10" w:history="1">
        <w:r w:rsidRPr="00171466">
          <w:rPr>
            <w:rFonts w:ascii="FrankRuehl" w:hAnsi="FrankRuehl" w:cs="FrankRuehl"/>
            <w:color w:val="0000FF"/>
            <w:rtl/>
          </w:rPr>
          <w:t>7(א)</w:t>
        </w:r>
      </w:hyperlink>
      <w:r w:rsidRPr="00171466">
        <w:rPr>
          <w:rFonts w:ascii="FrankRuehl" w:hAnsi="FrankRuehl" w:cs="FrankRuehl"/>
          <w:rtl/>
        </w:rPr>
        <w:t xml:space="preserve">, </w:t>
      </w:r>
      <w:hyperlink r:id="rId11" w:history="1">
        <w:r w:rsidRPr="00171466">
          <w:rPr>
            <w:rFonts w:ascii="FrankRuehl" w:hAnsi="FrankRuehl" w:cs="FrankRuehl"/>
            <w:color w:val="0000FF"/>
            <w:rtl/>
          </w:rPr>
          <w:t>(ג)</w:t>
        </w:r>
      </w:hyperlink>
    </w:p>
    <w:p w14:paraId="667D2F35" w14:textId="77777777" w:rsidR="00171466" w:rsidRPr="00171466" w:rsidRDefault="00171466" w:rsidP="00171466">
      <w:pPr>
        <w:spacing w:before="120" w:after="120" w:line="240" w:lineRule="exact"/>
        <w:ind w:left="283" w:hanging="283"/>
        <w:jc w:val="both"/>
        <w:rPr>
          <w:rFonts w:ascii="FrankRuehl" w:hAnsi="FrankRuehl" w:cs="FrankRuehl"/>
          <w:rtl/>
        </w:rPr>
      </w:pPr>
      <w:hyperlink r:id="rId12" w:history="1">
        <w:r w:rsidRPr="00171466">
          <w:rPr>
            <w:rFonts w:ascii="FrankRuehl" w:hAnsi="FrankRuehl" w:cs="FrankRuehl"/>
            <w:color w:val="0000FF"/>
            <w:rtl/>
          </w:rPr>
          <w:t>חוק העונשין, תשל"ז-1977</w:t>
        </w:r>
      </w:hyperlink>
      <w:r w:rsidRPr="00171466">
        <w:rPr>
          <w:rFonts w:ascii="FrankRuehl" w:hAnsi="FrankRuehl" w:cs="FrankRuehl"/>
          <w:rtl/>
        </w:rPr>
        <w:t xml:space="preserve">: סע'  </w:t>
      </w:r>
      <w:hyperlink r:id="rId13" w:history="1">
        <w:r w:rsidRPr="00171466">
          <w:rPr>
            <w:rFonts w:ascii="FrankRuehl" w:hAnsi="FrankRuehl" w:cs="FrankRuehl"/>
            <w:color w:val="0000FF"/>
            <w:rtl/>
          </w:rPr>
          <w:t>40ח'</w:t>
        </w:r>
      </w:hyperlink>
      <w:r w:rsidRPr="00171466">
        <w:rPr>
          <w:rFonts w:ascii="FrankRuehl" w:hAnsi="FrankRuehl" w:cs="FrankRuehl"/>
          <w:rtl/>
        </w:rPr>
        <w:t xml:space="preserve">, </w:t>
      </w:r>
      <w:hyperlink r:id="rId14" w:history="1">
        <w:r w:rsidRPr="00171466">
          <w:rPr>
            <w:rFonts w:ascii="FrankRuehl" w:hAnsi="FrankRuehl" w:cs="FrankRuehl"/>
            <w:color w:val="0000FF"/>
            <w:rtl/>
          </w:rPr>
          <w:t>40ט'</w:t>
        </w:r>
      </w:hyperlink>
    </w:p>
    <w:p w14:paraId="6B88F219" w14:textId="77777777" w:rsidR="00171466" w:rsidRPr="00171466" w:rsidRDefault="00171466" w:rsidP="00171466">
      <w:pPr>
        <w:spacing w:line="360" w:lineRule="auto"/>
        <w:jc w:val="both"/>
        <w:rPr>
          <w:rFonts w:ascii="Arial" w:hAnsi="Arial"/>
          <w:rtl/>
        </w:rPr>
      </w:pPr>
      <w:bookmarkStart w:id="4" w:name="LawTable_End"/>
      <w:bookmarkEnd w:id="4"/>
    </w:p>
    <w:p w14:paraId="7FBC8DDB" w14:textId="77777777" w:rsidR="009916F8" w:rsidRPr="0051514C" w:rsidRDefault="009916F8" w:rsidP="0051514C">
      <w:pPr>
        <w:spacing w:line="360" w:lineRule="auto"/>
        <w:jc w:val="both"/>
        <w:rPr>
          <w:rFonts w:ascii="Arial" w:hAnsi="Arial"/>
          <w:rtl/>
        </w:rPr>
      </w:pPr>
    </w:p>
    <w:tbl>
      <w:tblPr>
        <w:bidiVisual/>
        <w:tblW w:w="8820" w:type="dxa"/>
        <w:jc w:val="center"/>
        <w:tblLook w:val="01E0" w:firstRow="1" w:lastRow="1" w:firstColumn="1" w:lastColumn="1" w:noHBand="0" w:noVBand="0"/>
      </w:tblPr>
      <w:tblGrid>
        <w:gridCol w:w="8820"/>
      </w:tblGrid>
      <w:tr w:rsidR="009916F8" w14:paraId="637731A6" w14:textId="77777777" w:rsidTr="009916F8">
        <w:trPr>
          <w:jc w:val="center"/>
        </w:trPr>
        <w:tc>
          <w:tcPr>
            <w:tcW w:w="8820" w:type="dxa"/>
            <w:shd w:val="clear" w:color="auto" w:fill="auto"/>
          </w:tcPr>
          <w:p w14:paraId="7F9B1699" w14:textId="77777777" w:rsidR="00B70022" w:rsidRPr="00B70022" w:rsidRDefault="00B70022" w:rsidP="00B70022">
            <w:pPr>
              <w:bidi w:val="0"/>
              <w:jc w:val="center"/>
              <w:rPr>
                <w:rFonts w:ascii="Arial" w:hAnsi="Arial"/>
                <w:b/>
                <w:bCs/>
                <w:sz w:val="28"/>
                <w:szCs w:val="28"/>
                <w:u w:val="single"/>
              </w:rPr>
            </w:pPr>
            <w:bookmarkStart w:id="5" w:name="PsakDin" w:colFirst="0" w:colLast="0"/>
            <w:bookmarkEnd w:id="0"/>
            <w:bookmarkEnd w:id="1"/>
            <w:r w:rsidRPr="00B70022">
              <w:rPr>
                <w:rFonts w:ascii="Arial" w:hAnsi="Arial"/>
                <w:b/>
                <w:bCs/>
                <w:sz w:val="28"/>
                <w:szCs w:val="28"/>
                <w:u w:val="single"/>
                <w:rtl/>
              </w:rPr>
              <w:t>גזר דין</w:t>
            </w:r>
          </w:p>
          <w:p w14:paraId="7BBED826" w14:textId="77777777" w:rsidR="009916F8" w:rsidRPr="00B70022" w:rsidRDefault="009916F8" w:rsidP="00B70022">
            <w:pPr>
              <w:bidi w:val="0"/>
              <w:jc w:val="center"/>
              <w:rPr>
                <w:rFonts w:ascii="Arial" w:hAnsi="Arial"/>
                <w:b/>
                <w:bCs/>
                <w:sz w:val="28"/>
                <w:szCs w:val="28"/>
                <w:u w:val="single"/>
              </w:rPr>
            </w:pPr>
          </w:p>
        </w:tc>
      </w:tr>
      <w:bookmarkEnd w:id="5"/>
    </w:tbl>
    <w:p w14:paraId="6EB89348" w14:textId="77777777" w:rsidR="009916F8" w:rsidRDefault="009916F8" w:rsidP="009916F8">
      <w:pPr>
        <w:spacing w:line="360" w:lineRule="auto"/>
        <w:jc w:val="both"/>
        <w:rPr>
          <w:rFonts w:ascii="Arial" w:hAnsi="Arial"/>
          <w:rtl/>
        </w:rPr>
      </w:pPr>
    </w:p>
    <w:p w14:paraId="39F7132A" w14:textId="77777777" w:rsidR="009916F8" w:rsidRDefault="009916F8" w:rsidP="009916F8">
      <w:pPr>
        <w:spacing w:line="360" w:lineRule="auto"/>
        <w:jc w:val="both"/>
        <w:rPr>
          <w:rFonts w:ascii="Arial" w:hAnsi="Arial"/>
          <w:rtl/>
        </w:rPr>
      </w:pPr>
      <w:r>
        <w:rPr>
          <w:rFonts w:ascii="Arial" w:hAnsi="Arial" w:hint="cs"/>
          <w:b/>
          <w:bCs/>
          <w:rtl/>
        </w:rPr>
        <w:t>כתב האישום והשתלשלות הדיון</w:t>
      </w:r>
    </w:p>
    <w:p w14:paraId="56A6FC36" w14:textId="77777777" w:rsidR="009916F8" w:rsidRDefault="009916F8" w:rsidP="009916F8">
      <w:pPr>
        <w:spacing w:line="360" w:lineRule="auto"/>
        <w:jc w:val="both"/>
        <w:rPr>
          <w:rFonts w:ascii="Arial" w:hAnsi="Arial"/>
          <w:rtl/>
        </w:rPr>
      </w:pPr>
    </w:p>
    <w:p w14:paraId="5F26882B" w14:textId="77777777" w:rsidR="009916F8" w:rsidRDefault="009916F8" w:rsidP="009916F8">
      <w:pPr>
        <w:spacing w:line="360" w:lineRule="auto"/>
        <w:jc w:val="both"/>
        <w:rPr>
          <w:rFonts w:ascii="Arial" w:hAnsi="Arial"/>
          <w:rtl/>
        </w:rPr>
      </w:pPr>
      <w:bookmarkStart w:id="6" w:name="ABSTRACT_START"/>
      <w:bookmarkEnd w:id="6"/>
      <w:r>
        <w:rPr>
          <w:rFonts w:ascii="Arial" w:hAnsi="Arial" w:hint="cs"/>
          <w:rtl/>
        </w:rPr>
        <w:t>הנאשם שלפני נותן את הדין בגין העבירות כדלקמן, בהן הורשע לאחר שמיעת ראיות:</w:t>
      </w:r>
    </w:p>
    <w:p w14:paraId="6442D0AE" w14:textId="77777777" w:rsidR="009916F8" w:rsidRDefault="009916F8" w:rsidP="009916F8">
      <w:pPr>
        <w:spacing w:line="360" w:lineRule="auto"/>
        <w:jc w:val="both"/>
        <w:rPr>
          <w:rFonts w:ascii="Arial" w:hAnsi="Arial"/>
          <w:rtl/>
        </w:rPr>
      </w:pPr>
    </w:p>
    <w:p w14:paraId="724C9519" w14:textId="77777777" w:rsidR="009916F8" w:rsidRDefault="009916F8" w:rsidP="009916F8">
      <w:pPr>
        <w:pStyle w:val="a9"/>
        <w:numPr>
          <w:ilvl w:val="0"/>
          <w:numId w:val="1"/>
        </w:numPr>
        <w:spacing w:line="360" w:lineRule="auto"/>
        <w:jc w:val="both"/>
      </w:pPr>
      <w:r>
        <w:rPr>
          <w:rFonts w:hint="cs"/>
          <w:rtl/>
        </w:rPr>
        <w:t xml:space="preserve">גידול, יצור </w:t>
      </w:r>
      <w:r>
        <w:rPr>
          <w:rtl/>
        </w:rPr>
        <w:t xml:space="preserve">והכנת סם מסוכן, בניגוד </w:t>
      </w:r>
      <w:hyperlink r:id="rId15" w:history="1">
        <w:r w:rsidR="008E3C43" w:rsidRPr="008E3C43">
          <w:rPr>
            <w:rStyle w:val="Hyperlink"/>
            <w:rtl/>
          </w:rPr>
          <w:t>לסעיף 6</w:t>
        </w:r>
      </w:hyperlink>
      <w:r>
        <w:rPr>
          <w:rtl/>
        </w:rPr>
        <w:t xml:space="preserve"> ל</w:t>
      </w:r>
      <w:hyperlink r:id="rId16" w:history="1">
        <w:r w:rsidR="00B70022" w:rsidRPr="00B70022">
          <w:rPr>
            <w:color w:val="0000FF"/>
            <w:u w:val="single"/>
            <w:rtl/>
          </w:rPr>
          <w:t>פקודת הסמים המסוכנים</w:t>
        </w:r>
      </w:hyperlink>
      <w:r>
        <w:rPr>
          <w:rtl/>
        </w:rPr>
        <w:t xml:space="preserve"> [נוסח חדש], תשל"ג – 1973;</w:t>
      </w:r>
    </w:p>
    <w:p w14:paraId="7F00E3E1" w14:textId="77777777" w:rsidR="009916F8" w:rsidRDefault="009916F8" w:rsidP="009916F8">
      <w:pPr>
        <w:pStyle w:val="a9"/>
        <w:numPr>
          <w:ilvl w:val="0"/>
          <w:numId w:val="1"/>
        </w:numPr>
        <w:spacing w:line="360" w:lineRule="auto"/>
        <w:jc w:val="both"/>
      </w:pPr>
      <w:r>
        <w:rPr>
          <w:rtl/>
        </w:rPr>
        <w:t xml:space="preserve">אחזקת סם מסוכן שלא לצריכה עצמית, בניגוד </w:t>
      </w:r>
      <w:hyperlink r:id="rId17" w:history="1">
        <w:r w:rsidR="008E3C43" w:rsidRPr="008E3C43">
          <w:rPr>
            <w:rStyle w:val="Hyperlink"/>
            <w:rtl/>
          </w:rPr>
          <w:t>לסעיף 7(א)</w:t>
        </w:r>
      </w:hyperlink>
      <w:r>
        <w:rPr>
          <w:rtl/>
        </w:rPr>
        <w:t xml:space="preserve"> ו-</w:t>
      </w:r>
      <w:hyperlink r:id="rId18" w:history="1">
        <w:r w:rsidR="008E3C43" w:rsidRPr="008E3C43">
          <w:rPr>
            <w:rStyle w:val="Hyperlink"/>
            <w:rtl/>
          </w:rPr>
          <w:t>(ג)</w:t>
        </w:r>
      </w:hyperlink>
      <w:r>
        <w:rPr>
          <w:rtl/>
        </w:rPr>
        <w:t xml:space="preserve"> רישא לאותה פקודה.</w:t>
      </w:r>
    </w:p>
    <w:p w14:paraId="60331C0F" w14:textId="77777777" w:rsidR="009916F8" w:rsidRDefault="009916F8" w:rsidP="009916F8">
      <w:pPr>
        <w:spacing w:line="360" w:lineRule="auto"/>
        <w:jc w:val="both"/>
        <w:rPr>
          <w:rtl/>
        </w:rPr>
      </w:pPr>
      <w:bookmarkStart w:id="7" w:name="ABSTRACT_END"/>
      <w:bookmarkEnd w:id="7"/>
    </w:p>
    <w:p w14:paraId="23C845E4" w14:textId="77777777" w:rsidR="009916F8" w:rsidRPr="00101B3B" w:rsidRDefault="009916F8" w:rsidP="009916F8">
      <w:pPr>
        <w:spacing w:line="360" w:lineRule="auto"/>
        <w:jc w:val="both"/>
      </w:pPr>
      <w:r w:rsidRPr="00101B3B">
        <w:rPr>
          <w:rtl/>
        </w:rPr>
        <w:lastRenderedPageBreak/>
        <w:t>על פי עובדות כתב האישום המתוקן (תיקון טכני), מיוחס לנאשם, כי במהלך תקופה בת מספר חודשים, עובר ליום 03.06.18, גידל כ-193 שת</w:t>
      </w:r>
      <w:r>
        <w:rPr>
          <w:rFonts w:hint="cs"/>
          <w:rtl/>
        </w:rPr>
        <w:t>י</w:t>
      </w:r>
      <w:r w:rsidRPr="00101B3B">
        <w:rPr>
          <w:rtl/>
        </w:rPr>
        <w:t>לי סם מסוכן מסוג קנביס, במעבדה, במבנה הסמוך לביתו.</w:t>
      </w:r>
    </w:p>
    <w:p w14:paraId="552DF885" w14:textId="77777777" w:rsidR="009916F8" w:rsidRPr="00101B3B" w:rsidRDefault="009916F8" w:rsidP="009916F8">
      <w:pPr>
        <w:spacing w:line="360" w:lineRule="auto"/>
        <w:jc w:val="both"/>
        <w:rPr>
          <w:rtl/>
        </w:rPr>
      </w:pPr>
    </w:p>
    <w:p w14:paraId="5FA3E519" w14:textId="77777777" w:rsidR="009916F8" w:rsidRPr="00101B3B" w:rsidRDefault="009916F8" w:rsidP="009916F8">
      <w:pPr>
        <w:spacing w:line="360" w:lineRule="auto"/>
        <w:jc w:val="both"/>
        <w:rPr>
          <w:rtl/>
        </w:rPr>
      </w:pPr>
      <w:r w:rsidRPr="00101B3B">
        <w:rPr>
          <w:rtl/>
        </w:rPr>
        <w:t>בנוסף, במקומות שונים במתחם מגוריו, נתפסו סמים מסוכנים מאותו הסוג, במשקל 220 גרם ברוטו; 963 גרם ברוטו; 660 גרם ברוטו; 220 גרם ברוטו</w:t>
      </w:r>
      <w:r>
        <w:rPr>
          <w:rFonts w:hint="cs"/>
          <w:rtl/>
        </w:rPr>
        <w:t xml:space="preserve"> (סך הכל 2.063 ק"ג סמים בתפזורת). </w:t>
      </w:r>
    </w:p>
    <w:p w14:paraId="2D98E7AB" w14:textId="77777777" w:rsidR="009916F8" w:rsidRPr="00101B3B" w:rsidRDefault="009916F8" w:rsidP="009916F8">
      <w:pPr>
        <w:spacing w:line="360" w:lineRule="auto"/>
        <w:jc w:val="both"/>
        <w:rPr>
          <w:rtl/>
        </w:rPr>
      </w:pPr>
    </w:p>
    <w:p w14:paraId="5DFC6110" w14:textId="77777777" w:rsidR="009916F8" w:rsidRPr="00101B3B" w:rsidRDefault="009916F8" w:rsidP="009916F8">
      <w:pPr>
        <w:spacing w:line="360" w:lineRule="auto"/>
        <w:jc w:val="both"/>
        <w:rPr>
          <w:rtl/>
        </w:rPr>
      </w:pPr>
      <w:r w:rsidRPr="00101B3B">
        <w:rPr>
          <w:rtl/>
        </w:rPr>
        <w:t>המשקל הכולל של הסמים שנתפסו – אלו שגודלו במעבדה ואלו שנתפסו במתחם המגורים – עומד על 33.22 ק"ג.</w:t>
      </w:r>
    </w:p>
    <w:p w14:paraId="362489C4" w14:textId="77777777" w:rsidR="009916F8" w:rsidRPr="00101B3B" w:rsidRDefault="009916F8" w:rsidP="009916F8">
      <w:pPr>
        <w:spacing w:line="360" w:lineRule="auto"/>
        <w:jc w:val="both"/>
        <w:rPr>
          <w:rtl/>
        </w:rPr>
      </w:pPr>
    </w:p>
    <w:p w14:paraId="32C5EDB5" w14:textId="77777777" w:rsidR="009916F8" w:rsidRDefault="009916F8" w:rsidP="009916F8">
      <w:pPr>
        <w:spacing w:line="360" w:lineRule="auto"/>
        <w:jc w:val="both"/>
        <w:rPr>
          <w:rtl/>
        </w:rPr>
      </w:pPr>
      <w:r w:rsidRPr="00101B3B">
        <w:rPr>
          <w:rtl/>
        </w:rPr>
        <w:t>במסגרת הליך ארוך של דיון מקדמי, במסגרתו התקיימו מספר דיונים – הגיעו הצדדים להסדר טיעון והנאשם הודה בעובדות ובעבירות שבכתב אישום מתוקן.</w:t>
      </w:r>
    </w:p>
    <w:p w14:paraId="6E3D19DC" w14:textId="77777777" w:rsidR="009916F8" w:rsidRPr="00101B3B" w:rsidRDefault="009916F8" w:rsidP="009916F8">
      <w:pPr>
        <w:spacing w:line="360" w:lineRule="auto"/>
        <w:jc w:val="both"/>
        <w:rPr>
          <w:rtl/>
        </w:rPr>
      </w:pPr>
      <w:r w:rsidRPr="00101B3B">
        <w:rPr>
          <w:rtl/>
        </w:rPr>
        <w:t>ברם, במועד בו נקבע התיק לשמיעת פרשת העונש – פיטר הנאשם את סנגורו ועתר לחזור בו מהודאתו.</w:t>
      </w:r>
    </w:p>
    <w:p w14:paraId="3915F659" w14:textId="77777777" w:rsidR="009916F8" w:rsidRPr="00101B3B" w:rsidRDefault="009916F8" w:rsidP="009916F8">
      <w:pPr>
        <w:spacing w:line="360" w:lineRule="auto"/>
        <w:jc w:val="both"/>
        <w:rPr>
          <w:rtl/>
        </w:rPr>
      </w:pPr>
    </w:p>
    <w:p w14:paraId="1A987DB0" w14:textId="77777777" w:rsidR="009916F8" w:rsidRPr="00101B3B" w:rsidRDefault="009916F8" w:rsidP="009916F8">
      <w:pPr>
        <w:spacing w:line="360" w:lineRule="auto"/>
        <w:jc w:val="both"/>
        <w:rPr>
          <w:rtl/>
        </w:rPr>
      </w:pPr>
      <w:r w:rsidRPr="00101B3B">
        <w:rPr>
          <w:rtl/>
        </w:rPr>
        <w:t>לבקשת ההגנה – הועבר הדיון בעתירתו זו של הנאשם לפני מותב אחר, אך בשלב מסוים – חזרה בה המאשימה מהתנגדותה לביטול ההודאה והדיון הוחזר למותב זה, אשר הורה, בהסכמת הצדדים, על ביטול הכרעת הדין.</w:t>
      </w:r>
    </w:p>
    <w:p w14:paraId="671A9C1B" w14:textId="77777777" w:rsidR="009916F8" w:rsidRPr="00101B3B" w:rsidRDefault="009916F8" w:rsidP="009916F8">
      <w:pPr>
        <w:spacing w:line="360" w:lineRule="auto"/>
        <w:jc w:val="both"/>
        <w:rPr>
          <w:rtl/>
        </w:rPr>
      </w:pPr>
    </w:p>
    <w:p w14:paraId="02E3A97B" w14:textId="77777777" w:rsidR="009916F8" w:rsidRPr="00101B3B" w:rsidRDefault="009916F8" w:rsidP="009916F8">
      <w:pPr>
        <w:spacing w:line="360" w:lineRule="auto"/>
        <w:jc w:val="both"/>
        <w:rPr>
          <w:rtl/>
        </w:rPr>
      </w:pPr>
      <w:r w:rsidRPr="00101B3B">
        <w:rPr>
          <w:rtl/>
        </w:rPr>
        <w:t>במענה לכתב האישום, מסרה ההגנה, כי הנאשם כופר במיוחס לו; עוד נטען, כי החיפוש לא התבצע במתחם ביתו של הנאשם ולא נערך באופן חוקי, כך שאין לקבל את ממצאיו.</w:t>
      </w:r>
    </w:p>
    <w:p w14:paraId="72E975D9" w14:textId="77777777" w:rsidR="009916F8" w:rsidRPr="00101B3B" w:rsidRDefault="009916F8" w:rsidP="009916F8">
      <w:pPr>
        <w:spacing w:line="360" w:lineRule="auto"/>
        <w:jc w:val="both"/>
        <w:rPr>
          <w:rtl/>
        </w:rPr>
      </w:pPr>
    </w:p>
    <w:p w14:paraId="015AFF72" w14:textId="77777777" w:rsidR="009916F8" w:rsidRPr="00101B3B" w:rsidRDefault="009916F8" w:rsidP="009916F8">
      <w:pPr>
        <w:spacing w:line="360" w:lineRule="auto"/>
        <w:jc w:val="both"/>
        <w:rPr>
          <w:rtl/>
        </w:rPr>
      </w:pPr>
      <w:r w:rsidRPr="00101B3B">
        <w:rPr>
          <w:rtl/>
        </w:rPr>
        <w:t>ההגנה טענה, כי על רקע מה שתואר על ידה כ"מצוקה כספית קשה", בתמורה לכיסוי חובותיו, איפשר הנאשם לאחר להשתמש במחסן בכתובת הנקובה בכתב האישום, מבלי שידע את מטרת השימוש.</w:t>
      </w:r>
    </w:p>
    <w:p w14:paraId="1B067B54" w14:textId="77777777" w:rsidR="009916F8" w:rsidRPr="00101B3B" w:rsidRDefault="009916F8" w:rsidP="009916F8">
      <w:pPr>
        <w:jc w:val="both"/>
      </w:pPr>
    </w:p>
    <w:p w14:paraId="62B600DC" w14:textId="77777777" w:rsidR="009916F8" w:rsidRPr="00101B3B" w:rsidRDefault="009916F8" w:rsidP="009916F8">
      <w:pPr>
        <w:spacing w:line="360" w:lineRule="auto"/>
        <w:jc w:val="both"/>
      </w:pPr>
      <w:r w:rsidRPr="00101B3B">
        <w:rPr>
          <w:rtl/>
        </w:rPr>
        <w:t>לטענת ההגנה, חשש הנאשם מהגורמים העברייניים, שהשתלטו על המבנה, כי יפגעו בו אם לא יעשה דברם ובשל כך – זכאי להגנת הכורח.</w:t>
      </w:r>
    </w:p>
    <w:p w14:paraId="7B4BD7DD" w14:textId="77777777" w:rsidR="009916F8" w:rsidRPr="00101B3B" w:rsidRDefault="009916F8" w:rsidP="009916F8">
      <w:pPr>
        <w:spacing w:line="360" w:lineRule="auto"/>
        <w:jc w:val="both"/>
        <w:rPr>
          <w:rtl/>
        </w:rPr>
      </w:pPr>
    </w:p>
    <w:p w14:paraId="27A53D03" w14:textId="77777777" w:rsidR="009916F8" w:rsidRPr="00101B3B" w:rsidRDefault="009916F8" w:rsidP="009916F8">
      <w:pPr>
        <w:jc w:val="both"/>
        <w:rPr>
          <w:rtl/>
        </w:rPr>
      </w:pPr>
      <w:r w:rsidRPr="00101B3B">
        <w:rPr>
          <w:rtl/>
        </w:rPr>
        <w:t>בנוגע לסמים שנתפסו – טענה ההגנה, כי לא נתפסו בבית הנאשם ולא היו בחזקתו.</w:t>
      </w:r>
    </w:p>
    <w:p w14:paraId="09225C28" w14:textId="77777777" w:rsidR="009916F8" w:rsidRPr="00101B3B" w:rsidRDefault="009916F8" w:rsidP="009916F8">
      <w:pPr>
        <w:spacing w:line="360" w:lineRule="auto"/>
        <w:jc w:val="both"/>
        <w:rPr>
          <w:rtl/>
        </w:rPr>
      </w:pPr>
    </w:p>
    <w:p w14:paraId="063629A0" w14:textId="77777777" w:rsidR="009916F8" w:rsidRDefault="009916F8" w:rsidP="009916F8">
      <w:pPr>
        <w:spacing w:line="360" w:lineRule="auto"/>
        <w:jc w:val="both"/>
        <w:rPr>
          <w:rtl/>
        </w:rPr>
      </w:pPr>
      <w:r w:rsidRPr="00101B3B">
        <w:rPr>
          <w:rtl/>
        </w:rPr>
        <w:t>ההגנה חלקה על קבילות אמרותיו של הנאשם וביקשה לקבוע משפט זוטא. ברם, במהלך קביעת תכנית המשפט הוסכם בין הצדדים, כי שאלת קבילות האמרות תידון תוך כדי המשפט עצמו.</w:t>
      </w:r>
    </w:p>
    <w:p w14:paraId="66E7905A" w14:textId="77777777" w:rsidR="009916F8" w:rsidRDefault="009916F8" w:rsidP="009916F8">
      <w:pPr>
        <w:spacing w:line="360" w:lineRule="auto"/>
        <w:jc w:val="both"/>
        <w:rPr>
          <w:rtl/>
        </w:rPr>
      </w:pPr>
    </w:p>
    <w:p w14:paraId="5C99B37F" w14:textId="77777777" w:rsidR="009916F8" w:rsidRDefault="009916F8" w:rsidP="009916F8">
      <w:pPr>
        <w:spacing w:line="360" w:lineRule="auto"/>
        <w:jc w:val="both"/>
        <w:rPr>
          <w:rFonts w:ascii="Arial" w:hAnsi="Arial"/>
          <w:rtl/>
        </w:rPr>
      </w:pPr>
      <w:r>
        <w:rPr>
          <w:rFonts w:hint="cs"/>
          <w:rtl/>
        </w:rPr>
        <w:t xml:space="preserve">בממצאי הכרעת הדין, קבע בית המשפט, כי התביעה עמדה ברף ההוכחה הנדרש בפלילין </w:t>
      </w:r>
      <w:r>
        <w:rPr>
          <w:rFonts w:ascii="Arial" w:hAnsi="Arial"/>
          <w:rtl/>
        </w:rPr>
        <w:t xml:space="preserve">קרי: מעבר לכל ספק סביר, </w:t>
      </w:r>
      <w:r>
        <w:rPr>
          <w:rFonts w:ascii="Arial" w:hAnsi="Arial" w:hint="cs"/>
          <w:rtl/>
        </w:rPr>
        <w:t xml:space="preserve">להוכחת אשמתו של הנאשם; </w:t>
      </w:r>
      <w:r>
        <w:rPr>
          <w:rFonts w:ascii="Arial" w:hAnsi="Arial"/>
          <w:rtl/>
        </w:rPr>
        <w:t xml:space="preserve">כי הסמים המסוכנים, שנתפסו במחסן שמאחורי בית </w:t>
      </w:r>
      <w:r>
        <w:rPr>
          <w:rFonts w:ascii="Arial" w:hAnsi="Arial"/>
          <w:rtl/>
        </w:rPr>
        <w:lastRenderedPageBreak/>
        <w:t>הנאשם וכן – אלה שנתפסו בביתו – הוחזקו כולם על ידי הנאשם וכי הנאשם היה מעורב בגידול, יצור והכנה של הסם</w:t>
      </w:r>
      <w:r>
        <w:rPr>
          <w:rFonts w:ascii="Arial" w:hAnsi="Arial" w:hint="cs"/>
          <w:rtl/>
        </w:rPr>
        <w:t xml:space="preserve">. </w:t>
      </w:r>
    </w:p>
    <w:p w14:paraId="0F87F112" w14:textId="77777777" w:rsidR="009916F8" w:rsidRDefault="009916F8" w:rsidP="009916F8">
      <w:pPr>
        <w:spacing w:line="360" w:lineRule="auto"/>
        <w:jc w:val="both"/>
        <w:rPr>
          <w:rFonts w:ascii="Arial" w:hAnsi="Arial"/>
          <w:rtl/>
        </w:rPr>
      </w:pPr>
    </w:p>
    <w:p w14:paraId="6D380286" w14:textId="77777777" w:rsidR="009916F8" w:rsidRDefault="009916F8" w:rsidP="009916F8">
      <w:pPr>
        <w:spacing w:line="360" w:lineRule="auto"/>
        <w:jc w:val="both"/>
        <w:rPr>
          <w:rFonts w:ascii="Arial" w:hAnsi="Arial"/>
          <w:rtl/>
        </w:rPr>
      </w:pPr>
      <w:r>
        <w:rPr>
          <w:rFonts w:ascii="Arial" w:hAnsi="Arial" w:hint="cs"/>
          <w:rtl/>
        </w:rPr>
        <w:t xml:space="preserve">בית המשפט לא מצא לקבל טענות ההגנה, כי הנאשם לא היה מודע לגידול הסמים, או </w:t>
      </w:r>
      <w:r>
        <w:rPr>
          <w:rFonts w:ascii="Arial" w:hAnsi="Arial"/>
          <w:rtl/>
        </w:rPr>
        <w:t>–</w:t>
      </w:r>
      <w:r>
        <w:rPr>
          <w:rFonts w:ascii="Arial" w:hAnsi="Arial" w:hint="cs"/>
          <w:rtl/>
        </w:rPr>
        <w:t xml:space="preserve"> כי פעל מתוך כורח, או אילוץ.</w:t>
      </w:r>
    </w:p>
    <w:p w14:paraId="18C5B75B" w14:textId="77777777" w:rsidR="009916F8" w:rsidRDefault="009916F8" w:rsidP="009916F8">
      <w:pPr>
        <w:spacing w:line="360" w:lineRule="auto"/>
        <w:jc w:val="both"/>
        <w:rPr>
          <w:rFonts w:ascii="Arial" w:hAnsi="Arial"/>
          <w:rtl/>
        </w:rPr>
      </w:pPr>
    </w:p>
    <w:p w14:paraId="7417EE74" w14:textId="77777777" w:rsidR="009916F8" w:rsidRDefault="009916F8" w:rsidP="009916F8">
      <w:pPr>
        <w:spacing w:line="360" w:lineRule="auto"/>
        <w:jc w:val="both"/>
        <w:rPr>
          <w:rFonts w:ascii="Arial" w:hAnsi="Arial"/>
          <w:rtl/>
        </w:rPr>
      </w:pPr>
      <w:r>
        <w:rPr>
          <w:rFonts w:ascii="Arial" w:hAnsi="Arial" w:hint="cs"/>
          <w:rtl/>
        </w:rPr>
        <w:t>על כן, הרשיע בית המשפט את הנאשם בעובדות והעבירות שיוחסו לו בכתב האישום.</w:t>
      </w:r>
    </w:p>
    <w:p w14:paraId="5523D485" w14:textId="77777777" w:rsidR="009916F8" w:rsidRDefault="009916F8" w:rsidP="009916F8">
      <w:pPr>
        <w:spacing w:line="360" w:lineRule="auto"/>
        <w:jc w:val="both"/>
        <w:rPr>
          <w:rFonts w:ascii="Arial" w:hAnsi="Arial"/>
          <w:rtl/>
        </w:rPr>
      </w:pPr>
    </w:p>
    <w:p w14:paraId="5A9CE03C" w14:textId="77777777" w:rsidR="009916F8" w:rsidRDefault="009916F8" w:rsidP="009916F8">
      <w:pPr>
        <w:spacing w:line="360" w:lineRule="auto"/>
        <w:jc w:val="both"/>
        <w:rPr>
          <w:rFonts w:ascii="Arial" w:hAnsi="Arial"/>
          <w:rtl/>
        </w:rPr>
      </w:pPr>
      <w:r>
        <w:rPr>
          <w:rFonts w:ascii="Arial" w:hAnsi="Arial" w:hint="cs"/>
          <w:rtl/>
        </w:rPr>
        <w:t xml:space="preserve">לאחר שימוע הכרעת הדין, טענו הצדדים לענין העונש, ומכאן </w:t>
      </w:r>
      <w:r>
        <w:rPr>
          <w:rFonts w:ascii="Arial" w:hAnsi="Arial"/>
          <w:rtl/>
        </w:rPr>
        <w:t>–</w:t>
      </w:r>
      <w:r>
        <w:rPr>
          <w:rFonts w:ascii="Arial" w:hAnsi="Arial" w:hint="cs"/>
          <w:rtl/>
        </w:rPr>
        <w:t xml:space="preserve"> גזר דין זה.</w:t>
      </w:r>
    </w:p>
    <w:p w14:paraId="4F53498B" w14:textId="77777777" w:rsidR="009916F8" w:rsidRDefault="009916F8" w:rsidP="009916F8">
      <w:pPr>
        <w:spacing w:line="360" w:lineRule="auto"/>
        <w:jc w:val="both"/>
        <w:rPr>
          <w:rFonts w:ascii="Arial" w:hAnsi="Arial"/>
          <w:rtl/>
        </w:rPr>
      </w:pPr>
    </w:p>
    <w:p w14:paraId="49393AFA" w14:textId="77777777" w:rsidR="009916F8" w:rsidRDefault="009916F8" w:rsidP="009916F8">
      <w:pPr>
        <w:spacing w:line="360" w:lineRule="auto"/>
        <w:jc w:val="both"/>
        <w:rPr>
          <w:rFonts w:ascii="Arial" w:hAnsi="Arial"/>
          <w:rtl/>
        </w:rPr>
      </w:pPr>
    </w:p>
    <w:p w14:paraId="33986EB9" w14:textId="77777777" w:rsidR="009916F8" w:rsidRDefault="009916F8" w:rsidP="009916F8">
      <w:pPr>
        <w:spacing w:line="360" w:lineRule="auto"/>
        <w:jc w:val="both"/>
        <w:rPr>
          <w:rFonts w:ascii="Arial" w:hAnsi="Arial"/>
          <w:rtl/>
        </w:rPr>
      </w:pPr>
      <w:r>
        <w:rPr>
          <w:rFonts w:ascii="Arial" w:hAnsi="Arial" w:hint="cs"/>
          <w:b/>
          <w:bCs/>
          <w:rtl/>
        </w:rPr>
        <w:t>ראיות לעונש</w:t>
      </w:r>
    </w:p>
    <w:p w14:paraId="79DC8A3E" w14:textId="77777777" w:rsidR="009916F8" w:rsidRDefault="009916F8" w:rsidP="009916F8">
      <w:pPr>
        <w:spacing w:line="360" w:lineRule="auto"/>
        <w:jc w:val="both"/>
        <w:rPr>
          <w:rFonts w:ascii="Arial" w:hAnsi="Arial"/>
          <w:rtl/>
        </w:rPr>
      </w:pPr>
    </w:p>
    <w:p w14:paraId="1CB060F7" w14:textId="77777777" w:rsidR="009916F8" w:rsidRDefault="009916F8" w:rsidP="009916F8">
      <w:pPr>
        <w:spacing w:line="360" w:lineRule="auto"/>
        <w:jc w:val="both"/>
        <w:rPr>
          <w:rFonts w:ascii="Arial" w:hAnsi="Arial"/>
          <w:rtl/>
        </w:rPr>
      </w:pPr>
      <w:r>
        <w:rPr>
          <w:rFonts w:ascii="Arial" w:hAnsi="Arial" w:hint="cs"/>
          <w:u w:val="single"/>
          <w:rtl/>
        </w:rPr>
        <w:t>התביעה</w:t>
      </w:r>
      <w:r>
        <w:rPr>
          <w:rFonts w:ascii="Arial" w:hAnsi="Arial" w:hint="cs"/>
          <w:rtl/>
        </w:rPr>
        <w:t xml:space="preserve"> לא הגישה ראיות לענין העונש, אך ביקשה להפנות למוצג ת/3ב </w:t>
      </w:r>
      <w:r>
        <w:rPr>
          <w:rFonts w:ascii="Arial" w:hAnsi="Arial"/>
          <w:rtl/>
        </w:rPr>
        <w:t>–</w:t>
      </w:r>
      <w:r>
        <w:rPr>
          <w:rFonts w:ascii="Arial" w:hAnsi="Arial" w:hint="cs"/>
          <w:rtl/>
        </w:rPr>
        <w:t>תמונות בסריקה צבעונית של שתילי הסמים שנתפסו אצל הנאשם.</w:t>
      </w:r>
    </w:p>
    <w:p w14:paraId="3584A1B2" w14:textId="77777777" w:rsidR="009916F8" w:rsidRDefault="009916F8" w:rsidP="009916F8">
      <w:pPr>
        <w:spacing w:line="360" w:lineRule="auto"/>
        <w:jc w:val="both"/>
        <w:rPr>
          <w:rFonts w:ascii="Arial" w:hAnsi="Arial"/>
          <w:rtl/>
        </w:rPr>
      </w:pPr>
    </w:p>
    <w:p w14:paraId="3C3C0BD2" w14:textId="77777777" w:rsidR="009916F8" w:rsidRDefault="009916F8" w:rsidP="009916F8">
      <w:pPr>
        <w:spacing w:line="360" w:lineRule="auto"/>
        <w:jc w:val="both"/>
        <w:rPr>
          <w:rFonts w:ascii="Arial" w:hAnsi="Arial"/>
          <w:rtl/>
        </w:rPr>
      </w:pPr>
      <w:r>
        <w:rPr>
          <w:rFonts w:ascii="Arial" w:hAnsi="Arial" w:hint="cs"/>
          <w:u w:val="single"/>
          <w:rtl/>
        </w:rPr>
        <w:t>ההגנה</w:t>
      </w:r>
      <w:r>
        <w:rPr>
          <w:rFonts w:ascii="Arial" w:hAnsi="Arial" w:hint="cs"/>
          <w:rtl/>
        </w:rPr>
        <w:t xml:space="preserve"> הגישה, לענין העונש, סיכום מידע רפואי של הנאשם (נ/2) </w:t>
      </w:r>
      <w:r>
        <w:rPr>
          <w:rFonts w:ascii="Arial" w:hAnsi="Arial"/>
          <w:rtl/>
        </w:rPr>
        <w:t>–</w:t>
      </w:r>
      <w:r>
        <w:rPr>
          <w:rFonts w:ascii="Arial" w:hAnsi="Arial" w:hint="cs"/>
          <w:rtl/>
        </w:rPr>
        <w:t xml:space="preserve"> הנאשם סובל מסכרת, יתר לחץ דם, כאבי גב והשמנת יתר.</w:t>
      </w:r>
    </w:p>
    <w:p w14:paraId="669E4F2E" w14:textId="77777777" w:rsidR="009916F8" w:rsidRDefault="009916F8" w:rsidP="009916F8">
      <w:pPr>
        <w:spacing w:line="360" w:lineRule="auto"/>
        <w:jc w:val="both"/>
        <w:rPr>
          <w:rFonts w:ascii="Arial" w:hAnsi="Arial"/>
          <w:rtl/>
        </w:rPr>
      </w:pPr>
    </w:p>
    <w:p w14:paraId="62507405" w14:textId="77777777" w:rsidR="009916F8" w:rsidRDefault="009916F8" w:rsidP="009916F8">
      <w:pPr>
        <w:spacing w:line="360" w:lineRule="auto"/>
        <w:jc w:val="both"/>
        <w:rPr>
          <w:rFonts w:ascii="Arial" w:hAnsi="Arial"/>
          <w:rtl/>
        </w:rPr>
      </w:pPr>
    </w:p>
    <w:p w14:paraId="437FDBA0" w14:textId="77777777" w:rsidR="009916F8" w:rsidRDefault="009916F8" w:rsidP="009916F8">
      <w:pPr>
        <w:spacing w:line="360" w:lineRule="auto"/>
        <w:jc w:val="both"/>
        <w:rPr>
          <w:rFonts w:ascii="Arial" w:hAnsi="Arial"/>
          <w:rtl/>
        </w:rPr>
      </w:pPr>
      <w:r>
        <w:rPr>
          <w:rFonts w:ascii="Arial" w:hAnsi="Arial" w:hint="cs"/>
          <w:b/>
          <w:bCs/>
          <w:rtl/>
        </w:rPr>
        <w:t>טענות הצדדים</w:t>
      </w:r>
    </w:p>
    <w:p w14:paraId="1B1973FA" w14:textId="77777777" w:rsidR="009916F8" w:rsidRDefault="009916F8" w:rsidP="009916F8">
      <w:pPr>
        <w:spacing w:line="360" w:lineRule="auto"/>
        <w:jc w:val="both"/>
        <w:rPr>
          <w:rFonts w:ascii="Arial" w:hAnsi="Arial"/>
          <w:rtl/>
        </w:rPr>
      </w:pPr>
    </w:p>
    <w:p w14:paraId="3A82F20C" w14:textId="77777777" w:rsidR="009916F8" w:rsidRDefault="009916F8" w:rsidP="009916F8">
      <w:pPr>
        <w:spacing w:line="360" w:lineRule="auto"/>
        <w:jc w:val="both"/>
        <w:rPr>
          <w:rFonts w:ascii="Arial" w:hAnsi="Arial"/>
          <w:rtl/>
        </w:rPr>
      </w:pPr>
      <w:r>
        <w:rPr>
          <w:rFonts w:ascii="Arial" w:hAnsi="Arial" w:hint="cs"/>
          <w:u w:val="single"/>
          <w:rtl/>
        </w:rPr>
        <w:t>התביעה</w:t>
      </w:r>
      <w:r>
        <w:rPr>
          <w:rFonts w:ascii="Arial" w:hAnsi="Arial" w:hint="cs"/>
          <w:rtl/>
        </w:rPr>
        <w:t xml:space="preserve"> הגישה טיעוניה בכתב והשלימה אותן על פה.</w:t>
      </w:r>
    </w:p>
    <w:p w14:paraId="4C8C80FD" w14:textId="77777777" w:rsidR="009916F8" w:rsidRDefault="009916F8" w:rsidP="009916F8">
      <w:pPr>
        <w:spacing w:line="360" w:lineRule="auto"/>
        <w:jc w:val="both"/>
        <w:rPr>
          <w:rFonts w:ascii="Arial" w:hAnsi="Arial"/>
          <w:rtl/>
        </w:rPr>
      </w:pPr>
    </w:p>
    <w:p w14:paraId="453D4074" w14:textId="77777777" w:rsidR="009916F8" w:rsidRDefault="009916F8" w:rsidP="009916F8">
      <w:pPr>
        <w:spacing w:line="360" w:lineRule="auto"/>
        <w:jc w:val="both"/>
        <w:rPr>
          <w:rFonts w:ascii="Arial" w:hAnsi="Arial"/>
          <w:rtl/>
        </w:rPr>
      </w:pPr>
      <w:r>
        <w:rPr>
          <w:rFonts w:ascii="Arial" w:hAnsi="Arial" w:hint="cs"/>
          <w:rtl/>
        </w:rPr>
        <w:t>התביעה הדגישה הערכים המוגנים שנפגעו, בהם הגנה על שלום הציבור ובריאותו ופגיעה בסדר הציבורי.</w:t>
      </w:r>
    </w:p>
    <w:p w14:paraId="59DE741C" w14:textId="77777777" w:rsidR="009916F8" w:rsidRDefault="009916F8" w:rsidP="009916F8">
      <w:pPr>
        <w:spacing w:line="360" w:lineRule="auto"/>
        <w:jc w:val="both"/>
        <w:rPr>
          <w:rFonts w:ascii="Arial" w:hAnsi="Arial"/>
          <w:rtl/>
        </w:rPr>
      </w:pPr>
    </w:p>
    <w:p w14:paraId="46194B6F" w14:textId="77777777" w:rsidR="009916F8" w:rsidRDefault="009916F8" w:rsidP="009916F8">
      <w:pPr>
        <w:spacing w:line="360" w:lineRule="auto"/>
        <w:jc w:val="both"/>
        <w:rPr>
          <w:rFonts w:ascii="Arial" w:hAnsi="Arial"/>
          <w:rtl/>
        </w:rPr>
      </w:pPr>
      <w:r>
        <w:rPr>
          <w:rFonts w:ascii="Arial" w:hAnsi="Arial" w:hint="cs"/>
          <w:rtl/>
        </w:rPr>
        <w:t>התביעה הדגישה החשיבות בענישה שתרתיע את היחיד והרבים מלעבור עבירות סמים וטענה, כי בעבירות מסוג זה, נסוגות הנסיבות האישיות של הנאשם מפני האינטרס הציבורי.</w:t>
      </w:r>
    </w:p>
    <w:p w14:paraId="536FC56D" w14:textId="77777777" w:rsidR="009916F8" w:rsidRDefault="009916F8" w:rsidP="009916F8">
      <w:pPr>
        <w:spacing w:line="360" w:lineRule="auto"/>
        <w:jc w:val="both"/>
        <w:rPr>
          <w:rFonts w:ascii="Arial" w:hAnsi="Arial"/>
          <w:rtl/>
        </w:rPr>
      </w:pPr>
    </w:p>
    <w:p w14:paraId="01F5DA37" w14:textId="77777777" w:rsidR="009916F8" w:rsidRDefault="009916F8" w:rsidP="009916F8">
      <w:pPr>
        <w:spacing w:line="360" w:lineRule="auto"/>
        <w:jc w:val="both"/>
        <w:rPr>
          <w:rFonts w:ascii="Arial" w:hAnsi="Arial"/>
          <w:rtl/>
        </w:rPr>
      </w:pPr>
      <w:r>
        <w:rPr>
          <w:rFonts w:ascii="Arial" w:hAnsi="Arial" w:hint="cs"/>
          <w:rtl/>
        </w:rPr>
        <w:t>התביעה עמדה על התכנון הרב מצידו של הנאשם, אשר ערך אופרציה שלמה לצורך הקמת מעבדה מעבדה לגידול סמים בביתו, וגידל אותם במשך תקופה ארוכה.</w:t>
      </w:r>
    </w:p>
    <w:p w14:paraId="4FC12DDF" w14:textId="77777777" w:rsidR="009916F8" w:rsidRDefault="009916F8" w:rsidP="009916F8">
      <w:pPr>
        <w:spacing w:line="360" w:lineRule="auto"/>
        <w:jc w:val="both"/>
        <w:rPr>
          <w:rFonts w:ascii="Arial" w:hAnsi="Arial"/>
          <w:rtl/>
        </w:rPr>
      </w:pPr>
    </w:p>
    <w:p w14:paraId="41099F34" w14:textId="77777777" w:rsidR="009916F8" w:rsidRDefault="009916F8" w:rsidP="009916F8">
      <w:pPr>
        <w:spacing w:line="360" w:lineRule="auto"/>
        <w:jc w:val="both"/>
        <w:rPr>
          <w:rFonts w:ascii="Arial" w:hAnsi="Arial"/>
          <w:rtl/>
        </w:rPr>
      </w:pPr>
      <w:r>
        <w:rPr>
          <w:rFonts w:ascii="Arial" w:hAnsi="Arial" w:hint="cs"/>
          <w:rtl/>
        </w:rPr>
        <w:t>התביעה הדגישה העובדה, כי הנאשם בחר להקים את המעבדה במחסן ביתו, במקום נסתר, שאלמלא השקעת משאבים מודיעיניים, כלל לא היה בידי רשויות החוק לאתרו, שעה שבביתו נמצאים נשותיו וילדיו.</w:t>
      </w:r>
    </w:p>
    <w:p w14:paraId="292D5A8B" w14:textId="77777777" w:rsidR="009916F8" w:rsidRDefault="009916F8" w:rsidP="009916F8">
      <w:pPr>
        <w:spacing w:line="360" w:lineRule="auto"/>
        <w:jc w:val="both"/>
        <w:rPr>
          <w:rFonts w:ascii="Arial" w:hAnsi="Arial"/>
          <w:rtl/>
        </w:rPr>
      </w:pPr>
    </w:p>
    <w:p w14:paraId="4BF7595E" w14:textId="77777777" w:rsidR="009916F8" w:rsidRDefault="009916F8" w:rsidP="009916F8">
      <w:pPr>
        <w:spacing w:line="360" w:lineRule="auto"/>
        <w:jc w:val="both"/>
        <w:rPr>
          <w:rFonts w:ascii="Arial" w:hAnsi="Arial"/>
          <w:rtl/>
        </w:rPr>
      </w:pPr>
      <w:r>
        <w:rPr>
          <w:rFonts w:ascii="Arial" w:hAnsi="Arial" w:hint="cs"/>
          <w:rtl/>
        </w:rPr>
        <w:t xml:space="preserve">התביעה הפנתה לתמונות ת/3ב, מהן ניתן ללמוד, כי השתילים שנתפסו הינם שתילים בוגרים, ולפיכך, נמשך גידול צמחי הסם במתחם הייעודי שהקים הנאשם </w:t>
      </w:r>
      <w:r>
        <w:rPr>
          <w:rFonts w:ascii="Arial" w:hAnsi="Arial"/>
          <w:rtl/>
        </w:rPr>
        <w:t>–</w:t>
      </w:r>
      <w:r>
        <w:rPr>
          <w:rFonts w:ascii="Arial" w:hAnsi="Arial" w:hint="cs"/>
          <w:rtl/>
        </w:rPr>
        <w:t xml:space="preserve"> זמן רב.</w:t>
      </w:r>
    </w:p>
    <w:p w14:paraId="6B2C40F0" w14:textId="77777777" w:rsidR="009916F8" w:rsidRDefault="009916F8" w:rsidP="009916F8">
      <w:pPr>
        <w:spacing w:line="360" w:lineRule="auto"/>
        <w:jc w:val="both"/>
        <w:rPr>
          <w:rFonts w:ascii="Arial" w:hAnsi="Arial"/>
          <w:rtl/>
        </w:rPr>
      </w:pPr>
    </w:p>
    <w:p w14:paraId="1BC43691" w14:textId="77777777" w:rsidR="009916F8" w:rsidRDefault="009916F8" w:rsidP="009916F8">
      <w:pPr>
        <w:spacing w:line="360" w:lineRule="auto"/>
        <w:jc w:val="both"/>
        <w:rPr>
          <w:rFonts w:ascii="Arial" w:hAnsi="Arial"/>
          <w:rtl/>
        </w:rPr>
      </w:pPr>
      <w:r>
        <w:rPr>
          <w:rFonts w:ascii="Arial" w:hAnsi="Arial" w:hint="cs"/>
          <w:rtl/>
        </w:rPr>
        <w:t>התביעה הדגישה משקלם הרב של השתילים.</w:t>
      </w:r>
    </w:p>
    <w:p w14:paraId="516E2A6C" w14:textId="77777777" w:rsidR="009916F8" w:rsidRDefault="009916F8" w:rsidP="009916F8">
      <w:pPr>
        <w:spacing w:line="360" w:lineRule="auto"/>
        <w:jc w:val="both"/>
        <w:rPr>
          <w:rFonts w:ascii="Arial" w:hAnsi="Arial"/>
          <w:rtl/>
        </w:rPr>
      </w:pPr>
    </w:p>
    <w:p w14:paraId="0A5E5199" w14:textId="77777777" w:rsidR="009916F8" w:rsidRDefault="009916F8" w:rsidP="009916F8">
      <w:pPr>
        <w:spacing w:line="360" w:lineRule="auto"/>
        <w:jc w:val="both"/>
        <w:rPr>
          <w:rFonts w:ascii="Arial" w:hAnsi="Arial"/>
          <w:rtl/>
        </w:rPr>
      </w:pPr>
      <w:r>
        <w:rPr>
          <w:rFonts w:ascii="Arial" w:hAnsi="Arial" w:hint="cs"/>
          <w:rtl/>
        </w:rPr>
        <w:t>התביעה הדגישה הנזק הפוטנציאלי מהעבירות, הן לאלו המשתמשים בסמים והן לציבור, אשר נפגע מעבירות "נלוות" כגון עבירות אלימות ורכוש על ידי צרכני סמים, אשר מחפשים מקור מימון לרכישת סמים.</w:t>
      </w:r>
    </w:p>
    <w:p w14:paraId="5F6CFE52" w14:textId="77777777" w:rsidR="009916F8" w:rsidRDefault="009916F8" w:rsidP="009916F8">
      <w:pPr>
        <w:spacing w:line="360" w:lineRule="auto"/>
        <w:jc w:val="both"/>
        <w:rPr>
          <w:rFonts w:ascii="Arial" w:hAnsi="Arial"/>
          <w:rtl/>
        </w:rPr>
      </w:pPr>
    </w:p>
    <w:p w14:paraId="73658247" w14:textId="77777777" w:rsidR="009916F8" w:rsidRDefault="009916F8" w:rsidP="009916F8">
      <w:pPr>
        <w:spacing w:line="360" w:lineRule="auto"/>
        <w:jc w:val="both"/>
        <w:rPr>
          <w:rFonts w:ascii="Arial" w:hAnsi="Arial"/>
          <w:rtl/>
        </w:rPr>
      </w:pPr>
      <w:r>
        <w:rPr>
          <w:rFonts w:ascii="Arial" w:hAnsi="Arial" w:hint="cs"/>
          <w:rtl/>
        </w:rPr>
        <w:t>התביעה טענה, כי הנאשם עבר העבירות מתוך מניע של רווח כלכלי.</w:t>
      </w:r>
    </w:p>
    <w:p w14:paraId="1843CC9D" w14:textId="77777777" w:rsidR="009916F8" w:rsidRDefault="009916F8" w:rsidP="009916F8">
      <w:pPr>
        <w:spacing w:line="360" w:lineRule="auto"/>
        <w:jc w:val="both"/>
        <w:rPr>
          <w:rFonts w:ascii="Arial" w:hAnsi="Arial"/>
          <w:rtl/>
        </w:rPr>
      </w:pPr>
    </w:p>
    <w:p w14:paraId="7C0D6F62" w14:textId="77777777" w:rsidR="009916F8" w:rsidRDefault="009916F8" w:rsidP="009916F8">
      <w:pPr>
        <w:spacing w:line="360" w:lineRule="auto"/>
        <w:jc w:val="both"/>
        <w:rPr>
          <w:rFonts w:ascii="Arial" w:hAnsi="Arial"/>
          <w:rtl/>
        </w:rPr>
      </w:pPr>
      <w:r>
        <w:rPr>
          <w:rFonts w:ascii="Arial" w:hAnsi="Arial" w:hint="cs"/>
          <w:rtl/>
        </w:rPr>
        <w:t>התביעה טענה, כי הנאשם לא נטל אחריות על מעשיו, חזר בו מהודאתו, וניסה להשליך האחריות על אחרים כגון בני משפחתו ואחרים.</w:t>
      </w:r>
    </w:p>
    <w:p w14:paraId="2A770654" w14:textId="77777777" w:rsidR="009916F8" w:rsidRDefault="009916F8" w:rsidP="009916F8">
      <w:pPr>
        <w:spacing w:line="360" w:lineRule="auto"/>
        <w:jc w:val="both"/>
        <w:rPr>
          <w:rFonts w:ascii="Arial" w:hAnsi="Arial"/>
          <w:rtl/>
        </w:rPr>
      </w:pPr>
    </w:p>
    <w:p w14:paraId="333A8495" w14:textId="77777777" w:rsidR="009916F8" w:rsidRDefault="009916F8" w:rsidP="009916F8">
      <w:pPr>
        <w:spacing w:line="360" w:lineRule="auto"/>
        <w:jc w:val="both"/>
        <w:rPr>
          <w:rFonts w:ascii="Arial" w:hAnsi="Arial"/>
          <w:rtl/>
        </w:rPr>
      </w:pPr>
      <w:r>
        <w:rPr>
          <w:rFonts w:ascii="Arial" w:hAnsi="Arial" w:hint="cs"/>
          <w:rtl/>
        </w:rPr>
        <w:t>התביעה טענה, שדווקא בשל גילו המבוגר של הנאשם, מצופה ממנו להתנהגות ראויה.</w:t>
      </w:r>
    </w:p>
    <w:p w14:paraId="66FD0737" w14:textId="77777777" w:rsidR="009916F8" w:rsidRDefault="009916F8" w:rsidP="009916F8">
      <w:pPr>
        <w:spacing w:line="360" w:lineRule="auto"/>
        <w:jc w:val="both"/>
        <w:rPr>
          <w:rFonts w:ascii="Arial" w:hAnsi="Arial"/>
          <w:rtl/>
        </w:rPr>
      </w:pPr>
    </w:p>
    <w:p w14:paraId="140AC6F0" w14:textId="77777777" w:rsidR="009916F8" w:rsidRDefault="009916F8" w:rsidP="009916F8">
      <w:pPr>
        <w:spacing w:line="360" w:lineRule="auto"/>
        <w:jc w:val="both"/>
        <w:rPr>
          <w:rFonts w:ascii="Arial" w:hAnsi="Arial"/>
          <w:rtl/>
        </w:rPr>
      </w:pPr>
      <w:r>
        <w:rPr>
          <w:rFonts w:ascii="Arial" w:hAnsi="Arial" w:hint="cs"/>
          <w:rtl/>
        </w:rPr>
        <w:t>התביעה עתרה למתחם ענישה הנע בין 24 ל-48 חודשי מאסר בפועל.</w:t>
      </w:r>
    </w:p>
    <w:p w14:paraId="7C7EA59F" w14:textId="77777777" w:rsidR="009916F8" w:rsidRDefault="009916F8" w:rsidP="009916F8">
      <w:pPr>
        <w:spacing w:line="360" w:lineRule="auto"/>
        <w:jc w:val="both"/>
        <w:rPr>
          <w:rFonts w:ascii="Arial" w:hAnsi="Arial"/>
          <w:rtl/>
        </w:rPr>
      </w:pPr>
    </w:p>
    <w:p w14:paraId="21A4CD0F" w14:textId="77777777" w:rsidR="009916F8" w:rsidRDefault="009916F8" w:rsidP="009916F8">
      <w:pPr>
        <w:spacing w:line="360" w:lineRule="auto"/>
        <w:jc w:val="both"/>
        <w:rPr>
          <w:rFonts w:ascii="Arial" w:hAnsi="Arial"/>
          <w:rtl/>
        </w:rPr>
      </w:pPr>
      <w:r>
        <w:rPr>
          <w:rFonts w:ascii="Arial" w:hAnsi="Arial" w:hint="cs"/>
          <w:rtl/>
        </w:rPr>
        <w:t>התביעה ביקשה למקם עונשו של הנאשם בשליש השני של מתחם הענישה ולא בתחתיתו.</w:t>
      </w:r>
    </w:p>
    <w:p w14:paraId="4A5B7B82" w14:textId="77777777" w:rsidR="009916F8" w:rsidRDefault="009916F8" w:rsidP="009916F8">
      <w:pPr>
        <w:spacing w:line="360" w:lineRule="auto"/>
        <w:jc w:val="both"/>
        <w:rPr>
          <w:rFonts w:ascii="Arial" w:hAnsi="Arial"/>
          <w:rtl/>
        </w:rPr>
      </w:pPr>
    </w:p>
    <w:p w14:paraId="329E19DF" w14:textId="77777777" w:rsidR="009916F8" w:rsidRDefault="009916F8" w:rsidP="009916F8">
      <w:pPr>
        <w:spacing w:line="360" w:lineRule="auto"/>
        <w:jc w:val="both"/>
        <w:rPr>
          <w:rFonts w:ascii="Arial" w:hAnsi="Arial"/>
          <w:rtl/>
        </w:rPr>
      </w:pPr>
      <w:r>
        <w:rPr>
          <w:rFonts w:ascii="Arial" w:hAnsi="Arial" w:hint="cs"/>
          <w:rtl/>
        </w:rPr>
        <w:t>כן, ביקשה התביעה להטיל על הנאשם מאסר על תנאי, קנס ופסילת רישיון נהיגה.</w:t>
      </w:r>
    </w:p>
    <w:p w14:paraId="76534C36" w14:textId="77777777" w:rsidR="009916F8" w:rsidRDefault="009916F8" w:rsidP="009916F8">
      <w:pPr>
        <w:spacing w:line="360" w:lineRule="auto"/>
        <w:jc w:val="both"/>
        <w:rPr>
          <w:rFonts w:ascii="Arial" w:hAnsi="Arial"/>
          <w:rtl/>
        </w:rPr>
      </w:pPr>
    </w:p>
    <w:p w14:paraId="749FA967" w14:textId="77777777" w:rsidR="009916F8" w:rsidRDefault="009916F8" w:rsidP="009916F8">
      <w:pPr>
        <w:spacing w:line="360" w:lineRule="auto"/>
        <w:jc w:val="both"/>
        <w:rPr>
          <w:rFonts w:ascii="Arial" w:hAnsi="Arial"/>
          <w:rtl/>
        </w:rPr>
      </w:pPr>
    </w:p>
    <w:p w14:paraId="2C32C2F0" w14:textId="77777777" w:rsidR="009916F8" w:rsidRDefault="009916F8" w:rsidP="009916F8">
      <w:pPr>
        <w:spacing w:line="360" w:lineRule="auto"/>
        <w:jc w:val="both"/>
        <w:rPr>
          <w:rFonts w:ascii="Arial" w:hAnsi="Arial"/>
          <w:rtl/>
        </w:rPr>
      </w:pPr>
      <w:r>
        <w:rPr>
          <w:rFonts w:ascii="Arial" w:hAnsi="Arial" w:hint="cs"/>
          <w:u w:val="single"/>
          <w:rtl/>
        </w:rPr>
        <w:t>ההגנה</w:t>
      </w:r>
      <w:r>
        <w:rPr>
          <w:rFonts w:ascii="Arial" w:hAnsi="Arial" w:hint="cs"/>
          <w:rtl/>
        </w:rPr>
        <w:t xml:space="preserve"> טענה, כי מדובר בסמים שאינם מסווגים כסמים קשים; כי בתקופה החדשה </w:t>
      </w:r>
      <w:r>
        <w:rPr>
          <w:rFonts w:ascii="Arial" w:hAnsi="Arial"/>
          <w:rtl/>
        </w:rPr>
        <w:t>–</w:t>
      </w:r>
      <w:r>
        <w:rPr>
          <w:rFonts w:ascii="Arial" w:hAnsi="Arial" w:hint="cs"/>
          <w:rtl/>
        </w:rPr>
        <w:t xml:space="preserve"> נושבות רוחות חדשות, במסגרתן אין נתפסים עוד סמים אלה כגורמים נזק לחברה וכי בשל כך </w:t>
      </w:r>
      <w:r>
        <w:rPr>
          <w:rFonts w:ascii="Arial" w:hAnsi="Arial"/>
          <w:rtl/>
        </w:rPr>
        <w:t>–</w:t>
      </w:r>
      <w:r>
        <w:rPr>
          <w:rFonts w:ascii="Arial" w:hAnsi="Arial" w:hint="cs"/>
          <w:rtl/>
        </w:rPr>
        <w:t xml:space="preserve"> יש להקל עם הנאשם. </w:t>
      </w:r>
    </w:p>
    <w:p w14:paraId="326D4808" w14:textId="77777777" w:rsidR="009916F8" w:rsidRDefault="009916F8" w:rsidP="009916F8">
      <w:pPr>
        <w:spacing w:line="360" w:lineRule="auto"/>
        <w:jc w:val="both"/>
        <w:rPr>
          <w:rFonts w:ascii="Arial" w:hAnsi="Arial"/>
          <w:rtl/>
        </w:rPr>
      </w:pPr>
    </w:p>
    <w:p w14:paraId="25712264" w14:textId="77777777" w:rsidR="009916F8" w:rsidRDefault="009916F8" w:rsidP="009916F8">
      <w:pPr>
        <w:spacing w:line="360" w:lineRule="auto"/>
        <w:jc w:val="both"/>
        <w:rPr>
          <w:rFonts w:ascii="Arial" w:hAnsi="Arial"/>
          <w:rtl/>
        </w:rPr>
      </w:pPr>
      <w:r>
        <w:rPr>
          <w:rFonts w:ascii="Arial" w:hAnsi="Arial" w:hint="cs"/>
          <w:rtl/>
        </w:rPr>
        <w:t>ההגנה ביקשה להתחשב בגילו של הנאשם, כבן 60, אב ל-17 ילדים.</w:t>
      </w:r>
    </w:p>
    <w:p w14:paraId="004114BF" w14:textId="77777777" w:rsidR="009916F8" w:rsidRDefault="009916F8" w:rsidP="009916F8">
      <w:pPr>
        <w:spacing w:line="360" w:lineRule="auto"/>
        <w:jc w:val="both"/>
        <w:rPr>
          <w:rFonts w:ascii="Arial" w:hAnsi="Arial"/>
          <w:rtl/>
        </w:rPr>
      </w:pPr>
    </w:p>
    <w:p w14:paraId="5BC5A2A0" w14:textId="77777777" w:rsidR="009916F8" w:rsidRDefault="009916F8" w:rsidP="009916F8">
      <w:pPr>
        <w:spacing w:line="360" w:lineRule="auto"/>
        <w:jc w:val="both"/>
        <w:rPr>
          <w:rFonts w:ascii="Arial" w:hAnsi="Arial"/>
          <w:rtl/>
        </w:rPr>
      </w:pPr>
      <w:r>
        <w:rPr>
          <w:rFonts w:ascii="Arial" w:hAnsi="Arial" w:hint="cs"/>
          <w:rtl/>
        </w:rPr>
        <w:t>ההגנה ביקשה לייחס משקל להיעדר הרשעות קודמות.</w:t>
      </w:r>
    </w:p>
    <w:p w14:paraId="47FCB9A7" w14:textId="77777777" w:rsidR="009916F8" w:rsidRDefault="009916F8" w:rsidP="009916F8">
      <w:pPr>
        <w:spacing w:line="360" w:lineRule="auto"/>
        <w:jc w:val="both"/>
        <w:rPr>
          <w:rFonts w:ascii="Arial" w:hAnsi="Arial"/>
          <w:rtl/>
        </w:rPr>
      </w:pPr>
      <w:r>
        <w:rPr>
          <w:rFonts w:ascii="Arial" w:hAnsi="Arial" w:hint="cs"/>
          <w:rtl/>
        </w:rPr>
        <w:t>ההגנה ביקשה שלא לזקוף לחובת הנאשם את חזרתו מהודאה וניהול הליך הוכחות.</w:t>
      </w:r>
    </w:p>
    <w:p w14:paraId="456B289D" w14:textId="77777777" w:rsidR="009916F8" w:rsidRDefault="009916F8" w:rsidP="009916F8">
      <w:pPr>
        <w:spacing w:line="360" w:lineRule="auto"/>
        <w:jc w:val="both"/>
        <w:rPr>
          <w:rFonts w:ascii="Arial" w:hAnsi="Arial"/>
          <w:rtl/>
        </w:rPr>
      </w:pPr>
    </w:p>
    <w:p w14:paraId="3B01ECEC" w14:textId="77777777" w:rsidR="009916F8" w:rsidRDefault="009916F8" w:rsidP="009916F8">
      <w:pPr>
        <w:spacing w:line="360" w:lineRule="auto"/>
        <w:jc w:val="both"/>
        <w:rPr>
          <w:rFonts w:ascii="Arial" w:hAnsi="Arial"/>
          <w:rtl/>
        </w:rPr>
      </w:pPr>
      <w:r>
        <w:rPr>
          <w:rFonts w:ascii="Arial" w:hAnsi="Arial" w:hint="cs"/>
          <w:rtl/>
        </w:rPr>
        <w:t>ההגנה עתרה למתחם הנע בין 9 חודשי מאסר לריצוי בדרך של עבודות שירות ועד 18 חודשי מאסר.</w:t>
      </w:r>
    </w:p>
    <w:p w14:paraId="53EAE410" w14:textId="77777777" w:rsidR="009916F8" w:rsidRDefault="009916F8" w:rsidP="009916F8">
      <w:pPr>
        <w:spacing w:line="360" w:lineRule="auto"/>
        <w:jc w:val="both"/>
        <w:rPr>
          <w:rFonts w:ascii="Arial" w:hAnsi="Arial"/>
          <w:rtl/>
        </w:rPr>
      </w:pPr>
    </w:p>
    <w:p w14:paraId="753C1AD7" w14:textId="77777777" w:rsidR="009916F8" w:rsidRDefault="009916F8" w:rsidP="009916F8">
      <w:pPr>
        <w:spacing w:line="360" w:lineRule="auto"/>
        <w:jc w:val="both"/>
        <w:rPr>
          <w:rFonts w:ascii="Arial" w:hAnsi="Arial"/>
          <w:rtl/>
        </w:rPr>
      </w:pPr>
      <w:r>
        <w:rPr>
          <w:rFonts w:ascii="Arial" w:hAnsi="Arial" w:hint="cs"/>
          <w:rtl/>
        </w:rPr>
        <w:t>ההגנה ביקשה שלא למצות את הדין עם הנאשם ולא להטיל עליו עונש מאסר בכליאה ממשית.</w:t>
      </w:r>
    </w:p>
    <w:p w14:paraId="1DDEB2ED" w14:textId="77777777" w:rsidR="009916F8" w:rsidRDefault="009916F8" w:rsidP="009916F8">
      <w:pPr>
        <w:spacing w:line="360" w:lineRule="auto"/>
        <w:jc w:val="both"/>
        <w:rPr>
          <w:rFonts w:ascii="Arial" w:hAnsi="Arial"/>
          <w:rtl/>
        </w:rPr>
      </w:pPr>
    </w:p>
    <w:p w14:paraId="0382FBA7" w14:textId="77777777" w:rsidR="009916F8" w:rsidRDefault="009916F8" w:rsidP="009916F8">
      <w:pPr>
        <w:spacing w:line="360" w:lineRule="auto"/>
        <w:jc w:val="both"/>
        <w:rPr>
          <w:rFonts w:ascii="Arial" w:hAnsi="Arial"/>
          <w:rtl/>
        </w:rPr>
      </w:pPr>
      <w:r>
        <w:rPr>
          <w:rFonts w:ascii="Arial" w:hAnsi="Arial" w:hint="cs"/>
          <w:rtl/>
        </w:rPr>
        <w:t>כן, ביקשה ההגנה לא להשית קנס גבוה, עקב מצוקה כלכלית והתנגדה לפסילת רישיון הנהיגה של הנאשם.</w:t>
      </w:r>
    </w:p>
    <w:p w14:paraId="52FCE911" w14:textId="77777777" w:rsidR="009916F8" w:rsidRDefault="009916F8" w:rsidP="009916F8">
      <w:pPr>
        <w:spacing w:line="360" w:lineRule="auto"/>
        <w:jc w:val="both"/>
        <w:rPr>
          <w:rFonts w:ascii="Arial" w:hAnsi="Arial"/>
          <w:rtl/>
        </w:rPr>
      </w:pPr>
    </w:p>
    <w:p w14:paraId="4B86223E" w14:textId="77777777" w:rsidR="009916F8" w:rsidRDefault="009916F8" w:rsidP="009916F8">
      <w:pPr>
        <w:spacing w:line="360" w:lineRule="auto"/>
        <w:jc w:val="both"/>
        <w:rPr>
          <w:rFonts w:ascii="Arial" w:hAnsi="Arial"/>
          <w:rtl/>
        </w:rPr>
      </w:pPr>
      <w:r>
        <w:rPr>
          <w:rFonts w:ascii="Arial" w:hAnsi="Arial" w:hint="cs"/>
          <w:u w:val="single"/>
          <w:rtl/>
        </w:rPr>
        <w:t>בדברו האחרון של הנאשם</w:t>
      </w:r>
      <w:r>
        <w:rPr>
          <w:rFonts w:ascii="Arial" w:hAnsi="Arial" w:hint="cs"/>
          <w:rtl/>
        </w:rPr>
        <w:t xml:space="preserve"> טען, כי הוא חף מפשע ולא רוצה להיות בכלא.</w:t>
      </w:r>
    </w:p>
    <w:p w14:paraId="73DC8208" w14:textId="77777777" w:rsidR="009916F8" w:rsidRDefault="009916F8" w:rsidP="009916F8">
      <w:pPr>
        <w:spacing w:line="360" w:lineRule="auto"/>
        <w:jc w:val="both"/>
        <w:rPr>
          <w:rFonts w:ascii="Arial" w:hAnsi="Arial"/>
          <w:rtl/>
        </w:rPr>
      </w:pPr>
    </w:p>
    <w:p w14:paraId="6D75611E" w14:textId="77777777" w:rsidR="009916F8" w:rsidRDefault="009916F8" w:rsidP="009916F8">
      <w:pPr>
        <w:spacing w:line="360" w:lineRule="auto"/>
        <w:jc w:val="both"/>
        <w:rPr>
          <w:rFonts w:ascii="Arial" w:hAnsi="Arial"/>
          <w:rtl/>
        </w:rPr>
      </w:pPr>
      <w:r>
        <w:rPr>
          <w:rFonts w:ascii="Arial" w:hAnsi="Arial" w:hint="cs"/>
          <w:rtl/>
        </w:rPr>
        <w:t>כן, ביקש להתחשב בגילו המבוגר; בבעיות הבריאותיות שלו; בתקופת מעצרו; והתקופה בה מצוי בתנאים מגבילים.</w:t>
      </w:r>
    </w:p>
    <w:p w14:paraId="4B1BB19C" w14:textId="77777777" w:rsidR="009916F8" w:rsidRDefault="009916F8" w:rsidP="009916F8">
      <w:pPr>
        <w:spacing w:line="360" w:lineRule="auto"/>
        <w:jc w:val="both"/>
        <w:rPr>
          <w:rFonts w:ascii="Arial" w:hAnsi="Arial"/>
          <w:rtl/>
        </w:rPr>
      </w:pPr>
    </w:p>
    <w:p w14:paraId="0079954D" w14:textId="77777777" w:rsidR="009916F8" w:rsidRDefault="009916F8" w:rsidP="009916F8">
      <w:pPr>
        <w:spacing w:line="360" w:lineRule="auto"/>
        <w:jc w:val="both"/>
        <w:rPr>
          <w:rFonts w:ascii="Arial" w:hAnsi="Arial"/>
          <w:rtl/>
        </w:rPr>
      </w:pPr>
    </w:p>
    <w:p w14:paraId="53616677" w14:textId="77777777" w:rsidR="009916F8" w:rsidRDefault="009916F8" w:rsidP="009916F8">
      <w:pPr>
        <w:spacing w:line="360" w:lineRule="auto"/>
        <w:jc w:val="both"/>
        <w:rPr>
          <w:rFonts w:ascii="Arial" w:hAnsi="Arial"/>
          <w:rtl/>
        </w:rPr>
      </w:pPr>
      <w:r>
        <w:rPr>
          <w:rFonts w:ascii="Arial" w:hAnsi="Arial" w:hint="cs"/>
          <w:b/>
          <w:bCs/>
          <w:rtl/>
        </w:rPr>
        <w:t>דיון והכרעה</w:t>
      </w:r>
    </w:p>
    <w:p w14:paraId="5AA4C59C" w14:textId="77777777" w:rsidR="009916F8" w:rsidRDefault="009916F8" w:rsidP="009916F8">
      <w:pPr>
        <w:spacing w:line="360" w:lineRule="auto"/>
        <w:jc w:val="both"/>
        <w:rPr>
          <w:rFonts w:ascii="Arial" w:hAnsi="Arial"/>
          <w:rtl/>
        </w:rPr>
      </w:pPr>
    </w:p>
    <w:p w14:paraId="7E3DE9EE" w14:textId="77777777" w:rsidR="009916F8" w:rsidRPr="0078735E" w:rsidRDefault="009916F8" w:rsidP="009916F8">
      <w:pPr>
        <w:spacing w:line="360" w:lineRule="auto"/>
        <w:jc w:val="both"/>
        <w:rPr>
          <w:rFonts w:ascii="Arial" w:hAnsi="Arial"/>
        </w:rPr>
      </w:pPr>
      <w:r w:rsidRPr="0078735E">
        <w:rPr>
          <w:rFonts w:ascii="Arial" w:hAnsi="Arial"/>
          <w:rtl/>
        </w:rPr>
        <w:t xml:space="preserve">העבירות שעבר הנאשם </w:t>
      </w:r>
      <w:r>
        <w:rPr>
          <w:rFonts w:ascii="Arial" w:hAnsi="Arial" w:hint="cs"/>
          <w:rtl/>
        </w:rPr>
        <w:t>אינן קלות</w:t>
      </w:r>
      <w:r w:rsidRPr="0078735E">
        <w:rPr>
          <w:rFonts w:ascii="Arial" w:hAnsi="Arial"/>
          <w:rtl/>
        </w:rPr>
        <w:t>.</w:t>
      </w:r>
    </w:p>
    <w:p w14:paraId="28443DC2" w14:textId="77777777" w:rsidR="009916F8" w:rsidRPr="0078735E" w:rsidRDefault="009916F8" w:rsidP="009916F8">
      <w:pPr>
        <w:spacing w:line="360" w:lineRule="auto"/>
        <w:jc w:val="both"/>
        <w:rPr>
          <w:rFonts w:ascii="Arial" w:hAnsi="Arial"/>
          <w:rtl/>
        </w:rPr>
      </w:pPr>
    </w:p>
    <w:p w14:paraId="5D01FD56" w14:textId="77777777" w:rsidR="009916F8" w:rsidRPr="0078735E" w:rsidRDefault="009916F8" w:rsidP="009916F8">
      <w:pPr>
        <w:spacing w:line="360" w:lineRule="auto"/>
        <w:jc w:val="both"/>
        <w:rPr>
          <w:rFonts w:ascii="Arial" w:hAnsi="Arial"/>
          <w:rtl/>
        </w:rPr>
      </w:pPr>
      <w:r>
        <w:rPr>
          <w:rFonts w:ascii="Arial" w:hAnsi="Arial"/>
          <w:rtl/>
        </w:rPr>
        <w:t>המדוב</w:t>
      </w:r>
      <w:r>
        <w:rPr>
          <w:rFonts w:ascii="Arial" w:hAnsi="Arial" w:hint="cs"/>
          <w:rtl/>
        </w:rPr>
        <w:t>ר</w:t>
      </w:r>
      <w:r w:rsidRPr="0078735E">
        <w:rPr>
          <w:rFonts w:ascii="Arial" w:hAnsi="Arial"/>
          <w:rtl/>
        </w:rPr>
        <w:t xml:space="preserve"> בגידול ואחזקת סם מסוכן בהיקף גדול, המצביע על כך, שהסם גודל ויוצר למטרה מסחרית.</w:t>
      </w:r>
    </w:p>
    <w:p w14:paraId="3060BF7C" w14:textId="77777777" w:rsidR="009916F8" w:rsidRPr="0078735E" w:rsidRDefault="009916F8" w:rsidP="009916F8">
      <w:pPr>
        <w:spacing w:line="360" w:lineRule="auto"/>
        <w:jc w:val="both"/>
        <w:rPr>
          <w:rFonts w:ascii="Arial" w:hAnsi="Arial"/>
          <w:rtl/>
        </w:rPr>
      </w:pPr>
    </w:p>
    <w:p w14:paraId="0A9EB976" w14:textId="77777777" w:rsidR="009916F8" w:rsidRPr="0078735E" w:rsidRDefault="009916F8" w:rsidP="009916F8">
      <w:pPr>
        <w:spacing w:line="360" w:lineRule="auto"/>
        <w:jc w:val="both"/>
        <w:rPr>
          <w:rFonts w:ascii="Arial" w:hAnsi="Arial"/>
          <w:rtl/>
        </w:rPr>
      </w:pPr>
      <w:r w:rsidRPr="0078735E">
        <w:rPr>
          <w:rFonts w:ascii="Arial" w:hAnsi="Arial"/>
          <w:rtl/>
        </w:rPr>
        <w:t>תמונות המעבדה (ת/</w:t>
      </w:r>
      <w:r>
        <w:rPr>
          <w:rFonts w:ascii="Arial" w:hAnsi="Arial" w:hint="cs"/>
          <w:rtl/>
        </w:rPr>
        <w:t>3</w:t>
      </w:r>
      <w:r w:rsidRPr="0078735E">
        <w:rPr>
          <w:rFonts w:ascii="Arial" w:hAnsi="Arial"/>
          <w:rtl/>
        </w:rPr>
        <w:t>ב), אליהן הפנתה התביעה, בהסכמת הצדדים, בט</w:t>
      </w:r>
      <w:r>
        <w:rPr>
          <w:rFonts w:ascii="Arial" w:hAnsi="Arial" w:hint="cs"/>
          <w:rtl/>
        </w:rPr>
        <w:t>י</w:t>
      </w:r>
      <w:r w:rsidRPr="0078735E">
        <w:rPr>
          <w:rFonts w:ascii="Arial" w:hAnsi="Arial"/>
          <w:rtl/>
        </w:rPr>
        <w:t xml:space="preserve">עוניה לעונש, </w:t>
      </w:r>
      <w:r>
        <w:rPr>
          <w:rFonts w:ascii="Arial" w:hAnsi="Arial" w:hint="cs"/>
          <w:rtl/>
        </w:rPr>
        <w:t xml:space="preserve">מלמדות על היקף הסמים שגודלו ועל הלוגיסטיקה המיוחדת שהוקמה כדי לגדלן. </w:t>
      </w:r>
    </w:p>
    <w:p w14:paraId="063DAD4D" w14:textId="77777777" w:rsidR="009916F8" w:rsidRPr="0078735E" w:rsidRDefault="009916F8" w:rsidP="009916F8">
      <w:pPr>
        <w:spacing w:line="360" w:lineRule="auto"/>
        <w:jc w:val="both"/>
        <w:rPr>
          <w:rFonts w:ascii="Arial" w:hAnsi="Arial"/>
          <w:rtl/>
        </w:rPr>
      </w:pPr>
    </w:p>
    <w:p w14:paraId="072E16C0" w14:textId="77777777" w:rsidR="009916F8" w:rsidRDefault="009916F8" w:rsidP="009916F8">
      <w:pPr>
        <w:spacing w:line="360" w:lineRule="auto"/>
        <w:jc w:val="both"/>
        <w:rPr>
          <w:rFonts w:ascii="Arial" w:hAnsi="Arial"/>
          <w:rtl/>
        </w:rPr>
      </w:pPr>
      <w:r w:rsidRPr="0078735E">
        <w:rPr>
          <w:rFonts w:ascii="Arial" w:hAnsi="Arial"/>
          <w:rtl/>
        </w:rPr>
        <w:t>כבר נאמר, לא פעם, כי בעבירות סמים, בייחוד בהיקף כזה – נדחות הנסיבות האישיות מפני האינטרס הציבורי.</w:t>
      </w:r>
    </w:p>
    <w:p w14:paraId="0E2B8AEF" w14:textId="77777777" w:rsidR="009916F8" w:rsidRDefault="009916F8" w:rsidP="009916F8">
      <w:pPr>
        <w:spacing w:line="360" w:lineRule="auto"/>
        <w:jc w:val="both"/>
        <w:rPr>
          <w:rFonts w:ascii="Arial" w:hAnsi="Arial"/>
          <w:rtl/>
        </w:rPr>
      </w:pPr>
    </w:p>
    <w:p w14:paraId="377DBBBB" w14:textId="77777777" w:rsidR="009916F8" w:rsidRPr="0078735E" w:rsidRDefault="009916F8" w:rsidP="009916F8">
      <w:pPr>
        <w:spacing w:line="360" w:lineRule="auto"/>
        <w:jc w:val="both"/>
        <w:rPr>
          <w:rFonts w:ascii="Arial" w:hAnsi="Arial"/>
          <w:rtl/>
        </w:rPr>
      </w:pPr>
      <w:r>
        <w:rPr>
          <w:rFonts w:ascii="Arial" w:hAnsi="Arial" w:hint="cs"/>
          <w:rtl/>
        </w:rPr>
        <w:t xml:space="preserve">הגם שמתקיים, בשנים האחרונות, שיח חברתי בנוגע להמשך תוקפו של האיסור להשתמש בסמים  מסוכנים מסוג זה </w:t>
      </w:r>
      <w:r>
        <w:rPr>
          <w:rFonts w:ascii="Arial" w:hAnsi="Arial"/>
          <w:rtl/>
        </w:rPr>
        <w:t>–</w:t>
      </w:r>
      <w:r>
        <w:rPr>
          <w:rFonts w:ascii="Arial" w:hAnsi="Arial" w:hint="cs"/>
          <w:rtl/>
        </w:rPr>
        <w:t xml:space="preserve"> אין שינוי בסיווג סמים אלה כסמים מסוכנים, האסורים בחוק; עדיין המדובר בתעשיה של כספים בלתי מדווחים, המוצאים את דרכם, בסופו של דבר, למימון פעילות שלילית, עבריינית או אחרת (לעניין זה יצוין, כי קילוגרם בודד של סם מסוג זה נמכר בעשרות אלפי ש"ח); לעתים המדובר בערבוב של הסמים עם חומרים מסוכנים, שכן אין פיקוח על אופן הכנתם; פוטנציאל הנזק העולה מהם </w:t>
      </w:r>
      <w:r>
        <w:rPr>
          <w:rFonts w:ascii="Arial" w:hAnsi="Arial"/>
          <w:rtl/>
        </w:rPr>
        <w:t>–</w:t>
      </w:r>
      <w:r>
        <w:rPr>
          <w:rFonts w:ascii="Arial" w:hAnsi="Arial" w:hint="cs"/>
          <w:rtl/>
        </w:rPr>
        <w:t xml:space="preserve"> גם לפרטים המשתמשים וגם לחברה כולה </w:t>
      </w:r>
      <w:r>
        <w:rPr>
          <w:rFonts w:ascii="Arial" w:hAnsi="Arial"/>
          <w:rtl/>
        </w:rPr>
        <w:t>–</w:t>
      </w:r>
      <w:r>
        <w:rPr>
          <w:rFonts w:ascii="Arial" w:hAnsi="Arial" w:hint="cs"/>
          <w:rtl/>
        </w:rPr>
        <w:t xml:space="preserve"> לא השתנה.</w:t>
      </w:r>
    </w:p>
    <w:p w14:paraId="6D97C4A8" w14:textId="77777777" w:rsidR="009916F8" w:rsidRPr="0078735E" w:rsidRDefault="009916F8" w:rsidP="009916F8">
      <w:pPr>
        <w:spacing w:line="360" w:lineRule="auto"/>
        <w:jc w:val="both"/>
        <w:rPr>
          <w:rFonts w:ascii="Arial" w:hAnsi="Arial"/>
          <w:rtl/>
        </w:rPr>
      </w:pPr>
    </w:p>
    <w:p w14:paraId="7260450F" w14:textId="77777777" w:rsidR="009916F8" w:rsidRPr="0078735E" w:rsidRDefault="009916F8" w:rsidP="009916F8">
      <w:pPr>
        <w:spacing w:line="360" w:lineRule="auto"/>
        <w:jc w:val="both"/>
        <w:rPr>
          <w:rtl/>
        </w:rPr>
      </w:pPr>
      <w:r w:rsidRPr="0078735E">
        <w:rPr>
          <w:rtl/>
        </w:rPr>
        <w:t xml:space="preserve">בפסיקה שניתנה לפני מספר שנים, העמיד בית משפט זה את מתחם הענישה הראוי (בגין העבירות המוגמרות) בין 18 – 36 חדשי מאסר בפועל. ראו גזרי הדין </w:t>
      </w:r>
      <w:hyperlink r:id="rId19" w:history="1">
        <w:r w:rsidR="00B70022" w:rsidRPr="00B70022">
          <w:rPr>
            <w:color w:val="0000FF"/>
            <w:u w:val="single"/>
            <w:rtl/>
          </w:rPr>
          <w:t>ת"פ 26011-10-17</w:t>
        </w:r>
      </w:hyperlink>
      <w:r w:rsidRPr="0078735E">
        <w:rPr>
          <w:rtl/>
        </w:rPr>
        <w:t xml:space="preserve"> </w:t>
      </w:r>
      <w:r w:rsidRPr="0078735E">
        <w:rPr>
          <w:b/>
          <w:bCs/>
          <w:rtl/>
        </w:rPr>
        <w:t>מדינת ישראל נ' אלחמידי</w:t>
      </w:r>
      <w:r w:rsidRPr="0078735E">
        <w:rPr>
          <w:rtl/>
        </w:rPr>
        <w:t xml:space="preserve">; </w:t>
      </w:r>
      <w:hyperlink r:id="rId20" w:history="1">
        <w:r w:rsidR="00B70022" w:rsidRPr="00B70022">
          <w:rPr>
            <w:color w:val="0000FF"/>
            <w:u w:val="single"/>
            <w:rtl/>
          </w:rPr>
          <w:t>ת"פ 51176-10-17</w:t>
        </w:r>
      </w:hyperlink>
      <w:r w:rsidRPr="0078735E">
        <w:rPr>
          <w:rtl/>
        </w:rPr>
        <w:t xml:space="preserve"> </w:t>
      </w:r>
      <w:r w:rsidRPr="0078735E">
        <w:rPr>
          <w:b/>
          <w:bCs/>
          <w:rtl/>
        </w:rPr>
        <w:t>מדינת ישראל נ' אלרפאעיה</w:t>
      </w:r>
      <w:r w:rsidRPr="0078735E">
        <w:rPr>
          <w:rtl/>
        </w:rPr>
        <w:t xml:space="preserve"> (פורסמו במאגרים). התביעה לא</w:t>
      </w:r>
      <w:r w:rsidR="00B70022">
        <w:rPr>
          <w:rtl/>
        </w:rPr>
        <w:t xml:space="preserve"> </w:t>
      </w:r>
      <w:r w:rsidRPr="0078735E">
        <w:rPr>
          <w:rtl/>
        </w:rPr>
        <w:t xml:space="preserve"> ערערה על גזרי דין אלה. בכל המקרים, נדונו הנאשמים גם לעונשים נלווים של מאסר מותנה; קנסות משמעותיים; פסילת רישיון נהיגה בפועל ועל תנאי.</w:t>
      </w:r>
    </w:p>
    <w:p w14:paraId="72463D2B" w14:textId="77777777" w:rsidR="009916F8" w:rsidRPr="0078735E" w:rsidRDefault="009916F8" w:rsidP="009916F8">
      <w:pPr>
        <w:spacing w:line="360" w:lineRule="auto"/>
        <w:jc w:val="both"/>
        <w:rPr>
          <w:rtl/>
        </w:rPr>
      </w:pPr>
    </w:p>
    <w:p w14:paraId="0BA58A0B" w14:textId="77777777" w:rsidR="009916F8" w:rsidRDefault="009916F8" w:rsidP="009916F8">
      <w:pPr>
        <w:spacing w:line="360" w:lineRule="auto"/>
        <w:jc w:val="both"/>
        <w:rPr>
          <w:rtl/>
        </w:rPr>
      </w:pPr>
      <w:r w:rsidRPr="0078735E">
        <w:rPr>
          <w:rtl/>
        </w:rPr>
        <w:t>עם זאת, לנוכח הגידול</w:t>
      </w:r>
      <w:r w:rsidR="00B70022">
        <w:rPr>
          <w:rtl/>
        </w:rPr>
        <w:t xml:space="preserve"> </w:t>
      </w:r>
      <w:r w:rsidRPr="0078735E">
        <w:rPr>
          <w:rtl/>
        </w:rPr>
        <w:t xml:space="preserve"> הממשי בתפוצתן של עבירות אלה, המתבטא בהגשת כתבי אישום דומים בתדירות גבוהה, מצא בית המשפט לקבוע, במספר גזרי דין אחרונים, החמרה </w:t>
      </w:r>
      <w:r>
        <w:rPr>
          <w:rFonts w:hint="cs"/>
          <w:rtl/>
        </w:rPr>
        <w:t>נוספת</w:t>
      </w:r>
      <w:r w:rsidRPr="0078735E">
        <w:rPr>
          <w:rtl/>
        </w:rPr>
        <w:t xml:space="preserve"> </w:t>
      </w:r>
      <w:r>
        <w:rPr>
          <w:rFonts w:hint="cs"/>
          <w:rtl/>
        </w:rPr>
        <w:t>במתחם</w:t>
      </w:r>
      <w:r w:rsidRPr="0078735E">
        <w:rPr>
          <w:rtl/>
        </w:rPr>
        <w:t xml:space="preserve">, כך שיעמוד בין 20  </w:t>
      </w:r>
      <w:r>
        <w:rPr>
          <w:rFonts w:hint="cs"/>
          <w:rtl/>
        </w:rPr>
        <w:t>ל-</w:t>
      </w:r>
      <w:r w:rsidRPr="0078735E">
        <w:rPr>
          <w:rtl/>
        </w:rPr>
        <w:t xml:space="preserve">40 חדשי מאסר בפועל. ראו </w:t>
      </w:r>
      <w:hyperlink r:id="rId21" w:history="1">
        <w:r w:rsidR="00B70022" w:rsidRPr="00B70022">
          <w:rPr>
            <w:color w:val="0000FF"/>
            <w:u w:val="single"/>
            <w:rtl/>
          </w:rPr>
          <w:t>ת"פ 1935-04-18</w:t>
        </w:r>
      </w:hyperlink>
      <w:r w:rsidRPr="0078735E">
        <w:rPr>
          <w:rtl/>
        </w:rPr>
        <w:t xml:space="preserve"> </w:t>
      </w:r>
      <w:r w:rsidRPr="0078735E">
        <w:rPr>
          <w:b/>
          <w:bCs/>
          <w:rtl/>
        </w:rPr>
        <w:t>מדינת ישראל נ' אבן חג'ה</w:t>
      </w:r>
      <w:r>
        <w:rPr>
          <w:rtl/>
        </w:rPr>
        <w:t xml:space="preserve"> (פורסם במאגרים)</w:t>
      </w:r>
      <w:r>
        <w:rPr>
          <w:rFonts w:hint="cs"/>
          <w:rtl/>
        </w:rPr>
        <w:t>.</w:t>
      </w:r>
    </w:p>
    <w:p w14:paraId="68AD7F5E" w14:textId="77777777" w:rsidR="009916F8" w:rsidRDefault="009916F8" w:rsidP="009916F8">
      <w:pPr>
        <w:spacing w:line="360" w:lineRule="auto"/>
        <w:jc w:val="both"/>
        <w:rPr>
          <w:rtl/>
        </w:rPr>
      </w:pPr>
    </w:p>
    <w:p w14:paraId="62FC1BE7" w14:textId="77777777" w:rsidR="009916F8" w:rsidRPr="00C25CF1" w:rsidRDefault="009916F8" w:rsidP="009916F8">
      <w:pPr>
        <w:spacing w:line="360" w:lineRule="auto"/>
        <w:jc w:val="both"/>
        <w:rPr>
          <w:rtl/>
        </w:rPr>
      </w:pPr>
      <w:r>
        <w:rPr>
          <w:rFonts w:hint="cs"/>
          <w:rtl/>
        </w:rPr>
        <w:t xml:space="preserve">בגזר דין שניתן לאחרונה, מצא בית המשפט לקבוע מתחם ענישה הנע בין 24 ל-48 חודשי מאסר בפועל, במקרה בו הנאשם, ביחד עם מעורבים נוספים, הקימו מעבדה לגידול סמים, שם נתפסו שתילי קנאביס במשקל </w:t>
      </w:r>
      <w:r w:rsidRPr="004B38F6">
        <w:rPr>
          <w:rFonts w:hint="cs"/>
          <w:u w:val="single"/>
          <w:rtl/>
        </w:rPr>
        <w:t>36 ק"ג</w:t>
      </w:r>
      <w:r>
        <w:rPr>
          <w:rFonts w:hint="cs"/>
          <w:rtl/>
        </w:rPr>
        <w:t xml:space="preserve">. ראו </w:t>
      </w:r>
      <w:hyperlink r:id="rId22" w:history="1">
        <w:r w:rsidR="00B70022" w:rsidRPr="00B70022">
          <w:rPr>
            <w:color w:val="0000FF"/>
            <w:u w:val="single"/>
            <w:rtl/>
          </w:rPr>
          <w:t>ת"פ 52720-11-19</w:t>
        </w:r>
      </w:hyperlink>
      <w:r>
        <w:rPr>
          <w:rFonts w:hint="cs"/>
          <w:rtl/>
        </w:rPr>
        <w:t xml:space="preserve"> </w:t>
      </w:r>
      <w:r>
        <w:rPr>
          <w:rFonts w:hint="cs"/>
          <w:b/>
          <w:bCs/>
          <w:rtl/>
        </w:rPr>
        <w:t>מדינת ישראל נ' בן שושן</w:t>
      </w:r>
      <w:r>
        <w:rPr>
          <w:rFonts w:hint="cs"/>
          <w:rtl/>
        </w:rPr>
        <w:t xml:space="preserve"> (פורסם במאגרים). אחד הנימוקים להחמרה באותו מקרה, היה </w:t>
      </w:r>
      <w:r>
        <w:rPr>
          <w:rtl/>
        </w:rPr>
        <w:t>–</w:t>
      </w:r>
      <w:r>
        <w:rPr>
          <w:rFonts w:hint="cs"/>
          <w:rtl/>
        </w:rPr>
        <w:t xml:space="preserve"> כי הוקם מתחם ייעודי, בתוך בית גדול שנשכר לשם גידול הסם. </w:t>
      </w:r>
    </w:p>
    <w:p w14:paraId="7CC75630" w14:textId="77777777" w:rsidR="009916F8" w:rsidRDefault="009916F8" w:rsidP="009916F8">
      <w:pPr>
        <w:spacing w:line="360" w:lineRule="auto"/>
        <w:jc w:val="both"/>
        <w:rPr>
          <w:rtl/>
        </w:rPr>
      </w:pPr>
    </w:p>
    <w:p w14:paraId="06427783" w14:textId="77777777" w:rsidR="009916F8" w:rsidRDefault="009916F8" w:rsidP="009916F8">
      <w:pPr>
        <w:spacing w:line="360" w:lineRule="auto"/>
        <w:jc w:val="both"/>
        <w:rPr>
          <w:rtl/>
        </w:rPr>
      </w:pPr>
      <w:r>
        <w:rPr>
          <w:rFonts w:hint="cs"/>
          <w:rtl/>
        </w:rPr>
        <w:t>במקרה דנן, הסב הנאשם את מחסן ביתו למעבדה לגידול סמים מסוכנים, אופרציה הדורשת ציוד מתאים.</w:t>
      </w:r>
    </w:p>
    <w:p w14:paraId="3EEF8AAC" w14:textId="77777777" w:rsidR="009916F8" w:rsidRDefault="009916F8" w:rsidP="009916F8">
      <w:pPr>
        <w:spacing w:line="360" w:lineRule="auto"/>
        <w:jc w:val="both"/>
        <w:rPr>
          <w:rtl/>
        </w:rPr>
      </w:pPr>
    </w:p>
    <w:p w14:paraId="06A7B72A" w14:textId="77777777" w:rsidR="009916F8" w:rsidRDefault="009916F8" w:rsidP="009916F8">
      <w:pPr>
        <w:spacing w:line="360" w:lineRule="auto"/>
        <w:jc w:val="both"/>
        <w:rPr>
          <w:rtl/>
        </w:rPr>
      </w:pPr>
      <w:r>
        <w:rPr>
          <w:rFonts w:hint="cs"/>
          <w:rtl/>
        </w:rPr>
        <w:t xml:space="preserve">הכמות שנתפסה ברשותו של הנאשם, </w:t>
      </w:r>
      <w:r w:rsidRPr="00404D1D">
        <w:rPr>
          <w:rFonts w:hint="cs"/>
          <w:u w:val="single"/>
          <w:rtl/>
        </w:rPr>
        <w:t>כ-33 ק"ג</w:t>
      </w:r>
      <w:r>
        <w:rPr>
          <w:rFonts w:hint="cs"/>
          <w:rtl/>
        </w:rPr>
        <w:t>, גדולה מאוד.</w:t>
      </w:r>
    </w:p>
    <w:p w14:paraId="6B2A6F17" w14:textId="77777777" w:rsidR="009916F8" w:rsidRDefault="009916F8" w:rsidP="009916F8">
      <w:pPr>
        <w:spacing w:line="360" w:lineRule="auto"/>
        <w:jc w:val="both"/>
        <w:rPr>
          <w:rtl/>
        </w:rPr>
      </w:pPr>
    </w:p>
    <w:p w14:paraId="55F4C555" w14:textId="77777777" w:rsidR="009916F8" w:rsidRDefault="009916F8" w:rsidP="009916F8">
      <w:pPr>
        <w:spacing w:line="360" w:lineRule="auto"/>
        <w:jc w:val="both"/>
        <w:rPr>
          <w:rtl/>
        </w:rPr>
      </w:pPr>
      <w:r>
        <w:rPr>
          <w:rFonts w:hint="cs"/>
          <w:rtl/>
        </w:rPr>
        <w:t>ההגנה צירפה מספר גזרי דין לתימוכין במתחם הענישה אליו עתרה, אך מדובר בגזרי דין שאינם מן התקופה האחרונה, ומאז התפתחה הפסיקה ועמה מתחם הענישה.</w:t>
      </w:r>
    </w:p>
    <w:p w14:paraId="2A433103" w14:textId="77777777" w:rsidR="009916F8" w:rsidRDefault="009916F8" w:rsidP="009916F8">
      <w:pPr>
        <w:spacing w:line="360" w:lineRule="auto"/>
        <w:jc w:val="both"/>
        <w:rPr>
          <w:rtl/>
        </w:rPr>
      </w:pPr>
    </w:p>
    <w:p w14:paraId="6EBBFF7A" w14:textId="77777777" w:rsidR="009916F8" w:rsidRDefault="009916F8" w:rsidP="009916F8">
      <w:pPr>
        <w:spacing w:line="360" w:lineRule="auto"/>
        <w:jc w:val="both"/>
        <w:rPr>
          <w:rtl/>
        </w:rPr>
      </w:pPr>
      <w:r>
        <w:rPr>
          <w:rFonts w:hint="cs"/>
          <w:rtl/>
        </w:rPr>
        <w:t xml:space="preserve">יצוין, כי ההגנה הפנתה לגזר הדין </w:t>
      </w:r>
      <w:hyperlink r:id="rId23" w:history="1">
        <w:r w:rsidR="00B70022" w:rsidRPr="00B70022">
          <w:rPr>
            <w:color w:val="0000FF"/>
            <w:u w:val="single"/>
            <w:rtl/>
          </w:rPr>
          <w:t>ת"פ 63596-02-18</w:t>
        </w:r>
      </w:hyperlink>
      <w:r>
        <w:rPr>
          <w:rFonts w:hint="cs"/>
          <w:rtl/>
        </w:rPr>
        <w:t xml:space="preserve"> </w:t>
      </w:r>
      <w:r>
        <w:rPr>
          <w:rFonts w:hint="cs"/>
          <w:b/>
          <w:bCs/>
          <w:rtl/>
        </w:rPr>
        <w:t>מדינת ישראל נ' אבו עלאן</w:t>
      </w:r>
      <w:r>
        <w:rPr>
          <w:rFonts w:hint="cs"/>
          <w:rtl/>
        </w:rPr>
        <w:t xml:space="preserve"> (פורסם במאגרים), שם דובר על נאשם ששכר שהקים מעבדה, בה גידל 191 שתילי קנביס במשקל של כ-42.5 ק"ג. בגזר הדין, נקבע מתחם ענישה הנע בין 10 ועד 36 חודשי מאסר בפועל. הנאשם, נעדר עבר פלילי, עם נסיבות מיוחדות, אשר הודה וחסך זמן שיפוטי, נטל אחריות על מעשיו, הביע חרטה, השתלב בהליך טיפולי, ובענינו אף התקבל תסקיר חיובי ביותר מטעם שירות המבחן למבוגרים. בית משפט השלום סטה ממתחם הענישה משיקולי שיקום הנאשם וגזר עליו 6 חודשי מאסר לריצוי בדרך של עבודות שירות; מאסר מותנה; קנס בסך 20,000 ₪. אלא, שעל גזר הדין </w:t>
      </w:r>
      <w:r w:rsidRPr="002B6423">
        <w:rPr>
          <w:rFonts w:hint="cs"/>
          <w:u w:val="single"/>
          <w:rtl/>
        </w:rPr>
        <w:t>הוגש ערעור</w:t>
      </w:r>
      <w:r>
        <w:rPr>
          <w:rFonts w:hint="cs"/>
          <w:rtl/>
        </w:rPr>
        <w:t xml:space="preserve"> (</w:t>
      </w:r>
      <w:hyperlink r:id="rId24" w:history="1">
        <w:r w:rsidR="00B70022" w:rsidRPr="00B70022">
          <w:rPr>
            <w:color w:val="0000FF"/>
            <w:u w:val="single"/>
            <w:rtl/>
          </w:rPr>
          <w:t>עפ"ג 66585-03-19</w:t>
        </w:r>
      </w:hyperlink>
      <w:r>
        <w:rPr>
          <w:rFonts w:hint="cs"/>
          <w:rtl/>
        </w:rPr>
        <w:t xml:space="preserve">) </w:t>
      </w:r>
      <w:r>
        <w:rPr>
          <w:rFonts w:hint="cs"/>
          <w:b/>
          <w:bCs/>
          <w:rtl/>
        </w:rPr>
        <w:t>מדינת ישראל נ' אבו עלאן</w:t>
      </w:r>
      <w:r>
        <w:rPr>
          <w:rFonts w:hint="cs"/>
          <w:rtl/>
        </w:rPr>
        <w:t xml:space="preserve"> (פורסם במאגרים)). בפסק הדין מיום 18.06.19, מצא בית המשפט המחוזי להתערב במתחם הענישה שנקבע בבית משפט השלום באומרו "</w:t>
      </w:r>
      <w:r w:rsidRPr="00AC721F">
        <w:rPr>
          <w:i/>
          <w:iCs/>
          <w:rtl/>
        </w:rPr>
        <w:t>ב"כ המערערת עמדה על ערעורה, ובצדק. אכן, אין ספק כי מדובר במשיב אשר נסיבותיו האישיות מטות את הכף לקולה, אולם לצד נסיבות אלו קיים אינטרס ציבורי שתכליתו להדביר את הפשיעה ככל שזו נוגעת לעבירה של ייצור, הכנה והפקת סם, אשר נאמר עליה לא פעם כי מדובר בעבירה שקלה לביצוע וקשה לאכיפה, בין היתר בשל ריבוי נאשמים נורמטיביים המבצעים אותה. בנסיבות אלו, מקובלת עלינו עמדת המערערת כי יש לקבוע מתחם גבוה יותר וכנגזרת ממנו יש להחמיר בעונשו של המשיב</w:t>
      </w:r>
      <w:r>
        <w:rPr>
          <w:rFonts w:hint="cs"/>
          <w:rtl/>
        </w:rPr>
        <w:t>", ובתוך כך, משיקולים לקולה, מתחם הענישה יתחיל מ14 ועד 36 חודשי מאסר בפועל. בשל נסיבותיו המיוחדות של הנאשם, חרג בית המשפט המחוזי לקולה מהמתחם, וגזר על הנאשם 10 חודשי מאסר לריצוי בפועל. יתר רכיבי גזר הדין נותרו על כנם.</w:t>
      </w:r>
    </w:p>
    <w:p w14:paraId="3D44DEC9" w14:textId="77777777" w:rsidR="009916F8" w:rsidRDefault="009916F8" w:rsidP="009916F8">
      <w:pPr>
        <w:spacing w:line="360" w:lineRule="auto"/>
        <w:jc w:val="both"/>
        <w:rPr>
          <w:rtl/>
        </w:rPr>
      </w:pPr>
    </w:p>
    <w:p w14:paraId="16239B6A" w14:textId="77777777" w:rsidR="009916F8" w:rsidRDefault="009916F8" w:rsidP="009916F8">
      <w:pPr>
        <w:spacing w:line="360" w:lineRule="auto"/>
        <w:jc w:val="both"/>
        <w:rPr>
          <w:rtl/>
        </w:rPr>
      </w:pPr>
      <w:r>
        <w:rPr>
          <w:rFonts w:hint="cs"/>
          <w:rtl/>
        </w:rPr>
        <w:t xml:space="preserve">הנסיבות המיוחדות, שהוכחו באותו מקרה </w:t>
      </w:r>
      <w:r>
        <w:rPr>
          <w:rtl/>
        </w:rPr>
        <w:t>–</w:t>
      </w:r>
      <w:r>
        <w:rPr>
          <w:rFonts w:hint="cs"/>
          <w:rtl/>
        </w:rPr>
        <w:t xml:space="preserve"> אינן יפות למקרה דנן, בו אין כל סיבה לחריגה ממתחם הענישה. </w:t>
      </w:r>
    </w:p>
    <w:p w14:paraId="6F0DF58A" w14:textId="77777777" w:rsidR="009916F8" w:rsidRDefault="009916F8" w:rsidP="009916F8">
      <w:pPr>
        <w:spacing w:line="360" w:lineRule="auto"/>
        <w:jc w:val="both"/>
        <w:rPr>
          <w:rtl/>
        </w:rPr>
      </w:pPr>
    </w:p>
    <w:p w14:paraId="0591ACA4" w14:textId="77777777" w:rsidR="009916F8" w:rsidRPr="00380B01" w:rsidRDefault="009916F8" w:rsidP="009916F8">
      <w:pPr>
        <w:spacing w:line="360" w:lineRule="auto"/>
        <w:jc w:val="both"/>
        <w:rPr>
          <w:rFonts w:ascii="Arial" w:hAnsi="Arial"/>
        </w:rPr>
      </w:pPr>
      <w:r w:rsidRPr="00380B01">
        <w:rPr>
          <w:rFonts w:ascii="Arial" w:hAnsi="Arial"/>
          <w:rtl/>
        </w:rPr>
        <w:t xml:space="preserve">בהקשר זה יש להדגיש, סקירת הענישה הנוהגת ומתחם העונש ההולם – אינם זהים. בבואו של בית המשפט לקבוע את מתחם העונש ההולם, עליו לשקול, בין היתר, את מדיניות הענישה הנוהגת, אך שיקול זה – כמובן אינו היחיד. בהתאם </w:t>
      </w:r>
      <w:hyperlink r:id="rId25" w:history="1">
        <w:r w:rsidR="008E3C43" w:rsidRPr="008E3C43">
          <w:rPr>
            <w:rStyle w:val="Hyperlink"/>
            <w:rFonts w:ascii="Arial" w:hAnsi="Arial"/>
            <w:rtl/>
          </w:rPr>
          <w:t>לסעיף 40ט'</w:t>
        </w:r>
      </w:hyperlink>
      <w:r w:rsidRPr="00380B01">
        <w:rPr>
          <w:rFonts w:ascii="Arial" w:hAnsi="Arial"/>
          <w:rtl/>
        </w:rPr>
        <w:t xml:space="preserve"> ל</w:t>
      </w:r>
      <w:hyperlink r:id="rId26" w:history="1">
        <w:r w:rsidR="00B70022" w:rsidRPr="00B70022">
          <w:rPr>
            <w:rFonts w:ascii="Arial" w:hAnsi="Arial"/>
            <w:color w:val="0000FF"/>
            <w:u w:val="single"/>
            <w:rtl/>
          </w:rPr>
          <w:t>חוק העונשין</w:t>
        </w:r>
      </w:hyperlink>
      <w:r w:rsidRPr="00380B01">
        <w:rPr>
          <w:rFonts w:ascii="Arial" w:hAnsi="Arial"/>
          <w:rtl/>
        </w:rPr>
        <w:t>, תשל"ז – 1977, בבואו של בית המשפט לקבוע מתחם ענישה,</w:t>
      </w:r>
      <w:r>
        <w:rPr>
          <w:rFonts w:ascii="Arial" w:hAnsi="Arial"/>
          <w:rtl/>
        </w:rPr>
        <w:t xml:space="preserve"> עליו לקחת בחשבון מכלול שיקולים</w:t>
      </w:r>
      <w:r>
        <w:rPr>
          <w:rFonts w:ascii="Arial" w:hAnsi="Arial" w:hint="cs"/>
          <w:rtl/>
        </w:rPr>
        <w:t>, בין היתר, נסיבות ביצוע העבירה; תקופת ביצועה; מידת הפגיעה בערכים המוגנים; נסיבותיו של הנאשם, וכן, שיקולים נוספים.</w:t>
      </w:r>
    </w:p>
    <w:p w14:paraId="4098CCA5" w14:textId="77777777" w:rsidR="009916F8" w:rsidRPr="00380B01" w:rsidRDefault="009916F8" w:rsidP="009916F8">
      <w:pPr>
        <w:spacing w:line="360" w:lineRule="auto"/>
        <w:jc w:val="both"/>
        <w:rPr>
          <w:rFonts w:ascii="Arial" w:hAnsi="Arial"/>
          <w:rtl/>
        </w:rPr>
      </w:pPr>
    </w:p>
    <w:p w14:paraId="40EFB134" w14:textId="77777777" w:rsidR="009916F8" w:rsidRDefault="009916F8" w:rsidP="009916F8">
      <w:pPr>
        <w:spacing w:line="360" w:lineRule="auto"/>
        <w:jc w:val="both"/>
        <w:rPr>
          <w:rFonts w:ascii="Arial" w:hAnsi="Arial"/>
          <w:rtl/>
        </w:rPr>
      </w:pPr>
      <w:r w:rsidRPr="00380B01">
        <w:rPr>
          <w:rFonts w:ascii="Arial" w:hAnsi="Arial"/>
          <w:rtl/>
        </w:rPr>
        <w:t>לאחר שקלול הנסיבות,</w:t>
      </w:r>
      <w:r>
        <w:rPr>
          <w:rFonts w:ascii="Arial" w:hAnsi="Arial" w:hint="cs"/>
          <w:rtl/>
        </w:rPr>
        <w:t xml:space="preserve"> </w:t>
      </w:r>
      <w:r w:rsidRPr="00380B01">
        <w:rPr>
          <w:rFonts w:ascii="Arial" w:hAnsi="Arial"/>
          <w:rtl/>
        </w:rPr>
        <w:t xml:space="preserve">מוצא בית המשפט להעמיד את מתחם העונש ההולם, </w:t>
      </w:r>
      <w:r>
        <w:rPr>
          <w:rFonts w:ascii="Arial" w:hAnsi="Arial" w:hint="cs"/>
          <w:rtl/>
        </w:rPr>
        <w:t xml:space="preserve">במקרה דנן, </w:t>
      </w:r>
      <w:r w:rsidRPr="00380B01">
        <w:rPr>
          <w:rFonts w:ascii="Arial" w:hAnsi="Arial"/>
          <w:rtl/>
        </w:rPr>
        <w:t>כך שינוע בין</w:t>
      </w:r>
      <w:r>
        <w:rPr>
          <w:rFonts w:ascii="Arial" w:hAnsi="Arial" w:hint="cs"/>
          <w:rtl/>
        </w:rPr>
        <w:t xml:space="preserve"> 22 ועד 44 חודשי מאסר בפועל.</w:t>
      </w:r>
    </w:p>
    <w:p w14:paraId="466DFADF" w14:textId="77777777" w:rsidR="009916F8" w:rsidRDefault="009916F8" w:rsidP="009916F8">
      <w:pPr>
        <w:spacing w:line="360" w:lineRule="auto"/>
        <w:jc w:val="both"/>
        <w:rPr>
          <w:rFonts w:ascii="Arial" w:hAnsi="Arial"/>
          <w:rtl/>
        </w:rPr>
      </w:pPr>
    </w:p>
    <w:p w14:paraId="043E14D5" w14:textId="77777777" w:rsidR="009916F8" w:rsidRDefault="009916F8" w:rsidP="009916F8">
      <w:pPr>
        <w:spacing w:line="360" w:lineRule="auto"/>
        <w:jc w:val="both"/>
        <w:rPr>
          <w:rFonts w:ascii="Arial" w:hAnsi="Arial"/>
          <w:rtl/>
        </w:rPr>
      </w:pPr>
      <w:r>
        <w:rPr>
          <w:rFonts w:ascii="Arial" w:hAnsi="Arial" w:hint="cs"/>
          <w:b/>
          <w:bCs/>
          <w:rtl/>
        </w:rPr>
        <w:t>קביעת הענישה הספציפית בתוך המתחם</w:t>
      </w:r>
    </w:p>
    <w:p w14:paraId="5CB1DE5C" w14:textId="77777777" w:rsidR="009916F8" w:rsidRDefault="009916F8" w:rsidP="009916F8">
      <w:pPr>
        <w:spacing w:line="360" w:lineRule="auto"/>
        <w:jc w:val="both"/>
        <w:rPr>
          <w:rFonts w:ascii="Arial" w:hAnsi="Arial"/>
          <w:rtl/>
        </w:rPr>
      </w:pPr>
    </w:p>
    <w:p w14:paraId="2EAC44FE" w14:textId="77777777" w:rsidR="009916F8" w:rsidRDefault="009916F8" w:rsidP="009916F8">
      <w:pPr>
        <w:spacing w:line="360" w:lineRule="auto"/>
        <w:jc w:val="both"/>
        <w:rPr>
          <w:rFonts w:ascii="Arial" w:hAnsi="Arial"/>
          <w:rtl/>
        </w:rPr>
      </w:pPr>
      <w:r>
        <w:rPr>
          <w:rFonts w:ascii="Arial" w:hAnsi="Arial" w:hint="cs"/>
          <w:rtl/>
        </w:rPr>
        <w:t xml:space="preserve">המדובר בנאשם, שעד כה לא נטל אחריות על מעשיו, אותם מנסה להשליך על גורמים עברייניים עלומים. </w:t>
      </w:r>
    </w:p>
    <w:p w14:paraId="21DF8863" w14:textId="77777777" w:rsidR="009916F8" w:rsidRDefault="009916F8" w:rsidP="009916F8">
      <w:pPr>
        <w:spacing w:line="360" w:lineRule="auto"/>
        <w:jc w:val="both"/>
        <w:rPr>
          <w:rFonts w:ascii="Arial" w:hAnsi="Arial"/>
          <w:rtl/>
        </w:rPr>
      </w:pPr>
    </w:p>
    <w:p w14:paraId="177FF5B7" w14:textId="77777777" w:rsidR="009916F8" w:rsidRDefault="009916F8" w:rsidP="009916F8">
      <w:pPr>
        <w:spacing w:line="360" w:lineRule="auto"/>
        <w:jc w:val="both"/>
        <w:rPr>
          <w:rFonts w:ascii="Arial" w:hAnsi="Arial"/>
          <w:rtl/>
        </w:rPr>
      </w:pPr>
      <w:r>
        <w:rPr>
          <w:rFonts w:ascii="Arial" w:hAnsi="Arial" w:hint="cs"/>
          <w:rtl/>
        </w:rPr>
        <w:t xml:space="preserve">הנאשם בחר לנהל הוכחות, לאחר שחזר בו מהודאתו, תוך החלפת הייצוג; הארכה וסרבול של ההליך המשפטי; כשבסופו של דבר נמצא </w:t>
      </w:r>
      <w:r>
        <w:rPr>
          <w:rFonts w:ascii="Arial" w:hAnsi="Arial"/>
          <w:rtl/>
        </w:rPr>
        <w:t>–</w:t>
      </w:r>
      <w:r>
        <w:rPr>
          <w:rFonts w:ascii="Arial" w:hAnsi="Arial" w:hint="cs"/>
          <w:rtl/>
        </w:rPr>
        <w:t xml:space="preserve"> לא נמצא בסיס כלשהו לטענותיו. בחירותיו אלה </w:t>
      </w:r>
      <w:r>
        <w:rPr>
          <w:rFonts w:ascii="Arial" w:hAnsi="Arial"/>
          <w:rtl/>
        </w:rPr>
        <w:t>–</w:t>
      </w:r>
      <w:r>
        <w:rPr>
          <w:rFonts w:ascii="Arial" w:hAnsi="Arial" w:hint="cs"/>
          <w:rtl/>
        </w:rPr>
        <w:t xml:space="preserve"> הן כמובן </w:t>
      </w:r>
      <w:r>
        <w:rPr>
          <w:rFonts w:ascii="Arial" w:hAnsi="Arial"/>
          <w:rtl/>
        </w:rPr>
        <w:t>–</w:t>
      </w:r>
      <w:r>
        <w:rPr>
          <w:rFonts w:ascii="Arial" w:hAnsi="Arial" w:hint="cs"/>
          <w:rtl/>
        </w:rPr>
        <w:t xml:space="preserve"> במסגרת הזכויות הנתונות לו בדין ולא תבואנה לחובתו, אך מנגד </w:t>
      </w:r>
      <w:r>
        <w:rPr>
          <w:rFonts w:ascii="Arial" w:hAnsi="Arial"/>
          <w:rtl/>
        </w:rPr>
        <w:t>–</w:t>
      </w:r>
      <w:r>
        <w:rPr>
          <w:rFonts w:ascii="Arial" w:hAnsi="Arial" w:hint="cs"/>
          <w:rtl/>
        </w:rPr>
        <w:t xml:space="preserve"> אינו זכאי להקלה, שזכאי לה מי שבחר להודות וליטול אחריות על מעשיו. </w:t>
      </w:r>
    </w:p>
    <w:p w14:paraId="2302265A" w14:textId="77777777" w:rsidR="009916F8" w:rsidRDefault="009916F8" w:rsidP="009916F8">
      <w:pPr>
        <w:spacing w:line="360" w:lineRule="auto"/>
        <w:jc w:val="both"/>
        <w:rPr>
          <w:rFonts w:ascii="Arial" w:hAnsi="Arial"/>
          <w:rtl/>
        </w:rPr>
      </w:pPr>
    </w:p>
    <w:p w14:paraId="24861F5E" w14:textId="77777777" w:rsidR="009916F8" w:rsidRDefault="009916F8" w:rsidP="009916F8">
      <w:pPr>
        <w:spacing w:line="360" w:lineRule="auto"/>
        <w:jc w:val="both"/>
        <w:rPr>
          <w:rtl/>
        </w:rPr>
      </w:pPr>
      <w:r>
        <w:rPr>
          <w:rFonts w:ascii="Arial" w:hAnsi="Arial" w:hint="cs"/>
          <w:rtl/>
        </w:rPr>
        <w:t xml:space="preserve">לזכות הנאשם יקח בית המשפט את גילו; מצבו הבריאותי </w:t>
      </w:r>
      <w:r>
        <w:rPr>
          <w:rFonts w:ascii="Arial" w:hAnsi="Arial"/>
          <w:rtl/>
        </w:rPr>
        <w:t>–</w:t>
      </w:r>
      <w:r>
        <w:rPr>
          <w:rFonts w:ascii="Arial" w:hAnsi="Arial" w:hint="cs"/>
          <w:rtl/>
        </w:rPr>
        <w:t xml:space="preserve"> כפי שעולה מהסיכום הרפואי נ/2; היעדר הרשעות קודמות; תקופת מעצרו ותקופת היותו מצוי בתנאים מגבילים</w:t>
      </w:r>
      <w:r>
        <w:rPr>
          <w:rFonts w:hint="cs"/>
          <w:rtl/>
        </w:rPr>
        <w:t>.</w:t>
      </w:r>
    </w:p>
    <w:p w14:paraId="486E165D" w14:textId="77777777" w:rsidR="009916F8" w:rsidRDefault="009916F8" w:rsidP="009916F8">
      <w:pPr>
        <w:spacing w:line="360" w:lineRule="auto"/>
        <w:jc w:val="both"/>
        <w:rPr>
          <w:rtl/>
        </w:rPr>
      </w:pPr>
    </w:p>
    <w:p w14:paraId="425CD6FC" w14:textId="77777777" w:rsidR="009916F8" w:rsidRDefault="009916F8" w:rsidP="009916F8">
      <w:pPr>
        <w:spacing w:line="360" w:lineRule="auto"/>
        <w:jc w:val="both"/>
        <w:rPr>
          <w:rtl/>
        </w:rPr>
      </w:pPr>
      <w:r>
        <w:rPr>
          <w:rFonts w:hint="cs"/>
          <w:rtl/>
        </w:rPr>
        <w:t>במכלול השיקולים, מוצא בית המשפט למקם עונשו של הנאשם ברף התחתון של מתחם הענישה.</w:t>
      </w:r>
    </w:p>
    <w:p w14:paraId="7EB05C48" w14:textId="77777777" w:rsidR="009916F8" w:rsidRDefault="009916F8" w:rsidP="009916F8">
      <w:pPr>
        <w:spacing w:line="360" w:lineRule="auto"/>
        <w:rPr>
          <w:rtl/>
        </w:rPr>
      </w:pPr>
    </w:p>
    <w:p w14:paraId="4ED13516" w14:textId="77777777" w:rsidR="009916F8" w:rsidRDefault="009916F8" w:rsidP="009916F8">
      <w:pPr>
        <w:spacing w:line="360" w:lineRule="auto"/>
        <w:jc w:val="both"/>
        <w:rPr>
          <w:rFonts w:ascii="Arial" w:hAnsi="Arial"/>
          <w:rtl/>
        </w:rPr>
      </w:pPr>
      <w:r>
        <w:rPr>
          <w:rFonts w:ascii="Arial" w:hAnsi="Arial" w:hint="cs"/>
          <w:rtl/>
        </w:rPr>
        <w:t>כמובן, מוצא בית המשפט להטיל מאסר מותנה מרתיע.</w:t>
      </w:r>
    </w:p>
    <w:p w14:paraId="4AEE5B71" w14:textId="77777777" w:rsidR="009916F8" w:rsidRDefault="009916F8" w:rsidP="009916F8">
      <w:pPr>
        <w:spacing w:line="360" w:lineRule="auto"/>
        <w:jc w:val="both"/>
        <w:rPr>
          <w:rFonts w:ascii="Arial" w:hAnsi="Arial"/>
          <w:rtl/>
        </w:rPr>
      </w:pPr>
    </w:p>
    <w:p w14:paraId="3536DEB6" w14:textId="77777777" w:rsidR="009916F8" w:rsidRDefault="009916F8" w:rsidP="009916F8">
      <w:pPr>
        <w:spacing w:line="360" w:lineRule="auto"/>
        <w:jc w:val="both"/>
        <w:rPr>
          <w:rFonts w:ascii="Arial" w:hAnsi="Arial"/>
          <w:rtl/>
        </w:rPr>
      </w:pPr>
    </w:p>
    <w:p w14:paraId="150AABBC" w14:textId="77777777" w:rsidR="009916F8" w:rsidRDefault="009916F8" w:rsidP="009916F8">
      <w:pPr>
        <w:spacing w:line="360" w:lineRule="auto"/>
        <w:rPr>
          <w:rFonts w:ascii="David" w:hAnsi="David"/>
        </w:rPr>
      </w:pPr>
      <w:r>
        <w:rPr>
          <w:rFonts w:ascii="David" w:hAnsi="David"/>
          <w:b/>
          <w:bCs/>
          <w:rtl/>
        </w:rPr>
        <w:t xml:space="preserve">עיצומים כספיים </w:t>
      </w:r>
    </w:p>
    <w:p w14:paraId="556B06F0" w14:textId="77777777" w:rsidR="009916F8" w:rsidRDefault="009916F8" w:rsidP="009916F8">
      <w:pPr>
        <w:spacing w:line="360" w:lineRule="auto"/>
        <w:rPr>
          <w:rFonts w:ascii="David" w:hAnsi="David"/>
          <w:rtl/>
        </w:rPr>
      </w:pPr>
    </w:p>
    <w:p w14:paraId="05F61582" w14:textId="77777777" w:rsidR="009916F8" w:rsidRDefault="009916F8" w:rsidP="009916F8">
      <w:pPr>
        <w:spacing w:line="360" w:lineRule="auto"/>
        <w:jc w:val="both"/>
        <w:rPr>
          <w:rFonts w:ascii="Arial" w:hAnsi="Arial"/>
        </w:rPr>
      </w:pPr>
      <w:r>
        <w:rPr>
          <w:rFonts w:ascii="Arial" w:hAnsi="Arial"/>
          <w:rtl/>
        </w:rPr>
        <w:t xml:space="preserve">בית המשפט מצא לקבל עתירת התביעה להטלת ענישה כספית משמעותית. </w:t>
      </w:r>
    </w:p>
    <w:p w14:paraId="4CA3DA6B" w14:textId="77777777" w:rsidR="009916F8" w:rsidRDefault="009916F8" w:rsidP="009916F8">
      <w:pPr>
        <w:spacing w:line="360" w:lineRule="auto"/>
        <w:jc w:val="both"/>
        <w:rPr>
          <w:rFonts w:ascii="Arial" w:hAnsi="Arial"/>
          <w:rtl/>
        </w:rPr>
      </w:pPr>
    </w:p>
    <w:p w14:paraId="44FF0B92" w14:textId="77777777" w:rsidR="009916F8" w:rsidRDefault="009916F8" w:rsidP="009916F8">
      <w:pPr>
        <w:spacing w:line="360" w:lineRule="auto"/>
        <w:jc w:val="both"/>
        <w:rPr>
          <w:rFonts w:ascii="Arial" w:hAnsi="Arial"/>
          <w:rtl/>
        </w:rPr>
      </w:pPr>
      <w:r>
        <w:rPr>
          <w:rFonts w:ascii="Arial" w:hAnsi="Arial"/>
          <w:rtl/>
        </w:rPr>
        <w:t>במקרה דנן, המדובר בנאשם שנטל חלק פעיל בשרשרת הפצת סמים מתוך מניעים כלכליים.</w:t>
      </w:r>
    </w:p>
    <w:p w14:paraId="076BAB92" w14:textId="77777777" w:rsidR="009916F8" w:rsidRDefault="009916F8" w:rsidP="009916F8">
      <w:pPr>
        <w:spacing w:line="360" w:lineRule="auto"/>
        <w:jc w:val="both"/>
        <w:rPr>
          <w:rFonts w:ascii="Arial" w:hAnsi="Arial"/>
          <w:rtl/>
        </w:rPr>
      </w:pPr>
    </w:p>
    <w:p w14:paraId="48A1B71C" w14:textId="77777777" w:rsidR="009916F8" w:rsidRDefault="009916F8" w:rsidP="009916F8">
      <w:pPr>
        <w:spacing w:line="360" w:lineRule="auto"/>
        <w:jc w:val="both"/>
        <w:rPr>
          <w:rFonts w:ascii="Arial" w:hAnsi="Arial"/>
          <w:rtl/>
        </w:rPr>
      </w:pPr>
      <w:r>
        <w:rPr>
          <w:rFonts w:ascii="Arial" w:hAnsi="Arial"/>
          <w:rtl/>
        </w:rPr>
        <w:t xml:space="preserve">אמנם, בכל הנוגע לעיצום כספי מסוג קנס, על בית המשפט להתחשב במצבו הכלכלי של הנאשם (ראו </w:t>
      </w:r>
      <w:hyperlink r:id="rId27" w:history="1">
        <w:r w:rsidR="008E3C43" w:rsidRPr="008E3C43">
          <w:rPr>
            <w:rStyle w:val="Hyperlink"/>
            <w:rFonts w:ascii="Arial" w:hAnsi="Arial"/>
            <w:rtl/>
          </w:rPr>
          <w:t>סעיף 40ח'</w:t>
        </w:r>
      </w:hyperlink>
      <w:r>
        <w:rPr>
          <w:rFonts w:ascii="Arial" w:hAnsi="Arial"/>
          <w:rtl/>
        </w:rPr>
        <w:t xml:space="preserve"> </w:t>
      </w:r>
      <w:r>
        <w:rPr>
          <w:rFonts w:ascii="Arial" w:hAnsi="Arial" w:hint="cs"/>
          <w:rtl/>
        </w:rPr>
        <w:t>ל</w:t>
      </w:r>
      <w:hyperlink r:id="rId28" w:history="1">
        <w:r w:rsidR="00B70022" w:rsidRPr="00B70022">
          <w:rPr>
            <w:rFonts w:ascii="Arial" w:hAnsi="Arial"/>
            <w:color w:val="0000FF"/>
            <w:u w:val="single"/>
            <w:rtl/>
          </w:rPr>
          <w:t>חוק העונשין</w:t>
        </w:r>
      </w:hyperlink>
      <w:r>
        <w:rPr>
          <w:rFonts w:ascii="Arial" w:hAnsi="Arial"/>
          <w:rtl/>
        </w:rPr>
        <w:t>, תשל"ז 1977). אך המדובר בטענה, שעל ההגנה לבסס אותה בראיות. במקרה דנן, לא הוצגו ראיות כאלה.</w:t>
      </w:r>
    </w:p>
    <w:p w14:paraId="7EFA9A6A" w14:textId="77777777" w:rsidR="009916F8" w:rsidRDefault="009916F8" w:rsidP="009916F8">
      <w:pPr>
        <w:spacing w:line="360" w:lineRule="auto"/>
        <w:jc w:val="both"/>
        <w:rPr>
          <w:rFonts w:ascii="Arial" w:hAnsi="Arial"/>
          <w:rtl/>
        </w:rPr>
      </w:pPr>
    </w:p>
    <w:p w14:paraId="6F02CE44" w14:textId="77777777" w:rsidR="009916F8" w:rsidRDefault="009916F8" w:rsidP="009916F8">
      <w:pPr>
        <w:spacing w:line="360" w:lineRule="auto"/>
        <w:jc w:val="both"/>
        <w:rPr>
          <w:rFonts w:ascii="Arial" w:hAnsi="Arial"/>
          <w:rtl/>
        </w:rPr>
      </w:pPr>
      <w:r>
        <w:rPr>
          <w:rFonts w:ascii="Arial" w:hAnsi="Arial"/>
          <w:rtl/>
        </w:rPr>
        <w:t>האופרציה שנוהלה –</w:t>
      </w:r>
      <w:r>
        <w:rPr>
          <w:rFonts w:ascii="Arial" w:hAnsi="Arial" w:hint="cs"/>
          <w:rtl/>
        </w:rPr>
        <w:t xml:space="preserve"> </w:t>
      </w:r>
      <w:r>
        <w:rPr>
          <w:rFonts w:ascii="Arial" w:hAnsi="Arial"/>
          <w:rtl/>
        </w:rPr>
        <w:t xml:space="preserve">רכישת </w:t>
      </w:r>
      <w:r>
        <w:rPr>
          <w:rFonts w:ascii="Arial" w:hAnsi="Arial" w:hint="cs"/>
          <w:rtl/>
        </w:rPr>
        <w:t>ה</w:t>
      </w:r>
      <w:r>
        <w:rPr>
          <w:rFonts w:ascii="Arial" w:hAnsi="Arial"/>
          <w:rtl/>
        </w:rPr>
        <w:t>ציוד</w:t>
      </w:r>
      <w:r>
        <w:rPr>
          <w:rFonts w:ascii="Arial" w:hAnsi="Arial" w:hint="cs"/>
          <w:rtl/>
        </w:rPr>
        <w:t>, צמחי הסם</w:t>
      </w:r>
      <w:r>
        <w:rPr>
          <w:rFonts w:ascii="Arial" w:hAnsi="Arial"/>
          <w:rtl/>
        </w:rPr>
        <w:t xml:space="preserve"> </w:t>
      </w:r>
      <w:r>
        <w:rPr>
          <w:rFonts w:ascii="Arial" w:hAnsi="Arial" w:hint="cs"/>
          <w:rtl/>
        </w:rPr>
        <w:t>ו</w:t>
      </w:r>
      <w:r>
        <w:rPr>
          <w:rFonts w:ascii="Arial" w:hAnsi="Arial"/>
          <w:rtl/>
        </w:rPr>
        <w:t>התקנת המעבדה – דרשה משאבים לא מבוטלים ומכאן – ש</w:t>
      </w:r>
      <w:r>
        <w:rPr>
          <w:rFonts w:ascii="Arial" w:hAnsi="Arial" w:hint="cs"/>
          <w:rtl/>
        </w:rPr>
        <w:t>לנאשם המקורות הכספיים לכך.</w:t>
      </w:r>
    </w:p>
    <w:p w14:paraId="59AFE6FC" w14:textId="77777777" w:rsidR="009916F8" w:rsidRDefault="009916F8" w:rsidP="009916F8">
      <w:pPr>
        <w:spacing w:line="360" w:lineRule="auto"/>
        <w:jc w:val="both"/>
        <w:rPr>
          <w:rFonts w:ascii="Arial" w:hAnsi="Arial"/>
          <w:rtl/>
        </w:rPr>
      </w:pPr>
      <w:r>
        <w:rPr>
          <w:rFonts w:ascii="Arial" w:hAnsi="Arial"/>
          <w:rtl/>
        </w:rPr>
        <w:t>הרווח הצפוי מהעבירות –כולו במסגרת כלכלה "שחורה", לא מדווחת.</w:t>
      </w:r>
      <w:r>
        <w:rPr>
          <w:rFonts w:ascii="Arial" w:hAnsi="Arial" w:hint="cs"/>
          <w:rtl/>
        </w:rPr>
        <w:t xml:space="preserve"> כאמור, מוצאים דרכם כספים מסוג זה, בסופו של דבר, למימון פעילות פלילית </w:t>
      </w:r>
      <w:r>
        <w:rPr>
          <w:rFonts w:ascii="Arial" w:hAnsi="Arial"/>
          <w:rtl/>
        </w:rPr>
        <w:t>–</w:t>
      </w:r>
      <w:r>
        <w:rPr>
          <w:rFonts w:ascii="Arial" w:hAnsi="Arial" w:hint="cs"/>
          <w:rtl/>
        </w:rPr>
        <w:t xml:space="preserve"> כגון הימורים בלתי חוקיים; תעשיית המין; פעילות עבריינית ופעילות שלילית אחרת.</w:t>
      </w:r>
    </w:p>
    <w:p w14:paraId="4C3D3B1F" w14:textId="77777777" w:rsidR="009916F8" w:rsidRDefault="009916F8" w:rsidP="009916F8">
      <w:pPr>
        <w:spacing w:line="360" w:lineRule="auto"/>
        <w:jc w:val="both"/>
        <w:rPr>
          <w:rFonts w:ascii="Arial" w:hAnsi="Arial"/>
          <w:rtl/>
        </w:rPr>
      </w:pPr>
    </w:p>
    <w:p w14:paraId="6411EB7A" w14:textId="77777777" w:rsidR="009916F8" w:rsidRPr="007F4D26" w:rsidRDefault="009916F8" w:rsidP="009916F8">
      <w:pPr>
        <w:spacing w:line="360" w:lineRule="auto"/>
        <w:jc w:val="both"/>
        <w:rPr>
          <w:rFonts w:ascii="Arial" w:hAnsi="Arial"/>
          <w:rtl/>
        </w:rPr>
      </w:pPr>
      <w:r>
        <w:rPr>
          <w:rFonts w:ascii="Arial" w:hAnsi="Arial" w:hint="cs"/>
          <w:rtl/>
        </w:rPr>
        <w:t>הרווח הצפוי מהעבירה מחייב השתת עיצומים כספיים שיפגעו בכדאיות העיסוק בתחום מכניס זה, בו ניתן להפיק רווחים עצומים וקלים.</w:t>
      </w:r>
    </w:p>
    <w:p w14:paraId="1E8391A5" w14:textId="77777777" w:rsidR="009916F8" w:rsidRDefault="009916F8" w:rsidP="009916F8">
      <w:pPr>
        <w:spacing w:line="360" w:lineRule="auto"/>
        <w:rPr>
          <w:rtl/>
        </w:rPr>
      </w:pPr>
    </w:p>
    <w:p w14:paraId="3877371E" w14:textId="77777777" w:rsidR="009916F8" w:rsidRDefault="009916F8" w:rsidP="009916F8">
      <w:pPr>
        <w:spacing w:line="360" w:lineRule="auto"/>
        <w:rPr>
          <w:rtl/>
        </w:rPr>
      </w:pPr>
    </w:p>
    <w:p w14:paraId="508A3B03" w14:textId="77777777" w:rsidR="009916F8" w:rsidRDefault="009916F8" w:rsidP="009916F8">
      <w:pPr>
        <w:spacing w:line="360" w:lineRule="auto"/>
        <w:rPr>
          <w:rtl/>
        </w:rPr>
      </w:pPr>
      <w:r>
        <w:rPr>
          <w:rFonts w:hint="cs"/>
          <w:b/>
          <w:bCs/>
          <w:rtl/>
        </w:rPr>
        <w:t>סיכום</w:t>
      </w:r>
    </w:p>
    <w:p w14:paraId="6206B602" w14:textId="77777777" w:rsidR="009916F8" w:rsidRDefault="009916F8" w:rsidP="009916F8">
      <w:pPr>
        <w:spacing w:line="360" w:lineRule="auto"/>
        <w:rPr>
          <w:rtl/>
        </w:rPr>
      </w:pPr>
    </w:p>
    <w:p w14:paraId="3681555A" w14:textId="77777777" w:rsidR="009916F8" w:rsidRPr="007F4D26" w:rsidRDefault="009916F8" w:rsidP="009916F8">
      <w:pPr>
        <w:spacing w:line="360" w:lineRule="auto"/>
      </w:pPr>
      <w:r w:rsidRPr="007F4D26">
        <w:rPr>
          <w:rtl/>
        </w:rPr>
        <w:t>לאחר שבית המשפט עיין בטיעוני ה</w:t>
      </w:r>
      <w:r>
        <w:rPr>
          <w:rFonts w:hint="cs"/>
          <w:rtl/>
        </w:rPr>
        <w:t>מאשימה בכתב</w:t>
      </w:r>
      <w:r>
        <w:rPr>
          <w:rtl/>
        </w:rPr>
        <w:t>; שמע טענות</w:t>
      </w:r>
      <w:r>
        <w:rPr>
          <w:rFonts w:hint="cs"/>
          <w:rtl/>
        </w:rPr>
        <w:t xml:space="preserve"> הצדדים</w:t>
      </w:r>
      <w:r w:rsidRPr="007F4D26">
        <w:rPr>
          <w:rtl/>
        </w:rPr>
        <w:t xml:space="preserve"> על פה; עיין בראיות לענין העונש; עיין בפסיקה שהוגשה; ולאחר ששמע את דברו האחרון של הנאשם; גוזר על הנאשם את העונשים כדלקמן:</w:t>
      </w:r>
    </w:p>
    <w:p w14:paraId="1AB42362" w14:textId="77777777" w:rsidR="009916F8" w:rsidRPr="007F4D26" w:rsidRDefault="009916F8" w:rsidP="009916F8">
      <w:pPr>
        <w:spacing w:line="360" w:lineRule="auto"/>
        <w:rPr>
          <w:rtl/>
        </w:rPr>
      </w:pPr>
    </w:p>
    <w:p w14:paraId="0BBE173C" w14:textId="77777777" w:rsidR="009916F8" w:rsidRPr="007F4D26" w:rsidRDefault="009916F8" w:rsidP="009916F8">
      <w:pPr>
        <w:numPr>
          <w:ilvl w:val="0"/>
          <w:numId w:val="2"/>
        </w:numPr>
        <w:spacing w:line="360" w:lineRule="auto"/>
        <w:rPr>
          <w:rtl/>
        </w:rPr>
      </w:pPr>
      <w:r>
        <w:rPr>
          <w:rFonts w:hint="cs"/>
          <w:rtl/>
        </w:rPr>
        <w:t>22</w:t>
      </w:r>
      <w:r w:rsidRPr="007F4D26">
        <w:rPr>
          <w:rtl/>
        </w:rPr>
        <w:t xml:space="preserve"> חודשי מאסר בפועל, בניכוי ימי מעצרו על פי רישומי שב"ס;</w:t>
      </w:r>
    </w:p>
    <w:p w14:paraId="168E07DB" w14:textId="77777777" w:rsidR="009916F8" w:rsidRPr="007F4D26" w:rsidRDefault="009916F8" w:rsidP="009916F8">
      <w:pPr>
        <w:numPr>
          <w:ilvl w:val="0"/>
          <w:numId w:val="2"/>
        </w:numPr>
        <w:spacing w:line="360" w:lineRule="auto"/>
      </w:pPr>
      <w:r w:rsidRPr="007F4D26">
        <w:rPr>
          <w:rtl/>
        </w:rPr>
        <w:t>12 חודשי מאסר על תנאי למשך 3 שנים מיום שחרורו של הנאשם ממאסר, והתנאי – שהנאשם לא יעבור עבירה בניגוד ל</w:t>
      </w:r>
      <w:hyperlink r:id="rId29" w:history="1">
        <w:r w:rsidR="00B70022" w:rsidRPr="00B70022">
          <w:rPr>
            <w:color w:val="0000FF"/>
            <w:u w:val="single"/>
            <w:rtl/>
          </w:rPr>
          <w:t>פקודת הסמים המסוכנים</w:t>
        </w:r>
      </w:hyperlink>
      <w:r w:rsidRPr="007F4D26">
        <w:rPr>
          <w:rtl/>
        </w:rPr>
        <w:t xml:space="preserve"> [נוסח חדש], תשל"ג – 1973, שהיא מסוג פשע;</w:t>
      </w:r>
    </w:p>
    <w:p w14:paraId="61D012BB" w14:textId="77777777" w:rsidR="009916F8" w:rsidRPr="007F4D26" w:rsidRDefault="009916F8" w:rsidP="009916F8">
      <w:pPr>
        <w:numPr>
          <w:ilvl w:val="0"/>
          <w:numId w:val="2"/>
        </w:numPr>
        <w:spacing w:line="360" w:lineRule="auto"/>
      </w:pPr>
      <w:r>
        <w:rPr>
          <w:rFonts w:hint="cs"/>
          <w:rtl/>
        </w:rPr>
        <w:t>3</w:t>
      </w:r>
      <w:r w:rsidRPr="007F4D26">
        <w:rPr>
          <w:rtl/>
        </w:rPr>
        <w:t xml:space="preserve"> חודשי מאסר על תנאי למשך 3 שנים מיום שחרורו של הנאשם ממאסר, והתנאי – שהנאשם לא יעבור עבירה בניגוד ל</w:t>
      </w:r>
      <w:hyperlink r:id="rId30" w:history="1">
        <w:r w:rsidR="00B70022" w:rsidRPr="00B70022">
          <w:rPr>
            <w:color w:val="0000FF"/>
            <w:u w:val="single"/>
            <w:rtl/>
          </w:rPr>
          <w:t>פקודת הסמים המסוכנים</w:t>
        </w:r>
      </w:hyperlink>
      <w:r w:rsidRPr="007F4D26">
        <w:rPr>
          <w:rtl/>
        </w:rPr>
        <w:t xml:space="preserve"> [נוסח חדש], תשל"ג – 1973, שהיא מסוג עוון;</w:t>
      </w:r>
    </w:p>
    <w:p w14:paraId="066B764A" w14:textId="77777777" w:rsidR="009916F8" w:rsidRPr="007F4D26" w:rsidRDefault="009916F8" w:rsidP="009916F8">
      <w:pPr>
        <w:numPr>
          <w:ilvl w:val="0"/>
          <w:numId w:val="2"/>
        </w:numPr>
        <w:spacing w:line="360" w:lineRule="auto"/>
      </w:pPr>
      <w:r w:rsidRPr="007F4D26">
        <w:rPr>
          <w:rtl/>
        </w:rPr>
        <w:t xml:space="preserve">קנס בסך </w:t>
      </w:r>
      <w:r>
        <w:rPr>
          <w:rFonts w:hint="cs"/>
          <w:rtl/>
        </w:rPr>
        <w:t>20</w:t>
      </w:r>
      <w:r w:rsidRPr="007F4D26">
        <w:rPr>
          <w:rtl/>
        </w:rPr>
        <w:t xml:space="preserve">,000 ₪ או </w:t>
      </w:r>
      <w:r>
        <w:rPr>
          <w:rFonts w:hint="cs"/>
          <w:rtl/>
        </w:rPr>
        <w:t>120</w:t>
      </w:r>
      <w:r w:rsidRPr="007F4D26">
        <w:rPr>
          <w:rtl/>
        </w:rPr>
        <w:t xml:space="preserve"> ימי מאסר תמורתו, הקנס ישולם ב-</w:t>
      </w:r>
      <w:r>
        <w:rPr>
          <w:rFonts w:hint="cs"/>
          <w:rtl/>
        </w:rPr>
        <w:t>10</w:t>
      </w:r>
      <w:r w:rsidRPr="007F4D26">
        <w:rPr>
          <w:rtl/>
        </w:rPr>
        <w:t xml:space="preserve"> תשלומים שווים, החל מיום 15.</w:t>
      </w:r>
      <w:r>
        <w:rPr>
          <w:rFonts w:hint="cs"/>
          <w:rtl/>
        </w:rPr>
        <w:t>04</w:t>
      </w:r>
      <w:r w:rsidRPr="007F4D26">
        <w:rPr>
          <w:rtl/>
        </w:rPr>
        <w:t>.2</w:t>
      </w:r>
      <w:r>
        <w:rPr>
          <w:rFonts w:hint="cs"/>
          <w:rtl/>
        </w:rPr>
        <w:t>1</w:t>
      </w:r>
      <w:r w:rsidRPr="007F4D26">
        <w:rPr>
          <w:rtl/>
        </w:rPr>
        <w:t xml:space="preserve"> ובכל 15 לחודש העוקב.</w:t>
      </w:r>
      <w:r>
        <w:rPr>
          <w:rFonts w:hint="cs"/>
          <w:rtl/>
        </w:rPr>
        <w:t xml:space="preserve"> לא יועבר אחד התשלומים במועד </w:t>
      </w:r>
      <w:r>
        <w:rPr>
          <w:rtl/>
        </w:rPr>
        <w:t>–</w:t>
      </w:r>
      <w:r>
        <w:rPr>
          <w:rFonts w:hint="cs"/>
          <w:rtl/>
        </w:rPr>
        <w:t xml:space="preserve"> תעמוד היתרה לפירעון מידי.</w:t>
      </w:r>
    </w:p>
    <w:p w14:paraId="63A5AD01" w14:textId="77777777" w:rsidR="009916F8" w:rsidRDefault="00B70022" w:rsidP="009916F8">
      <w:pPr>
        <w:spacing w:after="160" w:line="276" w:lineRule="auto"/>
        <w:rPr>
          <w:rFonts w:ascii="Calibri" w:hAnsi="Calibri"/>
          <w:rtl/>
        </w:rPr>
      </w:pPr>
      <w:r w:rsidRPr="00B70022">
        <w:rPr>
          <w:rFonts w:ascii="Calibri" w:hAnsi="Calibri"/>
          <w:color w:val="FFFFFF"/>
          <w:sz w:val="2"/>
          <w:szCs w:val="2"/>
          <w:rtl/>
        </w:rPr>
        <w:t>5129371</w:t>
      </w:r>
      <w:r w:rsidR="009916F8">
        <w:rPr>
          <w:rFonts w:ascii="Calibri" w:hAnsi="Calibri" w:hint="cs"/>
          <w:rtl/>
        </w:rPr>
        <w:t>הנאשם יתייצב לריצוי עונשו כעת.</w:t>
      </w:r>
    </w:p>
    <w:p w14:paraId="65EADB13" w14:textId="77777777" w:rsidR="009916F8" w:rsidRPr="00901FF6" w:rsidRDefault="00B70022" w:rsidP="009916F8">
      <w:pPr>
        <w:spacing w:after="160" w:line="276" w:lineRule="auto"/>
        <w:rPr>
          <w:rFonts w:ascii="Calibri" w:hAnsi="Calibri"/>
          <w:rtl/>
        </w:rPr>
      </w:pPr>
      <w:r w:rsidRPr="00B70022">
        <w:rPr>
          <w:rFonts w:ascii="Calibri" w:hAnsi="Calibri"/>
          <w:color w:val="FFFFFF"/>
          <w:sz w:val="2"/>
          <w:szCs w:val="2"/>
          <w:rtl/>
        </w:rPr>
        <w:t>54678313</w:t>
      </w:r>
      <w:r w:rsidR="009916F8" w:rsidRPr="00FD0AD8">
        <w:rPr>
          <w:rFonts w:ascii="Calibri" w:hAnsi="Calibri" w:hint="eastAsia"/>
          <w:rtl/>
        </w:rPr>
        <w:t>הודעה</w:t>
      </w:r>
      <w:r w:rsidR="009916F8" w:rsidRPr="00FD0AD8">
        <w:rPr>
          <w:rFonts w:ascii="Calibri" w:hAnsi="Calibri"/>
          <w:rtl/>
        </w:rPr>
        <w:t xml:space="preserve"> </w:t>
      </w:r>
      <w:r w:rsidR="009916F8" w:rsidRPr="00FD0AD8">
        <w:rPr>
          <w:rFonts w:ascii="Calibri" w:hAnsi="Calibri" w:hint="eastAsia"/>
          <w:rtl/>
        </w:rPr>
        <w:t>זכות</w:t>
      </w:r>
      <w:r w:rsidR="009916F8" w:rsidRPr="00FD0AD8">
        <w:rPr>
          <w:rFonts w:ascii="Calibri" w:hAnsi="Calibri"/>
          <w:rtl/>
        </w:rPr>
        <w:t xml:space="preserve"> </w:t>
      </w:r>
      <w:r w:rsidR="009916F8" w:rsidRPr="00FD0AD8">
        <w:rPr>
          <w:rFonts w:ascii="Calibri" w:hAnsi="Calibri" w:hint="eastAsia"/>
          <w:rtl/>
        </w:rPr>
        <w:t>הערעור</w:t>
      </w:r>
      <w:r w:rsidR="009916F8" w:rsidRPr="00FD0AD8">
        <w:rPr>
          <w:rFonts w:ascii="Calibri" w:hAnsi="Calibri"/>
          <w:rtl/>
        </w:rPr>
        <w:t>.</w:t>
      </w:r>
    </w:p>
    <w:p w14:paraId="7DE34E53" w14:textId="77777777" w:rsidR="009916F8" w:rsidRDefault="009916F8" w:rsidP="009916F8">
      <w:pPr>
        <w:spacing w:line="360" w:lineRule="auto"/>
        <w:jc w:val="both"/>
        <w:rPr>
          <w:rFonts w:ascii="Arial" w:hAnsi="Arial"/>
          <w:rtl/>
        </w:rPr>
      </w:pPr>
    </w:p>
    <w:p w14:paraId="1440D1F9" w14:textId="77777777" w:rsidR="009916F8" w:rsidRDefault="00B70022" w:rsidP="009916F8">
      <w:pPr>
        <w:spacing w:line="360" w:lineRule="auto"/>
        <w:jc w:val="both"/>
        <w:rPr>
          <w:rFonts w:ascii="Arial" w:hAnsi="Arial"/>
          <w:rtl/>
        </w:rPr>
      </w:pPr>
      <w:bookmarkStart w:id="8" w:name="Nitan"/>
      <w:r>
        <w:rPr>
          <w:rFonts w:ascii="Arial" w:hAnsi="Arial"/>
          <w:rtl/>
        </w:rPr>
        <w:t xml:space="preserve">ניתנה היום, ה' ניסן תשפ"א, 18 מרץ 2021, במעמד הצדדים. </w:t>
      </w:r>
      <w:bookmarkEnd w:id="8"/>
    </w:p>
    <w:p w14:paraId="15C3EED6" w14:textId="77777777" w:rsidR="009916F8" w:rsidRDefault="009916F8" w:rsidP="009916F8">
      <w:pPr>
        <w:spacing w:line="360" w:lineRule="auto"/>
        <w:ind w:left="3600" w:firstLine="720"/>
        <w:jc w:val="center"/>
      </w:pPr>
    </w:p>
    <w:p w14:paraId="18AE561F" w14:textId="77777777" w:rsidR="009916F8" w:rsidRPr="008E3C43" w:rsidRDefault="008E3C43" w:rsidP="009916F8">
      <w:pPr>
        <w:spacing w:line="360" w:lineRule="auto"/>
        <w:ind w:left="3600" w:firstLine="720"/>
        <w:jc w:val="center"/>
        <w:rPr>
          <w:rFonts w:ascii="Arial" w:hAnsi="Arial"/>
          <w:color w:val="FFFFFF"/>
          <w:sz w:val="2"/>
          <w:szCs w:val="2"/>
          <w:rtl/>
        </w:rPr>
      </w:pPr>
      <w:r w:rsidRPr="008E3C43">
        <w:rPr>
          <w:rFonts w:ascii="Arial" w:hAnsi="Arial"/>
          <w:color w:val="FFFFFF"/>
          <w:sz w:val="2"/>
          <w:szCs w:val="2"/>
          <w:rtl/>
        </w:rPr>
        <w:t>5129371</w:t>
      </w:r>
    </w:p>
    <w:p w14:paraId="732A9696" w14:textId="77777777" w:rsidR="00B70022" w:rsidRDefault="00B70022" w:rsidP="00B70022">
      <w:pPr>
        <w:rPr>
          <w:rtl/>
        </w:rPr>
      </w:pPr>
    </w:p>
    <w:p w14:paraId="43DFE297" w14:textId="77777777" w:rsidR="00B70022" w:rsidRDefault="00B70022" w:rsidP="00B70022">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7F049C7C" w14:textId="77777777" w:rsidR="008E3C43" w:rsidRPr="008E3C43" w:rsidRDefault="008E3C43" w:rsidP="008E3C43">
      <w:pPr>
        <w:keepNext/>
        <w:rPr>
          <w:rFonts w:ascii="David" w:hAnsi="David" w:hint="cs"/>
          <w:color w:val="000000"/>
          <w:sz w:val="22"/>
          <w:szCs w:val="22"/>
          <w:rtl/>
        </w:rPr>
      </w:pPr>
    </w:p>
    <w:p w14:paraId="6EF434E2" w14:textId="77777777" w:rsidR="008E3C43" w:rsidRPr="008E3C43" w:rsidRDefault="008E3C43" w:rsidP="008E3C43">
      <w:pPr>
        <w:keepNext/>
        <w:rPr>
          <w:rFonts w:ascii="David" w:hAnsi="David"/>
          <w:color w:val="000000"/>
          <w:sz w:val="22"/>
          <w:szCs w:val="22"/>
          <w:rtl/>
        </w:rPr>
      </w:pPr>
      <w:r w:rsidRPr="008E3C43">
        <w:rPr>
          <w:rFonts w:ascii="David" w:hAnsi="David"/>
          <w:color w:val="000000"/>
          <w:sz w:val="22"/>
          <w:szCs w:val="22"/>
          <w:rtl/>
        </w:rPr>
        <w:t>רון סולקין 54678313-/</w:t>
      </w:r>
    </w:p>
    <w:p w14:paraId="299DBB6A" w14:textId="77777777" w:rsidR="00B70022" w:rsidRPr="00B70022" w:rsidRDefault="008E3C43" w:rsidP="008E3C43">
      <w:pPr>
        <w:rPr>
          <w:rFonts w:hint="cs"/>
          <w:color w:val="0000FF"/>
          <w:u w:val="single"/>
        </w:rPr>
      </w:pPr>
      <w:r w:rsidRPr="008E3C43">
        <w:rPr>
          <w:color w:val="000000"/>
          <w:u w:val="single"/>
          <w:rtl/>
        </w:rPr>
        <w:t>נוסח מסמך זה כפוף לשינויי ניסוח ועריכה</w:t>
      </w:r>
    </w:p>
    <w:sectPr w:rsidR="00B70022" w:rsidRPr="00B70022" w:rsidSect="008E3C43">
      <w:headerReference w:type="even" r:id="rId32"/>
      <w:headerReference w:type="default" r:id="rId33"/>
      <w:footerReference w:type="even" r:id="rId34"/>
      <w:footerReference w:type="default" r:id="rId35"/>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196A3" w14:textId="77777777" w:rsidR="007868C3" w:rsidRDefault="007868C3" w:rsidP="00885EF2">
      <w:r>
        <w:separator/>
      </w:r>
    </w:p>
  </w:endnote>
  <w:endnote w:type="continuationSeparator" w:id="0">
    <w:p w14:paraId="2D4548E5" w14:textId="77777777" w:rsidR="007868C3" w:rsidRDefault="007868C3" w:rsidP="00885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CEB65" w14:textId="77777777" w:rsidR="008E3C43" w:rsidRDefault="008E3C43" w:rsidP="008E3C4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ACF3ACA" w14:textId="77777777" w:rsidR="00B70022" w:rsidRPr="008E3C43" w:rsidRDefault="008E3C43" w:rsidP="008E3C43">
    <w:pPr>
      <w:pStyle w:val="a5"/>
      <w:pBdr>
        <w:top w:val="single" w:sz="4" w:space="1" w:color="auto"/>
        <w:between w:val="single" w:sz="4" w:space="0" w:color="auto"/>
      </w:pBdr>
      <w:spacing w:after="60"/>
      <w:jc w:val="center"/>
      <w:rPr>
        <w:rFonts w:ascii="FrankRuehl" w:hAnsi="FrankRuehl" w:cs="FrankRuehl"/>
        <w:color w:val="000000"/>
      </w:rPr>
    </w:pPr>
    <w:r w:rsidRPr="008E3C4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C1070" w14:textId="77777777" w:rsidR="008E3C43" w:rsidRDefault="008E3C43" w:rsidP="008E3C43">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D428BE">
      <w:rPr>
        <w:rStyle w:val="a8"/>
        <w:rFonts w:ascii="FrankRuehl" w:hAnsi="FrankRuehl" w:cs="FrankRuehl"/>
        <w:noProof/>
        <w:rtl/>
      </w:rPr>
      <w:t>1</w:t>
    </w:r>
    <w:r>
      <w:rPr>
        <w:rStyle w:val="a8"/>
        <w:rFonts w:ascii="FrankRuehl" w:hAnsi="FrankRuehl" w:cs="FrankRuehl"/>
        <w:rtl/>
      </w:rPr>
      <w:fldChar w:fldCharType="end"/>
    </w:r>
  </w:p>
  <w:p w14:paraId="0B8F5CA7" w14:textId="77777777" w:rsidR="00117A61" w:rsidRPr="008E3C43" w:rsidRDefault="008E3C43" w:rsidP="008E3C43">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8E3C43">
      <w:rPr>
        <w:rStyle w:val="a8"/>
        <w:rFonts w:ascii="FrankRuehl" w:hAnsi="FrankRuehl" w:cs="FrankRuehl" w:hint="cs"/>
        <w:color w:val="000000"/>
      </w:rPr>
      <w:pict w14:anchorId="17AD75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C840B" w14:textId="77777777" w:rsidR="007868C3" w:rsidRDefault="007868C3" w:rsidP="00885EF2">
      <w:r>
        <w:separator/>
      </w:r>
    </w:p>
  </w:footnote>
  <w:footnote w:type="continuationSeparator" w:id="0">
    <w:p w14:paraId="758C3CA1" w14:textId="77777777" w:rsidR="007868C3" w:rsidRDefault="007868C3" w:rsidP="00885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0AE1B" w14:textId="77777777" w:rsidR="00B70022" w:rsidRPr="008E3C43" w:rsidRDefault="008E3C43" w:rsidP="008E3C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17321-06-18</w:t>
    </w:r>
    <w:r>
      <w:rPr>
        <w:rFonts w:ascii="David" w:hAnsi="David"/>
        <w:color w:val="000000"/>
        <w:sz w:val="22"/>
        <w:szCs w:val="22"/>
        <w:rtl/>
      </w:rPr>
      <w:tab/>
      <w:t xml:space="preserve"> מדינת ישראל  נ' מוחמד בן אחמד אבו שנדי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F749D" w14:textId="77777777" w:rsidR="00B70022" w:rsidRPr="008E3C43" w:rsidRDefault="008E3C43" w:rsidP="008E3C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17321-06-18</w:t>
    </w:r>
    <w:r>
      <w:rPr>
        <w:rFonts w:ascii="David" w:hAnsi="David"/>
        <w:color w:val="000000"/>
        <w:sz w:val="22"/>
        <w:szCs w:val="22"/>
        <w:rtl/>
      </w:rPr>
      <w:tab/>
      <w:t xml:space="preserve"> מדינת ישראל  נ' מוחמד בן אחמד אבו שנדי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4AA6"/>
    <w:multiLevelType w:val="hybridMultilevel"/>
    <w:tmpl w:val="288CFC5A"/>
    <w:lvl w:ilvl="0" w:tplc="F1BC67E4">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91D6D"/>
    <w:multiLevelType w:val="hybridMultilevel"/>
    <w:tmpl w:val="0EA06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1976523406">
    <w:abstractNumId w:val="0"/>
  </w:num>
  <w:num w:numId="2" w16cid:durableId="1313828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16F8"/>
    <w:rsid w:val="00117A61"/>
    <w:rsid w:val="00171466"/>
    <w:rsid w:val="001B5A3B"/>
    <w:rsid w:val="00266318"/>
    <w:rsid w:val="0051514C"/>
    <w:rsid w:val="007868C3"/>
    <w:rsid w:val="008359FD"/>
    <w:rsid w:val="00885EF2"/>
    <w:rsid w:val="00895E40"/>
    <w:rsid w:val="008B255C"/>
    <w:rsid w:val="008E3C43"/>
    <w:rsid w:val="00926246"/>
    <w:rsid w:val="009916F8"/>
    <w:rsid w:val="00B70022"/>
    <w:rsid w:val="00C92908"/>
    <w:rsid w:val="00D428BE"/>
    <w:rsid w:val="00E409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61CF4D"/>
  <w15:chartTrackingRefBased/>
  <w15:docId w15:val="{BEA20A8C-88AF-46F8-A40D-1F7B4418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16F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916F8"/>
    <w:pPr>
      <w:tabs>
        <w:tab w:val="center" w:pos="4153"/>
        <w:tab w:val="right" w:pos="8306"/>
      </w:tabs>
    </w:pPr>
  </w:style>
  <w:style w:type="character" w:customStyle="1" w:styleId="a4">
    <w:name w:val="כותרת עליונה תו"/>
    <w:link w:val="a3"/>
    <w:rsid w:val="009916F8"/>
    <w:rPr>
      <w:rFonts w:ascii="Times New Roman" w:eastAsia="Times New Roman" w:hAnsi="Times New Roman" w:cs="David"/>
      <w:sz w:val="24"/>
      <w:szCs w:val="24"/>
    </w:rPr>
  </w:style>
  <w:style w:type="paragraph" w:styleId="a5">
    <w:name w:val="footer"/>
    <w:basedOn w:val="a"/>
    <w:link w:val="a6"/>
    <w:rsid w:val="009916F8"/>
    <w:pPr>
      <w:tabs>
        <w:tab w:val="center" w:pos="4153"/>
        <w:tab w:val="right" w:pos="8306"/>
      </w:tabs>
    </w:pPr>
  </w:style>
  <w:style w:type="character" w:customStyle="1" w:styleId="a6">
    <w:name w:val="כותרת תחתונה תו"/>
    <w:link w:val="a5"/>
    <w:rsid w:val="009916F8"/>
    <w:rPr>
      <w:rFonts w:ascii="Times New Roman" w:eastAsia="Times New Roman" w:hAnsi="Times New Roman" w:cs="David"/>
      <w:sz w:val="24"/>
      <w:szCs w:val="24"/>
    </w:rPr>
  </w:style>
  <w:style w:type="table" w:styleId="a7">
    <w:name w:val="Table Grid"/>
    <w:basedOn w:val="a1"/>
    <w:rsid w:val="009916F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916F8"/>
    <w:rPr>
      <w:noProof w:val="0"/>
    </w:rPr>
  </w:style>
  <w:style w:type="paragraph" w:styleId="a9">
    <w:name w:val="List Paragraph"/>
    <w:basedOn w:val="a"/>
    <w:qFormat/>
    <w:rsid w:val="009916F8"/>
    <w:pPr>
      <w:ind w:left="720"/>
      <w:contextualSpacing/>
    </w:pPr>
  </w:style>
  <w:style w:type="character" w:styleId="aa">
    <w:name w:val="line number"/>
    <w:rsid w:val="009916F8"/>
  </w:style>
  <w:style w:type="character" w:styleId="Hyperlink">
    <w:name w:val="Hyperlink"/>
    <w:rsid w:val="00B700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h"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70301" TargetMode="External"/><Relationship Id="rId21" Type="http://schemas.openxmlformats.org/officeDocument/2006/relationships/hyperlink" Target="http://www.nevo.co.il/case/23838449" TargetMode="External"/><Relationship Id="rId34" Type="http://schemas.openxmlformats.org/officeDocument/2006/relationships/footer" Target="footer1.xml"/><Relationship Id="rId7" Type="http://schemas.openxmlformats.org/officeDocument/2006/relationships/hyperlink" Target="http://www.nevo.co.il/case/242858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40i"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3169208"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5578635"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case/23674086" TargetMode="External"/><Relationship Id="rId28" Type="http://schemas.openxmlformats.org/officeDocument/2006/relationships/hyperlink" Target="http://www.nevo.co.il/law/70301" TargetMode="External"/><Relationship Id="rId36" Type="http://schemas.openxmlformats.org/officeDocument/2006/relationships/fontTable" Target="fontTable.xml"/><Relationship Id="rId10" Type="http://schemas.openxmlformats.org/officeDocument/2006/relationships/hyperlink" Target="http://www.nevo.co.il/law/4216/7.a" TargetMode="External"/><Relationship Id="rId19" Type="http://schemas.openxmlformats.org/officeDocument/2006/relationships/hyperlink" Target="http://www.nevo.co.il/case/23148925"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law/70301/40i" TargetMode="External"/><Relationship Id="rId22" Type="http://schemas.openxmlformats.org/officeDocument/2006/relationships/hyperlink" Target="http://www.nevo.co.il/case/26209616" TargetMode="External"/><Relationship Id="rId27" Type="http://schemas.openxmlformats.org/officeDocument/2006/relationships/hyperlink" Target="http://www.nevo.co.il/law/70301/40h"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421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2184</Words>
  <Characters>10922</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13080</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http://www.nevo.co.il/law/70301/40h</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3932272</vt:i4>
      </vt:variant>
      <vt:variant>
        <vt:i4>51</vt:i4>
      </vt:variant>
      <vt:variant>
        <vt:i4>0</vt:i4>
      </vt:variant>
      <vt:variant>
        <vt:i4>5</vt:i4>
      </vt:variant>
      <vt:variant>
        <vt:lpwstr>http://www.nevo.co.il/case/25578635</vt:lpwstr>
      </vt:variant>
      <vt:variant>
        <vt:lpwstr/>
      </vt:variant>
      <vt:variant>
        <vt:i4>3670128</vt:i4>
      </vt:variant>
      <vt:variant>
        <vt:i4>48</vt:i4>
      </vt:variant>
      <vt:variant>
        <vt:i4>0</vt:i4>
      </vt:variant>
      <vt:variant>
        <vt:i4>5</vt:i4>
      </vt:variant>
      <vt:variant>
        <vt:lpwstr>http://www.nevo.co.il/case/23674086</vt:lpwstr>
      </vt:variant>
      <vt:variant>
        <vt:lpwstr/>
      </vt:variant>
      <vt:variant>
        <vt:i4>3670132</vt:i4>
      </vt:variant>
      <vt:variant>
        <vt:i4>45</vt:i4>
      </vt:variant>
      <vt:variant>
        <vt:i4>0</vt:i4>
      </vt:variant>
      <vt:variant>
        <vt:i4>5</vt:i4>
      </vt:variant>
      <vt:variant>
        <vt:lpwstr>http://www.nevo.co.il/case/26209616</vt:lpwstr>
      </vt:variant>
      <vt:variant>
        <vt:lpwstr/>
      </vt:variant>
      <vt:variant>
        <vt:i4>3539056</vt:i4>
      </vt:variant>
      <vt:variant>
        <vt:i4>42</vt:i4>
      </vt:variant>
      <vt:variant>
        <vt:i4>0</vt:i4>
      </vt:variant>
      <vt:variant>
        <vt:i4>5</vt:i4>
      </vt:variant>
      <vt:variant>
        <vt:lpwstr>http://www.nevo.co.il/case/23838449</vt:lpwstr>
      </vt:variant>
      <vt:variant>
        <vt:lpwstr/>
      </vt:variant>
      <vt:variant>
        <vt:i4>3801203</vt:i4>
      </vt:variant>
      <vt:variant>
        <vt:i4>39</vt:i4>
      </vt:variant>
      <vt:variant>
        <vt:i4>0</vt:i4>
      </vt:variant>
      <vt:variant>
        <vt:i4>5</vt:i4>
      </vt:variant>
      <vt:variant>
        <vt:lpwstr>http://www.nevo.co.il/case/23169208</vt:lpwstr>
      </vt:variant>
      <vt:variant>
        <vt:lpwstr/>
      </vt:variant>
      <vt:variant>
        <vt:i4>3735674</vt:i4>
      </vt:variant>
      <vt:variant>
        <vt:i4>36</vt:i4>
      </vt:variant>
      <vt:variant>
        <vt:i4>0</vt:i4>
      </vt:variant>
      <vt:variant>
        <vt:i4>5</vt:i4>
      </vt:variant>
      <vt:variant>
        <vt:lpwstr>http://www.nevo.co.il/case/23148925</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http://www.nevo.co.il/law/70301/40h</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3473520</vt:i4>
      </vt:variant>
      <vt:variant>
        <vt:i4>0</vt:i4>
      </vt:variant>
      <vt:variant>
        <vt:i4>0</vt:i4>
      </vt:variant>
      <vt:variant>
        <vt:i4>5</vt:i4>
      </vt:variant>
      <vt:variant>
        <vt:lpwstr>http://www.nevo.co.il/case/24285801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2025-04-22T23:48:00Z</dcterms:created>
  <dcterms:modified xsi:type="dcterms:W3CDTF">2025-04-22T23:48:00Z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17321</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מוחמד בן אחמד אבו שנדי</vt:lpwstr>
  </property>
  <property fmtid="{D5CDD505-2E9C-101B-9397-08002B2CF9AE}" pid="10" name="LAWYER">
    <vt:lpwstr>דניאל גלעד;דמיטרי ורניצקי</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20210318</vt:lpwstr>
  </property>
  <property fmtid="{D5CDD505-2E9C-101B-9397-08002B2CF9AE}" pid="14" name="TYPE_N_DATE">
    <vt:lpwstr>38020210318</vt:lpwstr>
  </property>
  <property fmtid="{D5CDD505-2E9C-101B-9397-08002B2CF9AE}" pid="15" name="WORDNUMPAGES">
    <vt:lpwstr>9</vt:lpwstr>
  </property>
  <property fmtid="{D5CDD505-2E9C-101B-9397-08002B2CF9AE}" pid="16" name="TYPE_ABS_DATE">
    <vt:lpwstr>380020210318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24285801;23148925;23169208;23838449;26209616;23674086;25578635</vt:lpwstr>
  </property>
  <property fmtid="{D5CDD505-2E9C-101B-9397-08002B2CF9AE}" pid="36" name="LAWLISTTMP1">
    <vt:lpwstr>4216/006;007.a;007.c</vt:lpwstr>
  </property>
  <property fmtid="{D5CDD505-2E9C-101B-9397-08002B2CF9AE}" pid="37" name="LAWLISTTMP2">
    <vt:lpwstr>70301/040i;040h</vt:lpwstr>
  </property>
</Properties>
</file>