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4A0E92" w:rsidRPr="00457DBE" w14:paraId="0D894E81" w14:textId="77777777" w:rsidTr="0008497A">
        <w:trPr>
          <w:trHeight w:hRule="exact" w:val="418"/>
          <w:jc w:val="center"/>
        </w:trPr>
        <w:tc>
          <w:tcPr>
            <w:tcW w:w="8721" w:type="dxa"/>
            <w:gridSpan w:val="2"/>
          </w:tcPr>
          <w:p w14:paraId="00EC8A7B" w14:textId="77777777" w:rsidR="004A0E92" w:rsidRPr="00457DBE" w:rsidRDefault="004A0E92" w:rsidP="001D1397">
            <w:pPr>
              <w:pStyle w:val="a3"/>
              <w:jc w:val="center"/>
              <w:rPr>
                <w:rFonts w:ascii="Tahoma" w:hAnsi="Tahoma" w:cs="FrankRuehl"/>
                <w:color w:val="000080"/>
                <w:sz w:val="28"/>
                <w:szCs w:val="28"/>
                <w:rtl/>
              </w:rPr>
            </w:pPr>
            <w:bookmarkStart w:id="0" w:name="FirstLawyer"/>
            <w:bookmarkStart w:id="1" w:name="LastJudge"/>
            <w:r w:rsidRPr="00457DBE">
              <w:rPr>
                <w:rFonts w:ascii="Tahoma" w:hAnsi="Tahoma" w:cs="FrankRuehl"/>
                <w:b/>
                <w:bCs/>
                <w:color w:val="000080"/>
                <w:sz w:val="28"/>
                <w:szCs w:val="28"/>
                <w:rtl/>
              </w:rPr>
              <w:t>בית משפט השלום בירושלים</w:t>
            </w:r>
          </w:p>
        </w:tc>
      </w:tr>
      <w:tr w:rsidR="004A0E92" w:rsidRPr="00457DBE" w14:paraId="0B5F7A3F" w14:textId="77777777" w:rsidTr="0008497A">
        <w:trPr>
          <w:trHeight w:val="337"/>
          <w:jc w:val="center"/>
        </w:trPr>
        <w:tc>
          <w:tcPr>
            <w:tcW w:w="5053" w:type="dxa"/>
          </w:tcPr>
          <w:p w14:paraId="679558B8" w14:textId="77777777" w:rsidR="004A0E92" w:rsidRPr="00457DBE" w:rsidRDefault="004A0E92" w:rsidP="001D1397">
            <w:pPr>
              <w:rPr>
                <w:rFonts w:cs="FrankRuehl"/>
                <w:b/>
                <w:bCs/>
                <w:sz w:val="28"/>
                <w:szCs w:val="28"/>
                <w:rtl/>
              </w:rPr>
            </w:pPr>
            <w:r w:rsidRPr="00457DBE">
              <w:rPr>
                <w:rFonts w:cs="FrankRuehl"/>
                <w:b/>
                <w:bCs/>
                <w:sz w:val="28"/>
                <w:szCs w:val="28"/>
                <w:rtl/>
              </w:rPr>
              <w:t>ת"פ</w:t>
            </w:r>
            <w:r w:rsidRPr="00457DBE">
              <w:rPr>
                <w:rFonts w:cs="FrankRuehl" w:hint="cs"/>
                <w:b/>
                <w:bCs/>
                <w:sz w:val="28"/>
                <w:szCs w:val="28"/>
                <w:rtl/>
              </w:rPr>
              <w:t xml:space="preserve"> </w:t>
            </w:r>
            <w:hyperlink r:id="rId7" w:history="1">
              <w:r w:rsidR="00017D30" w:rsidRPr="00017D30">
                <w:rPr>
                  <w:rFonts w:cs="FrankRuehl"/>
                  <w:b/>
                  <w:bCs/>
                  <w:color w:val="0000FF"/>
                  <w:sz w:val="28"/>
                  <w:szCs w:val="28"/>
                  <w:u w:val="single"/>
                  <w:rtl/>
                </w:rPr>
                <w:t xml:space="preserve">2230-06-18 </w:t>
              </w:r>
            </w:hyperlink>
            <w:r w:rsidRPr="00457DBE">
              <w:rPr>
                <w:rFonts w:cs="FrankRuehl" w:hint="cs"/>
                <w:b/>
                <w:bCs/>
                <w:sz w:val="28"/>
                <w:szCs w:val="28"/>
                <w:rtl/>
              </w:rPr>
              <w:t xml:space="preserve"> </w:t>
            </w:r>
            <w:r w:rsidRPr="00457DBE">
              <w:rPr>
                <w:rFonts w:cs="FrankRuehl"/>
                <w:b/>
                <w:bCs/>
                <w:sz w:val="28"/>
                <w:szCs w:val="28"/>
                <w:rtl/>
              </w:rPr>
              <w:t>מדינת ישראל נ' סהלו</w:t>
            </w:r>
          </w:p>
          <w:p w14:paraId="6779767A" w14:textId="77777777" w:rsidR="004A0E92" w:rsidRPr="00457DBE" w:rsidRDefault="004A0E92" w:rsidP="001D1397">
            <w:pPr>
              <w:pStyle w:val="a3"/>
              <w:rPr>
                <w:rFonts w:cs="FrankRuehl"/>
                <w:b/>
                <w:bCs/>
                <w:sz w:val="28"/>
                <w:szCs w:val="28"/>
                <w:rtl/>
              </w:rPr>
            </w:pPr>
          </w:p>
        </w:tc>
        <w:tc>
          <w:tcPr>
            <w:tcW w:w="3668" w:type="dxa"/>
          </w:tcPr>
          <w:p w14:paraId="39C31092" w14:textId="77777777" w:rsidR="004A0E92" w:rsidRPr="00457DBE" w:rsidRDefault="004A0E92" w:rsidP="001D1397">
            <w:pPr>
              <w:pStyle w:val="a3"/>
              <w:jc w:val="right"/>
              <w:rPr>
                <w:rFonts w:cs="FrankRuehl"/>
                <w:b/>
                <w:bCs/>
                <w:sz w:val="28"/>
                <w:szCs w:val="28"/>
                <w:rtl/>
              </w:rPr>
            </w:pPr>
          </w:p>
        </w:tc>
      </w:tr>
    </w:tbl>
    <w:p w14:paraId="68E1881E" w14:textId="77777777" w:rsidR="004A0E92" w:rsidRPr="00457DBE" w:rsidRDefault="004A0E92" w:rsidP="004A0E92">
      <w:pPr>
        <w:pStyle w:val="a3"/>
        <w:rPr>
          <w:rtl/>
        </w:rPr>
      </w:pPr>
      <w:r w:rsidRPr="00457DBE">
        <w:rPr>
          <w:rFonts w:hint="cs"/>
          <w:rtl/>
        </w:rPr>
        <w:t xml:space="preserve"> </w:t>
      </w:r>
    </w:p>
    <w:p w14:paraId="2F2FE0CF" w14:textId="77777777" w:rsidR="004A0E92" w:rsidRPr="00457DBE" w:rsidRDefault="004A0E92" w:rsidP="004A0E92">
      <w:pPr>
        <w:rPr>
          <w:rtl/>
        </w:rPr>
      </w:pPr>
    </w:p>
    <w:p w14:paraId="5AD02CFB" w14:textId="77777777" w:rsidR="004A0E92" w:rsidRPr="00457DBE" w:rsidRDefault="004A0E92" w:rsidP="004A0E9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626"/>
        <w:gridCol w:w="2271"/>
      </w:tblGrid>
      <w:tr w:rsidR="004A0E92" w:rsidRPr="00457DBE" w14:paraId="18F8ACD0" w14:textId="77777777" w:rsidTr="004A0E92">
        <w:trPr>
          <w:trHeight w:val="295"/>
          <w:jc w:val="center"/>
        </w:trPr>
        <w:tc>
          <w:tcPr>
            <w:tcW w:w="923" w:type="dxa"/>
            <w:tcBorders>
              <w:top w:val="nil"/>
              <w:left w:val="nil"/>
              <w:bottom w:val="nil"/>
              <w:right w:val="nil"/>
            </w:tcBorders>
            <w:shd w:val="clear" w:color="auto" w:fill="auto"/>
          </w:tcPr>
          <w:p w14:paraId="7F5A7378" w14:textId="77777777" w:rsidR="004A0E92" w:rsidRPr="00457DBE" w:rsidRDefault="004A0E92" w:rsidP="004A0E92">
            <w:pPr>
              <w:jc w:val="both"/>
              <w:rPr>
                <w:rFonts w:ascii="David" w:hAnsi="David" w:cs="FrankRuehl"/>
                <w:b/>
                <w:bCs/>
                <w:sz w:val="28"/>
                <w:szCs w:val="28"/>
              </w:rPr>
            </w:pPr>
            <w:r w:rsidRPr="00457DBE">
              <w:rPr>
                <w:rFonts w:ascii="David" w:hAnsi="David"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C0CBE13" w14:textId="77777777" w:rsidR="004A0E92" w:rsidRPr="00457DBE" w:rsidRDefault="004A0E92" w:rsidP="001D1397">
            <w:pPr>
              <w:rPr>
                <w:rFonts w:ascii="David" w:hAnsi="David" w:cs="FrankRuehl"/>
                <w:b/>
                <w:bCs/>
                <w:sz w:val="28"/>
                <w:szCs w:val="28"/>
                <w:rtl/>
              </w:rPr>
            </w:pPr>
            <w:r w:rsidRPr="00457DBE">
              <w:rPr>
                <w:rFonts w:ascii="David" w:hAnsi="David" w:cs="FrankRuehl"/>
                <w:b/>
                <w:bCs/>
                <w:sz w:val="28"/>
                <w:szCs w:val="28"/>
                <w:rtl/>
              </w:rPr>
              <w:t>כבוד השופט  דוד שאול גבאי ריכטר</w:t>
            </w:r>
          </w:p>
          <w:p w14:paraId="1FE4C5EE" w14:textId="77777777" w:rsidR="004A0E92" w:rsidRPr="00457DBE" w:rsidRDefault="004A0E92" w:rsidP="001D1397">
            <w:pPr>
              <w:rPr>
                <w:rFonts w:ascii="David" w:hAnsi="David" w:cs="FrankRuehl"/>
                <w:b/>
                <w:bCs/>
                <w:sz w:val="28"/>
                <w:szCs w:val="28"/>
                <w:rtl/>
              </w:rPr>
            </w:pPr>
          </w:p>
          <w:p w14:paraId="268A0BF0" w14:textId="77777777" w:rsidR="004A0E92" w:rsidRPr="00457DBE" w:rsidRDefault="004A0E92" w:rsidP="004A0E92">
            <w:pPr>
              <w:jc w:val="both"/>
              <w:rPr>
                <w:rFonts w:ascii="David" w:hAnsi="David" w:cs="FrankRuehl"/>
                <w:b/>
                <w:bCs/>
                <w:sz w:val="28"/>
                <w:szCs w:val="28"/>
              </w:rPr>
            </w:pPr>
          </w:p>
        </w:tc>
      </w:tr>
      <w:tr w:rsidR="004A0E92" w:rsidRPr="00457DBE" w14:paraId="203D8DFD" w14:textId="77777777" w:rsidTr="004A0E92">
        <w:trPr>
          <w:trHeight w:val="355"/>
          <w:jc w:val="center"/>
        </w:trPr>
        <w:tc>
          <w:tcPr>
            <w:tcW w:w="923" w:type="dxa"/>
            <w:tcBorders>
              <w:top w:val="nil"/>
              <w:left w:val="nil"/>
              <w:bottom w:val="nil"/>
              <w:right w:val="nil"/>
            </w:tcBorders>
            <w:shd w:val="clear" w:color="auto" w:fill="auto"/>
          </w:tcPr>
          <w:p w14:paraId="170A6B00" w14:textId="77777777" w:rsidR="004A0E92" w:rsidRPr="00457DBE" w:rsidRDefault="004A0E92" w:rsidP="004A0E92">
            <w:pPr>
              <w:jc w:val="both"/>
              <w:rPr>
                <w:rFonts w:ascii="David" w:hAnsi="David" w:cs="FrankRuehl"/>
                <w:b/>
                <w:bCs/>
                <w:sz w:val="28"/>
                <w:szCs w:val="28"/>
              </w:rPr>
            </w:pPr>
            <w:bookmarkStart w:id="2" w:name="FirstAppellant"/>
            <w:r w:rsidRPr="00457DBE">
              <w:rPr>
                <w:rFonts w:ascii="David" w:hAnsi="David" w:cs="FrankRuehl"/>
                <w:b/>
                <w:bCs/>
                <w:sz w:val="28"/>
                <w:szCs w:val="28"/>
                <w:rtl/>
              </w:rPr>
              <w:t>בעניין:</w:t>
            </w:r>
          </w:p>
        </w:tc>
        <w:tc>
          <w:tcPr>
            <w:tcW w:w="5626" w:type="dxa"/>
            <w:tcBorders>
              <w:top w:val="nil"/>
              <w:left w:val="nil"/>
              <w:bottom w:val="nil"/>
              <w:right w:val="nil"/>
            </w:tcBorders>
            <w:shd w:val="clear" w:color="auto" w:fill="auto"/>
          </w:tcPr>
          <w:p w14:paraId="05B7A4C3" w14:textId="77777777" w:rsidR="004A0E92" w:rsidRPr="00457DBE" w:rsidRDefault="004A0E92" w:rsidP="001D1397">
            <w:pPr>
              <w:rPr>
                <w:rFonts w:ascii="David" w:hAnsi="David" w:cs="FrankRuehl"/>
                <w:b/>
                <w:bCs/>
                <w:sz w:val="28"/>
                <w:szCs w:val="28"/>
              </w:rPr>
            </w:pPr>
            <w:r w:rsidRPr="00457DBE">
              <w:rPr>
                <w:rFonts w:ascii="David" w:hAnsi="David" w:cs="FrankRuehl"/>
                <w:b/>
                <w:bCs/>
                <w:sz w:val="28"/>
                <w:szCs w:val="28"/>
                <w:rtl/>
              </w:rPr>
              <w:t>מדינת ישראל</w:t>
            </w:r>
            <w:r w:rsidRPr="00457DBE">
              <w:rPr>
                <w:rFonts w:ascii="David" w:hAnsi="David" w:cs="FrankRuehl"/>
                <w:b/>
                <w:bCs/>
                <w:sz w:val="28"/>
                <w:szCs w:val="28"/>
                <w:rtl/>
              </w:rPr>
              <w:br/>
            </w:r>
            <w:r w:rsidRPr="00457DBE">
              <w:rPr>
                <w:rFonts w:ascii="David" w:hAnsi="David" w:cs="FrankRuehl" w:hint="cs"/>
                <w:b/>
                <w:bCs/>
                <w:sz w:val="28"/>
                <w:szCs w:val="28"/>
                <w:rtl/>
              </w:rPr>
              <w:t>ע"י ב"כ הגב' שירן סיני, מתמחה מתביעות ירושלים</w:t>
            </w:r>
          </w:p>
        </w:tc>
        <w:tc>
          <w:tcPr>
            <w:tcW w:w="2271" w:type="dxa"/>
            <w:tcBorders>
              <w:top w:val="nil"/>
              <w:left w:val="nil"/>
              <w:bottom w:val="nil"/>
              <w:right w:val="nil"/>
            </w:tcBorders>
            <w:shd w:val="clear" w:color="auto" w:fill="auto"/>
          </w:tcPr>
          <w:p w14:paraId="7138846F" w14:textId="77777777" w:rsidR="004A0E92" w:rsidRPr="00457DBE" w:rsidRDefault="004A0E92" w:rsidP="004A0E92">
            <w:pPr>
              <w:jc w:val="both"/>
              <w:rPr>
                <w:rFonts w:ascii="David" w:hAnsi="David" w:cs="FrankRuehl"/>
                <w:b/>
                <w:bCs/>
                <w:sz w:val="28"/>
                <w:szCs w:val="28"/>
              </w:rPr>
            </w:pPr>
          </w:p>
        </w:tc>
      </w:tr>
      <w:bookmarkEnd w:id="2"/>
      <w:tr w:rsidR="004A0E92" w:rsidRPr="00457DBE" w14:paraId="0638EC21" w14:textId="77777777" w:rsidTr="004A0E92">
        <w:trPr>
          <w:trHeight w:val="355"/>
          <w:jc w:val="center"/>
        </w:trPr>
        <w:tc>
          <w:tcPr>
            <w:tcW w:w="923" w:type="dxa"/>
            <w:tcBorders>
              <w:top w:val="nil"/>
              <w:left w:val="nil"/>
              <w:bottom w:val="nil"/>
              <w:right w:val="nil"/>
            </w:tcBorders>
            <w:shd w:val="clear" w:color="auto" w:fill="auto"/>
          </w:tcPr>
          <w:p w14:paraId="747CD988" w14:textId="77777777" w:rsidR="004A0E92" w:rsidRPr="00457DBE" w:rsidRDefault="004A0E92" w:rsidP="004A0E92">
            <w:pPr>
              <w:jc w:val="both"/>
              <w:rPr>
                <w:rFonts w:ascii="David" w:hAnsi="David" w:cs="FrankRuehl"/>
                <w:b/>
                <w:bCs/>
                <w:sz w:val="28"/>
                <w:szCs w:val="28"/>
                <w:rtl/>
              </w:rPr>
            </w:pPr>
          </w:p>
        </w:tc>
        <w:tc>
          <w:tcPr>
            <w:tcW w:w="5626" w:type="dxa"/>
            <w:tcBorders>
              <w:top w:val="nil"/>
              <w:left w:val="nil"/>
              <w:bottom w:val="nil"/>
              <w:right w:val="nil"/>
            </w:tcBorders>
            <w:shd w:val="clear" w:color="auto" w:fill="auto"/>
          </w:tcPr>
          <w:p w14:paraId="74B22034" w14:textId="77777777" w:rsidR="004A0E92" w:rsidRPr="00457DBE" w:rsidRDefault="004A0E92" w:rsidP="004A0E92">
            <w:pPr>
              <w:jc w:val="both"/>
              <w:rPr>
                <w:rFonts w:ascii="David" w:hAnsi="David" w:cs="FrankRuehl"/>
                <w:b/>
                <w:bCs/>
                <w:sz w:val="28"/>
                <w:szCs w:val="28"/>
                <w:rtl/>
              </w:rPr>
            </w:pPr>
          </w:p>
        </w:tc>
        <w:tc>
          <w:tcPr>
            <w:tcW w:w="2271" w:type="dxa"/>
            <w:tcBorders>
              <w:top w:val="nil"/>
              <w:left w:val="nil"/>
              <w:bottom w:val="nil"/>
              <w:right w:val="nil"/>
            </w:tcBorders>
            <w:shd w:val="clear" w:color="auto" w:fill="auto"/>
          </w:tcPr>
          <w:p w14:paraId="708A5702" w14:textId="77777777" w:rsidR="004A0E92" w:rsidRPr="00457DBE" w:rsidRDefault="004A0E92" w:rsidP="004A0E92">
            <w:pPr>
              <w:jc w:val="right"/>
              <w:rPr>
                <w:rFonts w:ascii="David" w:hAnsi="David" w:cs="FrankRuehl"/>
                <w:b/>
                <w:bCs/>
                <w:sz w:val="28"/>
                <w:szCs w:val="28"/>
                <w:rtl/>
              </w:rPr>
            </w:pPr>
            <w:r w:rsidRPr="00457DBE">
              <w:rPr>
                <w:rFonts w:ascii="David" w:hAnsi="David" w:cs="FrankRuehl"/>
                <w:b/>
                <w:bCs/>
                <w:sz w:val="28"/>
                <w:szCs w:val="28"/>
                <w:rtl/>
              </w:rPr>
              <w:t>המאשימה</w:t>
            </w:r>
          </w:p>
        </w:tc>
      </w:tr>
      <w:tr w:rsidR="004A0E92" w:rsidRPr="00457DBE" w14:paraId="5920EE78" w14:textId="77777777" w:rsidTr="004A0E92">
        <w:trPr>
          <w:trHeight w:val="355"/>
          <w:jc w:val="center"/>
        </w:trPr>
        <w:tc>
          <w:tcPr>
            <w:tcW w:w="923" w:type="dxa"/>
            <w:tcBorders>
              <w:top w:val="nil"/>
              <w:left w:val="nil"/>
              <w:bottom w:val="nil"/>
              <w:right w:val="nil"/>
            </w:tcBorders>
            <w:shd w:val="clear" w:color="auto" w:fill="auto"/>
          </w:tcPr>
          <w:p w14:paraId="50C75FF7" w14:textId="77777777" w:rsidR="004A0E92" w:rsidRPr="00457DBE" w:rsidRDefault="004A0E92" w:rsidP="004A0E92">
            <w:pPr>
              <w:jc w:val="both"/>
              <w:rPr>
                <w:rFonts w:ascii="David" w:hAnsi="David" w:cs="FrankRuehl"/>
                <w:b/>
                <w:bCs/>
                <w:sz w:val="28"/>
                <w:szCs w:val="28"/>
                <w:rtl/>
              </w:rPr>
            </w:pPr>
          </w:p>
        </w:tc>
        <w:tc>
          <w:tcPr>
            <w:tcW w:w="7897" w:type="dxa"/>
            <w:gridSpan w:val="2"/>
            <w:tcBorders>
              <w:top w:val="nil"/>
              <w:left w:val="nil"/>
              <w:bottom w:val="nil"/>
              <w:right w:val="nil"/>
            </w:tcBorders>
            <w:shd w:val="clear" w:color="auto" w:fill="auto"/>
          </w:tcPr>
          <w:p w14:paraId="0BB9667E" w14:textId="77777777" w:rsidR="004A0E92" w:rsidRPr="00457DBE" w:rsidRDefault="004A0E92" w:rsidP="004A0E92">
            <w:pPr>
              <w:jc w:val="center"/>
              <w:rPr>
                <w:rFonts w:ascii="David" w:hAnsi="David" w:cs="FrankRuehl"/>
                <w:b/>
                <w:bCs/>
                <w:sz w:val="28"/>
                <w:szCs w:val="28"/>
                <w:rtl/>
              </w:rPr>
            </w:pPr>
          </w:p>
          <w:p w14:paraId="629DA87E" w14:textId="77777777" w:rsidR="004A0E92" w:rsidRPr="00457DBE" w:rsidRDefault="004A0E92" w:rsidP="004A0E92">
            <w:pPr>
              <w:jc w:val="center"/>
              <w:rPr>
                <w:rFonts w:ascii="David" w:hAnsi="David" w:cs="FrankRuehl"/>
                <w:b/>
                <w:bCs/>
                <w:sz w:val="28"/>
                <w:szCs w:val="28"/>
                <w:rtl/>
              </w:rPr>
            </w:pPr>
            <w:r w:rsidRPr="00457DBE">
              <w:rPr>
                <w:rFonts w:ascii="David" w:hAnsi="David" w:cs="FrankRuehl"/>
                <w:b/>
                <w:bCs/>
                <w:sz w:val="28"/>
                <w:szCs w:val="28"/>
                <w:rtl/>
              </w:rPr>
              <w:t>נגד</w:t>
            </w:r>
          </w:p>
          <w:p w14:paraId="5555D6DE" w14:textId="77777777" w:rsidR="004A0E92" w:rsidRPr="00457DBE" w:rsidRDefault="004A0E92" w:rsidP="004A0E92">
            <w:pPr>
              <w:jc w:val="both"/>
              <w:rPr>
                <w:rFonts w:ascii="David" w:hAnsi="David" w:cs="FrankRuehl"/>
                <w:b/>
                <w:bCs/>
                <w:sz w:val="28"/>
                <w:szCs w:val="28"/>
              </w:rPr>
            </w:pPr>
          </w:p>
        </w:tc>
      </w:tr>
      <w:tr w:rsidR="004A0E92" w:rsidRPr="00457DBE" w14:paraId="59C8844E" w14:textId="77777777" w:rsidTr="004A0E92">
        <w:trPr>
          <w:trHeight w:val="355"/>
          <w:jc w:val="center"/>
        </w:trPr>
        <w:tc>
          <w:tcPr>
            <w:tcW w:w="923" w:type="dxa"/>
            <w:tcBorders>
              <w:top w:val="nil"/>
              <w:left w:val="nil"/>
              <w:bottom w:val="nil"/>
              <w:right w:val="nil"/>
            </w:tcBorders>
            <w:shd w:val="clear" w:color="auto" w:fill="auto"/>
          </w:tcPr>
          <w:p w14:paraId="5F695A0B" w14:textId="77777777" w:rsidR="004A0E92" w:rsidRPr="00457DBE" w:rsidRDefault="004A0E92" w:rsidP="001D1397">
            <w:pPr>
              <w:rPr>
                <w:rFonts w:ascii="David" w:hAnsi="David" w:cs="FrankRuehl"/>
                <w:b/>
                <w:bCs/>
                <w:sz w:val="28"/>
                <w:szCs w:val="28"/>
                <w:rtl/>
              </w:rPr>
            </w:pPr>
          </w:p>
        </w:tc>
        <w:tc>
          <w:tcPr>
            <w:tcW w:w="5626" w:type="dxa"/>
            <w:tcBorders>
              <w:top w:val="nil"/>
              <w:left w:val="nil"/>
              <w:bottom w:val="nil"/>
              <w:right w:val="nil"/>
            </w:tcBorders>
            <w:shd w:val="clear" w:color="auto" w:fill="auto"/>
          </w:tcPr>
          <w:p w14:paraId="67B039C7" w14:textId="77777777" w:rsidR="004A0E92" w:rsidRPr="00457DBE" w:rsidRDefault="004A0E92" w:rsidP="001D1397">
            <w:pPr>
              <w:rPr>
                <w:rFonts w:ascii="David" w:hAnsi="David" w:cs="FrankRuehl"/>
                <w:b/>
                <w:bCs/>
                <w:sz w:val="28"/>
                <w:szCs w:val="28"/>
                <w:rtl/>
              </w:rPr>
            </w:pPr>
            <w:r w:rsidRPr="00457DBE">
              <w:rPr>
                <w:rFonts w:ascii="David" w:hAnsi="David" w:cs="FrankRuehl"/>
                <w:b/>
                <w:bCs/>
                <w:sz w:val="28"/>
                <w:szCs w:val="28"/>
                <w:rtl/>
              </w:rPr>
              <w:t>שחר סהלו</w:t>
            </w:r>
            <w:r w:rsidRPr="00457DBE">
              <w:rPr>
                <w:rFonts w:ascii="David" w:hAnsi="David" w:cs="FrankRuehl"/>
                <w:b/>
                <w:bCs/>
                <w:sz w:val="28"/>
                <w:szCs w:val="28"/>
                <w:rtl/>
              </w:rPr>
              <w:br/>
            </w:r>
            <w:r w:rsidRPr="00457DBE">
              <w:rPr>
                <w:rFonts w:ascii="David" w:hAnsi="David" w:cs="FrankRuehl" w:hint="cs"/>
                <w:b/>
                <w:bCs/>
                <w:sz w:val="28"/>
                <w:szCs w:val="28"/>
                <w:rtl/>
              </w:rPr>
              <w:t>ע"י ב"כ עוה"ד רמי זוכוביצקי</w:t>
            </w:r>
          </w:p>
        </w:tc>
        <w:tc>
          <w:tcPr>
            <w:tcW w:w="2271" w:type="dxa"/>
            <w:tcBorders>
              <w:top w:val="nil"/>
              <w:left w:val="nil"/>
              <w:bottom w:val="nil"/>
              <w:right w:val="nil"/>
            </w:tcBorders>
            <w:shd w:val="clear" w:color="auto" w:fill="auto"/>
          </w:tcPr>
          <w:p w14:paraId="6EA562B4" w14:textId="77777777" w:rsidR="004A0E92" w:rsidRPr="00457DBE" w:rsidRDefault="004A0E92" w:rsidP="004A0E92">
            <w:pPr>
              <w:jc w:val="right"/>
              <w:rPr>
                <w:rFonts w:ascii="David" w:hAnsi="David" w:cs="FrankRuehl"/>
                <w:b/>
                <w:bCs/>
                <w:sz w:val="28"/>
                <w:szCs w:val="28"/>
              </w:rPr>
            </w:pPr>
          </w:p>
        </w:tc>
      </w:tr>
      <w:tr w:rsidR="004A0E92" w:rsidRPr="00457DBE" w14:paraId="5A9D6676" w14:textId="77777777" w:rsidTr="004A0E92">
        <w:trPr>
          <w:trHeight w:val="355"/>
          <w:jc w:val="center"/>
        </w:trPr>
        <w:tc>
          <w:tcPr>
            <w:tcW w:w="923" w:type="dxa"/>
            <w:tcBorders>
              <w:top w:val="nil"/>
              <w:left w:val="nil"/>
              <w:bottom w:val="nil"/>
              <w:right w:val="nil"/>
            </w:tcBorders>
            <w:shd w:val="clear" w:color="auto" w:fill="auto"/>
          </w:tcPr>
          <w:p w14:paraId="7C889A58" w14:textId="77777777" w:rsidR="004A0E92" w:rsidRPr="00457DBE" w:rsidRDefault="004A0E92" w:rsidP="004A0E92">
            <w:pPr>
              <w:jc w:val="both"/>
              <w:rPr>
                <w:rFonts w:ascii="David" w:hAnsi="David" w:cs="FrankRuehl"/>
                <w:b/>
                <w:bCs/>
                <w:sz w:val="28"/>
                <w:szCs w:val="28"/>
                <w:rtl/>
              </w:rPr>
            </w:pPr>
          </w:p>
        </w:tc>
        <w:tc>
          <w:tcPr>
            <w:tcW w:w="5626" w:type="dxa"/>
            <w:tcBorders>
              <w:top w:val="nil"/>
              <w:left w:val="nil"/>
              <w:bottom w:val="nil"/>
              <w:right w:val="nil"/>
            </w:tcBorders>
            <w:shd w:val="clear" w:color="auto" w:fill="auto"/>
          </w:tcPr>
          <w:p w14:paraId="1F962565" w14:textId="77777777" w:rsidR="004A0E92" w:rsidRPr="00457DBE" w:rsidRDefault="004A0E92" w:rsidP="004A0E92">
            <w:pPr>
              <w:jc w:val="both"/>
              <w:rPr>
                <w:rFonts w:ascii="David" w:hAnsi="David" w:cs="FrankRuehl"/>
                <w:b/>
                <w:bCs/>
                <w:sz w:val="28"/>
                <w:szCs w:val="28"/>
                <w:rtl/>
              </w:rPr>
            </w:pPr>
          </w:p>
        </w:tc>
        <w:tc>
          <w:tcPr>
            <w:tcW w:w="2271" w:type="dxa"/>
            <w:tcBorders>
              <w:top w:val="nil"/>
              <w:left w:val="nil"/>
              <w:bottom w:val="nil"/>
              <w:right w:val="nil"/>
            </w:tcBorders>
            <w:shd w:val="clear" w:color="auto" w:fill="auto"/>
          </w:tcPr>
          <w:p w14:paraId="5E255E3E" w14:textId="77777777" w:rsidR="004A0E92" w:rsidRPr="00457DBE" w:rsidRDefault="004A0E92" w:rsidP="004A0E92">
            <w:pPr>
              <w:jc w:val="right"/>
              <w:rPr>
                <w:rFonts w:ascii="David" w:hAnsi="David" w:cs="FrankRuehl"/>
                <w:b/>
                <w:bCs/>
                <w:sz w:val="28"/>
                <w:szCs w:val="28"/>
              </w:rPr>
            </w:pPr>
            <w:r w:rsidRPr="00457DBE">
              <w:rPr>
                <w:rFonts w:ascii="David" w:hAnsi="David" w:cs="FrankRuehl"/>
                <w:b/>
                <w:bCs/>
                <w:sz w:val="28"/>
                <w:szCs w:val="28"/>
                <w:rtl/>
              </w:rPr>
              <w:t>הנאש</w:t>
            </w:r>
            <w:r w:rsidRPr="00457DBE">
              <w:rPr>
                <w:rFonts w:ascii="David" w:hAnsi="David" w:cs="FrankRuehl" w:hint="cs"/>
                <w:b/>
                <w:bCs/>
                <w:sz w:val="28"/>
                <w:szCs w:val="28"/>
                <w:rtl/>
              </w:rPr>
              <w:t>ם</w:t>
            </w:r>
          </w:p>
        </w:tc>
      </w:tr>
    </w:tbl>
    <w:p w14:paraId="637092F5" w14:textId="77777777" w:rsidR="0008497A" w:rsidRDefault="0008497A" w:rsidP="00457DBE">
      <w:pPr>
        <w:rPr>
          <w:rFonts w:cs="FrankRuehl"/>
          <w:sz w:val="28"/>
          <w:szCs w:val="28"/>
          <w:rtl/>
        </w:rPr>
      </w:pPr>
    </w:p>
    <w:p w14:paraId="70C2B5E4" w14:textId="77777777" w:rsidR="0008497A" w:rsidRPr="0008497A" w:rsidRDefault="0008497A" w:rsidP="0008497A">
      <w:pPr>
        <w:spacing w:after="120" w:line="240" w:lineRule="exact"/>
        <w:ind w:left="283" w:hanging="283"/>
        <w:jc w:val="both"/>
        <w:rPr>
          <w:rFonts w:ascii="FrankRuehl" w:hAnsi="FrankRuehl" w:cs="FrankRuehl"/>
          <w:rtl/>
        </w:rPr>
      </w:pPr>
    </w:p>
    <w:p w14:paraId="78C8D373" w14:textId="77777777" w:rsidR="00017D30" w:rsidRPr="00017D30" w:rsidRDefault="00017D30" w:rsidP="00017D30">
      <w:pPr>
        <w:spacing w:before="120" w:after="120" w:line="240" w:lineRule="exact"/>
        <w:ind w:left="283" w:hanging="283"/>
        <w:jc w:val="both"/>
        <w:rPr>
          <w:rFonts w:ascii="FrankRuehl" w:hAnsi="FrankRuehl" w:cs="FrankRuehl"/>
          <w:rtl/>
        </w:rPr>
      </w:pPr>
    </w:p>
    <w:p w14:paraId="4B64EB12" w14:textId="77777777" w:rsidR="005754B1" w:rsidRDefault="005754B1" w:rsidP="005754B1">
      <w:pPr>
        <w:rPr>
          <w:rFonts w:cs="FrankRuehl"/>
          <w:sz w:val="28"/>
          <w:szCs w:val="28"/>
          <w:rtl/>
        </w:rPr>
      </w:pPr>
      <w:bookmarkStart w:id="3" w:name="LawTable"/>
      <w:bookmarkEnd w:id="3"/>
    </w:p>
    <w:p w14:paraId="799AFAF6" w14:textId="77777777" w:rsidR="005754B1" w:rsidRPr="005754B1" w:rsidRDefault="005754B1" w:rsidP="005754B1">
      <w:pPr>
        <w:spacing w:before="120" w:after="120" w:line="240" w:lineRule="exact"/>
        <w:ind w:left="283" w:hanging="283"/>
        <w:jc w:val="both"/>
        <w:rPr>
          <w:rFonts w:ascii="FrankRuehl" w:hAnsi="FrankRuehl" w:cs="FrankRuehl"/>
          <w:rtl/>
        </w:rPr>
      </w:pPr>
    </w:p>
    <w:p w14:paraId="499A9F03" w14:textId="77777777" w:rsidR="005754B1" w:rsidRPr="005754B1" w:rsidRDefault="005754B1" w:rsidP="005754B1">
      <w:pPr>
        <w:spacing w:before="120" w:after="120" w:line="240" w:lineRule="exact"/>
        <w:ind w:left="283" w:hanging="283"/>
        <w:jc w:val="both"/>
        <w:rPr>
          <w:rFonts w:ascii="FrankRuehl" w:hAnsi="FrankRuehl" w:cs="FrankRuehl"/>
          <w:rtl/>
        </w:rPr>
      </w:pPr>
    </w:p>
    <w:p w14:paraId="4BD30271" w14:textId="77777777" w:rsidR="005754B1" w:rsidRPr="005754B1" w:rsidRDefault="005754B1" w:rsidP="005754B1">
      <w:pPr>
        <w:spacing w:before="120" w:after="120" w:line="240" w:lineRule="exact"/>
        <w:ind w:left="283" w:hanging="283"/>
        <w:jc w:val="both"/>
        <w:rPr>
          <w:rFonts w:ascii="FrankRuehl" w:hAnsi="FrankRuehl" w:cs="FrankRuehl"/>
          <w:rtl/>
        </w:rPr>
      </w:pPr>
      <w:r w:rsidRPr="005754B1">
        <w:rPr>
          <w:rFonts w:ascii="FrankRuehl" w:hAnsi="FrankRuehl" w:cs="FrankRuehl"/>
          <w:rtl/>
        </w:rPr>
        <w:t xml:space="preserve">חקיקה שאוזכרה: </w:t>
      </w:r>
    </w:p>
    <w:p w14:paraId="79118669" w14:textId="77777777" w:rsidR="005754B1" w:rsidRPr="005754B1" w:rsidRDefault="005754B1" w:rsidP="005754B1">
      <w:pPr>
        <w:spacing w:before="120" w:after="120" w:line="240" w:lineRule="exact"/>
        <w:ind w:left="283" w:hanging="283"/>
        <w:jc w:val="both"/>
        <w:rPr>
          <w:rFonts w:ascii="FrankRuehl" w:hAnsi="FrankRuehl" w:cs="FrankRuehl"/>
          <w:rtl/>
        </w:rPr>
      </w:pPr>
      <w:hyperlink r:id="rId8" w:history="1">
        <w:r w:rsidRPr="005754B1">
          <w:rPr>
            <w:rFonts w:ascii="FrankRuehl" w:hAnsi="FrankRuehl" w:cs="FrankRuehl"/>
            <w:color w:val="0000FF"/>
            <w:rtl/>
          </w:rPr>
          <w:t>פקודת הסמים המסוכנים [נוסח חדש], תשל"ג-1973</w:t>
        </w:r>
      </w:hyperlink>
      <w:r w:rsidRPr="005754B1">
        <w:rPr>
          <w:rFonts w:ascii="FrankRuehl" w:hAnsi="FrankRuehl" w:cs="FrankRuehl"/>
          <w:rtl/>
        </w:rPr>
        <w:t xml:space="preserve">: סע'  </w:t>
      </w:r>
      <w:hyperlink r:id="rId9" w:history="1">
        <w:r w:rsidRPr="005754B1">
          <w:rPr>
            <w:rFonts w:ascii="FrankRuehl" w:hAnsi="FrankRuehl" w:cs="FrankRuehl"/>
            <w:color w:val="0000FF"/>
            <w:rtl/>
          </w:rPr>
          <w:t>7.א.</w:t>
        </w:r>
      </w:hyperlink>
      <w:r w:rsidRPr="005754B1">
        <w:rPr>
          <w:rFonts w:ascii="FrankRuehl" w:hAnsi="FrankRuehl" w:cs="FrankRuehl"/>
          <w:rtl/>
        </w:rPr>
        <w:t xml:space="preserve">, </w:t>
      </w:r>
      <w:hyperlink r:id="rId10" w:history="1">
        <w:r w:rsidRPr="005754B1">
          <w:rPr>
            <w:rFonts w:ascii="FrankRuehl" w:hAnsi="FrankRuehl" w:cs="FrankRuehl"/>
            <w:color w:val="0000FF"/>
            <w:rtl/>
          </w:rPr>
          <w:t>7.ג</w:t>
        </w:r>
      </w:hyperlink>
      <w:r w:rsidRPr="005754B1">
        <w:rPr>
          <w:rFonts w:ascii="FrankRuehl" w:hAnsi="FrankRuehl" w:cs="FrankRuehl"/>
          <w:rtl/>
        </w:rPr>
        <w:t xml:space="preserve">, </w:t>
      </w:r>
      <w:hyperlink r:id="rId11" w:history="1">
        <w:r w:rsidRPr="005754B1">
          <w:rPr>
            <w:rFonts w:ascii="FrankRuehl" w:hAnsi="FrankRuehl" w:cs="FrankRuehl"/>
            <w:color w:val="0000FF"/>
            <w:rtl/>
          </w:rPr>
          <w:t>13</w:t>
        </w:r>
      </w:hyperlink>
      <w:r w:rsidRPr="005754B1">
        <w:rPr>
          <w:rFonts w:ascii="FrankRuehl" w:hAnsi="FrankRuehl" w:cs="FrankRuehl"/>
          <w:rtl/>
        </w:rPr>
        <w:t xml:space="preserve">, </w:t>
      </w:r>
      <w:hyperlink r:id="rId12" w:history="1">
        <w:r w:rsidRPr="005754B1">
          <w:rPr>
            <w:rFonts w:ascii="FrankRuehl" w:hAnsi="FrankRuehl" w:cs="FrankRuehl"/>
            <w:color w:val="0000FF"/>
            <w:rtl/>
          </w:rPr>
          <w:t>21(א)(3)</w:t>
        </w:r>
      </w:hyperlink>
    </w:p>
    <w:p w14:paraId="305E506C" w14:textId="77777777" w:rsidR="005754B1" w:rsidRPr="005754B1" w:rsidRDefault="005754B1" w:rsidP="005754B1">
      <w:pPr>
        <w:spacing w:before="120" w:after="120" w:line="240" w:lineRule="exact"/>
        <w:ind w:left="283" w:hanging="283"/>
        <w:jc w:val="both"/>
        <w:rPr>
          <w:rFonts w:ascii="FrankRuehl" w:hAnsi="FrankRuehl" w:cs="FrankRuehl"/>
          <w:rtl/>
        </w:rPr>
      </w:pPr>
      <w:hyperlink r:id="rId13" w:history="1">
        <w:r w:rsidRPr="005754B1">
          <w:rPr>
            <w:rFonts w:ascii="FrankRuehl" w:hAnsi="FrankRuehl" w:cs="FrankRuehl"/>
            <w:color w:val="0000FF"/>
            <w:rtl/>
          </w:rPr>
          <w:t>חוק העונשין, תשל"ז-1977</w:t>
        </w:r>
      </w:hyperlink>
      <w:r w:rsidRPr="005754B1">
        <w:rPr>
          <w:rFonts w:ascii="FrankRuehl" w:hAnsi="FrankRuehl" w:cs="FrankRuehl"/>
          <w:rtl/>
        </w:rPr>
        <w:t xml:space="preserve">: סע'  </w:t>
      </w:r>
      <w:hyperlink r:id="rId14" w:history="1">
        <w:r w:rsidRPr="005754B1">
          <w:rPr>
            <w:rFonts w:ascii="FrankRuehl" w:hAnsi="FrankRuehl" w:cs="FrankRuehl"/>
            <w:color w:val="0000FF"/>
            <w:rtl/>
          </w:rPr>
          <w:t>40ט'</w:t>
        </w:r>
      </w:hyperlink>
      <w:r w:rsidRPr="005754B1">
        <w:rPr>
          <w:rFonts w:ascii="FrankRuehl" w:hAnsi="FrankRuehl" w:cs="FrankRuehl"/>
          <w:rtl/>
        </w:rPr>
        <w:t xml:space="preserve">, </w:t>
      </w:r>
      <w:hyperlink r:id="rId15" w:history="1">
        <w:r w:rsidRPr="005754B1">
          <w:rPr>
            <w:rFonts w:ascii="FrankRuehl" w:hAnsi="FrankRuehl" w:cs="FrankRuehl"/>
            <w:color w:val="0000FF"/>
            <w:rtl/>
          </w:rPr>
          <w:t>40יא</w:t>
        </w:r>
      </w:hyperlink>
    </w:p>
    <w:p w14:paraId="2D4016D4" w14:textId="77777777" w:rsidR="005754B1" w:rsidRPr="005754B1" w:rsidRDefault="005754B1" w:rsidP="005754B1">
      <w:pPr>
        <w:rPr>
          <w:rFonts w:cs="FrankRuehl"/>
          <w:sz w:val="28"/>
          <w:szCs w:val="28"/>
          <w:rtl/>
        </w:rPr>
      </w:pPr>
      <w:bookmarkStart w:id="4" w:name="LawTable_End"/>
      <w:bookmarkEnd w:id="4"/>
    </w:p>
    <w:p w14:paraId="0EB88375" w14:textId="77777777" w:rsidR="004A0E92" w:rsidRPr="00017D30" w:rsidRDefault="004A0E92" w:rsidP="00017D30">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0E92" w:rsidRPr="00F47959" w14:paraId="08C62F25" w14:textId="77777777" w:rsidTr="004A0E92">
        <w:trPr>
          <w:trHeight w:val="80"/>
          <w:jc w:val="center"/>
        </w:trPr>
        <w:tc>
          <w:tcPr>
            <w:tcW w:w="8820" w:type="dxa"/>
            <w:tcBorders>
              <w:top w:val="nil"/>
              <w:left w:val="nil"/>
              <w:bottom w:val="nil"/>
              <w:right w:val="nil"/>
            </w:tcBorders>
            <w:shd w:val="clear" w:color="auto" w:fill="auto"/>
          </w:tcPr>
          <w:p w14:paraId="5797DB12" w14:textId="77777777" w:rsidR="00457DBE" w:rsidRPr="00457DBE" w:rsidRDefault="00457DBE" w:rsidP="00457DBE">
            <w:pPr>
              <w:jc w:val="center"/>
              <w:rPr>
                <w:rFonts w:ascii="David" w:hAnsi="David" w:cs="FrankRuehl"/>
                <w:b/>
                <w:bCs/>
                <w:sz w:val="28"/>
                <w:szCs w:val="28"/>
                <w:u w:val="single"/>
                <w:rtl/>
              </w:rPr>
            </w:pPr>
            <w:bookmarkStart w:id="5" w:name="PsakDin" w:colFirst="0" w:colLast="0"/>
            <w:bookmarkEnd w:id="0"/>
            <w:bookmarkEnd w:id="1"/>
            <w:r w:rsidRPr="00457DBE">
              <w:rPr>
                <w:rFonts w:ascii="David" w:hAnsi="David" w:cs="FrankRuehl"/>
                <w:b/>
                <w:bCs/>
                <w:sz w:val="28"/>
                <w:szCs w:val="28"/>
                <w:u w:val="single"/>
                <w:rtl/>
              </w:rPr>
              <w:t>גזר דין</w:t>
            </w:r>
          </w:p>
          <w:p w14:paraId="77BC2AE3" w14:textId="77777777" w:rsidR="004A0E92" w:rsidRPr="00457DBE" w:rsidRDefault="004A0E92" w:rsidP="00457DBE">
            <w:pPr>
              <w:jc w:val="center"/>
              <w:rPr>
                <w:rFonts w:ascii="David" w:hAnsi="David" w:cs="FrankRuehl"/>
                <w:b/>
                <w:bCs/>
                <w:sz w:val="28"/>
                <w:szCs w:val="28"/>
                <w:u w:val="single"/>
                <w:rtl/>
              </w:rPr>
            </w:pPr>
          </w:p>
        </w:tc>
      </w:tr>
      <w:bookmarkEnd w:id="5"/>
    </w:tbl>
    <w:p w14:paraId="360B487A" w14:textId="77777777" w:rsidR="004A0E92" w:rsidRPr="000454A8" w:rsidRDefault="004A0E92" w:rsidP="004A0E92">
      <w:pPr>
        <w:rPr>
          <w:rFonts w:ascii="Arial" w:hAnsi="Arial"/>
          <w:sz w:val="26"/>
          <w:szCs w:val="26"/>
          <w:rtl/>
        </w:rPr>
      </w:pPr>
    </w:p>
    <w:p w14:paraId="69E84656" w14:textId="77777777" w:rsidR="004A0E92" w:rsidRPr="000454A8" w:rsidRDefault="004A0E92" w:rsidP="004A0E92">
      <w:pPr>
        <w:rPr>
          <w:rFonts w:ascii="Arial" w:hAnsi="Arial"/>
          <w:sz w:val="26"/>
          <w:szCs w:val="26"/>
          <w:rtl/>
        </w:rPr>
      </w:pPr>
    </w:p>
    <w:p w14:paraId="0EDF3F2A" w14:textId="77777777" w:rsidR="004A0E92" w:rsidRDefault="004A0E92" w:rsidP="004A0E92">
      <w:pPr>
        <w:spacing w:line="360" w:lineRule="auto"/>
        <w:rPr>
          <w:rFonts w:cs="FrankRuehl"/>
          <w:b/>
          <w:bCs/>
          <w:sz w:val="28"/>
          <w:szCs w:val="28"/>
          <w:u w:val="single"/>
        </w:rPr>
      </w:pPr>
      <w:r>
        <w:rPr>
          <w:rFonts w:cs="FrankRuehl"/>
          <w:b/>
          <w:bCs/>
          <w:sz w:val="28"/>
          <w:szCs w:val="28"/>
          <w:u w:val="single"/>
          <w:rtl/>
        </w:rPr>
        <w:t>כתב האישום</w:t>
      </w:r>
    </w:p>
    <w:p w14:paraId="2586F3A5" w14:textId="77777777" w:rsidR="004A0E92" w:rsidRDefault="004A0E92" w:rsidP="004A0E92">
      <w:pPr>
        <w:spacing w:line="360" w:lineRule="auto"/>
        <w:jc w:val="both"/>
        <w:rPr>
          <w:rFonts w:cs="FrankRuehl"/>
          <w:sz w:val="28"/>
          <w:szCs w:val="28"/>
          <w:rtl/>
        </w:rPr>
      </w:pPr>
      <w:bookmarkStart w:id="6" w:name="ABSTRACT_START"/>
      <w:bookmarkEnd w:id="6"/>
      <w:r>
        <w:rPr>
          <w:rFonts w:cs="FrankRuehl"/>
          <w:sz w:val="28"/>
          <w:szCs w:val="28"/>
          <w:rtl/>
        </w:rPr>
        <w:t>הנאשם הורשע על פי הודאתו</w:t>
      </w:r>
      <w:r>
        <w:rPr>
          <w:rFonts w:cs="FrankRuehl" w:hint="cs"/>
          <w:sz w:val="28"/>
          <w:szCs w:val="28"/>
          <w:rtl/>
        </w:rPr>
        <w:t xml:space="preserve"> במסגרת הסדר טיעון, בכתב אישום מתוקן, ללא הסכמה עונשית.</w:t>
      </w:r>
    </w:p>
    <w:p w14:paraId="453DBC0F" w14:textId="77777777" w:rsidR="004A0E92" w:rsidRDefault="004A0E92" w:rsidP="004A0E92">
      <w:pPr>
        <w:spacing w:line="360" w:lineRule="auto"/>
        <w:jc w:val="both"/>
        <w:rPr>
          <w:rFonts w:cs="FrankRuehl"/>
          <w:sz w:val="28"/>
          <w:szCs w:val="28"/>
          <w:rtl/>
        </w:rPr>
      </w:pPr>
      <w:r>
        <w:rPr>
          <w:rFonts w:cs="FrankRuehl" w:hint="cs"/>
          <w:sz w:val="28"/>
          <w:szCs w:val="28"/>
          <w:rtl/>
        </w:rPr>
        <w:t xml:space="preserve">על פי עובדות </w:t>
      </w:r>
      <w:r w:rsidRPr="00A6036E">
        <w:rPr>
          <w:rFonts w:cs="FrankRuehl" w:hint="cs"/>
          <w:b/>
          <w:bCs/>
          <w:sz w:val="28"/>
          <w:szCs w:val="28"/>
          <w:rtl/>
        </w:rPr>
        <w:t>האישום הראשון</w:t>
      </w:r>
      <w:r>
        <w:rPr>
          <w:rFonts w:cs="FrankRuehl" w:hint="cs"/>
          <w:sz w:val="28"/>
          <w:szCs w:val="28"/>
          <w:rtl/>
        </w:rPr>
        <w:t xml:space="preserve">, ביום 28.5.2018, החזיק הנאשם יחד עם אחר, במקומות שונים ברכבו 9.63 גרם נטו קנבוס, 51.48 גרם נטו קנבוס ו </w:t>
      </w:r>
      <w:r>
        <w:rPr>
          <w:rFonts w:cs="FrankRuehl"/>
          <w:sz w:val="28"/>
          <w:szCs w:val="28"/>
          <w:rtl/>
        </w:rPr>
        <w:t>–</w:t>
      </w:r>
      <w:r>
        <w:rPr>
          <w:rFonts w:cs="FrankRuehl" w:hint="cs"/>
          <w:sz w:val="28"/>
          <w:szCs w:val="28"/>
          <w:rtl/>
        </w:rPr>
        <w:t xml:space="preserve"> 55.33 גרם נטו קנבוס. על כן, הורשע הנאשם בעבירה של החזקת סם שלא לצריכה עצמית בצוותא, על פי סעיפים </w:t>
      </w:r>
      <w:hyperlink r:id="rId16" w:history="1">
        <w:r w:rsidR="0008497A" w:rsidRPr="0008497A">
          <w:rPr>
            <w:rStyle w:val="Hyperlink"/>
            <w:rFonts w:cs="FrankRuehl"/>
            <w:sz w:val="28"/>
            <w:szCs w:val="28"/>
            <w:rtl/>
          </w:rPr>
          <w:t>7(א) + 7(ג)</w:t>
        </w:r>
      </w:hyperlink>
      <w:r>
        <w:rPr>
          <w:rFonts w:cs="FrankRuehl" w:hint="cs"/>
          <w:sz w:val="28"/>
          <w:szCs w:val="28"/>
          <w:rtl/>
        </w:rPr>
        <w:t xml:space="preserve"> ל</w:t>
      </w:r>
      <w:hyperlink r:id="rId17" w:history="1">
        <w:r w:rsidR="00457DBE" w:rsidRPr="00457DBE">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w:t>
      </w:r>
    </w:p>
    <w:p w14:paraId="6C647159" w14:textId="77777777" w:rsidR="004A0E92" w:rsidRDefault="004A0E92" w:rsidP="004A0E92">
      <w:pPr>
        <w:spacing w:line="360" w:lineRule="auto"/>
        <w:jc w:val="both"/>
        <w:rPr>
          <w:rFonts w:cs="FrankRuehl"/>
          <w:sz w:val="28"/>
          <w:szCs w:val="28"/>
          <w:rtl/>
        </w:rPr>
      </w:pPr>
      <w:bookmarkStart w:id="7" w:name="ABSTRACT_END"/>
      <w:bookmarkEnd w:id="7"/>
      <w:r>
        <w:rPr>
          <w:rFonts w:cs="FrankRuehl" w:hint="cs"/>
          <w:sz w:val="28"/>
          <w:szCs w:val="28"/>
          <w:rtl/>
        </w:rPr>
        <w:lastRenderedPageBreak/>
        <w:t xml:space="preserve">על פי עובדות </w:t>
      </w:r>
      <w:r w:rsidRPr="00A6036E">
        <w:rPr>
          <w:rFonts w:cs="FrankRuehl" w:hint="cs"/>
          <w:b/>
          <w:bCs/>
          <w:sz w:val="28"/>
          <w:szCs w:val="28"/>
          <w:rtl/>
        </w:rPr>
        <w:t>האישום השני</w:t>
      </w:r>
      <w:r>
        <w:rPr>
          <w:rFonts w:cs="FrankRuehl" w:hint="cs"/>
          <w:sz w:val="28"/>
          <w:szCs w:val="28"/>
          <w:rtl/>
        </w:rPr>
        <w:t xml:space="preserve">, ביום 29.5.2018, בשעות הלילה, נוצר קשר בין הנאשם לבין נ"מ, באמצעות תוכנת ה"טלגרם", במסגרתו קבעו השניים להיפגש. בהמשך, הגיע הנאשם יחד עם אחר ברכבו למקום המפגש שנקבע, מסר לנ"מ 5 גרם קנבוס וקיבל תמורתו 350 ₪. בגין כך, הורשע הנאשם בהספקת סם מסוכן, עבירה לפי </w:t>
      </w:r>
      <w:hyperlink r:id="rId18" w:history="1">
        <w:r w:rsidR="0008497A" w:rsidRPr="0008497A">
          <w:rPr>
            <w:rStyle w:val="Hyperlink"/>
            <w:rFonts w:cs="FrankRuehl" w:hint="eastAsia"/>
            <w:sz w:val="28"/>
            <w:szCs w:val="28"/>
            <w:rtl/>
          </w:rPr>
          <w:t>סעיף</w:t>
        </w:r>
        <w:r w:rsidR="0008497A" w:rsidRPr="0008497A">
          <w:rPr>
            <w:rStyle w:val="Hyperlink"/>
            <w:rFonts w:cs="FrankRuehl"/>
            <w:sz w:val="28"/>
            <w:szCs w:val="28"/>
            <w:rtl/>
          </w:rPr>
          <w:t xml:space="preserve"> 13</w:t>
        </w:r>
      </w:hyperlink>
      <w:r>
        <w:rPr>
          <w:rFonts w:cs="FrankRuehl" w:hint="cs"/>
          <w:sz w:val="28"/>
          <w:szCs w:val="28"/>
          <w:rtl/>
        </w:rPr>
        <w:t xml:space="preserve"> לפקודת הסמים.</w:t>
      </w:r>
    </w:p>
    <w:p w14:paraId="645D64BB" w14:textId="77777777" w:rsidR="004A0E92" w:rsidRDefault="004A0E92" w:rsidP="004A0E92">
      <w:pPr>
        <w:spacing w:line="360" w:lineRule="auto"/>
        <w:jc w:val="both"/>
        <w:rPr>
          <w:rFonts w:cs="FrankRuehl"/>
          <w:sz w:val="28"/>
          <w:szCs w:val="28"/>
          <w:rtl/>
        </w:rPr>
      </w:pPr>
      <w:r>
        <w:rPr>
          <w:rFonts w:cs="FrankRuehl" w:hint="cs"/>
          <w:sz w:val="28"/>
          <w:szCs w:val="28"/>
          <w:rtl/>
        </w:rPr>
        <w:t xml:space="preserve">על פי עובדות </w:t>
      </w:r>
      <w:r w:rsidRPr="00744A72">
        <w:rPr>
          <w:rFonts w:cs="FrankRuehl" w:hint="cs"/>
          <w:b/>
          <w:bCs/>
          <w:sz w:val="28"/>
          <w:szCs w:val="28"/>
          <w:rtl/>
        </w:rPr>
        <w:t>האישום השלישי</w:t>
      </w:r>
      <w:r>
        <w:rPr>
          <w:rFonts w:cs="FrankRuehl" w:hint="cs"/>
          <w:sz w:val="28"/>
          <w:szCs w:val="28"/>
          <w:rtl/>
        </w:rPr>
        <w:t>, ביום 26.5.2018, נוצר קשר בין הנאשם לבין ש"א באמצעות תוכנת ה"טלגרם" במסגרתו קבעו השניים מקום מפגש לרכישת סם. בהמשך, הגיע הנאשם למקום המפגש ומסר לש"א 10 גרם קנבוס וקיבל תמורתו 200 ₪. בגין כך,</w:t>
      </w:r>
      <w:r w:rsidRPr="00744A72">
        <w:rPr>
          <w:rFonts w:cs="FrankRuehl" w:hint="cs"/>
          <w:sz w:val="28"/>
          <w:szCs w:val="28"/>
          <w:rtl/>
        </w:rPr>
        <w:t xml:space="preserve"> </w:t>
      </w:r>
      <w:r>
        <w:rPr>
          <w:rFonts w:cs="FrankRuehl" w:hint="cs"/>
          <w:sz w:val="28"/>
          <w:szCs w:val="28"/>
          <w:rtl/>
        </w:rPr>
        <w:t xml:space="preserve">הורשע הנאשם בסחר בסם מסוכן, עבירה לפי </w:t>
      </w:r>
      <w:hyperlink r:id="rId19" w:history="1">
        <w:r w:rsidR="0008497A" w:rsidRPr="0008497A">
          <w:rPr>
            <w:rStyle w:val="Hyperlink"/>
            <w:rFonts w:cs="FrankRuehl" w:hint="eastAsia"/>
            <w:sz w:val="28"/>
            <w:szCs w:val="28"/>
            <w:rtl/>
          </w:rPr>
          <w:t>סעיף</w:t>
        </w:r>
        <w:r w:rsidR="0008497A" w:rsidRPr="0008497A">
          <w:rPr>
            <w:rStyle w:val="Hyperlink"/>
            <w:rFonts w:cs="FrankRuehl"/>
            <w:sz w:val="28"/>
            <w:szCs w:val="28"/>
            <w:rtl/>
          </w:rPr>
          <w:t xml:space="preserve"> 13</w:t>
        </w:r>
      </w:hyperlink>
      <w:r>
        <w:rPr>
          <w:rFonts w:cs="FrankRuehl" w:hint="cs"/>
          <w:sz w:val="28"/>
          <w:szCs w:val="28"/>
          <w:rtl/>
        </w:rPr>
        <w:t xml:space="preserve"> לפקודת הסמים.</w:t>
      </w:r>
    </w:p>
    <w:p w14:paraId="6DEE4E72" w14:textId="77777777" w:rsidR="004A0E92" w:rsidRPr="00A6036E" w:rsidRDefault="004A0E92" w:rsidP="004A0E92">
      <w:pPr>
        <w:spacing w:line="360" w:lineRule="auto"/>
        <w:jc w:val="both"/>
        <w:rPr>
          <w:rFonts w:cs="FrankRuehl"/>
          <w:sz w:val="28"/>
          <w:szCs w:val="28"/>
          <w:rtl/>
        </w:rPr>
      </w:pPr>
      <w:r>
        <w:rPr>
          <w:rFonts w:cs="FrankRuehl" w:hint="cs"/>
          <w:sz w:val="28"/>
          <w:szCs w:val="28"/>
          <w:rtl/>
        </w:rPr>
        <w:t xml:space="preserve">על פי עובדות </w:t>
      </w:r>
      <w:r w:rsidRPr="00D042DF">
        <w:rPr>
          <w:rFonts w:cs="FrankRuehl" w:hint="cs"/>
          <w:b/>
          <w:bCs/>
          <w:sz w:val="28"/>
          <w:szCs w:val="28"/>
          <w:rtl/>
        </w:rPr>
        <w:t>האישום הרביעי</w:t>
      </w:r>
      <w:r>
        <w:rPr>
          <w:rFonts w:cs="FrankRuehl" w:hint="cs"/>
          <w:sz w:val="28"/>
          <w:szCs w:val="28"/>
          <w:rtl/>
        </w:rPr>
        <w:t xml:space="preserve">, ביום 27.5.2018, נוצר קשר בין הנאשם לבין הקטין א"ב באמצעות תוכנת ה"טלגרם". השניים קבעו כי ייפגשו ושם ימכור הנאשם לקטין 10 גרם קנבוס, תמורת </w:t>
      </w:r>
      <w:r>
        <w:rPr>
          <w:rFonts w:cs="FrankRuehl"/>
          <w:sz w:val="28"/>
          <w:szCs w:val="28"/>
          <w:rtl/>
        </w:rPr>
        <w:br/>
      </w:r>
      <w:r>
        <w:rPr>
          <w:rFonts w:cs="FrankRuehl" w:hint="cs"/>
          <w:sz w:val="28"/>
          <w:szCs w:val="28"/>
          <w:rtl/>
        </w:rPr>
        <w:t xml:space="preserve">620 ₪. בהמשך, הגיע הנאשם למקום המפגש, מסר לקטין את הסם וקיבל תמורתו 620 ₪ במזומן. בגין כל אלה, הורשע הנאשם בעבירות של סחר בסם מסוכן, על פי </w:t>
      </w:r>
      <w:hyperlink r:id="rId20" w:history="1">
        <w:r w:rsidR="0008497A" w:rsidRPr="0008497A">
          <w:rPr>
            <w:rStyle w:val="Hyperlink"/>
            <w:rFonts w:cs="FrankRuehl" w:hint="eastAsia"/>
            <w:sz w:val="28"/>
            <w:szCs w:val="28"/>
            <w:rtl/>
          </w:rPr>
          <w:t>סעיף</w:t>
        </w:r>
        <w:r w:rsidR="0008497A" w:rsidRPr="0008497A">
          <w:rPr>
            <w:rStyle w:val="Hyperlink"/>
            <w:rFonts w:cs="FrankRuehl"/>
            <w:sz w:val="28"/>
            <w:szCs w:val="28"/>
            <w:rtl/>
          </w:rPr>
          <w:t xml:space="preserve"> 13</w:t>
        </w:r>
      </w:hyperlink>
      <w:r>
        <w:rPr>
          <w:rFonts w:cs="FrankRuehl" w:hint="cs"/>
          <w:sz w:val="28"/>
          <w:szCs w:val="28"/>
          <w:rtl/>
        </w:rPr>
        <w:t xml:space="preserve"> לפקודת סמים ובעבירה של הדחת קטין לסם, לפי </w:t>
      </w:r>
      <w:hyperlink r:id="rId21" w:history="1">
        <w:r w:rsidR="0008497A" w:rsidRPr="0008497A">
          <w:rPr>
            <w:rStyle w:val="Hyperlink"/>
            <w:rFonts w:cs="FrankRuehl" w:hint="eastAsia"/>
            <w:sz w:val="28"/>
            <w:szCs w:val="28"/>
            <w:rtl/>
          </w:rPr>
          <w:t>סעיף</w:t>
        </w:r>
        <w:r w:rsidR="0008497A" w:rsidRPr="0008497A">
          <w:rPr>
            <w:rStyle w:val="Hyperlink"/>
            <w:rFonts w:cs="FrankRuehl"/>
            <w:sz w:val="28"/>
            <w:szCs w:val="28"/>
            <w:rtl/>
          </w:rPr>
          <w:t xml:space="preserve"> 21(א)(3)</w:t>
        </w:r>
      </w:hyperlink>
      <w:r>
        <w:rPr>
          <w:rFonts w:cs="FrankRuehl" w:hint="cs"/>
          <w:sz w:val="28"/>
          <w:szCs w:val="28"/>
          <w:rtl/>
        </w:rPr>
        <w:t xml:space="preserve"> לפקודת הסמים.</w:t>
      </w:r>
    </w:p>
    <w:p w14:paraId="6A44568F" w14:textId="77777777" w:rsidR="004A0E92" w:rsidRDefault="004A0E92" w:rsidP="004A0E92">
      <w:pPr>
        <w:spacing w:line="360" w:lineRule="auto"/>
        <w:jc w:val="both"/>
        <w:rPr>
          <w:rFonts w:cs="FrankRuehl"/>
          <w:sz w:val="28"/>
          <w:szCs w:val="28"/>
          <w:rtl/>
        </w:rPr>
      </w:pPr>
    </w:p>
    <w:p w14:paraId="5AB9A28F" w14:textId="77777777" w:rsidR="004A0E92" w:rsidRDefault="004A0E92" w:rsidP="004A0E92">
      <w:pPr>
        <w:spacing w:line="360" w:lineRule="auto"/>
        <w:jc w:val="both"/>
        <w:rPr>
          <w:rFonts w:cs="FrankRuehl"/>
          <w:sz w:val="28"/>
          <w:szCs w:val="28"/>
          <w:rtl/>
        </w:rPr>
      </w:pPr>
    </w:p>
    <w:p w14:paraId="1E9E3665" w14:textId="77777777" w:rsidR="004A0E92" w:rsidRDefault="004A0E92" w:rsidP="004A0E92">
      <w:pPr>
        <w:spacing w:line="360" w:lineRule="auto"/>
        <w:jc w:val="both"/>
        <w:rPr>
          <w:rFonts w:cs="FrankRuehl"/>
          <w:b/>
          <w:bCs/>
          <w:sz w:val="28"/>
          <w:szCs w:val="28"/>
          <w:u w:val="single"/>
        </w:rPr>
      </w:pPr>
    </w:p>
    <w:p w14:paraId="3699907E" w14:textId="77777777" w:rsidR="004A0E92" w:rsidRDefault="004A0E92" w:rsidP="004A0E92">
      <w:pPr>
        <w:spacing w:line="360" w:lineRule="auto"/>
        <w:jc w:val="both"/>
        <w:rPr>
          <w:rFonts w:cs="FrankRuehl"/>
          <w:b/>
          <w:bCs/>
          <w:sz w:val="28"/>
          <w:szCs w:val="28"/>
          <w:u w:val="single"/>
        </w:rPr>
      </w:pPr>
      <w:r>
        <w:rPr>
          <w:rFonts w:cs="FrankRuehl"/>
          <w:b/>
          <w:bCs/>
          <w:sz w:val="28"/>
          <w:szCs w:val="28"/>
          <w:u w:val="single"/>
          <w:rtl/>
        </w:rPr>
        <w:t>מהלך הדיון</w:t>
      </w:r>
    </w:p>
    <w:p w14:paraId="3C48F669" w14:textId="77777777" w:rsidR="004A0E92" w:rsidRDefault="004A0E92" w:rsidP="004A0E92">
      <w:pPr>
        <w:spacing w:line="360" w:lineRule="auto"/>
        <w:jc w:val="both"/>
        <w:rPr>
          <w:rFonts w:cs="FrankRuehl"/>
          <w:sz w:val="28"/>
          <w:szCs w:val="28"/>
        </w:rPr>
      </w:pPr>
      <w:r>
        <w:rPr>
          <w:rFonts w:cs="FrankRuehl" w:hint="cs"/>
          <w:sz w:val="28"/>
          <w:szCs w:val="28"/>
          <w:rtl/>
        </w:rPr>
        <w:t>ביום 28.5.2018 נעצר הנאשם בתיק זה והוגשו נגדו כתב אישום ובקשה למעצר עד לתום ההליכים. ביום 6.6.2018 שוחרר הנאשם למעצר בית מלא, כאשר תנאי המעצר הוקלו מעת לעת. ביום 27.5.2019, הצדדים הגיעו להסדר טיעון, במסגרתו הנאשם הודה והורשע בכתב האישום המתוקן ונשלח לשירות המבחן שהגיש בעניינו של הנאשם מספר תסקירים. בהמשך ההליך, הנאשם אף נשלח לממונה לעבודות שירות שהגיש חוות דעת בעניינו.</w:t>
      </w:r>
    </w:p>
    <w:p w14:paraId="5621DC4E" w14:textId="77777777" w:rsidR="004A0E92" w:rsidRDefault="004A0E92" w:rsidP="004A0E92">
      <w:pPr>
        <w:spacing w:line="360" w:lineRule="auto"/>
        <w:jc w:val="both"/>
        <w:rPr>
          <w:rFonts w:cs="FrankRuehl"/>
          <w:b/>
          <w:bCs/>
          <w:sz w:val="28"/>
          <w:szCs w:val="28"/>
          <w:u w:val="single"/>
        </w:rPr>
      </w:pPr>
    </w:p>
    <w:p w14:paraId="6C0D8515" w14:textId="77777777" w:rsidR="004A0E92" w:rsidRDefault="004A0E92" w:rsidP="004A0E92">
      <w:pPr>
        <w:spacing w:line="360" w:lineRule="auto"/>
        <w:jc w:val="both"/>
        <w:rPr>
          <w:rFonts w:cs="FrankRuehl"/>
          <w:b/>
          <w:bCs/>
          <w:sz w:val="28"/>
          <w:szCs w:val="28"/>
          <w:u w:val="single"/>
        </w:rPr>
      </w:pPr>
      <w:r>
        <w:rPr>
          <w:rFonts w:cs="FrankRuehl"/>
          <w:b/>
          <w:bCs/>
          <w:sz w:val="28"/>
          <w:szCs w:val="28"/>
          <w:u w:val="single"/>
          <w:rtl/>
        </w:rPr>
        <w:t>תסקיר שירות המבחן</w:t>
      </w:r>
    </w:p>
    <w:p w14:paraId="5DB77448" w14:textId="77777777" w:rsidR="004A0E92" w:rsidRDefault="004A0E92" w:rsidP="004A0E92">
      <w:pPr>
        <w:spacing w:line="360" w:lineRule="auto"/>
        <w:jc w:val="both"/>
        <w:rPr>
          <w:rFonts w:cs="FrankRuehl"/>
          <w:sz w:val="28"/>
          <w:szCs w:val="28"/>
        </w:rPr>
      </w:pPr>
      <w:r>
        <w:rPr>
          <w:rFonts w:cs="FrankRuehl"/>
          <w:sz w:val="28"/>
          <w:szCs w:val="28"/>
          <w:rtl/>
        </w:rPr>
        <w:t>מהתסקיר</w:t>
      </w:r>
      <w:r>
        <w:rPr>
          <w:rFonts w:cs="FrankRuehl" w:hint="cs"/>
          <w:sz w:val="28"/>
          <w:szCs w:val="28"/>
          <w:rtl/>
        </w:rPr>
        <w:t>ים</w:t>
      </w:r>
      <w:r>
        <w:rPr>
          <w:rFonts w:cs="FrankRuehl"/>
          <w:sz w:val="28"/>
          <w:szCs w:val="28"/>
          <w:rtl/>
        </w:rPr>
        <w:t xml:space="preserve"> שהוגש</w:t>
      </w:r>
      <w:r>
        <w:rPr>
          <w:rFonts w:cs="FrankRuehl" w:hint="cs"/>
          <w:sz w:val="28"/>
          <w:szCs w:val="28"/>
          <w:rtl/>
        </w:rPr>
        <w:t>ו</w:t>
      </w:r>
      <w:r>
        <w:rPr>
          <w:rFonts w:cs="FrankRuehl"/>
          <w:sz w:val="28"/>
          <w:szCs w:val="28"/>
          <w:rtl/>
        </w:rPr>
        <w:t xml:space="preserve"> בעניינו של הנאשם עולה</w:t>
      </w:r>
      <w:r>
        <w:rPr>
          <w:rFonts w:cs="FrankRuehl" w:hint="cs"/>
          <w:sz w:val="28"/>
          <w:szCs w:val="28"/>
          <w:rtl/>
        </w:rPr>
        <w:t xml:space="preserve">, כי הוא בן 26, רווק וכיום מתגורר בקרית גת, נעדר עבר פלילי. שירות המבחן גולל את קורות חייו של הנאשם, מהן עולה כי סיים 12 שנות לימוד, ללא תעודת בגרות, ולא התגייס לצה"ל בשל אי התאמה. במהלך חייו עבד בעבודות זמניות באופן לא יציב. הנאשם מסר, כי בשנים האחרונות התחבר לחברה שולית והחל לצרוך סמים. במסגרת תיק המעצר השתלב הנאשם בטיפול בהתמכרויות במסגרת שירות המבחן, כאשר תחילה הנאשם </w:t>
      </w:r>
      <w:r>
        <w:rPr>
          <w:rFonts w:cs="FrankRuehl" w:hint="cs"/>
          <w:sz w:val="28"/>
          <w:szCs w:val="28"/>
          <w:rtl/>
        </w:rPr>
        <w:lastRenderedPageBreak/>
        <w:t xml:space="preserve">שיתף פעולה באופן מלא, תוך שהגיע והשתתף במפגשים ומסר בדיקות שתן נקיות, אולם במהלך חודש פברואר 2019, לקראת תום צו הפיקוח שהוטל עליו במסגרת תיק המעצר, הנאשם נעלם, לא יצר קשר עם שירות המבחן ולא הגיע לפגישות שנקבעו לו. באשר לעבירות בהן הורשע, הנאשם סיפר כי באותה עת השתמש בסמים ועבר את העבירות בעיקר בשל הרצון לרווח כספי קל, משום שלטענתו צבר חובות לביטוח הלאומי. שירות המבחן התרשם, כי הנאשם לקח אחריות על ביצוע המעשים, אך לא מיצה את השתתפותו בתהליך הטיפולי ולא הגיע למפגשים ולבדיקות לגילוי שרידי סם שנקבעו לו. שירות המבחן התרשם כי הנאשם מנהל אורח חיים התמכרותי ובעת זו, על אף מספר הזדמנויות שניתנו לו, אינו מוכן לקבל טיפול, לפיכך המליץ להטיל על הנאשם ענישה הרתעתית. </w:t>
      </w:r>
    </w:p>
    <w:p w14:paraId="61F4DF85" w14:textId="77777777" w:rsidR="004A0E92" w:rsidRDefault="004A0E92" w:rsidP="004A0E92">
      <w:pPr>
        <w:spacing w:line="360" w:lineRule="auto"/>
        <w:jc w:val="both"/>
        <w:rPr>
          <w:rFonts w:cs="FrankRuehl"/>
          <w:b/>
          <w:bCs/>
          <w:sz w:val="28"/>
          <w:szCs w:val="28"/>
          <w:u w:val="single"/>
          <w:rtl/>
        </w:rPr>
      </w:pPr>
    </w:p>
    <w:p w14:paraId="0A2FEAB4" w14:textId="77777777" w:rsidR="004A0E92" w:rsidRDefault="004A0E92" w:rsidP="004A0E92">
      <w:pPr>
        <w:spacing w:line="360" w:lineRule="auto"/>
        <w:jc w:val="both"/>
        <w:rPr>
          <w:rFonts w:cs="FrankRuehl"/>
          <w:b/>
          <w:bCs/>
          <w:sz w:val="28"/>
          <w:szCs w:val="28"/>
          <w:u w:val="single"/>
          <w:rtl/>
        </w:rPr>
      </w:pPr>
    </w:p>
    <w:p w14:paraId="6B4BB8C1" w14:textId="77777777" w:rsidR="004A0E92" w:rsidRDefault="004A0E92" w:rsidP="004A0E92">
      <w:pPr>
        <w:spacing w:line="360" w:lineRule="auto"/>
        <w:jc w:val="both"/>
        <w:rPr>
          <w:rFonts w:cs="FrankRuehl"/>
          <w:b/>
          <w:bCs/>
          <w:sz w:val="28"/>
          <w:szCs w:val="28"/>
          <w:u w:val="single"/>
        </w:rPr>
      </w:pPr>
    </w:p>
    <w:p w14:paraId="52FBBB40" w14:textId="77777777" w:rsidR="004A0E92" w:rsidRDefault="004A0E92" w:rsidP="004A0E92">
      <w:pPr>
        <w:spacing w:line="360" w:lineRule="auto"/>
        <w:jc w:val="both"/>
        <w:rPr>
          <w:rFonts w:cs="FrankRuehl"/>
          <w:b/>
          <w:bCs/>
          <w:sz w:val="28"/>
          <w:szCs w:val="28"/>
          <w:u w:val="single"/>
          <w:rtl/>
        </w:rPr>
      </w:pPr>
      <w:r>
        <w:rPr>
          <w:rFonts w:cs="FrankRuehl"/>
          <w:b/>
          <w:bCs/>
          <w:sz w:val="28"/>
          <w:szCs w:val="28"/>
          <w:u w:val="single"/>
          <w:rtl/>
        </w:rPr>
        <w:t>חוות דעת של הממונה על עבודות השירות</w:t>
      </w:r>
    </w:p>
    <w:p w14:paraId="1E4B58E6" w14:textId="77777777" w:rsidR="004A0E92" w:rsidRDefault="004A0E92" w:rsidP="004A0E92">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 xml:space="preserve">הנאשם כשיר לבצע עבודות שירות והמליץ להציבו במועצה הדתית קרית מלאכי. </w:t>
      </w:r>
    </w:p>
    <w:p w14:paraId="4B9E3071" w14:textId="77777777" w:rsidR="004A0E92" w:rsidRDefault="004A0E92" w:rsidP="004A0E92">
      <w:pPr>
        <w:spacing w:line="360" w:lineRule="auto"/>
        <w:jc w:val="both"/>
        <w:rPr>
          <w:rFonts w:cs="FrankRuehl"/>
          <w:sz w:val="28"/>
          <w:szCs w:val="28"/>
          <w:rtl/>
        </w:rPr>
      </w:pPr>
    </w:p>
    <w:p w14:paraId="0EB5446F" w14:textId="77777777" w:rsidR="004A0E92" w:rsidRDefault="004A0E92" w:rsidP="004A0E92">
      <w:pPr>
        <w:spacing w:line="360" w:lineRule="auto"/>
        <w:jc w:val="both"/>
        <w:rPr>
          <w:rFonts w:cs="FrankRuehl"/>
          <w:b/>
          <w:bCs/>
          <w:sz w:val="28"/>
          <w:szCs w:val="28"/>
          <w:u w:val="single"/>
          <w:rtl/>
        </w:rPr>
      </w:pPr>
      <w:r>
        <w:rPr>
          <w:rFonts w:cs="FrankRuehl"/>
          <w:b/>
          <w:bCs/>
          <w:sz w:val="28"/>
          <w:szCs w:val="28"/>
          <w:u w:val="single"/>
          <w:rtl/>
        </w:rPr>
        <w:t>טיעונים לעונש</w:t>
      </w:r>
    </w:p>
    <w:p w14:paraId="5B0F0095" w14:textId="77777777" w:rsidR="004A0E92" w:rsidRDefault="004A0E92" w:rsidP="004A0E92">
      <w:pPr>
        <w:spacing w:line="360" w:lineRule="auto"/>
        <w:jc w:val="both"/>
        <w:rPr>
          <w:rFonts w:cs="FrankRuehl"/>
          <w:sz w:val="28"/>
          <w:szCs w:val="28"/>
          <w:rtl/>
        </w:rPr>
      </w:pPr>
      <w:r>
        <w:rPr>
          <w:rFonts w:cs="FrankRuehl"/>
          <w:sz w:val="28"/>
          <w:szCs w:val="28"/>
          <w:rtl/>
        </w:rPr>
        <w:t xml:space="preserve">הצדדים לא הגיעו להסכמה עונשית. </w:t>
      </w:r>
    </w:p>
    <w:p w14:paraId="69963F0D" w14:textId="77777777" w:rsidR="004A0E92" w:rsidRDefault="004A0E92" w:rsidP="004A0E92">
      <w:pPr>
        <w:spacing w:line="360" w:lineRule="auto"/>
        <w:jc w:val="both"/>
        <w:rPr>
          <w:rFonts w:cs="FrankRuehl"/>
          <w:sz w:val="28"/>
          <w:szCs w:val="28"/>
          <w:rtl/>
        </w:rPr>
      </w:pPr>
      <w:r>
        <w:rPr>
          <w:rFonts w:cs="FrankRuehl"/>
          <w:sz w:val="28"/>
          <w:szCs w:val="28"/>
          <w:rtl/>
        </w:rPr>
        <w:t xml:space="preserve">מחד, ב"כ המאשימה טענה  </w:t>
      </w:r>
      <w:r>
        <w:rPr>
          <w:rFonts w:cs="FrankRuehl" w:hint="cs"/>
          <w:sz w:val="28"/>
          <w:szCs w:val="28"/>
          <w:rtl/>
        </w:rPr>
        <w:t xml:space="preserve">למתחמי ענישה שבין 8 ל-18 חודשי מאסר בכל הנוגע לעבירות של החזקת סם שלא לצריכה עצמית, 4 </w:t>
      </w:r>
      <w:r>
        <w:rPr>
          <w:rFonts w:cs="FrankRuehl"/>
          <w:sz w:val="28"/>
          <w:szCs w:val="28"/>
          <w:rtl/>
        </w:rPr>
        <w:t>–</w:t>
      </w:r>
      <w:r>
        <w:rPr>
          <w:rFonts w:cs="FrankRuehl" w:hint="cs"/>
          <w:sz w:val="28"/>
          <w:szCs w:val="28"/>
          <w:rtl/>
        </w:rPr>
        <w:t xml:space="preserve"> 12 חודשי מאסר בכל הנוגע לעבירות סחר ו-6 </w:t>
      </w:r>
      <w:r>
        <w:rPr>
          <w:rFonts w:cs="FrankRuehl"/>
          <w:sz w:val="28"/>
          <w:szCs w:val="28"/>
          <w:rtl/>
        </w:rPr>
        <w:t>–</w:t>
      </w:r>
      <w:r>
        <w:rPr>
          <w:rFonts w:cs="FrankRuehl" w:hint="cs"/>
          <w:sz w:val="28"/>
          <w:szCs w:val="28"/>
          <w:rtl/>
        </w:rPr>
        <w:t xml:space="preserve"> 12 חודשי מאסר בכל הנוגע לעבירות הנוגעות לקטין. היא עתרה למקם את הנאשם בתחתית מתחם הענישה של המתחמים, דהיינו היא עתרה למאסר בפועל, ולהטיל עליו ענישה נלווית. </w:t>
      </w:r>
    </w:p>
    <w:p w14:paraId="43FDB748" w14:textId="77777777" w:rsidR="004A0E92" w:rsidRDefault="004A0E92" w:rsidP="004A0E92">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הדגיש את הנקודות החיוביות בהתנהלותו של הנאשם, את העובדה שאין לו עבר פלילי ולא נפתחו לו תיקים חדשים, ולכן ביקש להסתפק בעבודות שירות.</w:t>
      </w:r>
    </w:p>
    <w:p w14:paraId="776D0BA9" w14:textId="77777777" w:rsidR="004A0E92" w:rsidRDefault="004A0E92" w:rsidP="004A0E92">
      <w:pPr>
        <w:spacing w:line="360" w:lineRule="auto"/>
        <w:jc w:val="both"/>
        <w:rPr>
          <w:rFonts w:cs="FrankRuehl"/>
          <w:b/>
          <w:bCs/>
          <w:sz w:val="28"/>
          <w:szCs w:val="28"/>
          <w:u w:val="single"/>
          <w:rtl/>
        </w:rPr>
      </w:pPr>
    </w:p>
    <w:p w14:paraId="2D654FAD" w14:textId="77777777" w:rsidR="004A0E92" w:rsidRDefault="004A0E92" w:rsidP="004A0E92">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22AE6E4D" w14:textId="77777777" w:rsidR="004A0E92" w:rsidRDefault="004A0E92" w:rsidP="004A0E92">
      <w:pPr>
        <w:spacing w:line="360" w:lineRule="auto"/>
        <w:jc w:val="both"/>
        <w:rPr>
          <w:rFonts w:cs="FrankRuehl"/>
          <w:b/>
          <w:bCs/>
          <w:sz w:val="28"/>
          <w:szCs w:val="28"/>
          <w:u w:val="single"/>
          <w:rtl/>
        </w:rPr>
      </w:pPr>
    </w:p>
    <w:p w14:paraId="18CA3A45" w14:textId="77777777" w:rsidR="004A0E92" w:rsidRDefault="004A0E92" w:rsidP="004A0E92">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ברע"פ </w:t>
      </w:r>
      <w:hyperlink r:id="rId22" w:history="1">
        <w:r w:rsidR="00017D30" w:rsidRPr="00017D30">
          <w:rPr>
            <w:rFonts w:cs="FrankRuehl"/>
            <w:color w:val="0000FF"/>
            <w:sz w:val="28"/>
            <w:szCs w:val="28"/>
            <w:u w:val="single"/>
            <w:rtl/>
          </w:rPr>
          <w:t xml:space="preserve">3343/07 </w:t>
        </w:r>
      </w:hyperlink>
      <w:r>
        <w:rPr>
          <w:rFonts w:cs="FrankRuehl"/>
          <w:sz w:val="28"/>
          <w:szCs w:val="28"/>
          <w:rtl/>
        </w:rPr>
        <w:t xml:space="preserve">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ב</w:t>
      </w:r>
      <w:hyperlink r:id="rId23" w:history="1">
        <w:r w:rsidR="00457DBE" w:rsidRPr="00457DBE">
          <w:rPr>
            <w:rFonts w:cs="FrankRuehl"/>
            <w:color w:val="0000FF"/>
            <w:sz w:val="28"/>
            <w:szCs w:val="28"/>
            <w:u w:val="single"/>
            <w:rtl/>
          </w:rPr>
          <w:t>ע"פ 2596/18</w:t>
        </w:r>
      </w:hyperlink>
      <w:r>
        <w:rPr>
          <w:rFonts w:cs="FrankRuehl"/>
          <w:sz w:val="28"/>
          <w:szCs w:val="28"/>
          <w:rtl/>
        </w:rPr>
        <w:t xml:space="preserve"> </w:t>
      </w:r>
      <w:r>
        <w:rPr>
          <w:rFonts w:cs="FrankRuehl"/>
          <w:b/>
          <w:bCs/>
          <w:sz w:val="28"/>
          <w:szCs w:val="28"/>
          <w:u w:val="single"/>
          <w:rtl/>
        </w:rPr>
        <w:t>זנזורי</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12.8.2018) </w:t>
      </w:r>
      <w:r>
        <w:rPr>
          <w:rFonts w:cs="FrankRuehl" w:hint="cs"/>
          <w:sz w:val="28"/>
          <w:szCs w:val="28"/>
          <w:rtl/>
        </w:rPr>
        <w:t xml:space="preserve">עמד כב' השופט עמית על החומרה שבסחר בסמים הנעשה באמצעות המדיה החברתית, ועל הצורך להלום זאת בענישה מתאימה. ר' </w:t>
      </w:r>
      <w:r>
        <w:rPr>
          <w:rFonts w:cs="FrankRuehl"/>
          <w:sz w:val="28"/>
          <w:szCs w:val="28"/>
          <w:rtl/>
        </w:rPr>
        <w:t>פסקה 8</w:t>
      </w:r>
      <w:r>
        <w:rPr>
          <w:rFonts w:cs="FrankRuehl" w:hint="cs"/>
          <w:sz w:val="28"/>
          <w:szCs w:val="28"/>
          <w:rtl/>
        </w:rPr>
        <w:t xml:space="preserve"> לפסק הדין. בעניינו הפגיעה בערך המוגן היא בינונית, נוכח כמויות הסם וכמות העסקאות.</w:t>
      </w:r>
    </w:p>
    <w:p w14:paraId="212A28AF" w14:textId="77777777" w:rsidR="004A0E92" w:rsidRDefault="004A0E92" w:rsidP="004A0E92">
      <w:pPr>
        <w:spacing w:line="360" w:lineRule="auto"/>
        <w:jc w:val="both"/>
        <w:rPr>
          <w:rFonts w:cs="FrankRuehl"/>
          <w:sz w:val="28"/>
          <w:szCs w:val="28"/>
          <w:rtl/>
        </w:rPr>
      </w:pPr>
    </w:p>
    <w:p w14:paraId="69677D37" w14:textId="77777777" w:rsidR="004A0E92" w:rsidRDefault="004A0E92" w:rsidP="004A0E92">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4" w:history="1">
        <w:r w:rsidR="0008497A" w:rsidRPr="0008497A">
          <w:rPr>
            <w:rStyle w:val="Hyperlink"/>
            <w:rFonts w:cs="FrankRuehl"/>
            <w:b/>
            <w:bCs/>
            <w:sz w:val="28"/>
            <w:szCs w:val="28"/>
            <w:rtl/>
          </w:rPr>
          <w:t>סעיף 40ט'</w:t>
        </w:r>
      </w:hyperlink>
      <w:r>
        <w:rPr>
          <w:rFonts w:cs="FrankRuehl"/>
          <w:b/>
          <w:bCs/>
          <w:sz w:val="28"/>
          <w:szCs w:val="28"/>
          <w:u w:val="single"/>
          <w:rtl/>
        </w:rPr>
        <w:t xml:space="preserve"> ל</w:t>
      </w:r>
      <w:hyperlink r:id="rId25" w:history="1">
        <w:r w:rsidR="00457DBE" w:rsidRPr="00457DB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במעשים מתוכננים המעידים על הכרת תחום הפצת הסמים; הכמות שנתפסה ברכבו של הנאשם היא גדולה; המניעים לסחר הם כלכליים, ובפועל הנאשם הספיק להפיץ את הסם למספר אנשים, ביניהם קטין אחד, איתם לא הייתה לו היכרות מוקדמת, באמצעות תווך אלקטרוני. כל אלה נסיבות לחומרה. הנאשם צריך היה להימנע מביצוע המעשים והוא אחראי להם בלעדית. בפועל נגרם נזק מכך שהנאשם הפיץ את הסמים למספר אנשים, ביניהם קטין, והנזק גדול הרבה יותר נוכח הכמות הגדולה שנתפסה אצלו ודרך ההפצה הצפויה, כעולה מכתב האישום. לקולא סוג הסם.</w:t>
      </w:r>
    </w:p>
    <w:p w14:paraId="423B974C" w14:textId="77777777" w:rsidR="004A0E92" w:rsidRDefault="004A0E92" w:rsidP="004A0E92">
      <w:pPr>
        <w:spacing w:line="360" w:lineRule="auto"/>
        <w:jc w:val="both"/>
        <w:rPr>
          <w:rFonts w:cs="FrankRuehl"/>
          <w:sz w:val="28"/>
          <w:szCs w:val="28"/>
          <w:rtl/>
        </w:rPr>
      </w:pPr>
    </w:p>
    <w:p w14:paraId="0328232B" w14:textId="77777777" w:rsidR="004A0E92" w:rsidRDefault="004A0E92" w:rsidP="004A0E92">
      <w:pPr>
        <w:spacing w:line="360" w:lineRule="auto"/>
        <w:jc w:val="both"/>
        <w:rPr>
          <w:rFonts w:cs="FrankRuehl"/>
          <w:b/>
          <w:bCs/>
          <w:sz w:val="28"/>
          <w:szCs w:val="28"/>
          <w:u w:val="single"/>
          <w:rtl/>
        </w:rPr>
      </w:pPr>
    </w:p>
    <w:p w14:paraId="35D9D2F5" w14:textId="77777777" w:rsidR="004A0E92" w:rsidRDefault="004A0E92" w:rsidP="004A0E92">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0D0858">
        <w:rPr>
          <w:rFonts w:cs="FrankRuehl" w:hint="cs"/>
          <w:sz w:val="28"/>
          <w:szCs w:val="28"/>
          <w:rtl/>
        </w:rPr>
        <w:t>ב</w:t>
      </w:r>
      <w:hyperlink r:id="rId26" w:history="1">
        <w:r w:rsidR="00457DBE" w:rsidRPr="00457DBE">
          <w:rPr>
            <w:rFonts w:cs="FrankRuehl"/>
            <w:color w:val="0000FF"/>
            <w:sz w:val="28"/>
            <w:szCs w:val="28"/>
            <w:u w:val="single"/>
            <w:rtl/>
          </w:rPr>
          <w:t>רע"פ 8695/19</w:t>
        </w:r>
      </w:hyperlink>
      <w:r w:rsidRPr="000D0858">
        <w:rPr>
          <w:rFonts w:cs="FrankRuehl" w:hint="cs"/>
          <w:sz w:val="28"/>
          <w:szCs w:val="28"/>
          <w:rtl/>
        </w:rPr>
        <w:t xml:space="preserve"> </w:t>
      </w:r>
      <w:r w:rsidRPr="000D0858">
        <w:rPr>
          <w:rFonts w:cs="FrankRuehl" w:hint="cs"/>
          <w:b/>
          <w:bCs/>
          <w:sz w:val="28"/>
          <w:szCs w:val="28"/>
          <w:u w:val="single"/>
          <w:rtl/>
        </w:rPr>
        <w:t>פסו</w:t>
      </w:r>
      <w:r w:rsidRPr="000D0858">
        <w:rPr>
          <w:rFonts w:cs="FrankRuehl" w:hint="cs"/>
          <w:sz w:val="28"/>
          <w:szCs w:val="28"/>
          <w:rtl/>
        </w:rPr>
        <w:t xml:space="preserve"> נ' </w:t>
      </w:r>
      <w:r w:rsidRPr="000D0858">
        <w:rPr>
          <w:rFonts w:cs="FrankRuehl" w:hint="cs"/>
          <w:b/>
          <w:bCs/>
          <w:sz w:val="28"/>
          <w:szCs w:val="28"/>
          <w:u w:val="single"/>
          <w:rtl/>
        </w:rPr>
        <w:t>מ"י</w:t>
      </w:r>
      <w:r w:rsidRPr="000D0858">
        <w:rPr>
          <w:rFonts w:cs="FrankRuehl" w:hint="cs"/>
          <w:sz w:val="28"/>
          <w:szCs w:val="28"/>
          <w:rtl/>
        </w:rPr>
        <w:t xml:space="preserve"> (מיום 5.1.2020) עמד בית המשפט העליון על החומרה שבסחר בסמים, גם אם הם קלים, וקרא לענישה מרתיעה ומשמעותית (פסקה 8). מכאן שניתן למצוא לרוב ענישה בדמות מאסר בפועל, ופחות מכך ענישה בעבודות שירות או בשל"ץ בהתאם לנסיבות המעשה והעושה. כך למשל, ברע"פ 8632/196 </w:t>
      </w:r>
      <w:r w:rsidRPr="000D0858">
        <w:rPr>
          <w:rFonts w:cs="FrankRuehl" w:hint="cs"/>
          <w:b/>
          <w:bCs/>
          <w:sz w:val="28"/>
          <w:szCs w:val="28"/>
          <w:u w:val="single"/>
          <w:rtl/>
        </w:rPr>
        <w:t>כהן</w:t>
      </w:r>
      <w:r w:rsidRPr="000D0858">
        <w:rPr>
          <w:rFonts w:cs="FrankRuehl" w:hint="cs"/>
          <w:sz w:val="28"/>
          <w:szCs w:val="28"/>
          <w:rtl/>
        </w:rPr>
        <w:t xml:space="preserve"> נ' </w:t>
      </w:r>
      <w:r w:rsidRPr="000D0858">
        <w:rPr>
          <w:rFonts w:cs="FrankRuehl" w:hint="cs"/>
          <w:b/>
          <w:bCs/>
          <w:sz w:val="28"/>
          <w:szCs w:val="28"/>
          <w:u w:val="single"/>
          <w:rtl/>
        </w:rPr>
        <w:t>מ"י</w:t>
      </w:r>
      <w:r w:rsidRPr="000D0858">
        <w:rPr>
          <w:rFonts w:cs="FrankRuehl" w:hint="cs"/>
          <w:sz w:val="28"/>
          <w:szCs w:val="28"/>
          <w:rtl/>
        </w:rPr>
        <w:t xml:space="preserve"> (מיום 5.1.2020) נגזר דינו של נאשם ל-9 חודשי מאסר בעבודות שירות, כשנקבע שמדובר בעונש החורג ממתחם הענישה בשל שיקולי שיקום. שם דובר במספר מקרי סחר בקנביס ובהחזקת קנביס שלא לצריכה עצמית. במקרה אחר, </w:t>
      </w:r>
      <w:hyperlink r:id="rId27" w:history="1">
        <w:r w:rsidR="00457DBE" w:rsidRPr="00457DBE">
          <w:rPr>
            <w:rFonts w:cs="FrankRuehl"/>
            <w:color w:val="0000FF"/>
            <w:sz w:val="28"/>
            <w:szCs w:val="28"/>
            <w:u w:val="single"/>
            <w:rtl/>
          </w:rPr>
          <w:t>עפ"ג (חיפה) 53901-05-15</w:t>
        </w:r>
      </w:hyperlink>
      <w:r w:rsidRPr="000D0858">
        <w:rPr>
          <w:rFonts w:cs="FrankRuehl" w:hint="cs"/>
          <w:sz w:val="28"/>
          <w:szCs w:val="28"/>
          <w:rtl/>
        </w:rPr>
        <w:t xml:space="preserve"> </w:t>
      </w:r>
      <w:r w:rsidRPr="000D0858">
        <w:rPr>
          <w:rFonts w:cs="FrankRuehl" w:hint="cs"/>
          <w:b/>
          <w:bCs/>
          <w:sz w:val="28"/>
          <w:szCs w:val="28"/>
          <w:u w:val="single"/>
          <w:rtl/>
        </w:rPr>
        <w:t>איטח</w:t>
      </w:r>
      <w:r w:rsidRPr="000D0858">
        <w:rPr>
          <w:rFonts w:cs="FrankRuehl" w:hint="cs"/>
          <w:sz w:val="28"/>
          <w:szCs w:val="28"/>
          <w:rtl/>
        </w:rPr>
        <w:t xml:space="preserve"> נ' </w:t>
      </w:r>
      <w:r w:rsidRPr="000D0858">
        <w:rPr>
          <w:rFonts w:cs="FrankRuehl" w:hint="cs"/>
          <w:b/>
          <w:bCs/>
          <w:sz w:val="28"/>
          <w:szCs w:val="28"/>
          <w:u w:val="single"/>
          <w:rtl/>
        </w:rPr>
        <w:t>מ"י</w:t>
      </w:r>
      <w:r w:rsidRPr="000D0858">
        <w:rPr>
          <w:rFonts w:cs="FrankRuehl" w:hint="cs"/>
          <w:sz w:val="28"/>
          <w:szCs w:val="28"/>
          <w:rtl/>
        </w:rPr>
        <w:t xml:space="preserve"> (מיום 20.7.2015) דובר בנסיבות של סיוע ל-3 עסקאות במריחואנה והחזקת סם שלא לצריכה עצמית. נקבע מתחם שבין 6 ל-18 חודשי מאסר והתיק הסתיים בשל"ץ בשל חריגה ממתחם הענישה. ב</w:t>
      </w:r>
      <w:hyperlink r:id="rId28" w:history="1">
        <w:r w:rsidR="00457DBE" w:rsidRPr="00457DBE">
          <w:rPr>
            <w:rFonts w:cs="FrankRuehl"/>
            <w:color w:val="0000FF"/>
            <w:sz w:val="28"/>
            <w:szCs w:val="28"/>
            <w:u w:val="single"/>
            <w:rtl/>
          </w:rPr>
          <w:t>עפ"ג (י-ם) 65233-03-17</w:t>
        </w:r>
      </w:hyperlink>
      <w:r w:rsidRPr="000D0858">
        <w:rPr>
          <w:rFonts w:cs="FrankRuehl" w:hint="cs"/>
          <w:sz w:val="28"/>
          <w:szCs w:val="28"/>
          <w:rtl/>
        </w:rPr>
        <w:t xml:space="preserve"> </w:t>
      </w:r>
      <w:r w:rsidRPr="000D0858">
        <w:rPr>
          <w:rFonts w:cs="FrankRuehl" w:hint="cs"/>
          <w:b/>
          <w:bCs/>
          <w:sz w:val="28"/>
          <w:szCs w:val="28"/>
          <w:u w:val="single"/>
          <w:rtl/>
        </w:rPr>
        <w:t>רוזנברג</w:t>
      </w:r>
      <w:r w:rsidRPr="000D0858">
        <w:rPr>
          <w:rFonts w:cs="FrankRuehl" w:hint="cs"/>
          <w:sz w:val="28"/>
          <w:szCs w:val="28"/>
          <w:rtl/>
        </w:rPr>
        <w:t xml:space="preserve"> נ' </w:t>
      </w:r>
      <w:r w:rsidRPr="000D0858">
        <w:rPr>
          <w:rFonts w:cs="FrankRuehl" w:hint="cs"/>
          <w:b/>
          <w:bCs/>
          <w:sz w:val="28"/>
          <w:szCs w:val="28"/>
          <w:u w:val="single"/>
          <w:rtl/>
        </w:rPr>
        <w:t>מ"י</w:t>
      </w:r>
      <w:r w:rsidRPr="000D0858">
        <w:rPr>
          <w:rFonts w:cs="FrankRuehl" w:hint="cs"/>
          <w:sz w:val="28"/>
          <w:szCs w:val="28"/>
          <w:rtl/>
        </w:rPr>
        <w:t xml:space="preserve"> (מיום 26.6.2017) נקבע מתחם שבין מס' חודשי מאסר ועד 10 חודשי מאסר בנסיבות של שני מקרי סחר ב-50 גרם קנביס בכל הזדמנות. שם הסתיים ההליך ב-49 ימי מאסר (כימי מעצרו של הנאשם).</w:t>
      </w:r>
    </w:p>
    <w:p w14:paraId="007ECC8A" w14:textId="77777777" w:rsidR="004A0E92" w:rsidRDefault="004A0E92" w:rsidP="004A0E92">
      <w:pPr>
        <w:spacing w:line="360" w:lineRule="auto"/>
        <w:jc w:val="both"/>
        <w:rPr>
          <w:rFonts w:cs="FrankRuehl"/>
          <w:sz w:val="28"/>
          <w:szCs w:val="28"/>
          <w:u w:val="single"/>
          <w:rtl/>
        </w:rPr>
      </w:pPr>
    </w:p>
    <w:p w14:paraId="1B7971D9" w14:textId="77777777" w:rsidR="004A0E92" w:rsidRDefault="004A0E92" w:rsidP="004A0E92">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w:t>
      </w:r>
      <w:r>
        <w:rPr>
          <w:rFonts w:cs="FrankRuehl" w:hint="cs"/>
          <w:sz w:val="28"/>
          <w:szCs w:val="28"/>
          <w:rtl/>
        </w:rPr>
        <w:t>מתחם הענישה צריך להתייחס לכתב האישום כאל אירוע אחד, שכן מדובר בהחזקת סם לצורך מסחר בו, ביצוע מקרי סחר סמוכים אחד לשני. לפיכך, מתקיים קשר הדוק בין האירועים. המתחם יעמוד על חודשיים ועד 12 חודשי מאסר.</w:t>
      </w:r>
      <w:r>
        <w:rPr>
          <w:rFonts w:cs="FrankRuehl"/>
          <w:sz w:val="28"/>
          <w:szCs w:val="28"/>
          <w:rtl/>
        </w:rPr>
        <w:t xml:space="preserve"> </w:t>
      </w:r>
    </w:p>
    <w:p w14:paraId="1D114FA7" w14:textId="77777777" w:rsidR="004A0E92" w:rsidRDefault="004A0E92" w:rsidP="004A0E92">
      <w:pPr>
        <w:spacing w:line="360" w:lineRule="auto"/>
        <w:jc w:val="both"/>
        <w:rPr>
          <w:rFonts w:cs="FrankRuehl"/>
          <w:b/>
          <w:bCs/>
          <w:sz w:val="28"/>
          <w:szCs w:val="28"/>
          <w:rtl/>
        </w:rPr>
      </w:pPr>
    </w:p>
    <w:p w14:paraId="3C297307" w14:textId="77777777" w:rsidR="004A0E92" w:rsidRDefault="004A0E92" w:rsidP="004A0E92">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9" w:history="1">
        <w:r w:rsidR="0008497A" w:rsidRPr="0008497A">
          <w:rPr>
            <w:rStyle w:val="Hyperlink"/>
            <w:rFonts w:cs="FrankRuehl"/>
            <w:b/>
            <w:bCs/>
            <w:sz w:val="28"/>
            <w:szCs w:val="28"/>
            <w:rtl/>
          </w:rPr>
          <w:t>סעיף 40י"א</w:t>
        </w:r>
      </w:hyperlink>
      <w:r>
        <w:rPr>
          <w:rFonts w:cs="FrankRuehl"/>
          <w:b/>
          <w:bCs/>
          <w:sz w:val="28"/>
          <w:szCs w:val="28"/>
          <w:u w:val="single"/>
          <w:rtl/>
        </w:rPr>
        <w:t xml:space="preserve"> ל</w:t>
      </w:r>
      <w:hyperlink r:id="rId30" w:history="1">
        <w:r w:rsidR="00457DBE" w:rsidRPr="00457DBE">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שזוהי מעורבותו הראשונה בפלילים, והוא נטל אחריות למעשיו, הן במשטרה, הן לפניי והן בפני שירות המבחן. בתחילה, שיתוף הפעולה שלו עם שירות המבחן היה חיובי, אך בהמשך אירע נתק ממושך עם גורמי הטיפול. לצד זאת, בדיקות שתן שנמסרו נמצאו שליליות לסמים, הנאשם לא הפר תנאים ולא פתח תיקים חדשים במשך תקופה ארוכה בה מתנהל המשפט. היכרותי את הנאשם מלמדת כי הוא אדם מופנם, ולכן חלק מהתנהלותו יכול להיות מוסבר בשל עובדה זו. אין זו תמונה מושלמת של שיקום "לפי הספר" ואולם העובדה שהנאשם לא פתח תיקים חדשים לאורך תקופה ארוכה מלמדת על כך שחייו התייצבו באפיק חיובי, ויש לקוות שימשיכו כך. </w:t>
      </w:r>
    </w:p>
    <w:p w14:paraId="1D2E9BF7" w14:textId="77777777" w:rsidR="004A0E92" w:rsidRDefault="004A0E92" w:rsidP="004A0E92">
      <w:pPr>
        <w:spacing w:line="360" w:lineRule="auto"/>
        <w:jc w:val="both"/>
        <w:rPr>
          <w:rFonts w:cs="FrankRuehl"/>
          <w:sz w:val="28"/>
          <w:szCs w:val="28"/>
          <w:rtl/>
        </w:rPr>
      </w:pPr>
    </w:p>
    <w:p w14:paraId="20220862" w14:textId="77777777" w:rsidR="004A0E92" w:rsidRDefault="004A0E92" w:rsidP="004A0E92">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בשל כל אלה, יש למקם את הנאשם עד לאמצע המתחם שקבעתי, ואין מקום לשלוח את הנאשם לכלא, בשל החשש שהדבר ידרדרו לפלילים, ויוריד לטימיון את ההישגים, גם אם הצנועים, אליהם הגיע במסגרת ההליכים שלפניי. לעומת זאת, מאסר בעבודות שירות, עונה הן על דרישות עקרון ההלימה והן על האינטרס הציבורי. </w:t>
      </w:r>
    </w:p>
    <w:p w14:paraId="54A84D2D" w14:textId="77777777" w:rsidR="004A0E92" w:rsidRDefault="004A0E92" w:rsidP="004A0E92">
      <w:pPr>
        <w:spacing w:line="360" w:lineRule="auto"/>
        <w:jc w:val="both"/>
        <w:rPr>
          <w:rFonts w:cs="FrankRuehl"/>
          <w:b/>
          <w:bCs/>
          <w:sz w:val="28"/>
          <w:szCs w:val="28"/>
          <w:u w:val="single"/>
          <w:rtl/>
        </w:rPr>
      </w:pPr>
    </w:p>
    <w:p w14:paraId="57A58C51" w14:textId="77777777" w:rsidR="004A0E92" w:rsidRDefault="004A0E92" w:rsidP="004A0E92">
      <w:pPr>
        <w:spacing w:line="360" w:lineRule="auto"/>
        <w:jc w:val="both"/>
        <w:rPr>
          <w:rFonts w:cs="FrankRuehl"/>
          <w:b/>
          <w:bCs/>
          <w:sz w:val="28"/>
          <w:szCs w:val="28"/>
          <w:u w:val="single"/>
          <w:rtl/>
        </w:rPr>
      </w:pPr>
      <w:r>
        <w:rPr>
          <w:rFonts w:cs="FrankRuehl"/>
          <w:b/>
          <w:bCs/>
          <w:sz w:val="28"/>
          <w:szCs w:val="28"/>
          <w:u w:val="single"/>
          <w:rtl/>
        </w:rPr>
        <w:t>גזירת הדין</w:t>
      </w:r>
    </w:p>
    <w:p w14:paraId="0504D885" w14:textId="77777777" w:rsidR="004A0E92" w:rsidRDefault="004A0E92" w:rsidP="004A0E92">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5F318AC" w14:textId="77777777" w:rsidR="004A0E92" w:rsidRDefault="004A0E92" w:rsidP="004A0E92">
      <w:pPr>
        <w:numPr>
          <w:ilvl w:val="0"/>
          <w:numId w:val="1"/>
        </w:numPr>
        <w:spacing w:after="160" w:line="360" w:lineRule="auto"/>
        <w:contextualSpacing/>
        <w:jc w:val="both"/>
        <w:rPr>
          <w:rFonts w:cs="FrankRuehl"/>
          <w:sz w:val="28"/>
          <w:szCs w:val="28"/>
          <w:rtl/>
        </w:rPr>
      </w:pPr>
      <w:r>
        <w:rPr>
          <w:rFonts w:cs="FrankRuehl" w:hint="cs"/>
          <w:sz w:val="28"/>
          <w:szCs w:val="28"/>
          <w:rtl/>
        </w:rPr>
        <w:t xml:space="preserve">7 </w:t>
      </w:r>
      <w:r>
        <w:rPr>
          <w:rFonts w:cs="FrankRuehl"/>
          <w:sz w:val="28"/>
          <w:szCs w:val="28"/>
          <w:rtl/>
        </w:rPr>
        <w:t xml:space="preserve">חודשי </w:t>
      </w:r>
      <w:r>
        <w:rPr>
          <w:rFonts w:cs="FrankRuehl" w:hint="cs"/>
          <w:sz w:val="28"/>
          <w:szCs w:val="28"/>
          <w:rtl/>
        </w:rPr>
        <w:t>מאסר שירוצו בעבודות שירות. עבודות השירות יבוצעו במועצה הדתית קרית מלאכי, החל מיום 13.6.2021 מועד בו על הנאשם להתייצב אצל הממונה בבאר שבע לתחילת ריצוי העבודות עד השעה 08:00. הנאשם הוזהר כי אם לא ישתף פעולה עם הממונה ויבצע את העבודות כנדרש, ניתן להפקיען למאסר בפועל ממש. מתקופה זו יש לנכות במלואם את ימי מעצרו של הנאשם בתיק זה, בהתאם לחישוב שב"ס שיכריע;</w:t>
      </w:r>
    </w:p>
    <w:p w14:paraId="7A06345B" w14:textId="77777777" w:rsidR="004A0E92" w:rsidRDefault="004A0E92" w:rsidP="004A0E92">
      <w:pPr>
        <w:numPr>
          <w:ilvl w:val="0"/>
          <w:numId w:val="1"/>
        </w:numPr>
        <w:spacing w:after="160" w:line="360" w:lineRule="auto"/>
        <w:contextualSpacing/>
        <w:jc w:val="both"/>
        <w:rPr>
          <w:rFonts w:cs="FrankRuehl"/>
          <w:sz w:val="28"/>
          <w:szCs w:val="28"/>
        </w:rPr>
      </w:pPr>
      <w:r>
        <w:rPr>
          <w:rFonts w:cs="FrankRuehl" w:hint="cs"/>
          <w:sz w:val="28"/>
          <w:szCs w:val="28"/>
          <w:rtl/>
        </w:rPr>
        <w:t xml:space="preserve">12 </w:t>
      </w:r>
      <w:r>
        <w:rPr>
          <w:rFonts w:cs="FrankRuehl"/>
          <w:sz w:val="28"/>
          <w:szCs w:val="28"/>
          <w:rtl/>
        </w:rPr>
        <w:t>חודשי מאסר שלא ירוצו</w:t>
      </w:r>
      <w:r>
        <w:rPr>
          <w:rFonts w:cs="FrankRuehl" w:hint="cs"/>
          <w:sz w:val="28"/>
          <w:szCs w:val="28"/>
          <w:rtl/>
        </w:rPr>
        <w:t xml:space="preserve"> אלא אם יעבור הנאשם כל עבירת פשע לפי </w:t>
      </w:r>
      <w:hyperlink r:id="rId31" w:history="1">
        <w:r w:rsidR="00457DBE" w:rsidRPr="00457DBE">
          <w:rPr>
            <w:rFonts w:cs="FrankRuehl"/>
            <w:color w:val="0000FF"/>
            <w:sz w:val="28"/>
            <w:szCs w:val="28"/>
            <w:u w:val="single"/>
            <w:rtl/>
          </w:rPr>
          <w:t>פקודת הסמים המסוכנים</w:t>
        </w:r>
      </w:hyperlink>
      <w:r>
        <w:rPr>
          <w:rFonts w:cs="FrankRuehl" w:hint="cs"/>
          <w:sz w:val="28"/>
          <w:szCs w:val="28"/>
          <w:rtl/>
        </w:rPr>
        <w:t>, בתוך שלוש שנים מיום סיום עבודות השירות;</w:t>
      </w:r>
    </w:p>
    <w:p w14:paraId="5B1377E6" w14:textId="77777777" w:rsidR="004A0E92" w:rsidRDefault="004A0E92" w:rsidP="004A0E92">
      <w:pPr>
        <w:numPr>
          <w:ilvl w:val="0"/>
          <w:numId w:val="1"/>
        </w:numPr>
        <w:spacing w:after="160" w:line="360" w:lineRule="auto"/>
        <w:contextualSpacing/>
        <w:jc w:val="both"/>
        <w:rPr>
          <w:rFonts w:cs="FrankRuehl"/>
          <w:sz w:val="28"/>
          <w:szCs w:val="28"/>
        </w:rPr>
      </w:pPr>
      <w:r>
        <w:rPr>
          <w:rFonts w:cs="FrankRuehl" w:hint="cs"/>
          <w:sz w:val="28"/>
          <w:szCs w:val="28"/>
          <w:rtl/>
        </w:rPr>
        <w:t xml:space="preserve">4 חודשי מאסר שלא ירוצו אלא אם יעבור הנאשם כל עבירת עוון לפי </w:t>
      </w:r>
      <w:hyperlink r:id="rId32" w:history="1">
        <w:r w:rsidR="00457DBE" w:rsidRPr="00457DBE">
          <w:rPr>
            <w:rFonts w:cs="FrankRuehl"/>
            <w:color w:val="0000FF"/>
            <w:sz w:val="28"/>
            <w:szCs w:val="28"/>
            <w:u w:val="single"/>
            <w:rtl/>
          </w:rPr>
          <w:t>פקודת הסמים המסוכנים</w:t>
        </w:r>
      </w:hyperlink>
      <w:r>
        <w:rPr>
          <w:rFonts w:cs="FrankRuehl" w:hint="cs"/>
          <w:sz w:val="28"/>
          <w:szCs w:val="28"/>
          <w:rtl/>
        </w:rPr>
        <w:t xml:space="preserve"> בתוך שלוש שנים מיום סיום עבודות השירות;</w:t>
      </w:r>
    </w:p>
    <w:p w14:paraId="14EBA1AD" w14:textId="77777777" w:rsidR="004A0E92" w:rsidRDefault="004A0E92" w:rsidP="004A0E92">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 xml:space="preserve">2,000 </w:t>
      </w:r>
      <w:r>
        <w:rPr>
          <w:rFonts w:cs="FrankRuehl"/>
          <w:sz w:val="28"/>
          <w:szCs w:val="28"/>
          <w:rtl/>
        </w:rPr>
        <w:t xml:space="preserve"> ₪, או  </w:t>
      </w:r>
      <w:r>
        <w:rPr>
          <w:rFonts w:cs="FrankRuehl" w:hint="cs"/>
          <w:sz w:val="28"/>
          <w:szCs w:val="28"/>
          <w:rtl/>
        </w:rPr>
        <w:t xml:space="preserve">8 </w:t>
      </w:r>
      <w:r>
        <w:rPr>
          <w:rFonts w:cs="FrankRuehl"/>
          <w:sz w:val="28"/>
          <w:szCs w:val="28"/>
          <w:rtl/>
        </w:rPr>
        <w:t xml:space="preserve">ימי מאסר תמורתו אם לא ישולם. הקנס </w:t>
      </w:r>
      <w:r>
        <w:rPr>
          <w:rFonts w:cs="FrankRuehl" w:hint="cs"/>
          <w:sz w:val="28"/>
          <w:szCs w:val="28"/>
          <w:rtl/>
        </w:rPr>
        <w:t xml:space="preserve">יקוזז במלואו מההפקדה שבתיק המעצר, ואם תיוותר יתרת חובה, תשולם עד ליום 1.8.2021. הוראה זו </w:t>
      </w:r>
      <w:r>
        <w:rPr>
          <w:rFonts w:cs="FrankRuehl"/>
          <w:sz w:val="28"/>
          <w:szCs w:val="28"/>
          <w:rtl/>
        </w:rPr>
        <w:t>על אף כל הודעת עיקול. ככל שתיוותר יתרת חובה, תשולם כפי שקבעתי. ככל שתיוותר יתרת זכות תוחזר לנאשם בכפוף להיעדר כל הוראת עיקול;</w:t>
      </w:r>
    </w:p>
    <w:p w14:paraId="2EA62BA3" w14:textId="77777777" w:rsidR="004A0E92" w:rsidRDefault="004A0E92" w:rsidP="004A0E92">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עבירה  </w:t>
      </w:r>
      <w:r>
        <w:rPr>
          <w:rFonts w:cs="FrankRuehl" w:hint="cs"/>
          <w:sz w:val="28"/>
          <w:szCs w:val="28"/>
          <w:rtl/>
        </w:rPr>
        <w:t xml:space="preserve">לפי פקודת הסמים </w:t>
      </w:r>
      <w:r>
        <w:rPr>
          <w:rFonts w:cs="FrankRuehl"/>
          <w:sz w:val="28"/>
          <w:szCs w:val="28"/>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37E4D220" w14:textId="77777777" w:rsidR="004A0E92" w:rsidRDefault="004A0E92" w:rsidP="004A0E92">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p>
    <w:p w14:paraId="605DDB28" w14:textId="77777777" w:rsidR="004A0E92" w:rsidRDefault="004A0E92" w:rsidP="004A0E92">
      <w:pPr>
        <w:spacing w:line="360" w:lineRule="auto"/>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0BAD7CF4" w14:textId="77777777" w:rsidR="004A0E92" w:rsidRPr="00327AF7" w:rsidRDefault="004A0E92" w:rsidP="004A0E92">
      <w:r>
        <w:rPr>
          <w:rFonts w:ascii="FrankRuehl" w:hAnsi="FrankRuehl" w:cs="FrankRuehl"/>
          <w:sz w:val="28"/>
          <w:szCs w:val="28"/>
          <w:rtl/>
        </w:rPr>
        <w:t>זכות ערעור כחוק לבית המשפט המחוזי בירושלים בתוך 45 יום מהיום.</w:t>
      </w:r>
    </w:p>
    <w:p w14:paraId="199F53F1" w14:textId="77777777" w:rsidR="004A0E92" w:rsidRPr="00457DBE" w:rsidRDefault="00457DBE" w:rsidP="004A0E92">
      <w:pPr>
        <w:rPr>
          <w:color w:val="FFFFFF"/>
          <w:sz w:val="2"/>
          <w:szCs w:val="2"/>
          <w:rtl/>
        </w:rPr>
      </w:pPr>
      <w:r w:rsidRPr="00457DBE">
        <w:rPr>
          <w:color w:val="FFFFFF"/>
          <w:sz w:val="2"/>
          <w:szCs w:val="2"/>
          <w:rtl/>
        </w:rPr>
        <w:t>5129371</w:t>
      </w:r>
    </w:p>
    <w:p w14:paraId="1063F9FA" w14:textId="77777777" w:rsidR="004A0E92" w:rsidRPr="00EB0D97" w:rsidRDefault="00457DBE" w:rsidP="004A0E92">
      <w:pPr>
        <w:rPr>
          <w:rFonts w:cs="FrankRuehl"/>
          <w:sz w:val="28"/>
          <w:szCs w:val="28"/>
          <w:rtl/>
        </w:rPr>
      </w:pPr>
      <w:bookmarkStart w:id="8" w:name="Nitan"/>
      <w:r w:rsidRPr="00457DBE">
        <w:rPr>
          <w:rFonts w:ascii="Arial" w:hAnsi="Arial"/>
          <w:color w:val="FFFFFF"/>
          <w:sz w:val="2"/>
          <w:szCs w:val="2"/>
          <w:rtl/>
        </w:rPr>
        <w:t>54678313</w:t>
      </w:r>
      <w:r>
        <w:rPr>
          <w:rFonts w:ascii="Arial" w:hAnsi="Arial"/>
          <w:rtl/>
        </w:rPr>
        <w:t xml:space="preserve">ניתן היום,  כ"ג ניסן תשפ"א, 05 אפריל 2021, במעמד הצדדים. </w:t>
      </w:r>
      <w:bookmarkEnd w:id="8"/>
    </w:p>
    <w:p w14:paraId="6679B2DA" w14:textId="77777777" w:rsidR="004A0E92" w:rsidRDefault="004A0E92" w:rsidP="00457DB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CF3686" w14:textId="77777777" w:rsidR="004A0E92" w:rsidRDefault="004A0E92" w:rsidP="004A0E92">
      <w:pPr>
        <w:jc w:val="center"/>
        <w:rPr>
          <w:rFonts w:ascii="Arial" w:hAnsi="Arial" w:cs="FrankRuehl"/>
          <w:sz w:val="28"/>
          <w:szCs w:val="28"/>
          <w:rtl/>
        </w:rPr>
      </w:pPr>
    </w:p>
    <w:p w14:paraId="596BB102" w14:textId="77777777" w:rsidR="004A0E92" w:rsidRDefault="004A0E92" w:rsidP="004A0E92">
      <w:pPr>
        <w:rPr>
          <w:rFonts w:cs="FrankRuehl"/>
          <w:sz w:val="28"/>
          <w:szCs w:val="28"/>
          <w:rtl/>
        </w:rPr>
      </w:pPr>
    </w:p>
    <w:p w14:paraId="13727D02" w14:textId="77777777" w:rsidR="00457DBE" w:rsidRDefault="0008497A" w:rsidP="00457DBE">
      <w:r w:rsidRPr="0008497A">
        <w:rPr>
          <w:color w:val="FFFFFF"/>
          <w:sz w:val="2"/>
          <w:szCs w:val="2"/>
          <w:rtl/>
        </w:rPr>
        <w:t>5129371</w:t>
      </w:r>
    </w:p>
    <w:p w14:paraId="2A32830E" w14:textId="77777777" w:rsidR="00457DBE" w:rsidRDefault="00457DBE" w:rsidP="00457DBE">
      <w:pPr>
        <w:rPr>
          <w:rtl/>
        </w:rPr>
      </w:pPr>
    </w:p>
    <w:p w14:paraId="6EDA74F1" w14:textId="77777777" w:rsidR="00457DBE" w:rsidRDefault="00457DBE" w:rsidP="00457DB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4DC53EFB" w14:textId="77777777" w:rsidR="0008497A" w:rsidRPr="0008497A" w:rsidRDefault="0008497A" w:rsidP="0008497A">
      <w:pPr>
        <w:keepNext/>
        <w:rPr>
          <w:rFonts w:ascii="David" w:hAnsi="David"/>
          <w:color w:val="000000"/>
          <w:sz w:val="22"/>
          <w:szCs w:val="22"/>
          <w:rtl/>
        </w:rPr>
      </w:pPr>
    </w:p>
    <w:p w14:paraId="230DFFB9" w14:textId="77777777" w:rsidR="0008497A" w:rsidRPr="0008497A" w:rsidRDefault="0008497A" w:rsidP="0008497A">
      <w:pPr>
        <w:keepNext/>
        <w:rPr>
          <w:rFonts w:ascii="David" w:hAnsi="David"/>
          <w:color w:val="000000"/>
          <w:sz w:val="22"/>
          <w:szCs w:val="22"/>
          <w:rtl/>
        </w:rPr>
      </w:pPr>
      <w:r w:rsidRPr="0008497A">
        <w:rPr>
          <w:rFonts w:ascii="David" w:hAnsi="David"/>
          <w:color w:val="000000"/>
          <w:sz w:val="22"/>
          <w:szCs w:val="22"/>
          <w:rtl/>
        </w:rPr>
        <w:t>דוד שאול גבאי ריכטר 54678313-/</w:t>
      </w:r>
    </w:p>
    <w:p w14:paraId="6B181C32" w14:textId="77777777" w:rsidR="00457DBE" w:rsidRPr="00457DBE" w:rsidRDefault="0008497A" w:rsidP="0008497A">
      <w:pPr>
        <w:rPr>
          <w:color w:val="0000FF"/>
          <w:u w:val="single"/>
        </w:rPr>
      </w:pPr>
      <w:r w:rsidRPr="0008497A">
        <w:rPr>
          <w:color w:val="000000"/>
          <w:u w:val="single"/>
          <w:rtl/>
        </w:rPr>
        <w:t>נוסח מסמך זה כפוף לשינויי ניסוח ועריכה</w:t>
      </w:r>
    </w:p>
    <w:sectPr w:rsidR="00457DBE" w:rsidRPr="00457DBE" w:rsidSect="0008497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00881" w14:textId="77777777" w:rsidR="00C03763" w:rsidRDefault="00C03763" w:rsidP="00A113C6">
      <w:r>
        <w:separator/>
      </w:r>
    </w:p>
  </w:endnote>
  <w:endnote w:type="continuationSeparator" w:id="0">
    <w:p w14:paraId="585EEE4F" w14:textId="77777777" w:rsidR="00C03763" w:rsidRDefault="00C03763" w:rsidP="00A1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5CC0F" w14:textId="77777777" w:rsidR="0008497A" w:rsidRDefault="0008497A" w:rsidP="000849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1239A3" w14:textId="77777777" w:rsidR="001D1397" w:rsidRPr="0008497A" w:rsidRDefault="0008497A" w:rsidP="0008497A">
    <w:pPr>
      <w:pStyle w:val="a5"/>
      <w:pBdr>
        <w:top w:val="single" w:sz="4" w:space="1" w:color="auto"/>
        <w:between w:val="single" w:sz="4" w:space="0" w:color="auto"/>
      </w:pBdr>
      <w:spacing w:after="60"/>
      <w:jc w:val="center"/>
      <w:rPr>
        <w:rFonts w:ascii="FrankRuehl" w:hAnsi="FrankRuehl" w:cs="FrankRuehl"/>
        <w:color w:val="000000"/>
      </w:rPr>
    </w:pPr>
    <w:r w:rsidRPr="000849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203A3" w14:textId="77777777" w:rsidR="0008497A" w:rsidRDefault="0008497A" w:rsidP="0008497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6EDD">
      <w:rPr>
        <w:rFonts w:ascii="FrankRuehl" w:hAnsi="FrankRuehl" w:cs="FrankRuehl"/>
        <w:noProof/>
        <w:rtl/>
      </w:rPr>
      <w:t>1</w:t>
    </w:r>
    <w:r>
      <w:rPr>
        <w:rFonts w:ascii="FrankRuehl" w:hAnsi="FrankRuehl" w:cs="FrankRuehl"/>
        <w:rtl/>
      </w:rPr>
      <w:fldChar w:fldCharType="end"/>
    </w:r>
  </w:p>
  <w:p w14:paraId="327241CF" w14:textId="77777777" w:rsidR="001D1397" w:rsidRPr="0008497A" w:rsidRDefault="0008497A" w:rsidP="0008497A">
    <w:pPr>
      <w:pStyle w:val="a5"/>
      <w:pBdr>
        <w:top w:val="single" w:sz="4" w:space="1" w:color="auto"/>
        <w:between w:val="single" w:sz="4" w:space="0" w:color="auto"/>
      </w:pBdr>
      <w:spacing w:after="60"/>
      <w:jc w:val="center"/>
      <w:rPr>
        <w:rFonts w:ascii="FrankRuehl" w:hAnsi="FrankRuehl" w:cs="FrankRuehl"/>
        <w:color w:val="000000"/>
      </w:rPr>
    </w:pPr>
    <w:r w:rsidRPr="0008497A">
      <w:rPr>
        <w:rFonts w:ascii="FrankRuehl" w:hAnsi="FrankRuehl" w:cs="FrankRuehl"/>
        <w:color w:val="000000"/>
      </w:rPr>
      <w:pict w14:anchorId="7E0BE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D2418" w14:textId="77777777" w:rsidR="00C03763" w:rsidRDefault="00C03763" w:rsidP="00A113C6">
      <w:r>
        <w:separator/>
      </w:r>
    </w:p>
  </w:footnote>
  <w:footnote w:type="continuationSeparator" w:id="0">
    <w:p w14:paraId="33DB6E15" w14:textId="77777777" w:rsidR="00C03763" w:rsidRDefault="00C03763" w:rsidP="00A11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B12B9" w14:textId="77777777" w:rsidR="00457DBE" w:rsidRPr="0008497A" w:rsidRDefault="0008497A" w:rsidP="000849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2230-06-18</w:t>
    </w:r>
    <w:r>
      <w:rPr>
        <w:rFonts w:ascii="David" w:hAnsi="David"/>
        <w:color w:val="000000"/>
        <w:sz w:val="22"/>
        <w:szCs w:val="22"/>
        <w:rtl/>
      </w:rPr>
      <w:tab/>
      <w:t xml:space="preserve"> מדינת ישראל נ' שחר סהלו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0E497" w14:textId="77777777" w:rsidR="00457DBE" w:rsidRPr="0008497A" w:rsidRDefault="0008497A" w:rsidP="000849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2230-06-18</w:t>
    </w:r>
    <w:r>
      <w:rPr>
        <w:rFonts w:ascii="David" w:hAnsi="David"/>
        <w:color w:val="000000"/>
        <w:sz w:val="22"/>
        <w:szCs w:val="22"/>
        <w:rtl/>
      </w:rPr>
      <w:tab/>
      <w:t xml:space="preserve"> מדינת ישראל נ' שחר סהלו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25561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0E92"/>
    <w:rsid w:val="00017D30"/>
    <w:rsid w:val="0008497A"/>
    <w:rsid w:val="001B5A3B"/>
    <w:rsid w:val="001D1397"/>
    <w:rsid w:val="001D60C3"/>
    <w:rsid w:val="002A772F"/>
    <w:rsid w:val="0043582E"/>
    <w:rsid w:val="00457DBE"/>
    <w:rsid w:val="004A0E92"/>
    <w:rsid w:val="005754B1"/>
    <w:rsid w:val="00885DB5"/>
    <w:rsid w:val="00943A51"/>
    <w:rsid w:val="00A113C6"/>
    <w:rsid w:val="00C03763"/>
    <w:rsid w:val="00CF2AF2"/>
    <w:rsid w:val="00DA6EDD"/>
    <w:rsid w:val="00EA7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3DA82E"/>
  <w15:chartTrackingRefBased/>
  <w15:docId w15:val="{D6C9D261-7279-46B6-9F99-C4B22C6D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E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0E92"/>
    <w:pPr>
      <w:tabs>
        <w:tab w:val="center" w:pos="4153"/>
        <w:tab w:val="right" w:pos="8306"/>
      </w:tabs>
    </w:pPr>
  </w:style>
  <w:style w:type="character" w:customStyle="1" w:styleId="a4">
    <w:name w:val="כותרת עליונה תו"/>
    <w:link w:val="a3"/>
    <w:rsid w:val="004A0E92"/>
    <w:rPr>
      <w:rFonts w:ascii="Times New Roman" w:eastAsia="Times New Roman" w:hAnsi="Times New Roman" w:cs="David"/>
      <w:sz w:val="24"/>
      <w:szCs w:val="24"/>
    </w:rPr>
  </w:style>
  <w:style w:type="paragraph" w:styleId="a5">
    <w:name w:val="footer"/>
    <w:basedOn w:val="a"/>
    <w:link w:val="a6"/>
    <w:rsid w:val="004A0E92"/>
    <w:pPr>
      <w:tabs>
        <w:tab w:val="center" w:pos="4153"/>
        <w:tab w:val="right" w:pos="8306"/>
      </w:tabs>
    </w:pPr>
  </w:style>
  <w:style w:type="character" w:customStyle="1" w:styleId="a6">
    <w:name w:val="כותרת תחתונה תו"/>
    <w:link w:val="a5"/>
    <w:rsid w:val="004A0E92"/>
    <w:rPr>
      <w:rFonts w:ascii="Times New Roman" w:eastAsia="Times New Roman" w:hAnsi="Times New Roman" w:cs="David"/>
      <w:sz w:val="24"/>
      <w:szCs w:val="24"/>
    </w:rPr>
  </w:style>
  <w:style w:type="table" w:styleId="a7">
    <w:name w:val="Table Grid"/>
    <w:basedOn w:val="a1"/>
    <w:rsid w:val="004A0E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0E92"/>
  </w:style>
  <w:style w:type="character" w:styleId="Hyperlink">
    <w:name w:val="Hyperlink"/>
    <w:rsid w:val="00457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6318040" TargetMode="External"/><Relationship Id="rId39" Type="http://schemas.openxmlformats.org/officeDocument/2006/relationships/theme" Target="theme/theme1.xml"/><Relationship Id="rId21" Type="http://schemas.openxmlformats.org/officeDocument/2006/relationships/hyperlink" Target="http://www.nevo.co.il/law/4216/21.a.3" TargetMode="External"/><Relationship Id="rId34" Type="http://schemas.openxmlformats.org/officeDocument/2006/relationships/header" Target="header1.xml"/><Relationship Id="rId7" Type="http://schemas.openxmlformats.org/officeDocument/2006/relationships/hyperlink" Target="http://www.nevo.co.il/case/24268042" TargetMode="External"/><Relationship Id="rId12" Type="http://schemas.openxmlformats.org/officeDocument/2006/relationships/hyperlink" Target="http://www.nevo.co.il/law/4216/21.a.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2368098"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5896323" TargetMode="External"/><Relationship Id="rId27" Type="http://schemas.openxmlformats.org/officeDocument/2006/relationships/hyperlink" Target="http://www.nevo.co.il/case/20321459"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10324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3145840</vt:i4>
      </vt:variant>
      <vt:variant>
        <vt:i4>63</vt:i4>
      </vt:variant>
      <vt:variant>
        <vt:i4>0</vt:i4>
      </vt:variant>
      <vt:variant>
        <vt:i4>5</vt:i4>
      </vt:variant>
      <vt:variant>
        <vt:lpwstr>http://www.nevo.co.il/case/22368098</vt:lpwstr>
      </vt:variant>
      <vt:variant>
        <vt:lpwstr/>
      </vt:variant>
      <vt:variant>
        <vt:i4>3473522</vt:i4>
      </vt:variant>
      <vt:variant>
        <vt:i4>60</vt:i4>
      </vt:variant>
      <vt:variant>
        <vt:i4>0</vt:i4>
      </vt:variant>
      <vt:variant>
        <vt:i4>5</vt:i4>
      </vt:variant>
      <vt:variant>
        <vt:lpwstr>http://www.nevo.co.il/case/20321459</vt:lpwstr>
      </vt:variant>
      <vt:variant>
        <vt:lpwstr/>
      </vt:variant>
      <vt:variant>
        <vt:i4>3997811</vt:i4>
      </vt:variant>
      <vt:variant>
        <vt:i4>57</vt:i4>
      </vt:variant>
      <vt:variant>
        <vt:i4>0</vt:i4>
      </vt:variant>
      <vt:variant>
        <vt:i4>5</vt:i4>
      </vt:variant>
      <vt:variant>
        <vt:lpwstr>http://www.nevo.co.il/case/26318040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3932280</vt:i4>
      </vt:variant>
      <vt:variant>
        <vt:i4>45</vt:i4>
      </vt:variant>
      <vt:variant>
        <vt:i4>0</vt:i4>
      </vt:variant>
      <vt:variant>
        <vt:i4>5</vt:i4>
      </vt:variant>
      <vt:variant>
        <vt:lpwstr>http://www.nevo.co.il/case/5896323</vt:lpwstr>
      </vt:variant>
      <vt:variant>
        <vt:lpwstr/>
      </vt:variant>
      <vt:variant>
        <vt:i4>4980762</vt:i4>
      </vt:variant>
      <vt:variant>
        <vt:i4>42</vt:i4>
      </vt:variant>
      <vt:variant>
        <vt:i4>0</vt:i4>
      </vt:variant>
      <vt:variant>
        <vt:i4>5</vt:i4>
      </vt:variant>
      <vt:variant>
        <vt:lpwstr>http://www.nevo.co.il/law/4216/21.a.3</vt:lpwstr>
      </vt:variant>
      <vt:variant>
        <vt:lpwstr/>
      </vt:variant>
      <vt:variant>
        <vt:i4>5177418</vt:i4>
      </vt:variant>
      <vt:variant>
        <vt:i4>39</vt:i4>
      </vt:variant>
      <vt:variant>
        <vt:i4>0</vt:i4>
      </vt:variant>
      <vt:variant>
        <vt:i4>5</vt:i4>
      </vt:variant>
      <vt:variant>
        <vt:lpwstr>http://www.nevo.co.il/law/4216/13</vt:lpwstr>
      </vt:variant>
      <vt:variant>
        <vt:lpwstr/>
      </vt:variant>
      <vt:variant>
        <vt:i4>5177418</vt:i4>
      </vt:variant>
      <vt:variant>
        <vt:i4>36</vt:i4>
      </vt:variant>
      <vt:variant>
        <vt:i4>0</vt:i4>
      </vt:variant>
      <vt:variant>
        <vt:i4>5</vt:i4>
      </vt:variant>
      <vt:variant>
        <vt:lpwstr>http://www.nevo.co.il/law/4216/13</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http://www.nevo.co.il/law/4216/21.a.3</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3932278</vt:i4>
      </vt:variant>
      <vt:variant>
        <vt:i4>0</vt:i4>
      </vt:variant>
      <vt:variant>
        <vt:i4>0</vt:i4>
      </vt:variant>
      <vt:variant>
        <vt:i4>5</vt:i4>
      </vt:variant>
      <vt:variant>
        <vt:lpwstr>http://www.nevo.co.il/case/24268042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2230</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שחר סהלו</vt:lpwstr>
  </property>
  <property fmtid="{D5CDD505-2E9C-101B-9397-08002B2CF9AE}" pid="10" name="LAWYER">
    <vt:lpwstr>שירן סיני;רמי זוכוביצקי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20210405</vt:lpwstr>
  </property>
  <property fmtid="{D5CDD505-2E9C-101B-9397-08002B2CF9AE}" pid="14" name="TYPE_N_DATE">
    <vt:lpwstr>38020210405</vt:lpwstr>
  </property>
  <property fmtid="{D5CDD505-2E9C-101B-9397-08002B2CF9AE}" pid="15" name="WORDNUMPAGES">
    <vt:lpwstr>6</vt:lpwstr>
  </property>
  <property fmtid="{D5CDD505-2E9C-101B-9397-08002B2CF9AE}" pid="16" name="TYPE_ABS_DATE">
    <vt:lpwstr>380020210405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24268042;5896323;23827604;26318040;20321459;22368098</vt:lpwstr>
  </property>
  <property fmtid="{D5CDD505-2E9C-101B-9397-08002B2CF9AE}" pid="36" name="LAWLISTTMP1">
    <vt:lpwstr>4216/007.a;007.c;013:3;021.a.3</vt:lpwstr>
  </property>
  <property fmtid="{D5CDD505-2E9C-101B-9397-08002B2CF9AE}" pid="37" name="LAWLISTTMP2">
    <vt:lpwstr>70301/040i;40ja</vt:lpwstr>
  </property>
</Properties>
</file>