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BF30F1" w:rsidRPr="00453AB7" w14:paraId="275281E1" w14:textId="77777777" w:rsidTr="00D171CE">
        <w:trPr>
          <w:trHeight w:hRule="exact" w:val="418"/>
          <w:jc w:val="center"/>
        </w:trPr>
        <w:tc>
          <w:tcPr>
            <w:tcW w:w="8721" w:type="dxa"/>
            <w:gridSpan w:val="2"/>
          </w:tcPr>
          <w:p w14:paraId="76D6BE61" w14:textId="77777777" w:rsidR="00BF30F1" w:rsidRPr="00453AB7" w:rsidRDefault="00BF30F1" w:rsidP="00111B64">
            <w:pPr>
              <w:pStyle w:val="a3"/>
              <w:jc w:val="center"/>
              <w:rPr>
                <w:rFonts w:ascii="FrankRuehl" w:hAnsi="FrankRuehl" w:cs="FrankRuehl"/>
                <w:b/>
                <w:bCs/>
                <w:color w:val="000080"/>
                <w:sz w:val="26"/>
                <w:szCs w:val="26"/>
                <w:rtl/>
              </w:rPr>
            </w:pPr>
            <w:bookmarkStart w:id="0" w:name="LastJudge"/>
            <w:r w:rsidRPr="00453AB7">
              <w:rPr>
                <w:rFonts w:ascii="FrankRuehl" w:hAnsi="FrankRuehl" w:cs="FrankRuehl"/>
                <w:b/>
                <w:bCs/>
                <w:color w:val="000080"/>
                <w:sz w:val="26"/>
                <w:szCs w:val="26"/>
                <w:rtl/>
              </w:rPr>
              <w:t>בית משפט השלום בירושלים</w:t>
            </w:r>
          </w:p>
        </w:tc>
      </w:tr>
      <w:tr w:rsidR="00BF30F1" w:rsidRPr="00453AB7" w14:paraId="07F23BA6" w14:textId="77777777" w:rsidTr="00D171CE">
        <w:trPr>
          <w:trHeight w:val="337"/>
          <w:jc w:val="center"/>
        </w:trPr>
        <w:tc>
          <w:tcPr>
            <w:tcW w:w="5060" w:type="dxa"/>
          </w:tcPr>
          <w:p w14:paraId="234D6B48" w14:textId="77777777" w:rsidR="00BF30F1" w:rsidRPr="00453AB7" w:rsidRDefault="00BF30F1" w:rsidP="00111B64">
            <w:pPr>
              <w:rPr>
                <w:rFonts w:ascii="FrankRuehl" w:hAnsi="FrankRuehl" w:cs="FrankRuehl"/>
                <w:b/>
                <w:bCs/>
                <w:sz w:val="26"/>
                <w:szCs w:val="26"/>
                <w:rtl/>
              </w:rPr>
            </w:pPr>
            <w:r w:rsidRPr="00453AB7">
              <w:rPr>
                <w:rFonts w:ascii="FrankRuehl" w:hAnsi="FrankRuehl" w:cs="FrankRuehl"/>
                <w:b/>
                <w:bCs/>
                <w:sz w:val="26"/>
                <w:szCs w:val="26"/>
                <w:rtl/>
              </w:rPr>
              <w:t xml:space="preserve">ת"פ </w:t>
            </w:r>
            <w:hyperlink r:id="rId7" w:history="1">
              <w:r w:rsidR="00CE39AF" w:rsidRPr="00CE39AF">
                <w:rPr>
                  <w:rFonts w:ascii="FrankRuehl" w:hAnsi="FrankRuehl" w:cs="FrankRuehl"/>
                  <w:b/>
                  <w:bCs/>
                  <w:color w:val="0000FF"/>
                  <w:sz w:val="26"/>
                  <w:szCs w:val="26"/>
                  <w:u w:val="single"/>
                  <w:rtl/>
                </w:rPr>
                <w:t xml:space="preserve">266-06-18 </w:t>
              </w:r>
            </w:hyperlink>
            <w:r w:rsidRPr="00453AB7">
              <w:rPr>
                <w:rFonts w:ascii="FrankRuehl" w:hAnsi="FrankRuehl" w:cs="FrankRuehl"/>
                <w:b/>
                <w:bCs/>
                <w:sz w:val="26"/>
                <w:szCs w:val="26"/>
                <w:rtl/>
              </w:rPr>
              <w:t xml:space="preserve"> מדינת ישראל נ' קפלן(אחר/נוסף)</w:t>
            </w:r>
          </w:p>
          <w:p w14:paraId="6C197B20" w14:textId="77777777" w:rsidR="00BF30F1" w:rsidRPr="00453AB7" w:rsidRDefault="00BF30F1" w:rsidP="00111B64">
            <w:pPr>
              <w:pStyle w:val="a3"/>
              <w:rPr>
                <w:rFonts w:ascii="FrankRuehl" w:hAnsi="FrankRuehl" w:cs="FrankRuehl"/>
                <w:b/>
                <w:bCs/>
                <w:sz w:val="26"/>
                <w:szCs w:val="26"/>
                <w:rtl/>
              </w:rPr>
            </w:pPr>
          </w:p>
        </w:tc>
        <w:tc>
          <w:tcPr>
            <w:tcW w:w="3661" w:type="dxa"/>
          </w:tcPr>
          <w:p w14:paraId="28956FE4" w14:textId="77777777" w:rsidR="00BF30F1" w:rsidRPr="00453AB7" w:rsidRDefault="00BF30F1" w:rsidP="00111B64">
            <w:pPr>
              <w:pStyle w:val="a3"/>
              <w:jc w:val="right"/>
              <w:rPr>
                <w:rFonts w:ascii="FrankRuehl" w:hAnsi="FrankRuehl" w:cs="FrankRuehl"/>
                <w:b/>
                <w:bCs/>
                <w:sz w:val="26"/>
                <w:szCs w:val="26"/>
                <w:rtl/>
              </w:rPr>
            </w:pPr>
          </w:p>
        </w:tc>
      </w:tr>
    </w:tbl>
    <w:p w14:paraId="72E6FD28" w14:textId="77777777" w:rsidR="00BF30F1" w:rsidRPr="00453AB7" w:rsidRDefault="00BF30F1" w:rsidP="00BF30F1">
      <w:pPr>
        <w:pStyle w:val="a3"/>
        <w:rPr>
          <w:rFonts w:ascii="FrankRuehl" w:hAnsi="FrankRuehl" w:cs="FrankRuehl"/>
          <w:b/>
          <w:bCs/>
          <w:sz w:val="26"/>
          <w:szCs w:val="26"/>
          <w:rtl/>
        </w:rPr>
      </w:pPr>
      <w:r w:rsidRPr="00453AB7">
        <w:rPr>
          <w:rFonts w:ascii="FrankRuehl" w:hAnsi="FrankRuehl" w:cs="FrankRuehl"/>
          <w:b/>
          <w:bCs/>
          <w:sz w:val="26"/>
          <w:szCs w:val="26"/>
          <w:rtl/>
        </w:rPr>
        <w:t xml:space="preserve"> </w:t>
      </w:r>
    </w:p>
    <w:p w14:paraId="228AEE08" w14:textId="77777777" w:rsidR="00BF30F1" w:rsidRPr="00453AB7" w:rsidRDefault="00BF30F1" w:rsidP="00BF30F1">
      <w:pPr>
        <w:rPr>
          <w:rtl/>
        </w:rPr>
      </w:pPr>
    </w:p>
    <w:p w14:paraId="46DA5E2E" w14:textId="77777777" w:rsidR="00BF30F1" w:rsidRPr="00453AB7" w:rsidRDefault="00BF30F1" w:rsidP="00BF30F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626"/>
        <w:gridCol w:w="2271"/>
      </w:tblGrid>
      <w:tr w:rsidR="00BF30F1" w:rsidRPr="00453AB7" w14:paraId="478DB97C" w14:textId="77777777" w:rsidTr="00BF30F1">
        <w:trPr>
          <w:trHeight w:val="295"/>
          <w:jc w:val="center"/>
        </w:trPr>
        <w:tc>
          <w:tcPr>
            <w:tcW w:w="923" w:type="dxa"/>
            <w:tcBorders>
              <w:top w:val="nil"/>
              <w:left w:val="nil"/>
              <w:bottom w:val="nil"/>
              <w:right w:val="nil"/>
            </w:tcBorders>
            <w:shd w:val="clear" w:color="auto" w:fill="auto"/>
          </w:tcPr>
          <w:p w14:paraId="425BEA2B" w14:textId="77777777" w:rsidR="00BF30F1" w:rsidRPr="00453AB7" w:rsidRDefault="00BF30F1" w:rsidP="00BF30F1">
            <w:pPr>
              <w:jc w:val="both"/>
              <w:rPr>
                <w:rFonts w:ascii="FrankRuehl" w:hAnsi="FrankRuehl" w:cs="FrankRuehl"/>
                <w:b/>
                <w:bCs/>
                <w:sz w:val="28"/>
                <w:szCs w:val="28"/>
              </w:rPr>
            </w:pPr>
            <w:r w:rsidRPr="00453AB7">
              <w:rPr>
                <w:rFonts w:ascii="FrankRuehl" w:hAnsi="FrankRuehl" w:cs="FrankRuehl"/>
                <w:b/>
                <w:bCs/>
                <w:sz w:val="28"/>
                <w:szCs w:val="28"/>
                <w:rtl/>
              </w:rPr>
              <w:t xml:space="preserve">בפני </w:t>
            </w:r>
          </w:p>
        </w:tc>
        <w:tc>
          <w:tcPr>
            <w:tcW w:w="7897" w:type="dxa"/>
            <w:gridSpan w:val="2"/>
            <w:tcBorders>
              <w:top w:val="nil"/>
              <w:left w:val="nil"/>
              <w:bottom w:val="nil"/>
              <w:right w:val="nil"/>
            </w:tcBorders>
            <w:shd w:val="clear" w:color="auto" w:fill="auto"/>
          </w:tcPr>
          <w:p w14:paraId="5B335D32" w14:textId="77777777" w:rsidR="00BF30F1" w:rsidRPr="00453AB7" w:rsidRDefault="00BF30F1" w:rsidP="00111B64">
            <w:pPr>
              <w:rPr>
                <w:rFonts w:ascii="FrankRuehl" w:hAnsi="FrankRuehl" w:cs="FrankRuehl"/>
                <w:b/>
                <w:bCs/>
                <w:sz w:val="28"/>
                <w:szCs w:val="28"/>
                <w:rtl/>
              </w:rPr>
            </w:pPr>
            <w:r w:rsidRPr="00453AB7">
              <w:rPr>
                <w:rFonts w:ascii="FrankRuehl" w:hAnsi="FrankRuehl" w:cs="FrankRuehl"/>
                <w:b/>
                <w:bCs/>
                <w:sz w:val="28"/>
                <w:szCs w:val="28"/>
                <w:rtl/>
              </w:rPr>
              <w:t>כבוד השופט  דוד שאול גבאי ריכטר</w:t>
            </w:r>
          </w:p>
          <w:p w14:paraId="5C8B1E61" w14:textId="77777777" w:rsidR="00BF30F1" w:rsidRPr="00453AB7" w:rsidRDefault="00BF30F1" w:rsidP="00111B64">
            <w:pPr>
              <w:rPr>
                <w:rFonts w:ascii="FrankRuehl" w:hAnsi="FrankRuehl" w:cs="FrankRuehl"/>
                <w:b/>
                <w:bCs/>
                <w:sz w:val="28"/>
                <w:szCs w:val="28"/>
                <w:rtl/>
              </w:rPr>
            </w:pPr>
          </w:p>
          <w:p w14:paraId="6019598F" w14:textId="77777777" w:rsidR="00BF30F1" w:rsidRPr="00453AB7" w:rsidRDefault="00BF30F1" w:rsidP="00BF30F1">
            <w:pPr>
              <w:jc w:val="both"/>
              <w:rPr>
                <w:rFonts w:ascii="FrankRuehl" w:hAnsi="FrankRuehl" w:cs="FrankRuehl"/>
                <w:b/>
                <w:bCs/>
                <w:sz w:val="28"/>
                <w:szCs w:val="28"/>
              </w:rPr>
            </w:pPr>
          </w:p>
        </w:tc>
      </w:tr>
      <w:tr w:rsidR="00BF30F1" w:rsidRPr="00453AB7" w14:paraId="5DE8CC03" w14:textId="77777777" w:rsidTr="00BF30F1">
        <w:trPr>
          <w:trHeight w:val="355"/>
          <w:jc w:val="center"/>
        </w:trPr>
        <w:tc>
          <w:tcPr>
            <w:tcW w:w="923" w:type="dxa"/>
            <w:tcBorders>
              <w:top w:val="nil"/>
              <w:left w:val="nil"/>
              <w:bottom w:val="nil"/>
              <w:right w:val="nil"/>
            </w:tcBorders>
            <w:shd w:val="clear" w:color="auto" w:fill="auto"/>
          </w:tcPr>
          <w:p w14:paraId="2311B186" w14:textId="77777777" w:rsidR="00BF30F1" w:rsidRPr="00453AB7" w:rsidRDefault="00BF30F1" w:rsidP="00BF30F1">
            <w:pPr>
              <w:jc w:val="both"/>
              <w:rPr>
                <w:rFonts w:ascii="FrankRuehl" w:hAnsi="FrankRuehl" w:cs="FrankRuehl"/>
                <w:b/>
                <w:bCs/>
                <w:sz w:val="28"/>
                <w:szCs w:val="28"/>
              </w:rPr>
            </w:pPr>
            <w:bookmarkStart w:id="1" w:name="FirstAppellant"/>
            <w:r w:rsidRPr="00453AB7">
              <w:rPr>
                <w:rFonts w:ascii="FrankRuehl" w:hAnsi="FrankRuehl" w:cs="FrankRuehl"/>
                <w:b/>
                <w:bCs/>
                <w:sz w:val="28"/>
                <w:szCs w:val="28"/>
                <w:rtl/>
              </w:rPr>
              <w:t>בעניין:</w:t>
            </w:r>
          </w:p>
        </w:tc>
        <w:tc>
          <w:tcPr>
            <w:tcW w:w="5626" w:type="dxa"/>
            <w:tcBorders>
              <w:top w:val="nil"/>
              <w:left w:val="nil"/>
              <w:bottom w:val="nil"/>
              <w:right w:val="nil"/>
            </w:tcBorders>
            <w:shd w:val="clear" w:color="auto" w:fill="auto"/>
          </w:tcPr>
          <w:p w14:paraId="78D43599" w14:textId="77777777" w:rsidR="00BF30F1" w:rsidRPr="00453AB7" w:rsidRDefault="00BF30F1" w:rsidP="00111B64">
            <w:pPr>
              <w:rPr>
                <w:rFonts w:ascii="FrankRuehl" w:hAnsi="FrankRuehl" w:cs="FrankRuehl"/>
                <w:b/>
                <w:bCs/>
                <w:sz w:val="28"/>
                <w:szCs w:val="28"/>
              </w:rPr>
            </w:pPr>
            <w:r w:rsidRPr="00453AB7">
              <w:rPr>
                <w:rFonts w:ascii="FrankRuehl" w:hAnsi="FrankRuehl" w:cs="FrankRuehl"/>
                <w:b/>
                <w:bCs/>
                <w:sz w:val="28"/>
                <w:szCs w:val="28"/>
                <w:rtl/>
              </w:rPr>
              <w:t>מדינת ישראל</w:t>
            </w:r>
          </w:p>
        </w:tc>
        <w:tc>
          <w:tcPr>
            <w:tcW w:w="2271" w:type="dxa"/>
            <w:tcBorders>
              <w:top w:val="nil"/>
              <w:left w:val="nil"/>
              <w:bottom w:val="nil"/>
              <w:right w:val="nil"/>
            </w:tcBorders>
            <w:shd w:val="clear" w:color="auto" w:fill="auto"/>
          </w:tcPr>
          <w:p w14:paraId="00191936" w14:textId="77777777" w:rsidR="00BF30F1" w:rsidRPr="00453AB7" w:rsidRDefault="00BF30F1" w:rsidP="00BF30F1">
            <w:pPr>
              <w:jc w:val="both"/>
              <w:rPr>
                <w:rFonts w:ascii="FrankRuehl" w:hAnsi="FrankRuehl" w:cs="FrankRuehl"/>
                <w:b/>
                <w:bCs/>
                <w:sz w:val="28"/>
                <w:szCs w:val="28"/>
              </w:rPr>
            </w:pPr>
          </w:p>
        </w:tc>
      </w:tr>
      <w:tr w:rsidR="00BF30F1" w:rsidRPr="00453AB7" w14:paraId="424ABB80" w14:textId="77777777" w:rsidTr="00BF30F1">
        <w:trPr>
          <w:trHeight w:val="355"/>
          <w:jc w:val="center"/>
        </w:trPr>
        <w:tc>
          <w:tcPr>
            <w:tcW w:w="923" w:type="dxa"/>
            <w:tcBorders>
              <w:top w:val="nil"/>
              <w:left w:val="nil"/>
              <w:bottom w:val="nil"/>
              <w:right w:val="nil"/>
            </w:tcBorders>
            <w:shd w:val="clear" w:color="auto" w:fill="auto"/>
          </w:tcPr>
          <w:p w14:paraId="46E76D0D" w14:textId="77777777" w:rsidR="00BF30F1" w:rsidRPr="00453AB7" w:rsidRDefault="00BF30F1" w:rsidP="00BF30F1">
            <w:pPr>
              <w:jc w:val="both"/>
              <w:rPr>
                <w:rFonts w:ascii="FrankRuehl" w:hAnsi="FrankRuehl" w:cs="FrankRuehl"/>
                <w:b/>
                <w:bCs/>
                <w:sz w:val="28"/>
                <w:szCs w:val="28"/>
                <w:rtl/>
              </w:rPr>
            </w:pPr>
            <w:bookmarkStart w:id="2" w:name="FirstLawyer"/>
            <w:bookmarkEnd w:id="1"/>
          </w:p>
        </w:tc>
        <w:tc>
          <w:tcPr>
            <w:tcW w:w="5626" w:type="dxa"/>
            <w:tcBorders>
              <w:top w:val="nil"/>
              <w:left w:val="nil"/>
              <w:bottom w:val="nil"/>
              <w:right w:val="nil"/>
            </w:tcBorders>
            <w:shd w:val="clear" w:color="auto" w:fill="auto"/>
          </w:tcPr>
          <w:p w14:paraId="374F6AA8" w14:textId="77777777" w:rsidR="00BF30F1" w:rsidRPr="00453AB7" w:rsidRDefault="00BF30F1" w:rsidP="00BF30F1">
            <w:pPr>
              <w:jc w:val="both"/>
              <w:rPr>
                <w:rFonts w:ascii="FrankRuehl" w:hAnsi="FrankRuehl" w:cs="FrankRuehl"/>
                <w:b/>
                <w:bCs/>
                <w:sz w:val="28"/>
                <w:szCs w:val="28"/>
                <w:rtl/>
              </w:rPr>
            </w:pPr>
            <w:r w:rsidRPr="00453AB7">
              <w:rPr>
                <w:rFonts w:ascii="FrankRuehl" w:hAnsi="FrankRuehl" w:cs="FrankRuehl" w:hint="cs"/>
                <w:b/>
                <w:bCs/>
                <w:sz w:val="28"/>
                <w:szCs w:val="28"/>
                <w:rtl/>
              </w:rPr>
              <w:t>ע"י ב"כ עו"ד מאיר לוברבאום מתביעות ירושלים</w:t>
            </w:r>
          </w:p>
        </w:tc>
        <w:tc>
          <w:tcPr>
            <w:tcW w:w="2271" w:type="dxa"/>
            <w:tcBorders>
              <w:top w:val="nil"/>
              <w:left w:val="nil"/>
              <w:bottom w:val="nil"/>
              <w:right w:val="nil"/>
            </w:tcBorders>
            <w:shd w:val="clear" w:color="auto" w:fill="auto"/>
          </w:tcPr>
          <w:p w14:paraId="7CBB8E30" w14:textId="77777777" w:rsidR="00BF30F1" w:rsidRPr="00453AB7" w:rsidRDefault="00BF30F1" w:rsidP="00BF30F1">
            <w:pPr>
              <w:jc w:val="right"/>
              <w:rPr>
                <w:rFonts w:ascii="FrankRuehl" w:hAnsi="FrankRuehl" w:cs="FrankRuehl"/>
                <w:b/>
                <w:bCs/>
                <w:sz w:val="28"/>
                <w:szCs w:val="28"/>
                <w:rtl/>
              </w:rPr>
            </w:pPr>
            <w:r w:rsidRPr="00453AB7">
              <w:rPr>
                <w:rFonts w:ascii="FrankRuehl" w:hAnsi="FrankRuehl" w:cs="FrankRuehl"/>
                <w:b/>
                <w:bCs/>
                <w:sz w:val="28"/>
                <w:szCs w:val="28"/>
                <w:rtl/>
              </w:rPr>
              <w:t>המאשימה</w:t>
            </w:r>
          </w:p>
        </w:tc>
      </w:tr>
      <w:bookmarkEnd w:id="2"/>
      <w:tr w:rsidR="00BF30F1" w:rsidRPr="00453AB7" w14:paraId="3298983B" w14:textId="77777777" w:rsidTr="00BF30F1">
        <w:trPr>
          <w:trHeight w:val="355"/>
          <w:jc w:val="center"/>
        </w:trPr>
        <w:tc>
          <w:tcPr>
            <w:tcW w:w="923" w:type="dxa"/>
            <w:tcBorders>
              <w:top w:val="nil"/>
              <w:left w:val="nil"/>
              <w:bottom w:val="nil"/>
              <w:right w:val="nil"/>
            </w:tcBorders>
            <w:shd w:val="clear" w:color="auto" w:fill="auto"/>
          </w:tcPr>
          <w:p w14:paraId="48080547" w14:textId="77777777" w:rsidR="00BF30F1" w:rsidRPr="00453AB7" w:rsidRDefault="00BF30F1" w:rsidP="00BF30F1">
            <w:pPr>
              <w:jc w:val="both"/>
              <w:rPr>
                <w:rFonts w:ascii="FrankRuehl" w:hAnsi="FrankRuehl" w:cs="FrankRuehl"/>
                <w:b/>
                <w:bCs/>
                <w:sz w:val="28"/>
                <w:szCs w:val="28"/>
                <w:rtl/>
              </w:rPr>
            </w:pPr>
          </w:p>
        </w:tc>
        <w:tc>
          <w:tcPr>
            <w:tcW w:w="7897" w:type="dxa"/>
            <w:gridSpan w:val="2"/>
            <w:tcBorders>
              <w:top w:val="nil"/>
              <w:left w:val="nil"/>
              <w:bottom w:val="nil"/>
              <w:right w:val="nil"/>
            </w:tcBorders>
            <w:shd w:val="clear" w:color="auto" w:fill="auto"/>
          </w:tcPr>
          <w:p w14:paraId="76BF3E38" w14:textId="77777777" w:rsidR="00BF30F1" w:rsidRPr="00453AB7" w:rsidRDefault="00BF30F1" w:rsidP="00BF30F1">
            <w:pPr>
              <w:jc w:val="center"/>
              <w:rPr>
                <w:rFonts w:ascii="FrankRuehl" w:hAnsi="FrankRuehl" w:cs="FrankRuehl"/>
                <w:b/>
                <w:bCs/>
                <w:sz w:val="28"/>
                <w:szCs w:val="28"/>
                <w:rtl/>
              </w:rPr>
            </w:pPr>
          </w:p>
          <w:p w14:paraId="21C2EAD9" w14:textId="77777777" w:rsidR="00BF30F1" w:rsidRPr="00453AB7" w:rsidRDefault="00BF30F1" w:rsidP="00BF30F1">
            <w:pPr>
              <w:jc w:val="center"/>
              <w:rPr>
                <w:rFonts w:ascii="FrankRuehl" w:hAnsi="FrankRuehl" w:cs="FrankRuehl"/>
                <w:b/>
                <w:bCs/>
                <w:sz w:val="28"/>
                <w:szCs w:val="28"/>
                <w:rtl/>
              </w:rPr>
            </w:pPr>
            <w:r w:rsidRPr="00453AB7">
              <w:rPr>
                <w:rFonts w:ascii="FrankRuehl" w:hAnsi="FrankRuehl" w:cs="FrankRuehl"/>
                <w:b/>
                <w:bCs/>
                <w:sz w:val="28"/>
                <w:szCs w:val="28"/>
                <w:rtl/>
              </w:rPr>
              <w:t>נגד</w:t>
            </w:r>
          </w:p>
          <w:p w14:paraId="4DB84E17" w14:textId="77777777" w:rsidR="00BF30F1" w:rsidRPr="00453AB7" w:rsidRDefault="00BF30F1" w:rsidP="00BF30F1">
            <w:pPr>
              <w:jc w:val="both"/>
              <w:rPr>
                <w:rFonts w:ascii="FrankRuehl" w:hAnsi="FrankRuehl" w:cs="FrankRuehl"/>
                <w:b/>
                <w:bCs/>
                <w:sz w:val="28"/>
                <w:szCs w:val="28"/>
              </w:rPr>
            </w:pPr>
          </w:p>
        </w:tc>
      </w:tr>
      <w:tr w:rsidR="00BF30F1" w:rsidRPr="00453AB7" w14:paraId="75E2F383" w14:textId="77777777" w:rsidTr="00BF30F1">
        <w:trPr>
          <w:trHeight w:val="355"/>
          <w:jc w:val="center"/>
        </w:trPr>
        <w:tc>
          <w:tcPr>
            <w:tcW w:w="923" w:type="dxa"/>
            <w:tcBorders>
              <w:top w:val="nil"/>
              <w:left w:val="nil"/>
              <w:bottom w:val="nil"/>
              <w:right w:val="nil"/>
            </w:tcBorders>
            <w:shd w:val="clear" w:color="auto" w:fill="auto"/>
          </w:tcPr>
          <w:p w14:paraId="2314DB0A" w14:textId="77777777" w:rsidR="00BF30F1" w:rsidRPr="00453AB7" w:rsidRDefault="00BF30F1" w:rsidP="00111B64">
            <w:pPr>
              <w:rPr>
                <w:rFonts w:ascii="FrankRuehl" w:hAnsi="FrankRuehl" w:cs="FrankRuehl"/>
                <w:b/>
                <w:bCs/>
                <w:sz w:val="28"/>
                <w:szCs w:val="28"/>
                <w:rtl/>
              </w:rPr>
            </w:pPr>
          </w:p>
        </w:tc>
        <w:tc>
          <w:tcPr>
            <w:tcW w:w="5626" w:type="dxa"/>
            <w:tcBorders>
              <w:top w:val="nil"/>
              <w:left w:val="nil"/>
              <w:bottom w:val="nil"/>
              <w:right w:val="nil"/>
            </w:tcBorders>
            <w:shd w:val="clear" w:color="auto" w:fill="auto"/>
          </w:tcPr>
          <w:p w14:paraId="7223CCAC" w14:textId="77777777" w:rsidR="00BF30F1" w:rsidRPr="00453AB7" w:rsidRDefault="00BF30F1" w:rsidP="00111B64">
            <w:pPr>
              <w:rPr>
                <w:rFonts w:ascii="FrankRuehl" w:hAnsi="FrankRuehl" w:cs="FrankRuehl"/>
                <w:b/>
                <w:bCs/>
                <w:sz w:val="28"/>
                <w:szCs w:val="28"/>
                <w:rtl/>
              </w:rPr>
            </w:pPr>
            <w:r w:rsidRPr="00453AB7">
              <w:rPr>
                <w:rFonts w:ascii="FrankRuehl" w:hAnsi="FrankRuehl" w:cs="FrankRuehl"/>
                <w:b/>
                <w:bCs/>
                <w:sz w:val="28"/>
                <w:szCs w:val="28"/>
                <w:rtl/>
              </w:rPr>
              <w:t>יעקב קפלן</w:t>
            </w:r>
            <w:r w:rsidRPr="00453AB7">
              <w:rPr>
                <w:rFonts w:ascii="FrankRuehl" w:hAnsi="FrankRuehl" w:cs="FrankRuehl"/>
                <w:b/>
                <w:bCs/>
                <w:sz w:val="28"/>
                <w:szCs w:val="28"/>
                <w:rtl/>
              </w:rPr>
              <w:br/>
            </w:r>
            <w:r w:rsidRPr="00453AB7">
              <w:rPr>
                <w:rFonts w:ascii="FrankRuehl" w:hAnsi="FrankRuehl" w:cs="FrankRuehl" w:hint="cs"/>
                <w:b/>
                <w:bCs/>
                <w:sz w:val="28"/>
                <w:szCs w:val="28"/>
                <w:rtl/>
              </w:rPr>
              <w:t>ע"י ב"כ עו"ד חן הולנדר</w:t>
            </w:r>
          </w:p>
        </w:tc>
        <w:tc>
          <w:tcPr>
            <w:tcW w:w="2271" w:type="dxa"/>
            <w:tcBorders>
              <w:top w:val="nil"/>
              <w:left w:val="nil"/>
              <w:bottom w:val="nil"/>
              <w:right w:val="nil"/>
            </w:tcBorders>
            <w:shd w:val="clear" w:color="auto" w:fill="auto"/>
          </w:tcPr>
          <w:p w14:paraId="626FCB9B" w14:textId="77777777" w:rsidR="00BF30F1" w:rsidRPr="00453AB7" w:rsidRDefault="00BF30F1" w:rsidP="00BF30F1">
            <w:pPr>
              <w:jc w:val="right"/>
              <w:rPr>
                <w:rFonts w:ascii="FrankRuehl" w:hAnsi="FrankRuehl" w:cs="FrankRuehl"/>
                <w:b/>
                <w:bCs/>
                <w:sz w:val="28"/>
                <w:szCs w:val="28"/>
              </w:rPr>
            </w:pPr>
          </w:p>
        </w:tc>
      </w:tr>
      <w:tr w:rsidR="00BF30F1" w:rsidRPr="00453AB7" w14:paraId="352F3DE9" w14:textId="77777777" w:rsidTr="00BF30F1">
        <w:trPr>
          <w:trHeight w:val="355"/>
          <w:jc w:val="center"/>
        </w:trPr>
        <w:tc>
          <w:tcPr>
            <w:tcW w:w="923" w:type="dxa"/>
            <w:tcBorders>
              <w:top w:val="nil"/>
              <w:left w:val="nil"/>
              <w:bottom w:val="nil"/>
              <w:right w:val="nil"/>
            </w:tcBorders>
            <w:shd w:val="clear" w:color="auto" w:fill="auto"/>
          </w:tcPr>
          <w:p w14:paraId="1EA4F29C" w14:textId="77777777" w:rsidR="00BF30F1" w:rsidRPr="00453AB7" w:rsidRDefault="00BF30F1" w:rsidP="00BF30F1">
            <w:pPr>
              <w:jc w:val="both"/>
              <w:rPr>
                <w:rFonts w:ascii="FrankRuehl" w:hAnsi="FrankRuehl" w:cs="FrankRuehl"/>
                <w:b/>
                <w:bCs/>
                <w:sz w:val="28"/>
                <w:szCs w:val="28"/>
                <w:rtl/>
              </w:rPr>
            </w:pPr>
          </w:p>
        </w:tc>
        <w:tc>
          <w:tcPr>
            <w:tcW w:w="5626" w:type="dxa"/>
            <w:tcBorders>
              <w:top w:val="nil"/>
              <w:left w:val="nil"/>
              <w:bottom w:val="nil"/>
              <w:right w:val="nil"/>
            </w:tcBorders>
            <w:shd w:val="clear" w:color="auto" w:fill="auto"/>
          </w:tcPr>
          <w:p w14:paraId="38FC14A0" w14:textId="77777777" w:rsidR="00BF30F1" w:rsidRPr="00453AB7" w:rsidRDefault="00BF30F1" w:rsidP="00BF30F1">
            <w:pPr>
              <w:jc w:val="both"/>
              <w:rPr>
                <w:rFonts w:ascii="FrankRuehl" w:hAnsi="FrankRuehl" w:cs="FrankRuehl"/>
                <w:b/>
                <w:bCs/>
                <w:sz w:val="28"/>
                <w:szCs w:val="28"/>
                <w:rtl/>
              </w:rPr>
            </w:pPr>
          </w:p>
        </w:tc>
        <w:tc>
          <w:tcPr>
            <w:tcW w:w="2271" w:type="dxa"/>
            <w:tcBorders>
              <w:top w:val="nil"/>
              <w:left w:val="nil"/>
              <w:bottom w:val="nil"/>
              <w:right w:val="nil"/>
            </w:tcBorders>
            <w:shd w:val="clear" w:color="auto" w:fill="auto"/>
          </w:tcPr>
          <w:p w14:paraId="39B022AE" w14:textId="77777777" w:rsidR="00BF30F1" w:rsidRPr="00453AB7" w:rsidRDefault="00BF30F1" w:rsidP="00BF30F1">
            <w:pPr>
              <w:jc w:val="right"/>
              <w:rPr>
                <w:rFonts w:ascii="FrankRuehl" w:hAnsi="FrankRuehl" w:cs="FrankRuehl"/>
                <w:b/>
                <w:bCs/>
                <w:sz w:val="28"/>
                <w:szCs w:val="28"/>
              </w:rPr>
            </w:pPr>
            <w:r w:rsidRPr="00453AB7">
              <w:rPr>
                <w:rFonts w:ascii="FrankRuehl" w:hAnsi="FrankRuehl" w:cs="FrankRuehl"/>
                <w:b/>
                <w:bCs/>
                <w:sz w:val="28"/>
                <w:szCs w:val="28"/>
                <w:rtl/>
              </w:rPr>
              <w:t>הנאשם</w:t>
            </w:r>
          </w:p>
        </w:tc>
      </w:tr>
    </w:tbl>
    <w:p w14:paraId="7066DF2B" w14:textId="77777777" w:rsidR="00D171CE" w:rsidRDefault="00D171CE" w:rsidP="00453AB7">
      <w:pPr>
        <w:rPr>
          <w:rtl/>
        </w:rPr>
      </w:pPr>
    </w:p>
    <w:p w14:paraId="358C786C" w14:textId="77777777" w:rsidR="00D171CE" w:rsidRPr="00D171CE" w:rsidRDefault="00D171CE" w:rsidP="00D171CE">
      <w:pPr>
        <w:spacing w:after="120" w:line="240" w:lineRule="exact"/>
        <w:ind w:left="283" w:hanging="283"/>
        <w:jc w:val="both"/>
        <w:rPr>
          <w:rFonts w:ascii="FrankRuehl" w:hAnsi="FrankRuehl" w:cs="FrankRuehl"/>
          <w:rtl/>
        </w:rPr>
      </w:pPr>
    </w:p>
    <w:p w14:paraId="68F48E30" w14:textId="77777777" w:rsidR="00CE39AF" w:rsidRPr="00CE39AF" w:rsidRDefault="00CE39AF" w:rsidP="00CE39AF">
      <w:pPr>
        <w:spacing w:before="120" w:after="120" w:line="240" w:lineRule="exact"/>
        <w:ind w:left="283" w:hanging="283"/>
        <w:jc w:val="both"/>
        <w:rPr>
          <w:rFonts w:ascii="FrankRuehl" w:hAnsi="FrankRuehl" w:cs="FrankRuehl"/>
          <w:rtl/>
        </w:rPr>
      </w:pPr>
    </w:p>
    <w:p w14:paraId="08FFC82B" w14:textId="77777777" w:rsidR="000A79AD" w:rsidRDefault="000A79AD" w:rsidP="000A79AD">
      <w:pPr>
        <w:rPr>
          <w:rtl/>
        </w:rPr>
      </w:pPr>
      <w:bookmarkStart w:id="3" w:name="LawTable"/>
      <w:bookmarkEnd w:id="3"/>
    </w:p>
    <w:p w14:paraId="57AECF58" w14:textId="77777777" w:rsidR="000A79AD" w:rsidRPr="000A79AD" w:rsidRDefault="000A79AD" w:rsidP="000A79AD">
      <w:pPr>
        <w:spacing w:before="120" w:after="120" w:line="240" w:lineRule="exact"/>
        <w:ind w:left="283" w:hanging="283"/>
        <w:jc w:val="both"/>
        <w:rPr>
          <w:rFonts w:ascii="FrankRuehl" w:hAnsi="FrankRuehl" w:cs="FrankRuehl"/>
          <w:rtl/>
        </w:rPr>
      </w:pPr>
    </w:p>
    <w:p w14:paraId="685545DF" w14:textId="77777777" w:rsidR="000A79AD" w:rsidRPr="000A79AD" w:rsidRDefault="000A79AD" w:rsidP="000A79AD">
      <w:pPr>
        <w:spacing w:before="120" w:after="120" w:line="240" w:lineRule="exact"/>
        <w:ind w:left="283" w:hanging="283"/>
        <w:jc w:val="both"/>
        <w:rPr>
          <w:rFonts w:ascii="FrankRuehl" w:hAnsi="FrankRuehl" w:cs="FrankRuehl"/>
          <w:rtl/>
        </w:rPr>
      </w:pPr>
    </w:p>
    <w:p w14:paraId="2A667339" w14:textId="77777777" w:rsidR="000A79AD" w:rsidRPr="000A79AD" w:rsidRDefault="000A79AD" w:rsidP="000A79AD">
      <w:pPr>
        <w:spacing w:before="120" w:after="120" w:line="240" w:lineRule="exact"/>
        <w:ind w:left="283" w:hanging="283"/>
        <w:jc w:val="both"/>
        <w:rPr>
          <w:rFonts w:ascii="FrankRuehl" w:hAnsi="FrankRuehl" w:cs="FrankRuehl"/>
          <w:rtl/>
        </w:rPr>
      </w:pPr>
      <w:r w:rsidRPr="000A79AD">
        <w:rPr>
          <w:rFonts w:ascii="FrankRuehl" w:hAnsi="FrankRuehl" w:cs="FrankRuehl"/>
          <w:rtl/>
        </w:rPr>
        <w:t xml:space="preserve">חקיקה שאוזכרה: </w:t>
      </w:r>
    </w:p>
    <w:p w14:paraId="375F2B2C" w14:textId="77777777" w:rsidR="000A79AD" w:rsidRPr="000A79AD" w:rsidRDefault="000A79AD" w:rsidP="000A79AD">
      <w:pPr>
        <w:spacing w:before="120" w:after="120" w:line="240" w:lineRule="exact"/>
        <w:ind w:left="283" w:hanging="283"/>
        <w:jc w:val="both"/>
        <w:rPr>
          <w:rFonts w:ascii="FrankRuehl" w:hAnsi="FrankRuehl" w:cs="FrankRuehl"/>
          <w:rtl/>
        </w:rPr>
      </w:pPr>
      <w:hyperlink r:id="rId8" w:history="1">
        <w:r w:rsidRPr="000A79AD">
          <w:rPr>
            <w:rFonts w:ascii="FrankRuehl" w:hAnsi="FrankRuehl" w:cs="FrankRuehl"/>
            <w:color w:val="0000FF"/>
            <w:rtl/>
          </w:rPr>
          <w:t>פקודת הסמים המסוכנים [נוסח חדש], תשל"ג-1973</w:t>
        </w:r>
      </w:hyperlink>
      <w:r w:rsidRPr="000A79AD">
        <w:rPr>
          <w:rFonts w:ascii="FrankRuehl" w:hAnsi="FrankRuehl" w:cs="FrankRuehl"/>
          <w:rtl/>
        </w:rPr>
        <w:t xml:space="preserve">: סע'  </w:t>
      </w:r>
      <w:hyperlink r:id="rId9" w:history="1">
        <w:r w:rsidRPr="000A79AD">
          <w:rPr>
            <w:rFonts w:ascii="FrankRuehl" w:hAnsi="FrankRuehl" w:cs="FrankRuehl"/>
            <w:color w:val="0000FF"/>
            <w:rtl/>
          </w:rPr>
          <w:t>7.א.</w:t>
        </w:r>
      </w:hyperlink>
      <w:r w:rsidRPr="000A79AD">
        <w:rPr>
          <w:rFonts w:ascii="FrankRuehl" w:hAnsi="FrankRuehl" w:cs="FrankRuehl"/>
          <w:rtl/>
        </w:rPr>
        <w:t xml:space="preserve">, </w:t>
      </w:r>
      <w:hyperlink r:id="rId10" w:history="1">
        <w:r w:rsidRPr="000A79AD">
          <w:rPr>
            <w:rFonts w:ascii="FrankRuehl" w:hAnsi="FrankRuehl" w:cs="FrankRuehl"/>
            <w:color w:val="0000FF"/>
            <w:rtl/>
          </w:rPr>
          <w:t>7.ג</w:t>
        </w:r>
      </w:hyperlink>
      <w:r w:rsidRPr="000A79AD">
        <w:rPr>
          <w:rFonts w:ascii="FrankRuehl" w:hAnsi="FrankRuehl" w:cs="FrankRuehl"/>
          <w:rtl/>
        </w:rPr>
        <w:t xml:space="preserve">, </w:t>
      </w:r>
      <w:hyperlink r:id="rId11" w:history="1">
        <w:r w:rsidRPr="000A79AD">
          <w:rPr>
            <w:rFonts w:ascii="FrankRuehl" w:hAnsi="FrankRuehl" w:cs="FrankRuehl"/>
            <w:color w:val="0000FF"/>
            <w:rtl/>
          </w:rPr>
          <w:t>13</w:t>
        </w:r>
      </w:hyperlink>
    </w:p>
    <w:p w14:paraId="59080C2D" w14:textId="77777777" w:rsidR="000A79AD" w:rsidRPr="000A79AD" w:rsidRDefault="000A79AD" w:rsidP="000A79AD">
      <w:pPr>
        <w:spacing w:before="120" w:after="120" w:line="240" w:lineRule="exact"/>
        <w:ind w:left="283" w:hanging="283"/>
        <w:jc w:val="both"/>
        <w:rPr>
          <w:rFonts w:ascii="FrankRuehl" w:hAnsi="FrankRuehl" w:cs="FrankRuehl"/>
          <w:rtl/>
        </w:rPr>
      </w:pPr>
      <w:hyperlink r:id="rId12" w:history="1">
        <w:r w:rsidRPr="000A79AD">
          <w:rPr>
            <w:rFonts w:ascii="FrankRuehl" w:hAnsi="FrankRuehl" w:cs="FrankRuehl"/>
            <w:color w:val="0000FF"/>
            <w:rtl/>
          </w:rPr>
          <w:t>חוק העונשין, תשל"ז-1977</w:t>
        </w:r>
      </w:hyperlink>
      <w:r w:rsidRPr="000A79AD">
        <w:rPr>
          <w:rFonts w:ascii="FrankRuehl" w:hAnsi="FrankRuehl" w:cs="FrankRuehl"/>
          <w:rtl/>
        </w:rPr>
        <w:t xml:space="preserve">: סע'  </w:t>
      </w:r>
      <w:hyperlink r:id="rId13" w:history="1">
        <w:r w:rsidRPr="000A79AD">
          <w:rPr>
            <w:rFonts w:ascii="FrankRuehl" w:hAnsi="FrankRuehl" w:cs="FrankRuehl"/>
            <w:color w:val="0000FF"/>
            <w:rtl/>
          </w:rPr>
          <w:t>25</w:t>
        </w:r>
      </w:hyperlink>
      <w:r w:rsidRPr="000A79AD">
        <w:rPr>
          <w:rFonts w:ascii="FrankRuehl" w:hAnsi="FrankRuehl" w:cs="FrankRuehl"/>
          <w:rtl/>
        </w:rPr>
        <w:t xml:space="preserve">, </w:t>
      </w:r>
      <w:hyperlink r:id="rId14" w:history="1">
        <w:r w:rsidRPr="000A79AD">
          <w:rPr>
            <w:rFonts w:ascii="FrankRuehl" w:hAnsi="FrankRuehl" w:cs="FrankRuehl"/>
            <w:color w:val="0000FF"/>
            <w:rtl/>
          </w:rPr>
          <w:t>29(א)</w:t>
        </w:r>
      </w:hyperlink>
      <w:r w:rsidRPr="000A79AD">
        <w:rPr>
          <w:rFonts w:ascii="FrankRuehl" w:hAnsi="FrankRuehl" w:cs="FrankRuehl"/>
          <w:rtl/>
        </w:rPr>
        <w:t xml:space="preserve">, </w:t>
      </w:r>
      <w:hyperlink r:id="rId15" w:history="1">
        <w:r w:rsidRPr="000A79AD">
          <w:rPr>
            <w:rFonts w:ascii="FrankRuehl" w:hAnsi="FrankRuehl" w:cs="FrankRuehl"/>
            <w:color w:val="0000FF"/>
            <w:rtl/>
          </w:rPr>
          <w:t>30</w:t>
        </w:r>
      </w:hyperlink>
      <w:r w:rsidRPr="000A79AD">
        <w:rPr>
          <w:rFonts w:ascii="FrankRuehl" w:hAnsi="FrankRuehl" w:cs="FrankRuehl"/>
          <w:rtl/>
        </w:rPr>
        <w:t xml:space="preserve">, </w:t>
      </w:r>
      <w:hyperlink r:id="rId16" w:history="1">
        <w:r w:rsidRPr="000A79AD">
          <w:rPr>
            <w:rFonts w:ascii="FrankRuehl" w:hAnsi="FrankRuehl" w:cs="FrankRuehl"/>
            <w:color w:val="0000FF"/>
            <w:rtl/>
          </w:rPr>
          <w:t>40ט'</w:t>
        </w:r>
      </w:hyperlink>
      <w:r w:rsidRPr="000A79AD">
        <w:rPr>
          <w:rFonts w:ascii="FrankRuehl" w:hAnsi="FrankRuehl" w:cs="FrankRuehl"/>
          <w:rtl/>
        </w:rPr>
        <w:t xml:space="preserve">, </w:t>
      </w:r>
      <w:hyperlink r:id="rId17" w:history="1">
        <w:r w:rsidRPr="000A79AD">
          <w:rPr>
            <w:rFonts w:ascii="FrankRuehl" w:hAnsi="FrankRuehl" w:cs="FrankRuehl"/>
            <w:color w:val="0000FF"/>
            <w:rtl/>
          </w:rPr>
          <w:t>40יא</w:t>
        </w:r>
      </w:hyperlink>
    </w:p>
    <w:p w14:paraId="24C80858" w14:textId="77777777" w:rsidR="000A79AD" w:rsidRPr="000A79AD" w:rsidRDefault="000A79AD" w:rsidP="000A79AD">
      <w:pPr>
        <w:rPr>
          <w:rtl/>
        </w:rPr>
      </w:pPr>
      <w:bookmarkStart w:id="4" w:name="LawTable_End"/>
      <w:bookmarkEnd w:id="4"/>
    </w:p>
    <w:p w14:paraId="28F4E453" w14:textId="77777777" w:rsidR="00BF30F1" w:rsidRPr="00CE39AF" w:rsidRDefault="00BF30F1" w:rsidP="00CE39AF"/>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F30F1" w14:paraId="2FD44825" w14:textId="77777777" w:rsidTr="00BF30F1">
        <w:trPr>
          <w:trHeight w:val="355"/>
          <w:jc w:val="center"/>
        </w:trPr>
        <w:tc>
          <w:tcPr>
            <w:tcW w:w="8820" w:type="dxa"/>
            <w:tcBorders>
              <w:top w:val="nil"/>
              <w:left w:val="nil"/>
              <w:bottom w:val="nil"/>
              <w:right w:val="nil"/>
            </w:tcBorders>
            <w:shd w:val="clear" w:color="auto" w:fill="auto"/>
          </w:tcPr>
          <w:p w14:paraId="55E7FB26" w14:textId="77777777" w:rsidR="00453AB7" w:rsidRPr="00453AB7" w:rsidRDefault="00453AB7" w:rsidP="00453AB7">
            <w:pPr>
              <w:jc w:val="center"/>
              <w:rPr>
                <w:rFonts w:ascii="Arial" w:hAnsi="Arial" w:cs="FrankRuehl"/>
                <w:b/>
                <w:bCs/>
                <w:sz w:val="32"/>
                <w:szCs w:val="32"/>
                <w:u w:val="single"/>
                <w:rtl/>
              </w:rPr>
            </w:pPr>
            <w:bookmarkStart w:id="5" w:name="PsakDin" w:colFirst="0" w:colLast="0"/>
            <w:bookmarkEnd w:id="0"/>
            <w:r w:rsidRPr="00453AB7">
              <w:rPr>
                <w:rFonts w:ascii="Arial" w:hAnsi="Arial" w:cs="FrankRuehl"/>
                <w:b/>
                <w:bCs/>
                <w:sz w:val="32"/>
                <w:szCs w:val="32"/>
                <w:u w:val="single"/>
                <w:rtl/>
              </w:rPr>
              <w:t>גזר דין</w:t>
            </w:r>
          </w:p>
          <w:p w14:paraId="3F9AC715" w14:textId="77777777" w:rsidR="00BF30F1" w:rsidRPr="00453AB7" w:rsidRDefault="00BF30F1" w:rsidP="00453AB7">
            <w:pPr>
              <w:jc w:val="center"/>
              <w:rPr>
                <w:rFonts w:ascii="Arial" w:hAnsi="Arial" w:cs="FrankRuehl"/>
                <w:bCs/>
                <w:sz w:val="32"/>
                <w:szCs w:val="32"/>
                <w:u w:val="single"/>
                <w:rtl/>
              </w:rPr>
            </w:pPr>
          </w:p>
        </w:tc>
      </w:tr>
      <w:bookmarkEnd w:id="5"/>
    </w:tbl>
    <w:p w14:paraId="7DE09345" w14:textId="77777777" w:rsidR="00BF30F1" w:rsidRDefault="00BF30F1" w:rsidP="00BF30F1">
      <w:pPr>
        <w:rPr>
          <w:rFonts w:ascii="Arial" w:hAnsi="Arial"/>
          <w:rtl/>
        </w:rPr>
      </w:pPr>
    </w:p>
    <w:p w14:paraId="2B7ECA7C" w14:textId="77777777" w:rsidR="00BF30F1" w:rsidRPr="00B05847" w:rsidRDefault="00BF30F1" w:rsidP="00BF30F1">
      <w:pPr>
        <w:rPr>
          <w:rFonts w:ascii="Arial" w:hAnsi="Arial"/>
          <w:rtl/>
        </w:rPr>
      </w:pPr>
    </w:p>
    <w:p w14:paraId="3A2AB9CF" w14:textId="77777777" w:rsidR="00BF30F1" w:rsidRDefault="00BF30F1" w:rsidP="00BF30F1">
      <w:pPr>
        <w:spacing w:line="360" w:lineRule="auto"/>
        <w:jc w:val="both"/>
        <w:rPr>
          <w:rFonts w:ascii="FrankRuehl" w:hAnsi="FrankRuehl" w:cs="FrankRuehl"/>
          <w:b/>
          <w:bCs/>
          <w:sz w:val="28"/>
          <w:szCs w:val="28"/>
          <w:u w:val="single"/>
        </w:rPr>
      </w:pPr>
      <w:r>
        <w:rPr>
          <w:rFonts w:ascii="FrankRuehl" w:hAnsi="FrankRuehl" w:cs="FrankRuehl"/>
          <w:b/>
          <w:bCs/>
          <w:sz w:val="28"/>
          <w:szCs w:val="28"/>
          <w:u w:val="single"/>
          <w:rtl/>
        </w:rPr>
        <w:t>כתב האישום</w:t>
      </w:r>
    </w:p>
    <w:p w14:paraId="14270DF9" w14:textId="77777777" w:rsidR="00BF30F1" w:rsidRDefault="00BF30F1" w:rsidP="00BF30F1">
      <w:pPr>
        <w:spacing w:line="360" w:lineRule="auto"/>
        <w:jc w:val="both"/>
        <w:rPr>
          <w:rFonts w:ascii="FrankRuehl" w:hAnsi="FrankRuehl" w:cs="FrankRuehl"/>
          <w:sz w:val="28"/>
          <w:szCs w:val="28"/>
          <w:rtl/>
        </w:rPr>
      </w:pPr>
      <w:bookmarkStart w:id="6" w:name="ABSTRACT_START"/>
      <w:bookmarkEnd w:id="6"/>
      <w:r>
        <w:rPr>
          <w:rFonts w:ascii="FrankRuehl" w:hAnsi="FrankRuehl" w:cs="FrankRuehl"/>
          <w:sz w:val="28"/>
          <w:szCs w:val="28"/>
          <w:rtl/>
        </w:rPr>
        <w:t>נגד הנאשם הוגש כתב אישום המייחס לו ביצוע עבירות סמים. הצדדים הגיעו להסדר טיעון ללא הסכמה עונשית, ובמסגרת זו תוקן כתב האישום כפי שיפורט להלן:</w:t>
      </w:r>
    </w:p>
    <w:p w14:paraId="394FBFC8" w14:textId="77777777" w:rsidR="00BF30F1" w:rsidRDefault="00BF30F1" w:rsidP="00BF30F1">
      <w:pPr>
        <w:spacing w:line="360" w:lineRule="auto"/>
        <w:jc w:val="both"/>
        <w:rPr>
          <w:rFonts w:ascii="FrankRuehl" w:hAnsi="FrankRuehl" w:cs="FrankRuehl"/>
          <w:sz w:val="28"/>
          <w:szCs w:val="28"/>
          <w:u w:val="single"/>
          <w:rtl/>
        </w:rPr>
      </w:pPr>
    </w:p>
    <w:p w14:paraId="437D2995" w14:textId="77777777" w:rsidR="00BF30F1" w:rsidRDefault="00BF30F1" w:rsidP="00BF30F1">
      <w:pPr>
        <w:spacing w:line="360" w:lineRule="auto"/>
        <w:jc w:val="both"/>
        <w:rPr>
          <w:rFonts w:ascii="FrankRuehl" w:hAnsi="FrankRuehl" w:cs="FrankRuehl"/>
          <w:sz w:val="28"/>
          <w:szCs w:val="28"/>
          <w:rtl/>
        </w:rPr>
      </w:pPr>
      <w:bookmarkStart w:id="7" w:name="ABSTRACT_END"/>
      <w:bookmarkEnd w:id="7"/>
      <w:r>
        <w:rPr>
          <w:rFonts w:ascii="FrankRuehl" w:hAnsi="FrankRuehl" w:cs="FrankRuehl"/>
          <w:sz w:val="28"/>
          <w:szCs w:val="28"/>
          <w:u w:val="single"/>
          <w:rtl/>
        </w:rPr>
        <w:t>על-פי האישום הראשון</w:t>
      </w:r>
      <w:r>
        <w:rPr>
          <w:rFonts w:ascii="FrankRuehl" w:hAnsi="FrankRuehl" w:cs="FrankRuehl"/>
          <w:sz w:val="28"/>
          <w:szCs w:val="28"/>
          <w:rtl/>
        </w:rPr>
        <w:t>, החל מחודש פברואר ועד חודש מאי 2018, מכר הנאשם ל</w:t>
      </w:r>
      <w:r>
        <w:rPr>
          <w:rFonts w:ascii="FrankRuehl" w:hAnsi="FrankRuehl" w:cs="FrankRuehl" w:hint="cs"/>
          <w:sz w:val="28"/>
          <w:szCs w:val="28"/>
          <w:rtl/>
        </w:rPr>
        <w:t>-</w:t>
      </w:r>
      <w:r>
        <w:rPr>
          <w:rFonts w:ascii="FrankRuehl" w:hAnsi="FrankRuehl" w:cs="FrankRuehl"/>
          <w:sz w:val="28"/>
          <w:szCs w:val="28"/>
          <w:rtl/>
        </w:rPr>
        <w:t>ס</w:t>
      </w:r>
      <w:r>
        <w:rPr>
          <w:rFonts w:ascii="FrankRuehl" w:hAnsi="FrankRuehl" w:cs="FrankRuehl" w:hint="cs"/>
          <w:sz w:val="28"/>
          <w:szCs w:val="28"/>
          <w:rtl/>
        </w:rPr>
        <w:t>'</w:t>
      </w:r>
      <w:r>
        <w:rPr>
          <w:rFonts w:ascii="FrankRuehl" w:hAnsi="FrankRuehl" w:cs="FrankRuehl"/>
          <w:sz w:val="28"/>
          <w:szCs w:val="28"/>
          <w:rtl/>
        </w:rPr>
        <w:t xml:space="preserve"> סמים מסוג מריחואנה בכמות של גרם בכל פעם תמורת 100 ₪, זאת לאחר שהשניים תיאמו את העסקאות בטלפון לאחר שס</w:t>
      </w:r>
      <w:r>
        <w:rPr>
          <w:rFonts w:ascii="FrankRuehl" w:hAnsi="FrankRuehl" w:cs="FrankRuehl" w:hint="cs"/>
          <w:sz w:val="28"/>
          <w:szCs w:val="28"/>
          <w:rtl/>
        </w:rPr>
        <w:t>'</w:t>
      </w:r>
      <w:r>
        <w:rPr>
          <w:rFonts w:ascii="FrankRuehl" w:hAnsi="FrankRuehl" w:cs="FrankRuehl"/>
          <w:sz w:val="28"/>
          <w:szCs w:val="28"/>
          <w:rtl/>
        </w:rPr>
        <w:t xml:space="preserve"> שלח לנאשם, על פי דרישתו, את תעודת הזהות שלו. בהמשך, שידל הנאשם </w:t>
      </w:r>
      <w:r>
        <w:rPr>
          <w:rFonts w:ascii="FrankRuehl" w:hAnsi="FrankRuehl" w:cs="FrankRuehl"/>
          <w:sz w:val="28"/>
          <w:szCs w:val="28"/>
          <w:rtl/>
        </w:rPr>
        <w:lastRenderedPageBreak/>
        <w:t>את ס</w:t>
      </w:r>
      <w:r>
        <w:rPr>
          <w:rFonts w:ascii="FrankRuehl" w:hAnsi="FrankRuehl" w:cs="FrankRuehl" w:hint="cs"/>
          <w:sz w:val="28"/>
          <w:szCs w:val="28"/>
          <w:rtl/>
        </w:rPr>
        <w:t>'</w:t>
      </w:r>
      <w:r>
        <w:rPr>
          <w:rFonts w:ascii="FrankRuehl" w:hAnsi="FrankRuehl" w:cs="FrankRuehl"/>
          <w:sz w:val="28"/>
          <w:szCs w:val="28"/>
          <w:rtl/>
        </w:rPr>
        <w:t xml:space="preserve"> למכור סמים, כשסוכם כי ס</w:t>
      </w:r>
      <w:r>
        <w:rPr>
          <w:rFonts w:ascii="FrankRuehl" w:hAnsi="FrankRuehl" w:cs="FrankRuehl" w:hint="cs"/>
          <w:sz w:val="28"/>
          <w:szCs w:val="28"/>
          <w:rtl/>
        </w:rPr>
        <w:t>'</w:t>
      </w:r>
      <w:r>
        <w:rPr>
          <w:rFonts w:ascii="FrankRuehl" w:hAnsi="FrankRuehl" w:cs="FrankRuehl"/>
          <w:sz w:val="28"/>
          <w:szCs w:val="28"/>
          <w:rtl/>
        </w:rPr>
        <w:t xml:space="preserve"> יקבל 20 ₪ עבור כל גרם שיימכר. כך סחר ס</w:t>
      </w:r>
      <w:r>
        <w:rPr>
          <w:rFonts w:ascii="FrankRuehl" w:hAnsi="FrankRuehl" w:cs="FrankRuehl" w:hint="cs"/>
          <w:sz w:val="28"/>
          <w:szCs w:val="28"/>
          <w:rtl/>
        </w:rPr>
        <w:t>'</w:t>
      </w:r>
      <w:r>
        <w:rPr>
          <w:rFonts w:ascii="FrankRuehl" w:hAnsi="FrankRuehl" w:cs="FrankRuehl"/>
          <w:sz w:val="28"/>
          <w:szCs w:val="28"/>
          <w:rtl/>
        </w:rPr>
        <w:t xml:space="preserve"> בסמים במשך כחמש פעמים במרכז העיר ירושלים. בגין אישום זה, הודה הנאשם והורשע בביצוע </w:t>
      </w:r>
      <w:r>
        <w:rPr>
          <w:rFonts w:ascii="FrankRuehl" w:hAnsi="FrankRuehl" w:cs="FrankRuehl"/>
          <w:b/>
          <w:bCs/>
          <w:sz w:val="28"/>
          <w:szCs w:val="28"/>
          <w:rtl/>
        </w:rPr>
        <w:t>3 עבירות סחר בסם מסוכן בצוותא</w:t>
      </w:r>
      <w:r>
        <w:rPr>
          <w:rFonts w:ascii="FrankRuehl" w:hAnsi="FrankRuehl" w:cs="FrankRuehl"/>
          <w:sz w:val="28"/>
          <w:szCs w:val="28"/>
          <w:rtl/>
        </w:rPr>
        <w:t xml:space="preserve">, לפי </w:t>
      </w:r>
      <w:hyperlink r:id="rId18" w:history="1">
        <w:r w:rsidR="00D171CE" w:rsidRPr="00D171CE">
          <w:rPr>
            <w:rStyle w:val="Hyperlink"/>
            <w:rFonts w:ascii="FrankRuehl" w:hAnsi="FrankRuehl" w:cs="FrankRuehl"/>
            <w:sz w:val="28"/>
            <w:szCs w:val="28"/>
            <w:rtl/>
          </w:rPr>
          <w:t>סעיף 13</w:t>
        </w:r>
      </w:hyperlink>
      <w:r>
        <w:rPr>
          <w:rFonts w:ascii="FrankRuehl" w:hAnsi="FrankRuehl" w:cs="FrankRuehl"/>
          <w:sz w:val="28"/>
          <w:szCs w:val="28"/>
          <w:rtl/>
        </w:rPr>
        <w:t xml:space="preserve"> ל</w:t>
      </w:r>
      <w:hyperlink r:id="rId19" w:history="1">
        <w:r w:rsidR="00453AB7" w:rsidRPr="00453AB7">
          <w:rPr>
            <w:rFonts w:ascii="FrankRuehl" w:hAnsi="FrankRuehl" w:cs="FrankRuehl"/>
            <w:color w:val="0000FF"/>
            <w:sz w:val="28"/>
            <w:szCs w:val="28"/>
            <w:u w:val="single"/>
            <w:rtl/>
          </w:rPr>
          <w:t>פקודת הסמים המסוכנים</w:t>
        </w:r>
      </w:hyperlink>
      <w:r>
        <w:rPr>
          <w:rFonts w:ascii="FrankRuehl" w:hAnsi="FrankRuehl" w:cs="FrankRuehl"/>
          <w:sz w:val="28"/>
          <w:szCs w:val="28"/>
          <w:rtl/>
        </w:rPr>
        <w:t xml:space="preserve"> (להלן – </w:t>
      </w:r>
      <w:r>
        <w:rPr>
          <w:rFonts w:ascii="FrankRuehl" w:hAnsi="FrankRuehl" w:cs="FrankRuehl"/>
          <w:b/>
          <w:bCs/>
          <w:sz w:val="28"/>
          <w:szCs w:val="28"/>
          <w:rtl/>
        </w:rPr>
        <w:t>הפקודה</w:t>
      </w:r>
      <w:r>
        <w:rPr>
          <w:rFonts w:ascii="FrankRuehl" w:hAnsi="FrankRuehl" w:cs="FrankRuehl"/>
          <w:sz w:val="28"/>
          <w:szCs w:val="28"/>
          <w:rtl/>
        </w:rPr>
        <w:t xml:space="preserve">) ולפי </w:t>
      </w:r>
      <w:hyperlink r:id="rId20" w:history="1">
        <w:r w:rsidR="00D171CE" w:rsidRPr="00D171CE">
          <w:rPr>
            <w:rStyle w:val="Hyperlink"/>
            <w:rFonts w:ascii="FrankRuehl" w:hAnsi="FrankRuehl" w:cs="FrankRuehl"/>
            <w:sz w:val="28"/>
            <w:szCs w:val="28"/>
            <w:rtl/>
          </w:rPr>
          <w:t>סעיף 29(א)</w:t>
        </w:r>
      </w:hyperlink>
      <w:r>
        <w:rPr>
          <w:rFonts w:ascii="FrankRuehl" w:hAnsi="FrankRuehl" w:cs="FrankRuehl"/>
          <w:sz w:val="28"/>
          <w:szCs w:val="28"/>
          <w:rtl/>
        </w:rPr>
        <w:t xml:space="preserve"> ל</w:t>
      </w:r>
      <w:hyperlink r:id="rId21" w:history="1">
        <w:r w:rsidR="00453AB7" w:rsidRPr="00453AB7">
          <w:rPr>
            <w:rFonts w:ascii="FrankRuehl" w:hAnsi="FrankRuehl" w:cs="FrankRuehl"/>
            <w:color w:val="0000FF"/>
            <w:sz w:val="28"/>
            <w:szCs w:val="28"/>
            <w:u w:val="single"/>
            <w:rtl/>
          </w:rPr>
          <w:t>חוק העונשין</w:t>
        </w:r>
      </w:hyperlink>
      <w:r>
        <w:rPr>
          <w:rFonts w:ascii="FrankRuehl" w:hAnsi="FrankRuehl" w:cs="FrankRuehl"/>
          <w:sz w:val="28"/>
          <w:szCs w:val="28"/>
          <w:rtl/>
        </w:rPr>
        <w:t xml:space="preserve">, התשל"ז-1977 (להלן – </w:t>
      </w:r>
      <w:r>
        <w:rPr>
          <w:rFonts w:ascii="FrankRuehl" w:hAnsi="FrankRuehl" w:cs="FrankRuehl"/>
          <w:b/>
          <w:bCs/>
          <w:sz w:val="28"/>
          <w:szCs w:val="28"/>
          <w:rtl/>
        </w:rPr>
        <w:t>החוק</w:t>
      </w:r>
      <w:r>
        <w:rPr>
          <w:rFonts w:ascii="FrankRuehl" w:hAnsi="FrankRuehl" w:cs="FrankRuehl"/>
          <w:sz w:val="28"/>
          <w:szCs w:val="28"/>
          <w:rtl/>
        </w:rPr>
        <w:t xml:space="preserve">), וכן בביצוע עבירה של </w:t>
      </w:r>
      <w:r>
        <w:rPr>
          <w:rFonts w:ascii="FrankRuehl" w:hAnsi="FrankRuehl" w:cs="FrankRuehl"/>
          <w:b/>
          <w:bCs/>
          <w:sz w:val="28"/>
          <w:szCs w:val="28"/>
          <w:rtl/>
        </w:rPr>
        <w:t>החזקת סם שלא לצריכה עצמית</w:t>
      </w:r>
      <w:r>
        <w:rPr>
          <w:rFonts w:ascii="FrankRuehl" w:hAnsi="FrankRuehl" w:cs="FrankRuehl"/>
          <w:sz w:val="28"/>
          <w:szCs w:val="28"/>
          <w:rtl/>
        </w:rPr>
        <w:t xml:space="preserve">, לפי </w:t>
      </w:r>
      <w:hyperlink r:id="rId22" w:history="1">
        <w:r w:rsidR="00D171CE" w:rsidRPr="00D171CE">
          <w:rPr>
            <w:rStyle w:val="Hyperlink"/>
            <w:rFonts w:ascii="FrankRuehl" w:hAnsi="FrankRuehl" w:cs="FrankRuehl"/>
            <w:sz w:val="28"/>
            <w:szCs w:val="28"/>
            <w:rtl/>
          </w:rPr>
          <w:t>סעיף 7(א)+(ג)</w:t>
        </w:r>
      </w:hyperlink>
      <w:r>
        <w:rPr>
          <w:rFonts w:ascii="FrankRuehl" w:hAnsi="FrankRuehl" w:cs="FrankRuehl"/>
          <w:sz w:val="28"/>
          <w:szCs w:val="28"/>
          <w:rtl/>
        </w:rPr>
        <w:t xml:space="preserve"> רישא לפקודה.</w:t>
      </w:r>
    </w:p>
    <w:p w14:paraId="33B10F5F" w14:textId="77777777" w:rsidR="00BF30F1" w:rsidRDefault="00BF30F1" w:rsidP="00BF30F1">
      <w:pPr>
        <w:spacing w:line="360" w:lineRule="auto"/>
        <w:jc w:val="both"/>
        <w:rPr>
          <w:rFonts w:ascii="FrankRuehl" w:hAnsi="FrankRuehl" w:cs="FrankRuehl"/>
          <w:sz w:val="28"/>
          <w:szCs w:val="28"/>
          <w:u w:val="single"/>
          <w:rtl/>
        </w:rPr>
      </w:pPr>
    </w:p>
    <w:p w14:paraId="2AA78BFA" w14:textId="77777777" w:rsidR="00BF30F1" w:rsidRDefault="00BF30F1" w:rsidP="00BF30F1">
      <w:pPr>
        <w:spacing w:line="360" w:lineRule="auto"/>
        <w:jc w:val="both"/>
        <w:rPr>
          <w:rFonts w:ascii="FrankRuehl" w:hAnsi="FrankRuehl" w:cs="FrankRuehl"/>
          <w:sz w:val="28"/>
          <w:szCs w:val="28"/>
          <w:rtl/>
        </w:rPr>
      </w:pPr>
      <w:r>
        <w:rPr>
          <w:rFonts w:ascii="FrankRuehl" w:hAnsi="FrankRuehl" w:cs="FrankRuehl"/>
          <w:sz w:val="28"/>
          <w:szCs w:val="28"/>
          <w:u w:val="single"/>
          <w:rtl/>
        </w:rPr>
        <w:t>על-פי האישום השני</w:t>
      </w:r>
      <w:r>
        <w:rPr>
          <w:rFonts w:ascii="FrankRuehl" w:hAnsi="FrankRuehl" w:cs="FrankRuehl"/>
          <w:sz w:val="28"/>
          <w:szCs w:val="28"/>
          <w:rtl/>
        </w:rPr>
        <w:t>, ביום 18.2.2018, מכר הנאשם ל</w:t>
      </w:r>
      <w:r>
        <w:rPr>
          <w:rFonts w:ascii="FrankRuehl" w:hAnsi="FrankRuehl" w:cs="FrankRuehl" w:hint="cs"/>
          <w:sz w:val="28"/>
          <w:szCs w:val="28"/>
          <w:rtl/>
        </w:rPr>
        <w:t xml:space="preserve">גב' ל' </w:t>
      </w:r>
      <w:r>
        <w:rPr>
          <w:rFonts w:ascii="FrankRuehl" w:hAnsi="FrankRuehl" w:cs="FrankRuehl"/>
          <w:sz w:val="28"/>
          <w:szCs w:val="28"/>
          <w:rtl/>
        </w:rPr>
        <w:t xml:space="preserve">סם מסוג מריחואנה במשקל גרם בודד תמורת 100 ₪. העסקה תואמה באמצעות הווטסאפ, וכך גם עסקאות נוספות. ביום 17.2.2018 תואמה עסקה בין השניים, שלא יצאה אל הפועל. בגין אישום זה, הודה הנאשם והורשע בביצוע </w:t>
      </w:r>
      <w:r>
        <w:rPr>
          <w:rFonts w:ascii="FrankRuehl" w:hAnsi="FrankRuehl" w:cs="FrankRuehl"/>
          <w:b/>
          <w:bCs/>
          <w:sz w:val="28"/>
          <w:szCs w:val="28"/>
          <w:rtl/>
        </w:rPr>
        <w:t>2 עבירות סחר בסם מסוכן</w:t>
      </w:r>
      <w:r>
        <w:rPr>
          <w:rFonts w:ascii="FrankRuehl" w:hAnsi="FrankRuehl" w:cs="FrankRuehl"/>
          <w:sz w:val="28"/>
          <w:szCs w:val="28"/>
          <w:rtl/>
        </w:rPr>
        <w:t xml:space="preserve">, ובביצוע </w:t>
      </w:r>
      <w:r>
        <w:rPr>
          <w:rFonts w:ascii="FrankRuehl" w:hAnsi="FrankRuehl" w:cs="FrankRuehl"/>
          <w:b/>
          <w:bCs/>
          <w:sz w:val="28"/>
          <w:szCs w:val="28"/>
          <w:rtl/>
        </w:rPr>
        <w:t>עבירה אחת של ניסיון סחר בסם מסוכן</w:t>
      </w:r>
      <w:r>
        <w:rPr>
          <w:rFonts w:ascii="FrankRuehl" w:hAnsi="FrankRuehl" w:cs="FrankRuehl"/>
          <w:sz w:val="28"/>
          <w:szCs w:val="28"/>
          <w:rtl/>
        </w:rPr>
        <w:t xml:space="preserve">, לפי </w:t>
      </w:r>
      <w:hyperlink r:id="rId23" w:history="1">
        <w:r w:rsidR="00D171CE" w:rsidRPr="00D171CE">
          <w:rPr>
            <w:rStyle w:val="Hyperlink"/>
            <w:rFonts w:ascii="FrankRuehl" w:hAnsi="FrankRuehl" w:cs="FrankRuehl"/>
            <w:sz w:val="28"/>
            <w:szCs w:val="28"/>
            <w:rtl/>
          </w:rPr>
          <w:t>סעיפים 13</w:t>
        </w:r>
      </w:hyperlink>
      <w:r>
        <w:rPr>
          <w:rFonts w:ascii="FrankRuehl" w:hAnsi="FrankRuehl" w:cs="FrankRuehl"/>
          <w:sz w:val="28"/>
          <w:szCs w:val="28"/>
          <w:rtl/>
        </w:rPr>
        <w:t xml:space="preserve"> לפקודה ו-</w:t>
      </w:r>
      <w:hyperlink r:id="rId24" w:history="1">
        <w:r w:rsidR="00D171CE" w:rsidRPr="00D171CE">
          <w:rPr>
            <w:rStyle w:val="Hyperlink"/>
            <w:rFonts w:ascii="FrankRuehl" w:hAnsi="FrankRuehl" w:cs="FrankRuehl"/>
            <w:sz w:val="28"/>
            <w:szCs w:val="28"/>
            <w:rtl/>
          </w:rPr>
          <w:t>25</w:t>
        </w:r>
      </w:hyperlink>
      <w:r>
        <w:rPr>
          <w:rFonts w:ascii="FrankRuehl" w:hAnsi="FrankRuehl" w:cs="FrankRuehl"/>
          <w:sz w:val="28"/>
          <w:szCs w:val="28"/>
          <w:rtl/>
        </w:rPr>
        <w:t xml:space="preserve"> לחוק.</w:t>
      </w:r>
    </w:p>
    <w:p w14:paraId="78B1AED6" w14:textId="77777777" w:rsidR="00BF30F1" w:rsidRDefault="00BF30F1" w:rsidP="00BF30F1">
      <w:pPr>
        <w:spacing w:line="360" w:lineRule="auto"/>
        <w:jc w:val="both"/>
        <w:rPr>
          <w:rFonts w:ascii="FrankRuehl" w:hAnsi="FrankRuehl" w:cs="FrankRuehl"/>
          <w:sz w:val="28"/>
          <w:szCs w:val="28"/>
          <w:u w:val="single"/>
          <w:rtl/>
        </w:rPr>
      </w:pPr>
    </w:p>
    <w:p w14:paraId="538D50B6" w14:textId="77777777" w:rsidR="00BF30F1" w:rsidRDefault="00BF30F1" w:rsidP="00BF30F1">
      <w:pPr>
        <w:spacing w:line="360" w:lineRule="auto"/>
        <w:jc w:val="both"/>
        <w:rPr>
          <w:rFonts w:ascii="FrankRuehl" w:hAnsi="FrankRuehl" w:cs="FrankRuehl"/>
          <w:sz w:val="28"/>
          <w:szCs w:val="28"/>
          <w:rtl/>
        </w:rPr>
      </w:pPr>
      <w:r>
        <w:rPr>
          <w:rFonts w:ascii="FrankRuehl" w:hAnsi="FrankRuehl" w:cs="FrankRuehl"/>
          <w:sz w:val="28"/>
          <w:szCs w:val="28"/>
          <w:u w:val="single"/>
          <w:rtl/>
        </w:rPr>
        <w:t>על-פי האישום השלישי</w:t>
      </w:r>
      <w:r>
        <w:rPr>
          <w:rFonts w:ascii="FrankRuehl" w:hAnsi="FrankRuehl" w:cs="FrankRuehl"/>
          <w:sz w:val="28"/>
          <w:szCs w:val="28"/>
          <w:rtl/>
        </w:rPr>
        <w:t xml:space="preserve">, במהלך חודש נובמבר 2017 תיאם הנאשם עם נוסף עסקת סם עם </w:t>
      </w:r>
      <w:r>
        <w:rPr>
          <w:rFonts w:ascii="FrankRuehl" w:hAnsi="FrankRuehl" w:cs="FrankRuehl" w:hint="cs"/>
          <w:sz w:val="28"/>
          <w:szCs w:val="28"/>
          <w:rtl/>
        </w:rPr>
        <w:t>א'</w:t>
      </w:r>
      <w:r>
        <w:rPr>
          <w:rFonts w:ascii="FrankRuehl" w:hAnsi="FrankRuehl" w:cs="FrankRuehl"/>
          <w:sz w:val="28"/>
          <w:szCs w:val="28"/>
          <w:rtl/>
        </w:rPr>
        <w:t>, וזאת באמצעות תוכנת הטלגראם. א</w:t>
      </w:r>
      <w:r>
        <w:rPr>
          <w:rFonts w:ascii="FrankRuehl" w:hAnsi="FrankRuehl" w:cs="FrankRuehl" w:hint="cs"/>
          <w:sz w:val="28"/>
          <w:szCs w:val="28"/>
          <w:rtl/>
        </w:rPr>
        <w:t>'</w:t>
      </w:r>
      <w:r>
        <w:rPr>
          <w:rFonts w:ascii="FrankRuehl" w:hAnsi="FrankRuehl" w:cs="FrankRuehl"/>
          <w:sz w:val="28"/>
          <w:szCs w:val="28"/>
          <w:rtl/>
        </w:rPr>
        <w:t xml:space="preserve"> העביר לנאשם צילום תעודה מזהה שלו, והנאשם העבירה לאדם אחר, אשר בפועל ביצע את עסקת הסמים – מכירת 3 גרם מריחואנה לאוהד תמורת 300 ₪. בגין אישום זה, הודה הנאשם והורשע בביצוע </w:t>
      </w:r>
      <w:r>
        <w:rPr>
          <w:rFonts w:ascii="FrankRuehl" w:hAnsi="FrankRuehl" w:cs="FrankRuehl"/>
          <w:b/>
          <w:bCs/>
          <w:sz w:val="28"/>
          <w:szCs w:val="28"/>
          <w:rtl/>
        </w:rPr>
        <w:t>עבירת סחר בסם בצוותא</w:t>
      </w:r>
      <w:r>
        <w:rPr>
          <w:rFonts w:ascii="FrankRuehl" w:hAnsi="FrankRuehl" w:cs="FrankRuehl"/>
          <w:sz w:val="28"/>
          <w:szCs w:val="28"/>
          <w:rtl/>
        </w:rPr>
        <w:t>.</w:t>
      </w:r>
    </w:p>
    <w:p w14:paraId="6F5E3174" w14:textId="77777777" w:rsidR="00BF30F1" w:rsidRDefault="00BF30F1" w:rsidP="00BF30F1">
      <w:pPr>
        <w:spacing w:line="360" w:lineRule="auto"/>
        <w:jc w:val="both"/>
        <w:rPr>
          <w:rFonts w:ascii="FrankRuehl" w:hAnsi="FrankRuehl" w:cs="FrankRuehl"/>
          <w:sz w:val="28"/>
          <w:szCs w:val="28"/>
          <w:u w:val="single"/>
          <w:rtl/>
        </w:rPr>
      </w:pPr>
    </w:p>
    <w:p w14:paraId="0B9C1918" w14:textId="77777777" w:rsidR="00BF30F1" w:rsidRDefault="00BF30F1" w:rsidP="00BF30F1">
      <w:pPr>
        <w:spacing w:line="360" w:lineRule="auto"/>
        <w:jc w:val="both"/>
        <w:rPr>
          <w:rFonts w:ascii="FrankRuehl" w:hAnsi="FrankRuehl" w:cs="FrankRuehl"/>
          <w:sz w:val="28"/>
          <w:szCs w:val="28"/>
          <w:rtl/>
        </w:rPr>
      </w:pPr>
      <w:r>
        <w:rPr>
          <w:rFonts w:ascii="FrankRuehl" w:hAnsi="FrankRuehl" w:cs="FrankRuehl"/>
          <w:sz w:val="28"/>
          <w:szCs w:val="28"/>
          <w:u w:val="single"/>
          <w:rtl/>
        </w:rPr>
        <w:t>על-פי האישום הרביעי</w:t>
      </w:r>
      <w:r>
        <w:rPr>
          <w:rFonts w:ascii="FrankRuehl" w:hAnsi="FrankRuehl" w:cs="FrankRuehl"/>
          <w:sz w:val="28"/>
          <w:szCs w:val="28"/>
          <w:rtl/>
        </w:rPr>
        <w:t>, ביום 19.3.2018 מכר הנאשם בנסיבות דומות לאישום השלישי, גרם מריחואנה תמורת 100 ₪ ל</w:t>
      </w:r>
      <w:r>
        <w:rPr>
          <w:rFonts w:ascii="FrankRuehl" w:hAnsi="FrankRuehl" w:cs="FrankRuehl" w:hint="cs"/>
          <w:sz w:val="28"/>
          <w:szCs w:val="28"/>
          <w:rtl/>
        </w:rPr>
        <w:t>-ש'</w:t>
      </w:r>
      <w:r>
        <w:rPr>
          <w:rFonts w:ascii="FrankRuehl" w:hAnsi="FrankRuehl" w:cs="FrankRuehl"/>
          <w:sz w:val="28"/>
          <w:szCs w:val="28"/>
          <w:rtl/>
        </w:rPr>
        <w:t xml:space="preserve">. גם כאן הודה והורשע הנאשם בביצוע </w:t>
      </w:r>
      <w:r>
        <w:rPr>
          <w:rFonts w:ascii="FrankRuehl" w:hAnsi="FrankRuehl" w:cs="FrankRuehl"/>
          <w:b/>
          <w:bCs/>
          <w:sz w:val="28"/>
          <w:szCs w:val="28"/>
          <w:rtl/>
        </w:rPr>
        <w:t>עבירת סחר בסם בצוותא.</w:t>
      </w:r>
    </w:p>
    <w:p w14:paraId="7E7B5B32" w14:textId="77777777" w:rsidR="00BF30F1" w:rsidRDefault="00BF30F1" w:rsidP="00BF30F1">
      <w:pPr>
        <w:spacing w:line="360" w:lineRule="auto"/>
        <w:jc w:val="both"/>
        <w:rPr>
          <w:rFonts w:ascii="FrankRuehl" w:hAnsi="FrankRuehl" w:cs="FrankRuehl"/>
          <w:sz w:val="28"/>
          <w:szCs w:val="28"/>
          <w:u w:val="single"/>
          <w:rtl/>
        </w:rPr>
      </w:pPr>
    </w:p>
    <w:p w14:paraId="5D66972E" w14:textId="77777777" w:rsidR="00BF30F1" w:rsidRDefault="00BF30F1" w:rsidP="00BF30F1">
      <w:pPr>
        <w:spacing w:line="360" w:lineRule="auto"/>
        <w:jc w:val="both"/>
        <w:rPr>
          <w:rFonts w:ascii="FrankRuehl" w:hAnsi="FrankRuehl" w:cs="FrankRuehl"/>
          <w:sz w:val="28"/>
          <w:szCs w:val="28"/>
          <w:rtl/>
        </w:rPr>
      </w:pPr>
      <w:r>
        <w:rPr>
          <w:rFonts w:ascii="FrankRuehl" w:hAnsi="FrankRuehl" w:cs="FrankRuehl"/>
          <w:sz w:val="28"/>
          <w:szCs w:val="28"/>
          <w:u w:val="single"/>
          <w:rtl/>
        </w:rPr>
        <w:t>על-פי האישום החמישי</w:t>
      </w:r>
      <w:r>
        <w:rPr>
          <w:rFonts w:ascii="FrankRuehl" w:hAnsi="FrankRuehl" w:cs="FrankRuehl"/>
          <w:sz w:val="28"/>
          <w:szCs w:val="28"/>
          <w:rtl/>
        </w:rPr>
        <w:t xml:space="preserve">, ביום 2.11.2017 שידל הנאשם </w:t>
      </w:r>
      <w:r>
        <w:rPr>
          <w:rFonts w:ascii="FrankRuehl" w:hAnsi="FrankRuehl" w:cs="FrankRuehl" w:hint="cs"/>
          <w:sz w:val="28"/>
          <w:szCs w:val="28"/>
          <w:rtl/>
        </w:rPr>
        <w:t>את הגב' ש'</w:t>
      </w:r>
      <w:r>
        <w:rPr>
          <w:rFonts w:ascii="FrankRuehl" w:hAnsi="FrankRuehl" w:cs="FrankRuehl"/>
          <w:sz w:val="28"/>
          <w:szCs w:val="28"/>
          <w:rtl/>
        </w:rPr>
        <w:t>, לנוכח מצוקתה הכלכלית, לסחור עבורו בסם מסוג מריחואנה. בפועל, שלח הנאשם את ש</w:t>
      </w:r>
      <w:r>
        <w:rPr>
          <w:rFonts w:ascii="FrankRuehl" w:hAnsi="FrankRuehl" w:cs="FrankRuehl" w:hint="cs"/>
          <w:sz w:val="28"/>
          <w:szCs w:val="28"/>
          <w:rtl/>
        </w:rPr>
        <w:t>'</w:t>
      </w:r>
      <w:r>
        <w:rPr>
          <w:rFonts w:ascii="FrankRuehl" w:hAnsi="FrankRuehl" w:cs="FrankRuehl"/>
          <w:sz w:val="28"/>
          <w:szCs w:val="28"/>
          <w:rtl/>
        </w:rPr>
        <w:t xml:space="preserve"> לסחור בסם חמש פעמים, תמורת 15 ₪ עבור כל גרם שנמכר על-ידה בעסקאות של גרם תמורת 100 ₪ בכל פעם. בגין אישום זה, הודה נאשם והורשע בביצוע </w:t>
      </w:r>
      <w:r>
        <w:rPr>
          <w:rFonts w:ascii="FrankRuehl" w:hAnsi="FrankRuehl" w:cs="FrankRuehl"/>
          <w:b/>
          <w:bCs/>
          <w:sz w:val="28"/>
          <w:szCs w:val="28"/>
          <w:rtl/>
        </w:rPr>
        <w:t>5 עבירות סחר בסם בצוותא</w:t>
      </w:r>
      <w:r>
        <w:rPr>
          <w:rFonts w:ascii="FrankRuehl" w:hAnsi="FrankRuehl" w:cs="FrankRuehl"/>
          <w:sz w:val="28"/>
          <w:szCs w:val="28"/>
          <w:rtl/>
        </w:rPr>
        <w:t xml:space="preserve">, וכן בביצוע </w:t>
      </w:r>
      <w:r>
        <w:rPr>
          <w:rFonts w:ascii="FrankRuehl" w:hAnsi="FrankRuehl" w:cs="FrankRuehl"/>
          <w:b/>
          <w:bCs/>
          <w:sz w:val="28"/>
          <w:szCs w:val="28"/>
          <w:rtl/>
        </w:rPr>
        <w:t>עבירה של שידול לסחר בסם</w:t>
      </w:r>
      <w:r>
        <w:rPr>
          <w:rFonts w:ascii="FrankRuehl" w:hAnsi="FrankRuehl" w:cs="FrankRuehl"/>
          <w:sz w:val="28"/>
          <w:szCs w:val="28"/>
          <w:rtl/>
        </w:rPr>
        <w:t xml:space="preserve">, לפי </w:t>
      </w:r>
      <w:hyperlink r:id="rId25" w:history="1">
        <w:r w:rsidR="00D171CE" w:rsidRPr="00D171CE">
          <w:rPr>
            <w:rStyle w:val="Hyperlink"/>
            <w:rFonts w:ascii="FrankRuehl" w:hAnsi="FrankRuehl" w:cs="FrankRuehl"/>
            <w:sz w:val="28"/>
            <w:szCs w:val="28"/>
            <w:rtl/>
          </w:rPr>
          <w:t>סעיפים 30</w:t>
        </w:r>
      </w:hyperlink>
      <w:r>
        <w:rPr>
          <w:rFonts w:ascii="FrankRuehl" w:hAnsi="FrankRuehl" w:cs="FrankRuehl"/>
          <w:sz w:val="28"/>
          <w:szCs w:val="28"/>
          <w:rtl/>
        </w:rPr>
        <w:t xml:space="preserve"> לחוק ו-</w:t>
      </w:r>
      <w:hyperlink r:id="rId26" w:history="1">
        <w:r w:rsidR="00D171CE" w:rsidRPr="00D171CE">
          <w:rPr>
            <w:rStyle w:val="Hyperlink"/>
            <w:rFonts w:ascii="FrankRuehl" w:hAnsi="FrankRuehl" w:cs="FrankRuehl"/>
            <w:sz w:val="28"/>
            <w:szCs w:val="28"/>
            <w:rtl/>
          </w:rPr>
          <w:t>13</w:t>
        </w:r>
      </w:hyperlink>
      <w:r>
        <w:rPr>
          <w:rFonts w:ascii="FrankRuehl" w:hAnsi="FrankRuehl" w:cs="FrankRuehl"/>
          <w:sz w:val="28"/>
          <w:szCs w:val="28"/>
          <w:rtl/>
        </w:rPr>
        <w:t xml:space="preserve"> לפקודה.</w:t>
      </w:r>
    </w:p>
    <w:p w14:paraId="43C2B007" w14:textId="77777777" w:rsidR="00BF30F1" w:rsidRDefault="00BF30F1" w:rsidP="00BF30F1">
      <w:pPr>
        <w:spacing w:line="360" w:lineRule="auto"/>
        <w:jc w:val="both"/>
        <w:rPr>
          <w:rFonts w:ascii="FrankRuehl" w:hAnsi="FrankRuehl" w:cs="FrankRuehl"/>
          <w:sz w:val="28"/>
          <w:szCs w:val="28"/>
          <w:u w:val="single"/>
          <w:rtl/>
        </w:rPr>
      </w:pPr>
    </w:p>
    <w:p w14:paraId="1EE7E119" w14:textId="77777777" w:rsidR="00BF30F1" w:rsidRDefault="00BF30F1" w:rsidP="00BF30F1">
      <w:pPr>
        <w:spacing w:line="360" w:lineRule="auto"/>
        <w:jc w:val="both"/>
        <w:rPr>
          <w:rFonts w:ascii="FrankRuehl" w:hAnsi="FrankRuehl" w:cs="FrankRuehl"/>
          <w:sz w:val="28"/>
          <w:szCs w:val="28"/>
          <w:rtl/>
        </w:rPr>
      </w:pPr>
      <w:r>
        <w:rPr>
          <w:rFonts w:ascii="FrankRuehl" w:hAnsi="FrankRuehl" w:cs="FrankRuehl"/>
          <w:sz w:val="28"/>
          <w:szCs w:val="28"/>
          <w:u w:val="single"/>
          <w:rtl/>
        </w:rPr>
        <w:t>על-פי האישום השישי</w:t>
      </w:r>
      <w:r>
        <w:rPr>
          <w:rFonts w:ascii="FrankRuehl" w:hAnsi="FrankRuehl" w:cs="FrankRuehl"/>
          <w:sz w:val="28"/>
          <w:szCs w:val="28"/>
          <w:rtl/>
        </w:rPr>
        <w:t xml:space="preserve">, ביום 21.3.2018, נתפס הנאשם במכונית כשבתוכה נמצאו 28.88 גרם קנבוס שהוחזקו בין שני המושבים הקדמיים, 1.76 גרם קנבוס שהוחזקו בתא האחורי ברכב, ו-4.69 גרם קנבוס שהוחזקו בתוך קופסת סיגריות בתא הכפפות. בנוסף, בתא הכפפות נמצא סכין. בגין אישום זה, הודה הנאשם והורשע בביצוע עבירה של </w:t>
      </w:r>
      <w:r>
        <w:rPr>
          <w:rFonts w:ascii="FrankRuehl" w:hAnsi="FrankRuehl" w:cs="FrankRuehl"/>
          <w:b/>
          <w:bCs/>
          <w:sz w:val="28"/>
          <w:szCs w:val="28"/>
          <w:rtl/>
        </w:rPr>
        <w:t>החזקת סם שלא לצריכה עצמית</w:t>
      </w:r>
      <w:r>
        <w:rPr>
          <w:rFonts w:ascii="FrankRuehl" w:hAnsi="FrankRuehl" w:cs="FrankRuehl"/>
          <w:sz w:val="28"/>
          <w:szCs w:val="28"/>
          <w:rtl/>
        </w:rPr>
        <w:t xml:space="preserve">. </w:t>
      </w:r>
    </w:p>
    <w:p w14:paraId="40B34CC8" w14:textId="77777777" w:rsidR="00BF30F1" w:rsidRDefault="00BF30F1" w:rsidP="00BF30F1">
      <w:pPr>
        <w:spacing w:line="360" w:lineRule="auto"/>
        <w:jc w:val="both"/>
        <w:rPr>
          <w:rFonts w:ascii="FrankRuehl" w:hAnsi="FrankRuehl" w:cs="FrankRuehl"/>
          <w:sz w:val="28"/>
          <w:szCs w:val="28"/>
          <w:rtl/>
        </w:rPr>
      </w:pPr>
    </w:p>
    <w:p w14:paraId="3995602F" w14:textId="77777777" w:rsidR="00BF30F1" w:rsidRDefault="00BF30F1" w:rsidP="00BF30F1">
      <w:pPr>
        <w:spacing w:line="360" w:lineRule="auto"/>
        <w:jc w:val="both"/>
        <w:rPr>
          <w:rFonts w:ascii="FrankRuehl" w:hAnsi="FrankRuehl" w:cs="FrankRuehl"/>
          <w:sz w:val="28"/>
          <w:szCs w:val="28"/>
          <w:rtl/>
        </w:rPr>
      </w:pPr>
      <w:r w:rsidRPr="00FF092A">
        <w:rPr>
          <w:rFonts w:ascii="FrankRuehl" w:hAnsi="FrankRuehl" w:cs="FrankRuehl"/>
          <w:sz w:val="28"/>
          <w:szCs w:val="28"/>
          <w:u w:val="single"/>
          <w:rtl/>
        </w:rPr>
        <w:t>על-פי האישום השביעי</w:t>
      </w:r>
      <w:r>
        <w:rPr>
          <w:rFonts w:ascii="FrankRuehl" w:hAnsi="FrankRuehl" w:cs="FrankRuehl"/>
          <w:sz w:val="28"/>
          <w:szCs w:val="28"/>
          <w:rtl/>
        </w:rPr>
        <w:t xml:space="preserve">, ביום 20.5.2018 נתפס הנאשם במכונית שבה החזיק 21 גרם קנבוס בשקית, וכן 4.65 גרם קנבוס שנתפסו בשקית אחרת. בגין אישום זה הודה הנאשם והורשע בביצוע </w:t>
      </w:r>
      <w:r>
        <w:rPr>
          <w:rFonts w:ascii="FrankRuehl" w:hAnsi="FrankRuehl" w:cs="FrankRuehl"/>
          <w:b/>
          <w:bCs/>
          <w:sz w:val="28"/>
          <w:szCs w:val="28"/>
          <w:rtl/>
        </w:rPr>
        <w:t>עבירה של החזקת סם שלא לצריכה עצמית.</w:t>
      </w:r>
    </w:p>
    <w:p w14:paraId="3297C883" w14:textId="77777777" w:rsidR="00BF30F1" w:rsidRDefault="00BF30F1" w:rsidP="00BF30F1">
      <w:pPr>
        <w:spacing w:line="360" w:lineRule="auto"/>
        <w:jc w:val="both"/>
        <w:rPr>
          <w:rFonts w:ascii="FrankRuehl" w:hAnsi="FrankRuehl" w:cs="FrankRuehl"/>
          <w:sz w:val="28"/>
          <w:szCs w:val="28"/>
          <w:rtl/>
        </w:rPr>
      </w:pPr>
    </w:p>
    <w:p w14:paraId="03F4107A" w14:textId="77777777" w:rsidR="00BF30F1" w:rsidRDefault="00BF30F1" w:rsidP="00BF30F1">
      <w:pPr>
        <w:spacing w:line="360" w:lineRule="auto"/>
        <w:jc w:val="both"/>
        <w:rPr>
          <w:rFonts w:ascii="FrankRuehl" w:hAnsi="FrankRuehl" w:cs="FrankRuehl"/>
          <w:b/>
          <w:bCs/>
          <w:sz w:val="28"/>
          <w:szCs w:val="28"/>
          <w:u w:val="single"/>
          <w:rtl/>
        </w:rPr>
      </w:pPr>
      <w:r>
        <w:rPr>
          <w:rFonts w:ascii="FrankRuehl" w:hAnsi="FrankRuehl" w:cs="FrankRuehl"/>
          <w:b/>
          <w:bCs/>
          <w:sz w:val="28"/>
          <w:szCs w:val="28"/>
          <w:u w:val="single"/>
          <w:rtl/>
        </w:rPr>
        <w:t>ההליך</w:t>
      </w:r>
    </w:p>
    <w:p w14:paraId="4528C55A" w14:textId="77777777" w:rsidR="00BF30F1" w:rsidRDefault="00BF30F1" w:rsidP="00BF30F1">
      <w:pPr>
        <w:spacing w:line="360" w:lineRule="auto"/>
        <w:jc w:val="both"/>
        <w:rPr>
          <w:rFonts w:ascii="FrankRuehl" w:hAnsi="FrankRuehl" w:cs="FrankRuehl"/>
          <w:sz w:val="28"/>
          <w:szCs w:val="28"/>
          <w:rtl/>
        </w:rPr>
      </w:pPr>
      <w:r>
        <w:rPr>
          <w:rFonts w:ascii="FrankRuehl" w:hAnsi="FrankRuehl" w:cs="FrankRuehl"/>
          <w:sz w:val="28"/>
          <w:szCs w:val="28"/>
          <w:rtl/>
        </w:rPr>
        <w:t>ביום 22.5.2018 נעצר הנאשם.</w:t>
      </w:r>
      <w:r>
        <w:rPr>
          <w:rFonts w:ascii="FrankRuehl" w:hAnsi="FrankRuehl" w:cs="FrankRuehl" w:hint="cs"/>
          <w:sz w:val="28"/>
          <w:szCs w:val="28"/>
          <w:rtl/>
        </w:rPr>
        <w:t xml:space="preserve"> </w:t>
      </w:r>
      <w:r>
        <w:rPr>
          <w:rFonts w:ascii="FrankRuehl" w:hAnsi="FrankRuehl" w:cs="FrankRuehl"/>
          <w:sz w:val="28"/>
          <w:szCs w:val="28"/>
          <w:rtl/>
        </w:rPr>
        <w:t>ביום 1.6.2018 הוגשו בעניינו של הנאשם כתב אישום ובקשה למעצרו עד לתום ההליכים נגדו.</w:t>
      </w:r>
      <w:r>
        <w:rPr>
          <w:rFonts w:ascii="FrankRuehl" w:hAnsi="FrankRuehl" w:cs="FrankRuehl" w:hint="cs"/>
          <w:sz w:val="28"/>
          <w:szCs w:val="28"/>
          <w:rtl/>
        </w:rPr>
        <w:t xml:space="preserve"> </w:t>
      </w:r>
      <w:r>
        <w:rPr>
          <w:rFonts w:ascii="FrankRuehl" w:hAnsi="FrankRuehl" w:cs="FrankRuehl"/>
          <w:sz w:val="28"/>
          <w:szCs w:val="28"/>
          <w:rtl/>
        </w:rPr>
        <w:t>ביום 12.7.2018 הוריתי על שחרורו של הנאשם למעצר בית מלא בבית משפחתו, כחלופת ביניים עד לשילובו בקהילה טיפולית אליה הופנה ע"י שירות המבחן.</w:t>
      </w:r>
      <w:r>
        <w:rPr>
          <w:rFonts w:ascii="FrankRuehl" w:hAnsi="FrankRuehl" w:cs="FrankRuehl" w:hint="cs"/>
          <w:sz w:val="28"/>
          <w:szCs w:val="28"/>
          <w:rtl/>
        </w:rPr>
        <w:t xml:space="preserve"> </w:t>
      </w:r>
      <w:r>
        <w:rPr>
          <w:rFonts w:ascii="FrankRuehl" w:hAnsi="FrankRuehl" w:cs="FrankRuehl"/>
          <w:sz w:val="28"/>
          <w:szCs w:val="28"/>
          <w:rtl/>
        </w:rPr>
        <w:t>המדינה עררה על החלטתי וביום 13.7.2019  הורה בית המשפט המחוזי לעבות את החלופה במעצר בפיקוח אלקטרוני (</w:t>
      </w:r>
      <w:hyperlink r:id="rId27" w:history="1">
        <w:r w:rsidR="00453AB7" w:rsidRPr="00453AB7">
          <w:rPr>
            <w:rFonts w:ascii="FrankRuehl" w:hAnsi="FrankRuehl" w:cs="FrankRuehl"/>
            <w:color w:val="0000FF"/>
            <w:sz w:val="28"/>
            <w:szCs w:val="28"/>
            <w:u w:val="single"/>
            <w:rtl/>
          </w:rPr>
          <w:t>עמ"ת 32426-07-18</w:t>
        </w:r>
      </w:hyperlink>
      <w:r>
        <w:rPr>
          <w:rFonts w:ascii="FrankRuehl" w:hAnsi="FrankRuehl" w:cs="FrankRuehl"/>
          <w:sz w:val="28"/>
          <w:szCs w:val="28"/>
          <w:rtl/>
        </w:rPr>
        <w:t>), מועד בו עבר הנאשם לסטטוס של עצור בפיקוח אלקטרוני, אלא שבפועל, עניין זה לא הוסדר, והנאשם למעשה שהה במעצר בית מלא ללא פיקוח אלקטרוני.</w:t>
      </w:r>
      <w:r>
        <w:rPr>
          <w:rFonts w:ascii="FrankRuehl" w:hAnsi="FrankRuehl" w:cs="FrankRuehl" w:hint="cs"/>
          <w:sz w:val="28"/>
          <w:szCs w:val="28"/>
          <w:rtl/>
        </w:rPr>
        <w:t xml:space="preserve"> </w:t>
      </w:r>
      <w:r>
        <w:rPr>
          <w:rFonts w:ascii="FrankRuehl" w:hAnsi="FrankRuehl" w:cs="FrankRuehl"/>
          <w:sz w:val="28"/>
          <w:szCs w:val="28"/>
          <w:rtl/>
        </w:rPr>
        <w:t>ביום 26.8.2018 אישר בית המשפט את יציאתו של הנאשם למכינה קדם צבאית "ניצוץ" במסגרת תהליך טיפולי.</w:t>
      </w:r>
      <w:r>
        <w:rPr>
          <w:rFonts w:ascii="FrankRuehl" w:hAnsi="FrankRuehl" w:cs="FrankRuehl" w:hint="cs"/>
          <w:sz w:val="28"/>
          <w:szCs w:val="28"/>
          <w:rtl/>
        </w:rPr>
        <w:t xml:space="preserve"> </w:t>
      </w:r>
      <w:r>
        <w:rPr>
          <w:rFonts w:ascii="FrankRuehl" w:hAnsi="FrankRuehl" w:cs="FrankRuehl"/>
          <w:sz w:val="28"/>
          <w:szCs w:val="28"/>
          <w:rtl/>
        </w:rPr>
        <w:t>ביום 14.11.2018 הגיעו הצדדים להסדר טיעון ללא הסכמה עונשית, והנאשם הודה והורשע בביצוע העבירות המפורטות בכתב האישום המתוקן.</w:t>
      </w:r>
    </w:p>
    <w:p w14:paraId="4827EDE7" w14:textId="77777777" w:rsidR="00BF30F1" w:rsidRDefault="00BF30F1" w:rsidP="00BF30F1">
      <w:pPr>
        <w:spacing w:line="360" w:lineRule="auto"/>
        <w:jc w:val="both"/>
        <w:rPr>
          <w:rFonts w:ascii="FrankRuehl" w:hAnsi="FrankRuehl" w:cs="FrankRuehl"/>
          <w:sz w:val="28"/>
          <w:szCs w:val="28"/>
          <w:rtl/>
        </w:rPr>
      </w:pPr>
    </w:p>
    <w:p w14:paraId="3EDE9973" w14:textId="77777777" w:rsidR="00BF30F1" w:rsidRDefault="00BF30F1" w:rsidP="00BF30F1">
      <w:pPr>
        <w:spacing w:line="360" w:lineRule="auto"/>
        <w:jc w:val="both"/>
        <w:rPr>
          <w:rFonts w:ascii="FrankRuehl" w:hAnsi="FrankRuehl" w:cs="FrankRuehl"/>
          <w:b/>
          <w:bCs/>
          <w:sz w:val="28"/>
          <w:szCs w:val="28"/>
          <w:u w:val="single"/>
          <w:rtl/>
        </w:rPr>
      </w:pPr>
      <w:r>
        <w:rPr>
          <w:rFonts w:ascii="FrankRuehl" w:hAnsi="FrankRuehl" w:cs="FrankRuehl"/>
          <w:b/>
          <w:bCs/>
          <w:sz w:val="28"/>
          <w:szCs w:val="28"/>
          <w:u w:val="single"/>
          <w:rtl/>
        </w:rPr>
        <w:t>תסקירי שירות המבחן</w:t>
      </w:r>
    </w:p>
    <w:p w14:paraId="7CB1A525" w14:textId="77777777" w:rsidR="00BF30F1" w:rsidRDefault="00BF30F1" w:rsidP="00BF30F1">
      <w:pPr>
        <w:spacing w:line="360" w:lineRule="auto"/>
        <w:jc w:val="both"/>
        <w:rPr>
          <w:rFonts w:ascii="FrankRuehl" w:hAnsi="FrankRuehl" w:cs="FrankRuehl"/>
          <w:sz w:val="28"/>
          <w:szCs w:val="28"/>
          <w:rtl/>
        </w:rPr>
      </w:pPr>
      <w:r>
        <w:rPr>
          <w:rFonts w:ascii="FrankRuehl" w:hAnsi="FrankRuehl" w:cs="FrankRuehl"/>
          <w:sz w:val="28"/>
          <w:szCs w:val="28"/>
          <w:rtl/>
        </w:rPr>
        <w:t xml:space="preserve">בעניינו של הנאשם הוגשו </w:t>
      </w:r>
      <w:r>
        <w:rPr>
          <w:rFonts w:ascii="FrankRuehl" w:hAnsi="FrankRuehl" w:cs="FrankRuehl" w:hint="cs"/>
          <w:sz w:val="28"/>
          <w:szCs w:val="28"/>
          <w:rtl/>
        </w:rPr>
        <w:t>מספר</w:t>
      </w:r>
      <w:r>
        <w:rPr>
          <w:rFonts w:ascii="FrankRuehl" w:hAnsi="FrankRuehl" w:cs="FrankRuehl"/>
          <w:sz w:val="28"/>
          <w:szCs w:val="28"/>
          <w:rtl/>
        </w:rPr>
        <w:t xml:space="preserve"> תסקירים.</w:t>
      </w:r>
    </w:p>
    <w:p w14:paraId="46196A83" w14:textId="77777777" w:rsidR="00BF30F1" w:rsidRDefault="00BF30F1" w:rsidP="00BF30F1">
      <w:pPr>
        <w:spacing w:line="360" w:lineRule="auto"/>
        <w:jc w:val="both"/>
        <w:rPr>
          <w:rFonts w:ascii="FrankRuehl" w:hAnsi="FrankRuehl" w:cs="FrankRuehl"/>
          <w:sz w:val="28"/>
          <w:szCs w:val="28"/>
          <w:rtl/>
        </w:rPr>
      </w:pPr>
    </w:p>
    <w:p w14:paraId="5817F6FC" w14:textId="77777777" w:rsidR="00BF30F1" w:rsidRDefault="00BF30F1" w:rsidP="00BF30F1">
      <w:pPr>
        <w:spacing w:line="360" w:lineRule="auto"/>
        <w:jc w:val="both"/>
        <w:rPr>
          <w:rFonts w:ascii="FrankRuehl" w:hAnsi="FrankRuehl" w:cs="FrankRuehl"/>
          <w:sz w:val="28"/>
          <w:szCs w:val="28"/>
          <w:rtl/>
        </w:rPr>
      </w:pPr>
      <w:r>
        <w:rPr>
          <w:rFonts w:ascii="FrankRuehl" w:hAnsi="FrankRuehl" w:cs="FrankRuehl"/>
          <w:sz w:val="28"/>
          <w:szCs w:val="28"/>
          <w:rtl/>
        </w:rPr>
        <w:t>מהתסקיר שהוגש בחודש מאי 2019 עולה, כי הנאשם הוא בן למשפחה של חוזרים בתשובה, כבן 20 ורווק. טרם מעצרו התגורר בגפו. עד גיל 16 למד הנאשם בישיבה, אך עזב אותה, החל "לחזור בשאלה", מצא עבודה, אך עד מהרה חבר לחברה שלילית והחל לצרוך סמים. ברקע, תהליך גירושים קשה של הוריו וניתוק הקשר עם אביו עד היום. הנאשם תיאר כי בילדותו היה חשוף לאלימות והתעללות, וזכה ליחס קשה מצד החברה, על רקע ההתרחשויות במשפחתו. במהלך שנת 2016 הותקף הנאשם</w:t>
      </w:r>
      <w:r>
        <w:rPr>
          <w:rFonts w:ascii="FrankRuehl" w:hAnsi="FrankRuehl" w:cs="FrankRuehl" w:hint="cs"/>
          <w:sz w:val="28"/>
          <w:szCs w:val="28"/>
          <w:rtl/>
        </w:rPr>
        <w:t>,</w:t>
      </w:r>
      <w:r>
        <w:rPr>
          <w:rFonts w:ascii="FrankRuehl" w:hAnsi="FrankRuehl" w:cs="FrankRuehl"/>
          <w:sz w:val="28"/>
          <w:szCs w:val="28"/>
          <w:rtl/>
        </w:rPr>
        <w:t xml:space="preserve"> </w:t>
      </w:r>
      <w:r>
        <w:rPr>
          <w:rFonts w:ascii="FrankRuehl" w:hAnsi="FrankRuehl" w:cs="FrankRuehl" w:hint="cs"/>
          <w:sz w:val="28"/>
          <w:szCs w:val="28"/>
          <w:rtl/>
        </w:rPr>
        <w:t xml:space="preserve">והדבר </w:t>
      </w:r>
      <w:r>
        <w:rPr>
          <w:rFonts w:ascii="FrankRuehl" w:hAnsi="FrankRuehl" w:cs="FrankRuehl"/>
          <w:sz w:val="28"/>
          <w:szCs w:val="28"/>
          <w:rtl/>
        </w:rPr>
        <w:t>החמיר את מצבו וגרם להעמקה בשימוש בסמים. הנאשם אף ניסה לשים קץ לחייו ואושפז ב"איתנים" במהלך חודש דצמבר 2016. הוא לא אובחן כסובל מבעיה נפשית וש</w:t>
      </w:r>
      <w:r>
        <w:rPr>
          <w:rFonts w:ascii="FrankRuehl" w:hAnsi="FrankRuehl" w:cs="FrankRuehl" w:hint="cs"/>
          <w:sz w:val="28"/>
          <w:szCs w:val="28"/>
          <w:rtl/>
        </w:rPr>
        <w:t>ו</w:t>
      </w:r>
      <w:r>
        <w:rPr>
          <w:rFonts w:ascii="FrankRuehl" w:hAnsi="FrankRuehl" w:cs="FrankRuehl"/>
          <w:sz w:val="28"/>
          <w:szCs w:val="28"/>
          <w:rtl/>
        </w:rPr>
        <w:t xml:space="preserve">חרר לאחר תקופה קצרה. במסגרת הליך המעצר שתואר לעיל, שולב הנאשם במכינה קדם צבאית לנוער חרדי בסיכון בשם "ניצוץ". במסגרת זו עבר טיפולים, שיחות וייעוץ, כשבמקביל המשיך לקבל טיפול בשירות המבחן ולמסור בדיקות שתן – שכולן נמצאו נקיות מסמים. לדברי שירות המבחן, הנאשם </w:t>
      </w:r>
      <w:r>
        <w:rPr>
          <w:rFonts w:ascii="FrankRuehl" w:hAnsi="FrankRuehl" w:cs="FrankRuehl" w:hint="cs"/>
          <w:sz w:val="28"/>
          <w:szCs w:val="28"/>
          <w:rtl/>
        </w:rPr>
        <w:t>קיבל</w:t>
      </w:r>
      <w:r>
        <w:rPr>
          <w:rFonts w:ascii="FrankRuehl" w:hAnsi="FrankRuehl" w:cs="FrankRuehl"/>
          <w:sz w:val="28"/>
          <w:szCs w:val="28"/>
          <w:rtl/>
        </w:rPr>
        <w:t xml:space="preserve"> אחריות מלאה למעשיו, השתלב היטב בטיפול והוא מפיק ממנו את המירב, כאשר לשהותו ב"ניצוץ" משמעות רבה עבורו. במועד הגשת התסקיר המליץ שירות המבחן על המשך שהותו של הנאשם ב"ניצוץ", מתוך מחשבה כי לאחר שיסיים את המסגרת כחניך, יוכל להשתלב בה כמדריך במסגרת שירות לאומי. משום כך, נדחה הדיון.</w:t>
      </w:r>
    </w:p>
    <w:p w14:paraId="2A6B01C2" w14:textId="77777777" w:rsidR="00BF30F1" w:rsidRDefault="00BF30F1" w:rsidP="00BF30F1">
      <w:pPr>
        <w:spacing w:line="360" w:lineRule="auto"/>
        <w:jc w:val="both"/>
        <w:rPr>
          <w:rFonts w:ascii="FrankRuehl" w:hAnsi="FrankRuehl" w:cs="FrankRuehl"/>
          <w:sz w:val="28"/>
          <w:szCs w:val="28"/>
          <w:rtl/>
        </w:rPr>
      </w:pPr>
    </w:p>
    <w:p w14:paraId="662F2BA4" w14:textId="77777777" w:rsidR="00BF30F1" w:rsidRDefault="00BF30F1" w:rsidP="00BF30F1">
      <w:pPr>
        <w:spacing w:line="360" w:lineRule="auto"/>
        <w:jc w:val="both"/>
        <w:rPr>
          <w:rFonts w:ascii="FrankRuehl" w:hAnsi="FrankRuehl" w:cs="FrankRuehl"/>
          <w:sz w:val="28"/>
          <w:szCs w:val="28"/>
          <w:rtl/>
        </w:rPr>
      </w:pPr>
      <w:r>
        <w:rPr>
          <w:rFonts w:ascii="FrankRuehl" w:hAnsi="FrankRuehl" w:cs="FrankRuehl"/>
          <w:sz w:val="28"/>
          <w:szCs w:val="28"/>
          <w:rtl/>
        </w:rPr>
        <w:t xml:space="preserve">בתסקיר הנוסף שהוגש </w:t>
      </w:r>
      <w:r>
        <w:rPr>
          <w:rFonts w:ascii="FrankRuehl" w:hAnsi="FrankRuehl" w:cs="FrankRuehl" w:hint="cs"/>
          <w:sz w:val="28"/>
          <w:szCs w:val="28"/>
          <w:rtl/>
        </w:rPr>
        <w:t xml:space="preserve">בחודש </w:t>
      </w:r>
      <w:r>
        <w:rPr>
          <w:rFonts w:ascii="FrankRuehl" w:hAnsi="FrankRuehl" w:cs="FrankRuehl"/>
          <w:sz w:val="28"/>
          <w:szCs w:val="28"/>
          <w:rtl/>
        </w:rPr>
        <w:t>ספטמבר 2019</w:t>
      </w:r>
      <w:r>
        <w:rPr>
          <w:rFonts w:ascii="FrankRuehl" w:hAnsi="FrankRuehl" w:cs="FrankRuehl" w:hint="cs"/>
          <w:sz w:val="28"/>
          <w:szCs w:val="28"/>
          <w:rtl/>
        </w:rPr>
        <w:t>,</w:t>
      </w:r>
      <w:r>
        <w:rPr>
          <w:rFonts w:ascii="FrankRuehl" w:hAnsi="FrankRuehl" w:cs="FrankRuehl"/>
          <w:sz w:val="28"/>
          <w:szCs w:val="28"/>
          <w:rtl/>
        </w:rPr>
        <w:t xml:space="preserve"> עמד שירות המבחן על כך שהנאשם סיים את התהליך הטיפולי ב"ניצוץ" בהצלחה רבה, ולא רק זאת, אלא שבפועל, החל לשמש מדריך מתנדב במקום במסגרת שירות לאומי. מעבר לכך, הנאשם נשא לאשה את חברתו מזה שנה, והוא מעוניין להשתלב בהמשך בלימודים אקדמיים, לצד אשתו, וכן לעבוד בשירות המדינה. שירות המבחן עמד על כברת הדרך המשמעותית ביותר שעבר הנאשם, על השינוי בדפוסי חשיבתו והתנהגותו, שיתוף הפעולה שלו עם השירות לאורך התהליך הטיפולי, והערכת הצוות ב"ניצוץ" כי מדובר באדם בעל יכולות רבות, מוטיבציה לשינוי ושיקום, הנוקט גישה פעילה ויוזמת בכל הנוגע לתפקידו במקום. שירות המבחן סבר, כי למרות חומרת העבירה, דרכו של הנאשם להשתקם, גילו הצעיר, היעדר הפרת תנאים לרבות מתן בדיקות שתן נקיות לאורך תקופה ארוכה, ושאיפותיו לעתיד, יש מקום לבטל את ההרשעה, ולהסתפק בהטלת 280 שעות של"ץ וצו מבחן, כעונש מוחשי וחינוכי כאחד.</w:t>
      </w:r>
    </w:p>
    <w:p w14:paraId="3AAA2D50" w14:textId="77777777" w:rsidR="00BF30F1" w:rsidRDefault="00BF30F1" w:rsidP="00BF30F1">
      <w:pPr>
        <w:spacing w:line="360" w:lineRule="auto"/>
        <w:jc w:val="both"/>
        <w:rPr>
          <w:rFonts w:ascii="FrankRuehl" w:hAnsi="FrankRuehl" w:cs="FrankRuehl"/>
          <w:sz w:val="28"/>
          <w:szCs w:val="28"/>
          <w:rtl/>
        </w:rPr>
      </w:pPr>
    </w:p>
    <w:p w14:paraId="2D991DC5" w14:textId="77777777" w:rsidR="00BF30F1" w:rsidRDefault="00BF30F1" w:rsidP="00BF30F1">
      <w:pPr>
        <w:spacing w:line="360" w:lineRule="auto"/>
        <w:jc w:val="both"/>
        <w:rPr>
          <w:rFonts w:ascii="FrankRuehl" w:hAnsi="FrankRuehl" w:cs="FrankRuehl"/>
          <w:sz w:val="28"/>
          <w:szCs w:val="28"/>
          <w:rtl/>
        </w:rPr>
      </w:pPr>
      <w:r>
        <w:rPr>
          <w:rFonts w:ascii="FrankRuehl" w:hAnsi="FrankRuehl" w:cs="FrankRuehl" w:hint="cs"/>
          <w:sz w:val="28"/>
          <w:szCs w:val="28"/>
          <w:rtl/>
        </w:rPr>
        <w:t>מהתסקיר שהוגש בחודש מרץ 2020 עולה, כי הנאשם מתמיד בטיפול, ומהווה דמות משמעותית לחניכים במסגרת התנדבותו ב"ניצוץ", שם הוא מוערך מאוד. לצד זאת התברר, כי הנאשם היה מעורב בשני תיקים תעבורתיים פליליים במהלך תקופת הדחיה, דבר שעורר אצל שירות המבחן את החשש שהנאשם מתנהל באופן מניפולטיבי אל מול גורמי הטיפול ומצייר לפניהם תמונה חיובית מאשר היא באמת. נוכח זאת, שירות המבחן ביקש דחייה של ארבעה חודשים לשוב ולשקול מחדש את עמדתו ביחס לנאשם.</w:t>
      </w:r>
    </w:p>
    <w:p w14:paraId="6617E1E2" w14:textId="77777777" w:rsidR="00BF30F1" w:rsidRDefault="00BF30F1" w:rsidP="00BF30F1">
      <w:pPr>
        <w:spacing w:line="360" w:lineRule="auto"/>
        <w:jc w:val="both"/>
        <w:rPr>
          <w:rFonts w:ascii="FrankRuehl" w:hAnsi="FrankRuehl" w:cs="FrankRuehl"/>
          <w:sz w:val="28"/>
          <w:szCs w:val="28"/>
          <w:rtl/>
        </w:rPr>
      </w:pPr>
    </w:p>
    <w:p w14:paraId="3D419AB4" w14:textId="77777777" w:rsidR="00BF30F1" w:rsidRDefault="00BF30F1" w:rsidP="00BF30F1">
      <w:pPr>
        <w:spacing w:line="360" w:lineRule="auto"/>
        <w:jc w:val="both"/>
        <w:rPr>
          <w:rFonts w:ascii="FrankRuehl" w:hAnsi="FrankRuehl" w:cs="FrankRuehl"/>
          <w:sz w:val="28"/>
          <w:szCs w:val="28"/>
          <w:rtl/>
        </w:rPr>
      </w:pPr>
      <w:r>
        <w:rPr>
          <w:rFonts w:ascii="FrankRuehl" w:hAnsi="FrankRuehl" w:cs="FrankRuehl" w:hint="cs"/>
          <w:sz w:val="28"/>
          <w:szCs w:val="28"/>
          <w:rtl/>
        </w:rPr>
        <w:t xml:space="preserve">מהתסקיר שהוגש בחודש יוני 2020 עולה, כי הנאשם המשיך בטיפול במסגרת "ניצוץ", אלא שגורמי הטיפול חשו את מיצויו של אפיק זה, בעיקר לנוכח מעורבותו של הנאשם בפלילים ושהותו במעצר בית במסגרת תיק אחר. שירות המבחן סבר כי יש לסיים את ההליך בהטלת עונש מאסר קצר לריצוי בעבודות שירות וענישה נלווית, וזאת לאחר ספטמבר, מועד בו צפוי להסתיים השירות הלאומי של הנאשם. </w:t>
      </w:r>
    </w:p>
    <w:p w14:paraId="18D8D20C" w14:textId="77777777" w:rsidR="00BF30F1" w:rsidRDefault="00BF30F1" w:rsidP="00BF30F1">
      <w:pPr>
        <w:spacing w:line="360" w:lineRule="auto"/>
        <w:jc w:val="both"/>
        <w:rPr>
          <w:rFonts w:ascii="FrankRuehl" w:hAnsi="FrankRuehl" w:cs="FrankRuehl"/>
          <w:sz w:val="28"/>
          <w:szCs w:val="28"/>
          <w:rtl/>
        </w:rPr>
      </w:pPr>
    </w:p>
    <w:p w14:paraId="50FEC3FD" w14:textId="77777777" w:rsidR="00BF30F1" w:rsidRDefault="00BF30F1" w:rsidP="00BF30F1">
      <w:pPr>
        <w:spacing w:line="360" w:lineRule="auto"/>
        <w:jc w:val="both"/>
        <w:rPr>
          <w:rFonts w:ascii="FrankRuehl" w:hAnsi="FrankRuehl" w:cs="FrankRuehl"/>
          <w:sz w:val="28"/>
          <w:szCs w:val="28"/>
          <w:rtl/>
        </w:rPr>
      </w:pPr>
    </w:p>
    <w:p w14:paraId="58B1B280" w14:textId="77777777" w:rsidR="00BF30F1" w:rsidRPr="00C415CD" w:rsidRDefault="00BF30F1" w:rsidP="00BF30F1">
      <w:pPr>
        <w:spacing w:line="360" w:lineRule="auto"/>
        <w:jc w:val="both"/>
        <w:rPr>
          <w:rFonts w:ascii="FrankRuehl" w:hAnsi="FrankRuehl" w:cs="FrankRuehl"/>
          <w:b/>
          <w:bCs/>
          <w:sz w:val="28"/>
          <w:szCs w:val="28"/>
          <w:u w:val="single"/>
          <w:rtl/>
        </w:rPr>
      </w:pPr>
      <w:r w:rsidRPr="00C415CD">
        <w:rPr>
          <w:rFonts w:ascii="FrankRuehl" w:hAnsi="FrankRuehl" w:cs="FrankRuehl" w:hint="cs"/>
          <w:b/>
          <w:bCs/>
          <w:sz w:val="28"/>
          <w:szCs w:val="28"/>
          <w:u w:val="single"/>
          <w:rtl/>
        </w:rPr>
        <w:t>חוות דעת הממונה על עבודות השירות</w:t>
      </w:r>
    </w:p>
    <w:p w14:paraId="3419C06D" w14:textId="77777777" w:rsidR="00BF30F1" w:rsidRDefault="00BF30F1" w:rsidP="00BF30F1">
      <w:pPr>
        <w:spacing w:line="360" w:lineRule="auto"/>
        <w:jc w:val="both"/>
        <w:rPr>
          <w:rFonts w:ascii="FrankRuehl" w:hAnsi="FrankRuehl" w:cs="FrankRuehl"/>
          <w:sz w:val="28"/>
          <w:szCs w:val="28"/>
          <w:rtl/>
        </w:rPr>
      </w:pPr>
      <w:r>
        <w:rPr>
          <w:rFonts w:ascii="FrankRuehl" w:hAnsi="FrankRuehl" w:cs="FrankRuehl" w:hint="cs"/>
          <w:sz w:val="28"/>
          <w:szCs w:val="28"/>
          <w:rtl/>
        </w:rPr>
        <w:t>הנאשם נמצא כשיר לביצוע עבודות שירות במרכז לרכיבה טיפולית בירושלים, החל מיום 24.6.2021.</w:t>
      </w:r>
    </w:p>
    <w:p w14:paraId="5AF7ECF6" w14:textId="77777777" w:rsidR="00BF30F1" w:rsidRDefault="00BF30F1" w:rsidP="00BF30F1">
      <w:pPr>
        <w:spacing w:line="360" w:lineRule="auto"/>
        <w:jc w:val="both"/>
        <w:rPr>
          <w:rFonts w:ascii="FrankRuehl" w:hAnsi="FrankRuehl" w:cs="FrankRuehl"/>
          <w:b/>
          <w:bCs/>
          <w:sz w:val="28"/>
          <w:szCs w:val="28"/>
          <w:u w:val="single"/>
          <w:rtl/>
        </w:rPr>
      </w:pPr>
    </w:p>
    <w:p w14:paraId="744A91A0" w14:textId="77777777" w:rsidR="00BF30F1" w:rsidRDefault="00BF30F1" w:rsidP="00BF30F1">
      <w:pPr>
        <w:spacing w:line="360" w:lineRule="auto"/>
        <w:jc w:val="both"/>
        <w:rPr>
          <w:rFonts w:ascii="FrankRuehl" w:hAnsi="FrankRuehl" w:cs="FrankRuehl"/>
          <w:b/>
          <w:bCs/>
          <w:sz w:val="28"/>
          <w:szCs w:val="28"/>
          <w:u w:val="single"/>
          <w:rtl/>
        </w:rPr>
      </w:pPr>
      <w:r>
        <w:rPr>
          <w:rFonts w:ascii="FrankRuehl" w:hAnsi="FrankRuehl" w:cs="FrankRuehl"/>
          <w:b/>
          <w:bCs/>
          <w:sz w:val="28"/>
          <w:szCs w:val="28"/>
          <w:u w:val="single"/>
          <w:rtl/>
        </w:rPr>
        <w:t>טיעונים לעונש</w:t>
      </w:r>
    </w:p>
    <w:p w14:paraId="6BC1956B" w14:textId="77777777" w:rsidR="00BF30F1" w:rsidRDefault="00BF30F1" w:rsidP="00BF30F1">
      <w:pPr>
        <w:spacing w:line="360" w:lineRule="auto"/>
        <w:jc w:val="both"/>
        <w:rPr>
          <w:rFonts w:ascii="FrankRuehl" w:hAnsi="FrankRuehl" w:cs="FrankRuehl"/>
          <w:sz w:val="28"/>
          <w:szCs w:val="28"/>
          <w:rtl/>
        </w:rPr>
      </w:pPr>
      <w:r>
        <w:rPr>
          <w:rFonts w:ascii="FrankRuehl" w:hAnsi="FrankRuehl" w:cs="FrankRuehl"/>
          <w:sz w:val="28"/>
          <w:szCs w:val="28"/>
          <w:rtl/>
        </w:rPr>
        <w:t xml:space="preserve">הצדדים לא הגיעו להסכמה עונשית. </w:t>
      </w:r>
    </w:p>
    <w:p w14:paraId="7C8E1218" w14:textId="77777777" w:rsidR="00BF30F1" w:rsidRDefault="00BF30F1" w:rsidP="00BF30F1">
      <w:pPr>
        <w:spacing w:line="360" w:lineRule="auto"/>
        <w:jc w:val="both"/>
        <w:rPr>
          <w:rFonts w:ascii="FrankRuehl" w:hAnsi="FrankRuehl" w:cs="FrankRuehl"/>
          <w:sz w:val="28"/>
          <w:szCs w:val="28"/>
          <w:rtl/>
        </w:rPr>
      </w:pPr>
      <w:r>
        <w:rPr>
          <w:rFonts w:ascii="FrankRuehl" w:hAnsi="FrankRuehl" w:cs="FrankRuehl"/>
          <w:sz w:val="28"/>
          <w:szCs w:val="28"/>
          <w:rtl/>
        </w:rPr>
        <w:t xml:space="preserve">מחד, </w:t>
      </w:r>
      <w:r>
        <w:rPr>
          <w:rFonts w:ascii="FrankRuehl" w:hAnsi="FrankRuehl" w:cs="FrankRuehl" w:hint="cs"/>
          <w:sz w:val="28"/>
          <w:szCs w:val="28"/>
          <w:rtl/>
        </w:rPr>
        <w:t xml:space="preserve">ב"כ </w:t>
      </w:r>
      <w:r>
        <w:rPr>
          <w:rFonts w:ascii="FrankRuehl" w:hAnsi="FrankRuehl" w:cs="FrankRuehl"/>
          <w:sz w:val="28"/>
          <w:szCs w:val="28"/>
          <w:rtl/>
        </w:rPr>
        <w:t xml:space="preserve">המאשימה </w:t>
      </w:r>
      <w:r>
        <w:rPr>
          <w:rFonts w:ascii="FrankRuehl" w:hAnsi="FrankRuehl" w:cs="FrankRuehl" w:hint="cs"/>
          <w:sz w:val="28"/>
          <w:szCs w:val="28"/>
          <w:rtl/>
        </w:rPr>
        <w:t xml:space="preserve">עתר להטיל על הנאשם מאסר בתחתית המתחמים להם טען נוכח התהליך השיקומי שעבר הנאשם, וענישה נלווית. </w:t>
      </w:r>
    </w:p>
    <w:p w14:paraId="71591608" w14:textId="77777777" w:rsidR="00BF30F1" w:rsidRDefault="00BF30F1" w:rsidP="00BF30F1">
      <w:pPr>
        <w:spacing w:line="360" w:lineRule="auto"/>
        <w:jc w:val="both"/>
        <w:rPr>
          <w:rFonts w:ascii="FrankRuehl" w:hAnsi="FrankRuehl" w:cs="FrankRuehl"/>
          <w:sz w:val="28"/>
          <w:szCs w:val="28"/>
          <w:rtl/>
        </w:rPr>
      </w:pPr>
      <w:r w:rsidRPr="00995C22">
        <w:rPr>
          <w:rFonts w:ascii="FrankRuehl" w:hAnsi="FrankRuehl" w:cs="FrankRuehl"/>
          <w:sz w:val="28"/>
          <w:szCs w:val="28"/>
          <w:rtl/>
        </w:rPr>
        <w:t xml:space="preserve">מאידך, הסניגור </w:t>
      </w:r>
      <w:r w:rsidRPr="00995C22">
        <w:rPr>
          <w:rFonts w:ascii="FrankRuehl" w:hAnsi="FrankRuehl" w:cs="FrankRuehl" w:hint="cs"/>
          <w:sz w:val="28"/>
          <w:szCs w:val="28"/>
          <w:rtl/>
        </w:rPr>
        <w:t>ביקש לחרוג ממתחמי הענישה בשל השיקום המשמעותי שעבר הנאשם, לבטל את הרשעת</w:t>
      </w:r>
      <w:r>
        <w:rPr>
          <w:rFonts w:ascii="FrankRuehl" w:hAnsi="FrankRuehl" w:cs="FrankRuehl" w:hint="cs"/>
          <w:sz w:val="28"/>
          <w:szCs w:val="28"/>
          <w:rtl/>
        </w:rPr>
        <w:t xml:space="preserve">ו </w:t>
      </w:r>
      <w:r w:rsidRPr="00995C22">
        <w:rPr>
          <w:rFonts w:ascii="FrankRuehl" w:hAnsi="FrankRuehl" w:cs="FrankRuehl" w:hint="cs"/>
          <w:sz w:val="28"/>
          <w:szCs w:val="28"/>
          <w:rtl/>
        </w:rPr>
        <w:t xml:space="preserve">ובהתאם להטיל עליו עונש של של"ץ. </w:t>
      </w:r>
      <w:r>
        <w:rPr>
          <w:rFonts w:ascii="FrankRuehl" w:hAnsi="FrankRuehl" w:cs="FrankRuehl" w:hint="cs"/>
          <w:sz w:val="28"/>
          <w:szCs w:val="28"/>
          <w:rtl/>
        </w:rPr>
        <w:t xml:space="preserve">הוצגו לי תעודות הערכה ומכתבי המלצה והנאשם סיפר על קורותיו בשנים האחרונות ועל המאמצים שביצע כדי להתקדם. </w:t>
      </w:r>
    </w:p>
    <w:p w14:paraId="01AF1FBB" w14:textId="77777777" w:rsidR="00BF30F1" w:rsidRDefault="00BF30F1" w:rsidP="00BF30F1">
      <w:pPr>
        <w:spacing w:line="360" w:lineRule="auto"/>
        <w:jc w:val="both"/>
        <w:rPr>
          <w:rFonts w:ascii="FrankRuehl" w:hAnsi="FrankRuehl" w:cs="FrankRuehl"/>
          <w:sz w:val="28"/>
          <w:szCs w:val="28"/>
          <w:rtl/>
        </w:rPr>
      </w:pPr>
    </w:p>
    <w:p w14:paraId="3660EEEC" w14:textId="77777777" w:rsidR="00BF30F1" w:rsidRDefault="00BF30F1" w:rsidP="00BF30F1">
      <w:pPr>
        <w:spacing w:line="360" w:lineRule="auto"/>
        <w:jc w:val="both"/>
        <w:rPr>
          <w:rFonts w:ascii="FrankRuehl" w:hAnsi="FrankRuehl" w:cs="FrankRuehl"/>
          <w:sz w:val="28"/>
          <w:szCs w:val="28"/>
          <w:rtl/>
        </w:rPr>
      </w:pPr>
      <w:r>
        <w:rPr>
          <w:rFonts w:ascii="FrankRuehl" w:hAnsi="FrankRuehl" w:cs="FrankRuehl"/>
          <w:b/>
          <w:bCs/>
          <w:sz w:val="28"/>
          <w:szCs w:val="28"/>
          <w:u w:val="single"/>
          <w:rtl/>
        </w:rPr>
        <w:t>קביעת מתחם הענישה</w:t>
      </w:r>
      <w:r>
        <w:rPr>
          <w:rFonts w:ascii="FrankRuehl" w:hAnsi="FrankRuehl" w:cs="FrankRuehl"/>
          <w:sz w:val="28"/>
          <w:szCs w:val="28"/>
          <w:rtl/>
        </w:rPr>
        <w:t xml:space="preserve"> – מתחם הענישה צריך להתייחס לעקרון ההלימה, הנוגע ליחס לערך החברתי המוגן, מידת הפגיעה בו, מדיניות הענישה הנוהגת ונסיבות ביצוע העבירה.  </w:t>
      </w:r>
    </w:p>
    <w:p w14:paraId="3FBAB119" w14:textId="77777777" w:rsidR="00BF30F1" w:rsidRDefault="00BF30F1" w:rsidP="00BF30F1">
      <w:pPr>
        <w:spacing w:line="360" w:lineRule="auto"/>
        <w:jc w:val="both"/>
        <w:rPr>
          <w:rFonts w:ascii="FrankRuehl" w:hAnsi="FrankRuehl" w:cs="FrankRuehl"/>
          <w:sz w:val="28"/>
          <w:szCs w:val="28"/>
          <w:rtl/>
        </w:rPr>
      </w:pPr>
    </w:p>
    <w:p w14:paraId="7828E2FF" w14:textId="77777777" w:rsidR="00BF30F1" w:rsidRDefault="00BF30F1" w:rsidP="00BF30F1">
      <w:pPr>
        <w:spacing w:line="360" w:lineRule="auto"/>
        <w:jc w:val="both"/>
        <w:rPr>
          <w:rFonts w:ascii="FrankRuehl" w:hAnsi="FrankRuehl" w:cs="FrankRuehl"/>
          <w:sz w:val="28"/>
          <w:szCs w:val="28"/>
          <w:rtl/>
        </w:rPr>
      </w:pPr>
      <w:r>
        <w:rPr>
          <w:rFonts w:ascii="FrankRuehl" w:hAnsi="FrankRuehl" w:cs="FrankRuehl"/>
          <w:b/>
          <w:bCs/>
          <w:sz w:val="28"/>
          <w:szCs w:val="28"/>
          <w:u w:val="single"/>
          <w:rtl/>
        </w:rPr>
        <w:t>אשר לערך המוגן</w:t>
      </w:r>
      <w:r>
        <w:rPr>
          <w:rFonts w:ascii="FrankRuehl" w:hAnsi="FrankRuehl" w:cs="FrankRuehl"/>
          <w:sz w:val="28"/>
          <w:szCs w:val="28"/>
          <w:rtl/>
        </w:rPr>
        <w:t xml:space="preserve"> – העבירות אותן עבר הנאשם פוגעות בערך המוגן של שלום הציבור ובריאותו. צריכה עצמית של סמים היא גרועה, ועל אחת כמה וכמה קשה היא  הפצת הסמים באמצעות סחר, והחטאת אחרים לכדי סחר בסמים בעצמם. ב</w:t>
      </w:r>
      <w:hyperlink r:id="rId28" w:history="1">
        <w:r w:rsidR="00453AB7" w:rsidRPr="00453AB7">
          <w:rPr>
            <w:rFonts w:ascii="FrankRuehl" w:hAnsi="FrankRuehl" w:cs="FrankRuehl"/>
            <w:color w:val="0000FF"/>
            <w:sz w:val="28"/>
            <w:szCs w:val="28"/>
            <w:u w:val="single"/>
            <w:rtl/>
          </w:rPr>
          <w:t>ע"פ 2596/18</w:t>
        </w:r>
      </w:hyperlink>
      <w:r>
        <w:rPr>
          <w:rFonts w:ascii="FrankRuehl" w:hAnsi="FrankRuehl" w:cs="FrankRuehl"/>
          <w:sz w:val="28"/>
          <w:szCs w:val="28"/>
          <w:rtl/>
        </w:rPr>
        <w:t xml:space="preserve"> </w:t>
      </w:r>
      <w:r w:rsidRPr="00FF092A">
        <w:rPr>
          <w:rFonts w:ascii="FrankRuehl" w:hAnsi="FrankRuehl" w:cs="FrankRuehl"/>
          <w:b/>
          <w:bCs/>
          <w:sz w:val="28"/>
          <w:szCs w:val="28"/>
          <w:u w:val="single"/>
          <w:rtl/>
        </w:rPr>
        <w:t>זנזורי</w:t>
      </w:r>
      <w:r>
        <w:rPr>
          <w:rFonts w:ascii="FrankRuehl" w:hAnsi="FrankRuehl" w:cs="FrankRuehl"/>
          <w:sz w:val="28"/>
          <w:szCs w:val="28"/>
          <w:rtl/>
        </w:rPr>
        <w:t xml:space="preserve"> נ' </w:t>
      </w:r>
      <w:r w:rsidRPr="00FF092A">
        <w:rPr>
          <w:rFonts w:ascii="FrankRuehl" w:hAnsi="FrankRuehl" w:cs="FrankRuehl"/>
          <w:b/>
          <w:bCs/>
          <w:sz w:val="28"/>
          <w:szCs w:val="28"/>
          <w:u w:val="single"/>
          <w:rtl/>
        </w:rPr>
        <w:t>מ"י</w:t>
      </w:r>
      <w:r>
        <w:rPr>
          <w:rFonts w:ascii="FrankRuehl" w:hAnsi="FrankRuehl" w:cs="FrankRuehl"/>
          <w:sz w:val="28"/>
          <w:szCs w:val="28"/>
          <w:rtl/>
        </w:rPr>
        <w:t xml:space="preserve"> (מיום 12.8.2018)  עמד בית המשפט על החומרה של ביצוע עבירות סחר בסמים מסוג קנביס באמצעות הטלגראס ודומיה, ועל הצורך בענישה מוחשית, גם אם מדובר ב"סם קל" (ר' פסקה 8 מפי כב' השופט עמית). במעשיו, פגע הנאשם במידה ניכרת בערכים המוגנים. </w:t>
      </w:r>
    </w:p>
    <w:p w14:paraId="53994573" w14:textId="77777777" w:rsidR="00BF30F1" w:rsidRDefault="00BF30F1" w:rsidP="00BF30F1">
      <w:pPr>
        <w:spacing w:line="360" w:lineRule="auto"/>
        <w:jc w:val="both"/>
        <w:rPr>
          <w:rFonts w:ascii="FrankRuehl" w:hAnsi="FrankRuehl" w:cs="FrankRuehl"/>
          <w:sz w:val="28"/>
          <w:szCs w:val="28"/>
          <w:rtl/>
        </w:rPr>
      </w:pPr>
    </w:p>
    <w:p w14:paraId="3A0A2D83" w14:textId="77777777" w:rsidR="00BF30F1" w:rsidRDefault="00BF30F1" w:rsidP="00BF30F1">
      <w:pPr>
        <w:spacing w:line="360" w:lineRule="auto"/>
        <w:jc w:val="both"/>
        <w:rPr>
          <w:rFonts w:ascii="FrankRuehl" w:hAnsi="FrankRuehl" w:cs="FrankRuehl"/>
          <w:sz w:val="28"/>
          <w:szCs w:val="28"/>
          <w:rtl/>
        </w:rPr>
      </w:pPr>
      <w:r>
        <w:rPr>
          <w:rFonts w:ascii="FrankRuehl" w:hAnsi="FrankRuehl" w:cs="FrankRuehl"/>
          <w:sz w:val="28"/>
          <w:szCs w:val="28"/>
          <w:rtl/>
        </w:rPr>
        <w:t>נ</w:t>
      </w:r>
      <w:r>
        <w:rPr>
          <w:rFonts w:ascii="FrankRuehl" w:hAnsi="FrankRuehl" w:cs="FrankRuehl"/>
          <w:b/>
          <w:bCs/>
          <w:sz w:val="28"/>
          <w:szCs w:val="28"/>
          <w:u w:val="single"/>
          <w:rtl/>
        </w:rPr>
        <w:t xml:space="preserve">סיבות הקשורות בביצוע העבירה, לפי </w:t>
      </w:r>
      <w:hyperlink r:id="rId29" w:history="1">
        <w:r w:rsidR="00D171CE" w:rsidRPr="00D171CE">
          <w:rPr>
            <w:rStyle w:val="Hyperlink"/>
            <w:rFonts w:ascii="FrankRuehl" w:hAnsi="FrankRuehl" w:cs="FrankRuehl"/>
            <w:b/>
            <w:bCs/>
            <w:sz w:val="28"/>
            <w:szCs w:val="28"/>
            <w:rtl/>
          </w:rPr>
          <w:t>סעיף 40ט'</w:t>
        </w:r>
      </w:hyperlink>
      <w:r>
        <w:rPr>
          <w:rFonts w:ascii="FrankRuehl" w:hAnsi="FrankRuehl" w:cs="FrankRuehl"/>
          <w:b/>
          <w:bCs/>
          <w:sz w:val="28"/>
          <w:szCs w:val="28"/>
          <w:u w:val="single"/>
          <w:rtl/>
        </w:rPr>
        <w:t xml:space="preserve"> לחוק</w:t>
      </w:r>
      <w:r>
        <w:rPr>
          <w:rFonts w:ascii="FrankRuehl" w:hAnsi="FrankRuehl" w:cs="FrankRuehl"/>
          <w:sz w:val="28"/>
          <w:szCs w:val="28"/>
          <w:rtl/>
        </w:rPr>
        <w:t>– בין הנסיבות הקשורות בביצוע העבירה יש לשקול את אלה, לעניין קביעת המתחם: מדובר בעבירות מתוכננות שבוצעו בתחכום ובצוותא מספר רב של פעמים תמורת בצע כסף ותוך חלוקת עבודה בין המעורבים, כשהנאשם הוא הגורם הדומיננטי, המוביל והמשדל; הנזק ממעשים שכאל</w:t>
      </w:r>
      <w:r>
        <w:rPr>
          <w:rFonts w:ascii="FrankRuehl" w:hAnsi="FrankRuehl" w:cs="FrankRuehl" w:hint="cs"/>
          <w:sz w:val="28"/>
          <w:szCs w:val="28"/>
          <w:rtl/>
        </w:rPr>
        <w:t>ה הוא רב</w:t>
      </w:r>
      <w:r>
        <w:rPr>
          <w:rFonts w:ascii="FrankRuehl" w:hAnsi="FrankRuehl" w:cs="FrankRuehl"/>
          <w:sz w:val="28"/>
          <w:szCs w:val="28"/>
          <w:rtl/>
        </w:rPr>
        <w:t xml:space="preserve">, כאשר מדובר בצרכנים שונים שאין בינם לבין הנאשם הכרות מוקדמת, </w:t>
      </w:r>
      <w:r>
        <w:rPr>
          <w:rFonts w:ascii="FrankRuehl" w:hAnsi="FrankRuehl" w:cs="FrankRuehl" w:hint="cs"/>
          <w:sz w:val="28"/>
          <w:szCs w:val="28"/>
          <w:rtl/>
        </w:rPr>
        <w:t>וכש</w:t>
      </w:r>
      <w:r>
        <w:rPr>
          <w:rFonts w:ascii="FrankRuehl" w:hAnsi="FrankRuehl" w:cs="FrankRuehl"/>
          <w:sz w:val="28"/>
          <w:szCs w:val="28"/>
          <w:rtl/>
        </w:rPr>
        <w:t>המעשים מסייעים בהפצת הסם למעגלים נוספים. אלמלא נתפס הנאשם (וככל שהנראה, זהו האירוע הטוב ביותר שאירע בחייו הבוגרים עד כה)</w:t>
      </w:r>
      <w:r>
        <w:rPr>
          <w:rFonts w:ascii="FrankRuehl" w:hAnsi="FrankRuehl" w:cs="FrankRuehl" w:hint="cs"/>
          <w:sz w:val="28"/>
          <w:szCs w:val="28"/>
          <w:rtl/>
        </w:rPr>
        <w:t>,</w:t>
      </w:r>
      <w:r>
        <w:rPr>
          <w:rFonts w:ascii="FrankRuehl" w:hAnsi="FrankRuehl" w:cs="FrankRuehl"/>
          <w:sz w:val="28"/>
          <w:szCs w:val="28"/>
          <w:rtl/>
        </w:rPr>
        <w:t xml:space="preserve"> נדמה כי היה ממשיך בשלו, ומכאן גם פוטנציאל הנזק; בעת ביצוע המעשים היה נאשם כבן 19, עובדה שיש בה ללמד על חוסר שיקול הדעת המאפיין לעתים קרובות, אנשים צעירים בגילו של הנאשם, הנמצאים בתווך שבין סיום תקופת הנערות ובתחילת תקופת הבגרות – יש לכך השלכה ישירה על מידת הבנת הנאשם את חומרת המעשים בעת עשייתם, וזהו שיקול לקולא.</w:t>
      </w:r>
    </w:p>
    <w:p w14:paraId="3380C12C" w14:textId="77777777" w:rsidR="00BF30F1" w:rsidRDefault="00BF30F1" w:rsidP="00BF30F1">
      <w:pPr>
        <w:spacing w:line="360" w:lineRule="auto"/>
        <w:jc w:val="both"/>
        <w:rPr>
          <w:rFonts w:ascii="FrankRuehl" w:hAnsi="FrankRuehl" w:cs="FrankRuehl"/>
          <w:sz w:val="28"/>
          <w:szCs w:val="28"/>
          <w:rtl/>
        </w:rPr>
      </w:pPr>
    </w:p>
    <w:p w14:paraId="6D7F92DE" w14:textId="77777777" w:rsidR="00BF30F1" w:rsidRDefault="00BF30F1" w:rsidP="00BF30F1">
      <w:pPr>
        <w:spacing w:line="360" w:lineRule="auto"/>
        <w:jc w:val="both"/>
        <w:rPr>
          <w:rFonts w:ascii="FrankRuehl" w:hAnsi="FrankRuehl" w:cs="FrankRuehl"/>
          <w:sz w:val="28"/>
          <w:szCs w:val="28"/>
          <w:rtl/>
        </w:rPr>
      </w:pPr>
      <w:r>
        <w:rPr>
          <w:rFonts w:ascii="FrankRuehl" w:hAnsi="FrankRuehl" w:cs="FrankRuehl"/>
          <w:b/>
          <w:bCs/>
          <w:sz w:val="28"/>
          <w:szCs w:val="28"/>
          <w:u w:val="single"/>
          <w:rtl/>
        </w:rPr>
        <w:t>מדיניות הענישה הנוהגת</w:t>
      </w:r>
      <w:r>
        <w:rPr>
          <w:rFonts w:ascii="FrankRuehl" w:hAnsi="FrankRuehl" w:cs="FrankRuehl"/>
          <w:sz w:val="28"/>
          <w:szCs w:val="28"/>
          <w:rtl/>
        </w:rPr>
        <w:t xml:space="preserve"> –יוער תחילה, כי הפסיקה מתייחס בחומרה לעבירות סחר בסמים, ולרוב העונשים המוטלים הם עונשי מאסר בפועל -  ר' למשל: </w:t>
      </w:r>
      <w:hyperlink r:id="rId30" w:history="1">
        <w:r w:rsidR="00453AB7" w:rsidRPr="00453AB7">
          <w:rPr>
            <w:rFonts w:ascii="FrankRuehl" w:hAnsi="FrankRuehl" w:cs="FrankRuehl"/>
            <w:color w:val="0000FF"/>
            <w:sz w:val="28"/>
            <w:szCs w:val="28"/>
            <w:u w:val="single"/>
            <w:rtl/>
          </w:rPr>
          <w:t>רע"פ 5494/19</w:t>
        </w:r>
      </w:hyperlink>
      <w:r>
        <w:rPr>
          <w:rFonts w:ascii="FrankRuehl" w:hAnsi="FrankRuehl" w:cs="FrankRuehl"/>
          <w:sz w:val="28"/>
          <w:szCs w:val="28"/>
          <w:rtl/>
        </w:rPr>
        <w:t xml:space="preserve"> </w:t>
      </w:r>
      <w:r>
        <w:rPr>
          <w:rFonts w:ascii="FrankRuehl" w:hAnsi="FrankRuehl" w:cs="FrankRuehl"/>
          <w:b/>
          <w:bCs/>
          <w:sz w:val="28"/>
          <w:szCs w:val="28"/>
          <w:u w:val="single"/>
          <w:rtl/>
        </w:rPr>
        <w:t>רנד</w:t>
      </w:r>
      <w:r>
        <w:rPr>
          <w:rFonts w:ascii="FrankRuehl" w:hAnsi="FrankRuehl" w:cs="FrankRuehl"/>
          <w:sz w:val="28"/>
          <w:szCs w:val="28"/>
          <w:rtl/>
        </w:rPr>
        <w:t xml:space="preserve"> נ' </w:t>
      </w:r>
      <w:r>
        <w:rPr>
          <w:rFonts w:ascii="FrankRuehl" w:hAnsi="FrankRuehl" w:cs="FrankRuehl"/>
          <w:b/>
          <w:bCs/>
          <w:sz w:val="28"/>
          <w:szCs w:val="28"/>
          <w:u w:val="single"/>
          <w:rtl/>
        </w:rPr>
        <w:t>מ"י</w:t>
      </w:r>
      <w:r>
        <w:rPr>
          <w:rFonts w:ascii="FrankRuehl" w:hAnsi="FrankRuehl" w:cs="FrankRuehl"/>
          <w:sz w:val="28"/>
          <w:szCs w:val="28"/>
          <w:rtl/>
        </w:rPr>
        <w:t xml:space="preserve"> (מיום 22.8.2019) בסעיף 10 (להלן – </w:t>
      </w:r>
      <w:r>
        <w:rPr>
          <w:rFonts w:ascii="FrankRuehl" w:hAnsi="FrankRuehl" w:cs="FrankRuehl"/>
          <w:b/>
          <w:bCs/>
          <w:sz w:val="28"/>
          <w:szCs w:val="28"/>
          <w:rtl/>
        </w:rPr>
        <w:t>עניין רנד</w:t>
      </w:r>
      <w:r>
        <w:rPr>
          <w:rFonts w:ascii="FrankRuehl" w:hAnsi="FrankRuehl" w:cs="FrankRuehl"/>
          <w:sz w:val="28"/>
          <w:szCs w:val="28"/>
          <w:rtl/>
        </w:rPr>
        <w:t>). עם זאת הפסיקה מגוונת ורבה.  ב</w:t>
      </w:r>
      <w:hyperlink r:id="rId31" w:history="1">
        <w:r w:rsidR="00453AB7" w:rsidRPr="00453AB7">
          <w:rPr>
            <w:rFonts w:ascii="FrankRuehl" w:hAnsi="FrankRuehl" w:cs="FrankRuehl"/>
            <w:color w:val="0000FF"/>
            <w:sz w:val="28"/>
            <w:szCs w:val="28"/>
            <w:u w:val="single"/>
            <w:rtl/>
          </w:rPr>
          <w:t>ת"פ (שלום י-ם) 17400-02-14</w:t>
        </w:r>
      </w:hyperlink>
      <w:r>
        <w:rPr>
          <w:rFonts w:ascii="FrankRuehl" w:hAnsi="FrankRuehl" w:cs="FrankRuehl"/>
          <w:sz w:val="28"/>
          <w:szCs w:val="28"/>
          <w:rtl/>
        </w:rPr>
        <w:t xml:space="preserve"> </w:t>
      </w:r>
      <w:r>
        <w:rPr>
          <w:rFonts w:ascii="FrankRuehl" w:hAnsi="FrankRuehl" w:cs="FrankRuehl"/>
          <w:b/>
          <w:bCs/>
          <w:sz w:val="28"/>
          <w:szCs w:val="28"/>
          <w:u w:val="single"/>
          <w:rtl/>
        </w:rPr>
        <w:t>מ"י</w:t>
      </w:r>
      <w:r>
        <w:rPr>
          <w:rFonts w:ascii="FrankRuehl" w:hAnsi="FrankRuehl" w:cs="FrankRuehl"/>
          <w:sz w:val="28"/>
          <w:szCs w:val="28"/>
          <w:rtl/>
        </w:rPr>
        <w:t xml:space="preserve"> נ' </w:t>
      </w:r>
      <w:r>
        <w:rPr>
          <w:rFonts w:ascii="FrankRuehl" w:hAnsi="FrankRuehl" w:cs="FrankRuehl"/>
          <w:b/>
          <w:bCs/>
          <w:sz w:val="28"/>
          <w:szCs w:val="28"/>
          <w:u w:val="single"/>
          <w:rtl/>
        </w:rPr>
        <w:t>ג'ובראן</w:t>
      </w:r>
      <w:r>
        <w:rPr>
          <w:rFonts w:ascii="FrankRuehl" w:hAnsi="FrankRuehl" w:cs="FrankRuehl"/>
          <w:sz w:val="28"/>
          <w:szCs w:val="28"/>
          <w:rtl/>
        </w:rPr>
        <w:t xml:space="preserve"> (מיום 2.7.2014) נקבע מתחם שבין חודש לשישה חודשי מאסר בגין כל מכירה של חשיש במשקל 1.5 גרם תמורת 100 ₪ והוטל עונש של 9 חודשים, בגין חמישה מקרי מכירה וכן החזקת סם שלא לצריכה עצמית. לעומת זאת, ב</w:t>
      </w:r>
      <w:r>
        <w:rPr>
          <w:rFonts w:ascii="FrankRuehl" w:hAnsi="FrankRuehl" w:cs="FrankRuehl"/>
          <w:b/>
          <w:bCs/>
          <w:sz w:val="28"/>
          <w:szCs w:val="28"/>
          <w:rtl/>
        </w:rPr>
        <w:t>עניין רנד</w:t>
      </w:r>
      <w:r>
        <w:rPr>
          <w:rFonts w:ascii="FrankRuehl" w:hAnsi="FrankRuehl" w:cs="FrankRuehl"/>
          <w:sz w:val="28"/>
          <w:szCs w:val="28"/>
          <w:rtl/>
        </w:rPr>
        <w:t xml:space="preserve"> הנ"ל, מקרה המזכיר את מקרנו, בשל ריבוי המקרים של סחר ללקוחות שונים, לרבות לקטינים, לאחר שהעסקאות תואמו באמצעות טלגראס, אושר עונש של של"ץ בהיקף 200 שעות ומאסרים מותנים. ב</w:t>
      </w:r>
      <w:hyperlink r:id="rId32" w:history="1">
        <w:r w:rsidR="00453AB7" w:rsidRPr="00453AB7">
          <w:rPr>
            <w:rFonts w:ascii="FrankRuehl" w:hAnsi="FrankRuehl" w:cs="FrankRuehl"/>
            <w:color w:val="0000FF"/>
            <w:sz w:val="28"/>
            <w:szCs w:val="28"/>
            <w:u w:val="single"/>
            <w:rtl/>
          </w:rPr>
          <w:t>ע"פ 6161/16</w:t>
        </w:r>
      </w:hyperlink>
      <w:r>
        <w:rPr>
          <w:rFonts w:ascii="FrankRuehl" w:hAnsi="FrankRuehl" w:cs="FrankRuehl"/>
          <w:sz w:val="28"/>
          <w:szCs w:val="28"/>
          <w:rtl/>
        </w:rPr>
        <w:t xml:space="preserve"> </w:t>
      </w:r>
      <w:r>
        <w:rPr>
          <w:rFonts w:ascii="FrankRuehl" w:hAnsi="FrankRuehl" w:cs="FrankRuehl"/>
          <w:b/>
          <w:bCs/>
          <w:sz w:val="28"/>
          <w:szCs w:val="28"/>
          <w:u w:val="single"/>
          <w:rtl/>
        </w:rPr>
        <w:t>יזרעאלוב</w:t>
      </w:r>
      <w:r>
        <w:rPr>
          <w:rFonts w:ascii="FrankRuehl" w:hAnsi="FrankRuehl" w:cs="FrankRuehl"/>
          <w:sz w:val="28"/>
          <w:szCs w:val="28"/>
          <w:rtl/>
        </w:rPr>
        <w:t xml:space="preserve"> נ' </w:t>
      </w:r>
      <w:r>
        <w:rPr>
          <w:rFonts w:ascii="FrankRuehl" w:hAnsi="FrankRuehl" w:cs="FrankRuehl"/>
          <w:b/>
          <w:bCs/>
          <w:sz w:val="28"/>
          <w:szCs w:val="28"/>
          <w:u w:val="single"/>
          <w:rtl/>
        </w:rPr>
        <w:t>מ"י</w:t>
      </w:r>
      <w:r>
        <w:rPr>
          <w:rFonts w:ascii="FrankRuehl" w:hAnsi="FrankRuehl" w:cs="FrankRuehl"/>
          <w:sz w:val="28"/>
          <w:szCs w:val="28"/>
          <w:rtl/>
        </w:rPr>
        <w:t xml:space="preserve"> (מיום 20.2.2017) אושר מתחם שבין 8 חודשי מאסר ל-20 חודשים, בנסיבות של ריבוי מקרי סחר בנייס גאי וקנאבואידים סינתטיים, ועונש של 6 חודשי מאסר לריצוי בעבודות שירות, כשדובר על חריגה מן המתחם בשל טעמי שיקום. ב</w:t>
      </w:r>
      <w:hyperlink r:id="rId33" w:history="1">
        <w:r w:rsidR="00453AB7" w:rsidRPr="00453AB7">
          <w:rPr>
            <w:rFonts w:ascii="FrankRuehl" w:hAnsi="FrankRuehl" w:cs="FrankRuehl"/>
            <w:color w:val="0000FF"/>
            <w:sz w:val="28"/>
            <w:szCs w:val="28"/>
            <w:u w:val="single"/>
            <w:rtl/>
          </w:rPr>
          <w:t>עפ"ג (חיפה) 53901-05-15</w:t>
        </w:r>
      </w:hyperlink>
      <w:r>
        <w:rPr>
          <w:rFonts w:ascii="FrankRuehl" w:hAnsi="FrankRuehl" w:cs="FrankRuehl"/>
          <w:sz w:val="28"/>
          <w:szCs w:val="28"/>
          <w:rtl/>
        </w:rPr>
        <w:t xml:space="preserve"> </w:t>
      </w:r>
      <w:r>
        <w:rPr>
          <w:rFonts w:ascii="FrankRuehl" w:hAnsi="FrankRuehl" w:cs="FrankRuehl"/>
          <w:b/>
          <w:bCs/>
          <w:sz w:val="28"/>
          <w:szCs w:val="28"/>
          <w:u w:val="single"/>
          <w:rtl/>
        </w:rPr>
        <w:t>איטח</w:t>
      </w:r>
      <w:r>
        <w:rPr>
          <w:rFonts w:ascii="FrankRuehl" w:hAnsi="FrankRuehl" w:cs="FrankRuehl"/>
          <w:sz w:val="28"/>
          <w:szCs w:val="28"/>
          <w:rtl/>
        </w:rPr>
        <w:t xml:space="preserve"> נ' </w:t>
      </w:r>
      <w:r>
        <w:rPr>
          <w:rFonts w:ascii="FrankRuehl" w:hAnsi="FrankRuehl" w:cs="FrankRuehl"/>
          <w:b/>
          <w:bCs/>
          <w:sz w:val="28"/>
          <w:szCs w:val="28"/>
          <w:u w:val="single"/>
          <w:rtl/>
        </w:rPr>
        <w:t>מ"י</w:t>
      </w:r>
      <w:r>
        <w:rPr>
          <w:rFonts w:ascii="FrankRuehl" w:hAnsi="FrankRuehl" w:cs="FrankRuehl"/>
          <w:sz w:val="28"/>
          <w:szCs w:val="28"/>
          <w:rtl/>
        </w:rPr>
        <w:t xml:space="preserve"> אושר מתחם ענישה שבין 6 ל-18 חודשי מאסר בנסיבות של סיוע ל-3 עסקאות סמים מסוג מריחואנה והחזקת סמים שלא לצריכה עצמית, וכן אושר עונש של 200 שעות של"ץ, מאסר מותנה ומבחן, במסגרת חריגה מן המתחם מטעמי שיקום. הנה כי כן ניתן לראות, כי גם בנסיבות של ריבוי עבירות בסם מסוג קנבוס, ניתן להגיע לתוצאה שאינה מאסר, אם הנסיבות מאפשרות זאת.</w:t>
      </w:r>
    </w:p>
    <w:p w14:paraId="52323F57" w14:textId="77777777" w:rsidR="00BF30F1" w:rsidRDefault="00BF30F1" w:rsidP="00BF30F1">
      <w:pPr>
        <w:spacing w:line="360" w:lineRule="auto"/>
        <w:jc w:val="both"/>
        <w:rPr>
          <w:rFonts w:ascii="FrankRuehl" w:hAnsi="FrankRuehl" w:cs="FrankRuehl"/>
          <w:sz w:val="28"/>
          <w:szCs w:val="28"/>
          <w:rtl/>
        </w:rPr>
      </w:pPr>
    </w:p>
    <w:p w14:paraId="6CB4CDA3" w14:textId="77777777" w:rsidR="00BF30F1" w:rsidRDefault="00BF30F1" w:rsidP="00BF30F1">
      <w:pPr>
        <w:spacing w:line="360" w:lineRule="auto"/>
        <w:jc w:val="both"/>
        <w:rPr>
          <w:rFonts w:ascii="FrankRuehl" w:hAnsi="FrankRuehl" w:cs="FrankRuehl"/>
          <w:sz w:val="28"/>
          <w:szCs w:val="28"/>
          <w:rtl/>
        </w:rPr>
      </w:pPr>
      <w:r>
        <w:rPr>
          <w:rFonts w:ascii="FrankRuehl" w:hAnsi="FrankRuehl" w:cs="FrankRuehl"/>
          <w:b/>
          <w:bCs/>
          <w:sz w:val="28"/>
          <w:szCs w:val="28"/>
          <w:u w:val="single"/>
          <w:rtl/>
        </w:rPr>
        <w:t>מתחם הענישה</w:t>
      </w:r>
      <w:r>
        <w:rPr>
          <w:rFonts w:ascii="FrankRuehl" w:hAnsi="FrankRuehl" w:cs="FrankRuehl"/>
          <w:sz w:val="28"/>
          <w:szCs w:val="28"/>
          <w:rtl/>
        </w:rPr>
        <w:t xml:space="preserve"> – לנוכח מכלול השיקולים, אני קובע כי יש לקבוע מתחמי ענישה נפרדים לכל אחד מהאישומים, משום שלא מתקיים ביניהם מבחן הקשר ההדוק – ישנו ריחוק בזמנים, חלק מהנפשות הפועלות שונה, וכך גם כמות הסמים וכמות העסקאות.</w:t>
      </w:r>
    </w:p>
    <w:p w14:paraId="6F41C8AB" w14:textId="77777777" w:rsidR="00BF30F1" w:rsidRDefault="00BF30F1" w:rsidP="00BF30F1">
      <w:pPr>
        <w:spacing w:line="360" w:lineRule="auto"/>
        <w:jc w:val="both"/>
        <w:rPr>
          <w:rFonts w:ascii="FrankRuehl" w:hAnsi="FrankRuehl" w:cs="FrankRuehl"/>
          <w:sz w:val="28"/>
          <w:szCs w:val="28"/>
          <w:u w:val="single"/>
          <w:rtl/>
        </w:rPr>
      </w:pPr>
    </w:p>
    <w:p w14:paraId="49BC3C09" w14:textId="77777777" w:rsidR="00BF30F1" w:rsidRDefault="00BF30F1" w:rsidP="00BF30F1">
      <w:pPr>
        <w:spacing w:line="360" w:lineRule="auto"/>
        <w:jc w:val="both"/>
        <w:rPr>
          <w:rFonts w:ascii="FrankRuehl" w:hAnsi="FrankRuehl" w:cs="FrankRuehl"/>
          <w:sz w:val="28"/>
          <w:szCs w:val="28"/>
          <w:rtl/>
        </w:rPr>
      </w:pPr>
      <w:r>
        <w:rPr>
          <w:rFonts w:ascii="FrankRuehl" w:hAnsi="FrankRuehl" w:cs="FrankRuehl"/>
          <w:sz w:val="28"/>
          <w:szCs w:val="28"/>
          <w:u w:val="single"/>
          <w:rtl/>
        </w:rPr>
        <w:t>לאישומים הראשון והחמישי</w:t>
      </w:r>
      <w:r>
        <w:rPr>
          <w:rFonts w:ascii="FrankRuehl" w:hAnsi="FrankRuehl" w:cs="FrankRuehl"/>
          <w:sz w:val="28"/>
          <w:szCs w:val="28"/>
          <w:rtl/>
        </w:rPr>
        <w:t xml:space="preserve"> יש לקבוע מתחם שבין 3 חודשי מאסר ועל 15 חודשי מאסר לכל אחד מהם, לנוכח מספר העבירות ורכיב השידול שקיים בשניהם.</w:t>
      </w:r>
    </w:p>
    <w:p w14:paraId="5557FF1C" w14:textId="77777777" w:rsidR="00BF30F1" w:rsidRDefault="00BF30F1" w:rsidP="00BF30F1">
      <w:pPr>
        <w:spacing w:line="360" w:lineRule="auto"/>
        <w:jc w:val="both"/>
        <w:rPr>
          <w:rFonts w:ascii="FrankRuehl" w:hAnsi="FrankRuehl" w:cs="FrankRuehl"/>
          <w:sz w:val="28"/>
          <w:szCs w:val="28"/>
          <w:u w:val="single"/>
          <w:rtl/>
        </w:rPr>
      </w:pPr>
    </w:p>
    <w:p w14:paraId="2BE2A6D8" w14:textId="77777777" w:rsidR="00BF30F1" w:rsidRDefault="00BF30F1" w:rsidP="00BF30F1">
      <w:pPr>
        <w:spacing w:line="360" w:lineRule="auto"/>
        <w:jc w:val="both"/>
        <w:rPr>
          <w:rFonts w:ascii="FrankRuehl" w:hAnsi="FrankRuehl" w:cs="FrankRuehl"/>
          <w:sz w:val="28"/>
          <w:szCs w:val="28"/>
          <w:rtl/>
        </w:rPr>
      </w:pPr>
      <w:r>
        <w:rPr>
          <w:rFonts w:ascii="FrankRuehl" w:hAnsi="FrankRuehl" w:cs="FrankRuehl"/>
          <w:sz w:val="28"/>
          <w:szCs w:val="28"/>
          <w:u w:val="single"/>
          <w:rtl/>
        </w:rPr>
        <w:t>לאישום השני</w:t>
      </w:r>
      <w:r>
        <w:rPr>
          <w:rFonts w:ascii="FrankRuehl" w:hAnsi="FrankRuehl" w:cs="FrankRuehl"/>
          <w:sz w:val="28"/>
          <w:szCs w:val="28"/>
          <w:rtl/>
        </w:rPr>
        <w:t xml:space="preserve"> יש לקבוע מתחם שבין חודשיים ל-9 חודשים לנוכח ביצוען של שתי עבירות סחר מושלמות וניסיון לסחור שלא הושלם. </w:t>
      </w:r>
    </w:p>
    <w:p w14:paraId="312785DC" w14:textId="77777777" w:rsidR="00BF30F1" w:rsidRDefault="00BF30F1" w:rsidP="00BF30F1">
      <w:pPr>
        <w:spacing w:line="360" w:lineRule="auto"/>
        <w:jc w:val="both"/>
        <w:rPr>
          <w:rFonts w:ascii="FrankRuehl" w:hAnsi="FrankRuehl" w:cs="FrankRuehl"/>
          <w:sz w:val="28"/>
          <w:szCs w:val="28"/>
          <w:u w:val="single"/>
          <w:rtl/>
        </w:rPr>
      </w:pPr>
    </w:p>
    <w:p w14:paraId="54471725" w14:textId="77777777" w:rsidR="00BF30F1" w:rsidRDefault="00BF30F1" w:rsidP="00BF30F1">
      <w:pPr>
        <w:spacing w:line="360" w:lineRule="auto"/>
        <w:jc w:val="both"/>
        <w:rPr>
          <w:rFonts w:ascii="FrankRuehl" w:hAnsi="FrankRuehl" w:cs="FrankRuehl"/>
          <w:sz w:val="28"/>
          <w:szCs w:val="28"/>
          <w:rtl/>
        </w:rPr>
      </w:pPr>
      <w:r>
        <w:rPr>
          <w:rFonts w:ascii="FrankRuehl" w:hAnsi="FrankRuehl" w:cs="FrankRuehl"/>
          <w:sz w:val="28"/>
          <w:szCs w:val="28"/>
          <w:u w:val="single"/>
          <w:rtl/>
        </w:rPr>
        <w:t>לאישומים השלישי והרביעי</w:t>
      </w:r>
      <w:r>
        <w:rPr>
          <w:rFonts w:ascii="FrankRuehl" w:hAnsi="FrankRuehl" w:cs="FrankRuehl"/>
          <w:sz w:val="28"/>
          <w:szCs w:val="28"/>
          <w:rtl/>
        </w:rPr>
        <w:t xml:space="preserve"> יש לקבוע מתחם ענישה שבין חודש ל-8 חודשי מאסר לכל אחד מהם שכן מדובר במכירה בודדת של קנביס בגרמים בודדים תמורת מאות שקלים בודדות.</w:t>
      </w:r>
    </w:p>
    <w:p w14:paraId="464FD88F" w14:textId="77777777" w:rsidR="00BF30F1" w:rsidRDefault="00BF30F1" w:rsidP="00BF30F1">
      <w:pPr>
        <w:spacing w:line="360" w:lineRule="auto"/>
        <w:jc w:val="both"/>
        <w:rPr>
          <w:rFonts w:ascii="FrankRuehl" w:hAnsi="FrankRuehl" w:cs="FrankRuehl"/>
          <w:sz w:val="28"/>
          <w:szCs w:val="28"/>
          <w:u w:val="single"/>
          <w:rtl/>
        </w:rPr>
      </w:pPr>
    </w:p>
    <w:p w14:paraId="0033B1EE" w14:textId="77777777" w:rsidR="00BF30F1" w:rsidRDefault="00BF30F1" w:rsidP="00BF30F1">
      <w:pPr>
        <w:spacing w:line="360" w:lineRule="auto"/>
        <w:jc w:val="both"/>
        <w:rPr>
          <w:rFonts w:ascii="FrankRuehl" w:hAnsi="FrankRuehl" w:cs="FrankRuehl"/>
          <w:sz w:val="28"/>
          <w:szCs w:val="28"/>
          <w:rtl/>
        </w:rPr>
      </w:pPr>
      <w:r>
        <w:rPr>
          <w:rFonts w:ascii="FrankRuehl" w:hAnsi="FrankRuehl" w:cs="FrankRuehl"/>
          <w:sz w:val="28"/>
          <w:szCs w:val="28"/>
          <w:u w:val="single"/>
          <w:rtl/>
        </w:rPr>
        <w:t>לאישומים השישי והשביעי</w:t>
      </w:r>
      <w:r>
        <w:rPr>
          <w:rFonts w:ascii="FrankRuehl" w:hAnsi="FrankRuehl" w:cs="FrankRuehl"/>
          <w:sz w:val="28"/>
          <w:szCs w:val="28"/>
          <w:rtl/>
        </w:rPr>
        <w:t xml:space="preserve"> יש לקבוע מתחם שבין חודש עד שישה חודשי מאסר לכל אחד מהם,  שכן מדובר בהחזקת סם שלא לצריכה עצמית בכמות לא גדולה.</w:t>
      </w:r>
    </w:p>
    <w:p w14:paraId="5A3DB1FB" w14:textId="77777777" w:rsidR="00BF30F1" w:rsidRDefault="00BF30F1" w:rsidP="00BF30F1">
      <w:pPr>
        <w:spacing w:line="360" w:lineRule="auto"/>
        <w:jc w:val="both"/>
        <w:rPr>
          <w:rFonts w:ascii="FrankRuehl" w:hAnsi="FrankRuehl" w:cs="FrankRuehl"/>
          <w:b/>
          <w:bCs/>
          <w:sz w:val="28"/>
          <w:szCs w:val="28"/>
          <w:u w:val="single"/>
          <w:rtl/>
        </w:rPr>
      </w:pPr>
    </w:p>
    <w:p w14:paraId="0BE1BEB5" w14:textId="77777777" w:rsidR="00BF30F1" w:rsidRDefault="00BF30F1" w:rsidP="00BF30F1">
      <w:pPr>
        <w:spacing w:line="360" w:lineRule="auto"/>
        <w:jc w:val="both"/>
        <w:rPr>
          <w:rFonts w:ascii="FrankRuehl" w:hAnsi="FrankRuehl" w:cs="FrankRuehl"/>
          <w:sz w:val="28"/>
          <w:szCs w:val="28"/>
          <w:rtl/>
        </w:rPr>
      </w:pPr>
      <w:r>
        <w:rPr>
          <w:rFonts w:ascii="FrankRuehl" w:hAnsi="FrankRuehl" w:cs="FrankRuehl"/>
          <w:b/>
          <w:bCs/>
          <w:sz w:val="28"/>
          <w:szCs w:val="28"/>
          <w:u w:val="single"/>
          <w:rtl/>
        </w:rPr>
        <w:t xml:space="preserve">נסיבות שאינן קשורות בביצוע העבירה לפי </w:t>
      </w:r>
      <w:hyperlink r:id="rId34" w:history="1">
        <w:r w:rsidR="00D171CE" w:rsidRPr="00D171CE">
          <w:rPr>
            <w:rStyle w:val="Hyperlink"/>
            <w:rFonts w:ascii="FrankRuehl" w:hAnsi="FrankRuehl" w:cs="FrankRuehl"/>
            <w:b/>
            <w:bCs/>
            <w:sz w:val="28"/>
            <w:szCs w:val="28"/>
            <w:rtl/>
          </w:rPr>
          <w:t>סעיף 40י"א</w:t>
        </w:r>
      </w:hyperlink>
      <w:r>
        <w:rPr>
          <w:rFonts w:ascii="FrankRuehl" w:hAnsi="FrankRuehl" w:cs="FrankRuehl"/>
          <w:b/>
          <w:bCs/>
          <w:sz w:val="28"/>
          <w:szCs w:val="28"/>
          <w:u w:val="single"/>
          <w:rtl/>
        </w:rPr>
        <w:t xml:space="preserve"> לחוק </w:t>
      </w:r>
      <w:r>
        <w:rPr>
          <w:rFonts w:ascii="FrankRuehl" w:hAnsi="FrankRuehl" w:cs="FrankRuehl"/>
          <w:sz w:val="28"/>
          <w:szCs w:val="28"/>
          <w:rtl/>
        </w:rPr>
        <w:t xml:space="preserve">– ניתן  לתת משקל לנסיבות הבאות שאינן קשורות בביצוע העבירה, במסגרת גזירת העונש בתוך המתחם: מדובר בנאשם צעיר מאוד </w:t>
      </w:r>
      <w:r>
        <w:rPr>
          <w:rFonts w:ascii="FrankRuehl" w:hAnsi="FrankRuehl" w:cs="FrankRuehl" w:hint="cs"/>
          <w:sz w:val="28"/>
          <w:szCs w:val="28"/>
          <w:rtl/>
        </w:rPr>
        <w:t>בראשית שנות העשרים לחייו</w:t>
      </w:r>
      <w:r>
        <w:rPr>
          <w:rFonts w:ascii="FrankRuehl" w:hAnsi="FrankRuehl" w:cs="FrankRuehl"/>
          <w:sz w:val="28"/>
          <w:szCs w:val="28"/>
          <w:rtl/>
        </w:rPr>
        <w:t>, ללא עבר פלילי</w:t>
      </w:r>
      <w:r>
        <w:rPr>
          <w:rFonts w:ascii="FrankRuehl" w:hAnsi="FrankRuehl" w:cs="FrankRuehl" w:hint="cs"/>
          <w:sz w:val="28"/>
          <w:szCs w:val="28"/>
          <w:rtl/>
        </w:rPr>
        <w:t>, נישא בשנתיים האחרונות</w:t>
      </w:r>
      <w:r>
        <w:rPr>
          <w:rFonts w:ascii="FrankRuehl" w:hAnsi="FrankRuehl" w:cs="FrankRuehl"/>
          <w:sz w:val="28"/>
          <w:szCs w:val="28"/>
          <w:rtl/>
        </w:rPr>
        <w:t>; הוא עבר מסכת חיים קשה מאוד על רקע משברים בין הוריו, משברים שחווה הוא עצמו כמפורט ע"י שירות המבחן, עד כדי נ</w:t>
      </w:r>
      <w:r>
        <w:rPr>
          <w:rFonts w:ascii="FrankRuehl" w:hAnsi="FrankRuehl" w:cs="FrankRuehl" w:hint="cs"/>
          <w:sz w:val="28"/>
          <w:szCs w:val="28"/>
          <w:rtl/>
        </w:rPr>
        <w:t>י</w:t>
      </w:r>
      <w:r>
        <w:rPr>
          <w:rFonts w:ascii="FrankRuehl" w:hAnsi="FrankRuehl" w:cs="FrankRuehl"/>
          <w:sz w:val="28"/>
          <w:szCs w:val="28"/>
          <w:rtl/>
        </w:rPr>
        <w:t xml:space="preserve">סיונות אובדניים ואובדן הדרך, תרתי משמע – לאותם אירועים וחוויות הייתה השפעה ישירה על הדרדרות הנאשם לצריכת סמים ולהתנהגותו כמתואר בכתב האישום וכעולה מהתסקירים; הנאשם היה עצור בתיק זה מעצר ממש 44 ימים, ולאחר מכן שהה תחת פיקוח שירות המבחן במסגרת "ניצוץ" חודשים ארוכים ללא הפרות תוך שיתוף פעולה מלא ומוצלח עם שירות המבחן ויתר הגורמים הטיפוליים לכל אורך התקופה; הנאשם </w:t>
      </w:r>
      <w:r>
        <w:rPr>
          <w:rFonts w:ascii="FrankRuehl" w:hAnsi="FrankRuehl" w:cs="FrankRuehl" w:hint="cs"/>
          <w:sz w:val="28"/>
          <w:szCs w:val="28"/>
          <w:rtl/>
        </w:rPr>
        <w:t>קיבל</w:t>
      </w:r>
      <w:r>
        <w:rPr>
          <w:rFonts w:ascii="FrankRuehl" w:hAnsi="FrankRuehl" w:cs="FrankRuehl"/>
          <w:sz w:val="28"/>
          <w:szCs w:val="28"/>
          <w:rtl/>
        </w:rPr>
        <w:t xml:space="preserve"> אחריות מלאה למעשיו ונדמה כי הוא נמצא במסלול המראה לחיים טובים, נורמטיביים הכוללים גם רכיב משמעותי של תרומה לחברה. ולראיה, תפקודו ב"ניצוץ" והפיכתו למדריך שם, במסגרת שירות לאומי, כאשר התכלית היא הדרכה והכוונה של בני נוער חרדי המצויים בסיכון, ממש כפי שהיה נאשם עצמו ערב מעצרו.</w:t>
      </w:r>
      <w:r>
        <w:rPr>
          <w:rFonts w:ascii="FrankRuehl" w:hAnsi="FrankRuehl" w:cs="FrankRuehl" w:hint="cs"/>
          <w:sz w:val="28"/>
          <w:szCs w:val="28"/>
          <w:rtl/>
        </w:rPr>
        <w:t xml:space="preserve"> מאידך ולחובתו, פתיחת תיקים חדשים בתחום התעבורה בתקופת משפטו עליהם נשפט.</w:t>
      </w:r>
    </w:p>
    <w:p w14:paraId="6E5DE36B" w14:textId="77777777" w:rsidR="00BF30F1" w:rsidRDefault="00BF30F1" w:rsidP="00BF30F1">
      <w:pPr>
        <w:spacing w:line="360" w:lineRule="auto"/>
        <w:jc w:val="both"/>
        <w:rPr>
          <w:rFonts w:ascii="FrankRuehl" w:hAnsi="FrankRuehl" w:cs="FrankRuehl"/>
          <w:sz w:val="28"/>
          <w:szCs w:val="28"/>
          <w:rtl/>
        </w:rPr>
      </w:pPr>
    </w:p>
    <w:p w14:paraId="22EA6C85" w14:textId="77777777" w:rsidR="00BF30F1" w:rsidRDefault="00BF30F1" w:rsidP="00BF30F1">
      <w:pPr>
        <w:spacing w:line="360" w:lineRule="auto"/>
        <w:jc w:val="both"/>
        <w:rPr>
          <w:rFonts w:ascii="FrankRuehl" w:hAnsi="FrankRuehl" w:cs="FrankRuehl"/>
          <w:sz w:val="28"/>
          <w:szCs w:val="28"/>
          <w:rtl/>
        </w:rPr>
      </w:pPr>
      <w:r>
        <w:rPr>
          <w:rFonts w:ascii="FrankRuehl" w:hAnsi="FrankRuehl" w:cs="FrankRuehl"/>
          <w:b/>
          <w:bCs/>
          <w:sz w:val="28"/>
          <w:szCs w:val="28"/>
          <w:u w:val="single"/>
          <w:rtl/>
        </w:rPr>
        <w:t>המיקום במתחם</w:t>
      </w:r>
      <w:r>
        <w:rPr>
          <w:rFonts w:ascii="FrankRuehl" w:hAnsi="FrankRuehl" w:cs="FrankRuehl"/>
          <w:sz w:val="28"/>
          <w:szCs w:val="28"/>
          <w:rtl/>
        </w:rPr>
        <w:t xml:space="preserve"> – </w:t>
      </w:r>
      <w:r>
        <w:rPr>
          <w:rFonts w:ascii="FrankRuehl" w:hAnsi="FrankRuehl" w:cs="FrankRuehl" w:hint="cs"/>
          <w:sz w:val="28"/>
          <w:szCs w:val="28"/>
          <w:rtl/>
        </w:rPr>
        <w:t xml:space="preserve">במכלול הנסיבות היה מקום להטיל על הנאשם עונש של מאסר בפועל בתחתית המתחמים שקבעתי, ואולם מתקיימים בענייננו שיקולי שיקום שכן הנאשם הוכיח לאורך תקופה ארוכה כי עמד בתהליך שיקומי משמעותי, התמיד בו ולכן גם הניח את התשתית להאמין כי ימשיך בדרכו החיובית גם לעתיד לבוא. בשל כל אלה, ניתן לחרוג ממתחם הענישה ולהטיל על הנאשם עונש שאינו מאסר בפועל. </w:t>
      </w:r>
    </w:p>
    <w:p w14:paraId="1651EC7B" w14:textId="77777777" w:rsidR="00BF30F1" w:rsidRDefault="00BF30F1" w:rsidP="00BF30F1">
      <w:pPr>
        <w:spacing w:line="360" w:lineRule="auto"/>
        <w:jc w:val="both"/>
        <w:rPr>
          <w:rFonts w:ascii="FrankRuehl" w:hAnsi="FrankRuehl" w:cs="FrankRuehl"/>
          <w:sz w:val="28"/>
          <w:szCs w:val="28"/>
          <w:rtl/>
        </w:rPr>
      </w:pPr>
    </w:p>
    <w:p w14:paraId="5FE9ED12" w14:textId="77777777" w:rsidR="00BF30F1" w:rsidRDefault="00BF30F1" w:rsidP="00BF30F1">
      <w:pPr>
        <w:spacing w:line="360" w:lineRule="auto"/>
        <w:jc w:val="both"/>
        <w:rPr>
          <w:rFonts w:ascii="FrankRuehl" w:hAnsi="FrankRuehl" w:cs="FrankRuehl"/>
          <w:sz w:val="28"/>
          <w:szCs w:val="28"/>
          <w:rtl/>
        </w:rPr>
      </w:pPr>
      <w:r w:rsidRPr="00557E40">
        <w:rPr>
          <w:rFonts w:ascii="FrankRuehl" w:hAnsi="FrankRuehl" w:cs="FrankRuehl" w:hint="cs"/>
          <w:b/>
          <w:bCs/>
          <w:sz w:val="28"/>
          <w:szCs w:val="28"/>
          <w:u w:val="single"/>
          <w:rtl/>
        </w:rPr>
        <w:t>אשר לביטול ההרשעה</w:t>
      </w:r>
      <w:r>
        <w:rPr>
          <w:rFonts w:ascii="FrankRuehl" w:hAnsi="FrankRuehl" w:cs="FrankRuehl" w:hint="cs"/>
          <w:sz w:val="28"/>
          <w:szCs w:val="28"/>
          <w:rtl/>
        </w:rPr>
        <w:t xml:space="preserve"> </w:t>
      </w:r>
      <w:r>
        <w:rPr>
          <w:rFonts w:ascii="FrankRuehl" w:hAnsi="FrankRuehl" w:cs="FrankRuehl"/>
          <w:sz w:val="28"/>
          <w:szCs w:val="28"/>
          <w:rtl/>
        </w:rPr>
        <w:t>–</w:t>
      </w:r>
      <w:r>
        <w:rPr>
          <w:rFonts w:ascii="FrankRuehl" w:hAnsi="FrankRuehl" w:cs="FrankRuehl" w:hint="cs"/>
          <w:sz w:val="28"/>
          <w:szCs w:val="28"/>
          <w:rtl/>
        </w:rPr>
        <w:t xml:space="preserve"> על-מנת להימנע מהרשעה או לבטלה, על נאשם לעמוד בשני קריטריונים </w:t>
      </w:r>
      <w:r>
        <w:rPr>
          <w:rFonts w:ascii="FrankRuehl" w:hAnsi="FrankRuehl" w:cs="FrankRuehl"/>
          <w:sz w:val="28"/>
          <w:szCs w:val="28"/>
          <w:rtl/>
        </w:rPr>
        <w:t>–</w:t>
      </w:r>
      <w:r>
        <w:rPr>
          <w:rFonts w:ascii="FrankRuehl" w:hAnsi="FrankRuehl" w:cs="FrankRuehl" w:hint="cs"/>
          <w:sz w:val="28"/>
          <w:szCs w:val="28"/>
          <w:rtl/>
        </w:rPr>
        <w:t xml:space="preserve"> האחד, טיב המעשים וחומרתם; השני, הוכחת נזק קונקרטי ולא מידתי שיוותר מעצם ההרשעה. אשר לתנאי הראשון </w:t>
      </w:r>
      <w:r>
        <w:rPr>
          <w:rFonts w:ascii="FrankRuehl" w:hAnsi="FrankRuehl" w:cs="FrankRuehl"/>
          <w:sz w:val="28"/>
          <w:szCs w:val="28"/>
          <w:rtl/>
        </w:rPr>
        <w:t>–</w:t>
      </w:r>
      <w:r>
        <w:rPr>
          <w:rFonts w:ascii="FrankRuehl" w:hAnsi="FrankRuehl" w:cs="FrankRuehl" w:hint="cs"/>
          <w:sz w:val="28"/>
          <w:szCs w:val="28"/>
          <w:rtl/>
        </w:rPr>
        <w:t xml:space="preserve"> הסניגור היפנה למקרים שהסתיימו באי-הרשעה אף בנסיבות של סחר הדומות למקרנו [</w:t>
      </w:r>
      <w:hyperlink r:id="rId35" w:history="1">
        <w:r w:rsidR="00453AB7" w:rsidRPr="00453AB7">
          <w:rPr>
            <w:rFonts w:ascii="FrankRuehl" w:hAnsi="FrankRuehl" w:cs="FrankRuehl"/>
            <w:color w:val="0000FF"/>
            <w:sz w:val="28"/>
            <w:szCs w:val="28"/>
            <w:u w:val="single"/>
            <w:rtl/>
          </w:rPr>
          <w:t>ת"פ 11267-01-18</w:t>
        </w:r>
      </w:hyperlink>
      <w:r>
        <w:rPr>
          <w:rFonts w:ascii="FrankRuehl" w:hAnsi="FrankRuehl" w:cs="FrankRuehl" w:hint="cs"/>
          <w:sz w:val="28"/>
          <w:szCs w:val="28"/>
          <w:rtl/>
        </w:rPr>
        <w:t xml:space="preserve"> </w:t>
      </w:r>
      <w:r w:rsidRPr="008C6F03">
        <w:rPr>
          <w:rFonts w:ascii="FrankRuehl" w:hAnsi="FrankRuehl" w:cs="FrankRuehl" w:hint="cs"/>
          <w:b/>
          <w:bCs/>
          <w:sz w:val="28"/>
          <w:szCs w:val="28"/>
          <w:u w:val="single"/>
          <w:rtl/>
        </w:rPr>
        <w:t>מ"י</w:t>
      </w:r>
      <w:r>
        <w:rPr>
          <w:rFonts w:ascii="FrankRuehl" w:hAnsi="FrankRuehl" w:cs="FrankRuehl" w:hint="cs"/>
          <w:sz w:val="28"/>
          <w:szCs w:val="28"/>
          <w:rtl/>
        </w:rPr>
        <w:t xml:space="preserve"> נ' </w:t>
      </w:r>
      <w:r w:rsidRPr="008C6F03">
        <w:rPr>
          <w:rFonts w:ascii="FrankRuehl" w:hAnsi="FrankRuehl" w:cs="FrankRuehl" w:hint="cs"/>
          <w:b/>
          <w:bCs/>
          <w:sz w:val="28"/>
          <w:szCs w:val="28"/>
          <w:u w:val="single"/>
          <w:rtl/>
        </w:rPr>
        <w:t>ונדה</w:t>
      </w:r>
      <w:r>
        <w:rPr>
          <w:rFonts w:ascii="FrankRuehl" w:hAnsi="FrankRuehl" w:cs="FrankRuehl" w:hint="cs"/>
          <w:sz w:val="28"/>
          <w:szCs w:val="28"/>
          <w:rtl/>
        </w:rPr>
        <w:t xml:space="preserve"> (מיום 3.11.2019) וכן </w:t>
      </w:r>
      <w:hyperlink r:id="rId36" w:history="1">
        <w:r w:rsidR="00453AB7" w:rsidRPr="00453AB7">
          <w:rPr>
            <w:rFonts w:ascii="FrankRuehl" w:hAnsi="FrankRuehl" w:cs="FrankRuehl"/>
            <w:color w:val="0000FF"/>
            <w:sz w:val="28"/>
            <w:szCs w:val="28"/>
            <w:u w:val="single"/>
            <w:rtl/>
          </w:rPr>
          <w:t>ת"פ 53375-03-18</w:t>
        </w:r>
      </w:hyperlink>
      <w:r>
        <w:rPr>
          <w:rFonts w:ascii="FrankRuehl" w:hAnsi="FrankRuehl" w:cs="FrankRuehl" w:hint="cs"/>
          <w:sz w:val="28"/>
          <w:szCs w:val="28"/>
          <w:rtl/>
        </w:rPr>
        <w:t xml:space="preserve"> </w:t>
      </w:r>
      <w:r w:rsidRPr="008C6F03">
        <w:rPr>
          <w:rFonts w:ascii="FrankRuehl" w:hAnsi="FrankRuehl" w:cs="FrankRuehl" w:hint="cs"/>
          <w:b/>
          <w:bCs/>
          <w:sz w:val="28"/>
          <w:szCs w:val="28"/>
          <w:u w:val="single"/>
          <w:rtl/>
        </w:rPr>
        <w:t>מ"י</w:t>
      </w:r>
      <w:r>
        <w:rPr>
          <w:rFonts w:ascii="FrankRuehl" w:hAnsi="FrankRuehl" w:cs="FrankRuehl" w:hint="cs"/>
          <w:sz w:val="28"/>
          <w:szCs w:val="28"/>
          <w:rtl/>
        </w:rPr>
        <w:t xml:space="preserve"> נ' </w:t>
      </w:r>
      <w:r w:rsidRPr="008C6F03">
        <w:rPr>
          <w:rFonts w:ascii="FrankRuehl" w:hAnsi="FrankRuehl" w:cs="FrankRuehl" w:hint="cs"/>
          <w:b/>
          <w:bCs/>
          <w:sz w:val="28"/>
          <w:szCs w:val="28"/>
          <w:u w:val="single"/>
          <w:rtl/>
        </w:rPr>
        <w:t>כהן ואח</w:t>
      </w:r>
      <w:r>
        <w:rPr>
          <w:rFonts w:ascii="FrankRuehl" w:hAnsi="FrankRuehl" w:cs="FrankRuehl" w:hint="cs"/>
          <w:sz w:val="28"/>
          <w:szCs w:val="28"/>
          <w:rtl/>
        </w:rPr>
        <w:t xml:space="preserve"> '(מיום 25.9.2019, שם נדחה ערעור בעניין ביטול ההרשעה אך התקבל ערעור על הנאשם שהוטל עליו של"ץ, שהומר בעבודות שירות). יתר המקרים אליהם היפנה הסניגור חמורים הרבה פחות. מכל מקום, במכלול נסיבות המקרה, לא סברתי נוכח טיב המעשים ויוזמת הנאשם והעובדה שהחטיא אחרים, כי ניתן לבטל את ההרשעה. מעבר לדרוש אציין, כי הנאשם אינו עומד בתנאי השני, שכן לא הוכחה פגיעה בלתי מידתית כתוצאה מהותרת ההרשעה על כנה, ולכן אינני נעתר לבקשה.</w:t>
      </w:r>
    </w:p>
    <w:p w14:paraId="2C38A2D5" w14:textId="77777777" w:rsidR="00BF30F1" w:rsidRDefault="00BF30F1" w:rsidP="00BF30F1">
      <w:pPr>
        <w:spacing w:line="360" w:lineRule="auto"/>
        <w:jc w:val="both"/>
        <w:rPr>
          <w:rFonts w:ascii="FrankRuehl" w:hAnsi="FrankRuehl" w:cs="FrankRuehl"/>
          <w:sz w:val="28"/>
          <w:szCs w:val="28"/>
          <w:rtl/>
        </w:rPr>
      </w:pPr>
    </w:p>
    <w:p w14:paraId="13CB904F" w14:textId="77777777" w:rsidR="00BF30F1" w:rsidRDefault="00BF30F1" w:rsidP="00BF30F1">
      <w:pPr>
        <w:spacing w:line="360" w:lineRule="auto"/>
        <w:jc w:val="both"/>
        <w:rPr>
          <w:rFonts w:ascii="FrankRuehl" w:hAnsi="FrankRuehl" w:cs="FrankRuehl"/>
          <w:b/>
          <w:bCs/>
          <w:sz w:val="28"/>
          <w:szCs w:val="28"/>
          <w:u w:val="single"/>
          <w:rtl/>
        </w:rPr>
      </w:pPr>
      <w:r>
        <w:rPr>
          <w:rFonts w:ascii="FrankRuehl" w:hAnsi="FrankRuehl" w:cs="FrankRuehl"/>
          <w:b/>
          <w:bCs/>
          <w:sz w:val="28"/>
          <w:szCs w:val="28"/>
          <w:u w:val="single"/>
          <w:rtl/>
        </w:rPr>
        <w:t>גזירת הדין</w:t>
      </w:r>
    </w:p>
    <w:p w14:paraId="036BF2C1" w14:textId="77777777" w:rsidR="00BF30F1" w:rsidRDefault="00BF30F1" w:rsidP="00BF30F1">
      <w:pPr>
        <w:spacing w:line="360" w:lineRule="auto"/>
        <w:jc w:val="both"/>
        <w:rPr>
          <w:rFonts w:ascii="FrankRuehl" w:hAnsi="FrankRuehl" w:cs="FrankRuehl"/>
          <w:sz w:val="28"/>
          <w:szCs w:val="28"/>
          <w:rtl/>
        </w:rPr>
      </w:pPr>
      <w:r>
        <w:rPr>
          <w:rFonts w:ascii="FrankRuehl" w:hAnsi="FrankRuehl" w:cs="FrankRuehl"/>
          <w:sz w:val="28"/>
          <w:szCs w:val="28"/>
          <w:rtl/>
        </w:rPr>
        <w:t>לפיכך, אני מחליט לגזור על הנאשם את העונשים הבאים:</w:t>
      </w:r>
    </w:p>
    <w:p w14:paraId="5F4C9799" w14:textId="77777777" w:rsidR="00BF30F1" w:rsidRDefault="00BF30F1" w:rsidP="00BF30F1">
      <w:pPr>
        <w:pStyle w:val="a9"/>
        <w:numPr>
          <w:ilvl w:val="0"/>
          <w:numId w:val="1"/>
        </w:numPr>
        <w:spacing w:line="360" w:lineRule="auto"/>
        <w:jc w:val="both"/>
        <w:rPr>
          <w:rFonts w:ascii="FrankRuehl" w:hAnsi="FrankRuehl" w:cs="FrankRuehl"/>
          <w:sz w:val="28"/>
          <w:szCs w:val="28"/>
        </w:rPr>
      </w:pPr>
      <w:r>
        <w:rPr>
          <w:rFonts w:ascii="FrankRuehl" w:hAnsi="FrankRuehl" w:cs="FrankRuehl" w:hint="cs"/>
          <w:sz w:val="28"/>
          <w:szCs w:val="28"/>
          <w:rtl/>
        </w:rPr>
        <w:t>6 חודשי מאסר לריצוי בעבודות שירות בניכוי ימי מעצרו של הנאשם בתיק זה ע"פ חישוב שב"ס. עבודות השירות יבוצעו בחווה הטיפולית בירושלים החל מיום 24.6.2021. הנאשם הוזהר כי אם לא יקיים את הוראות הממונה, ניתן להפקיע את העבודות למאסר ממש. במועד תחילת העבודות על הנאשם להתייצב לתחילת ריצוי עונשו עד לשעה 08:00 במשרדי הממונה;</w:t>
      </w:r>
    </w:p>
    <w:p w14:paraId="1860BF59" w14:textId="77777777" w:rsidR="00BF30F1" w:rsidRDefault="00BF30F1" w:rsidP="00BF30F1">
      <w:pPr>
        <w:pStyle w:val="a9"/>
        <w:numPr>
          <w:ilvl w:val="0"/>
          <w:numId w:val="1"/>
        </w:numPr>
        <w:spacing w:line="360" w:lineRule="auto"/>
        <w:jc w:val="both"/>
        <w:rPr>
          <w:rFonts w:ascii="FrankRuehl" w:hAnsi="FrankRuehl" w:cs="FrankRuehl"/>
          <w:sz w:val="28"/>
          <w:szCs w:val="28"/>
        </w:rPr>
      </w:pPr>
      <w:r>
        <w:rPr>
          <w:rFonts w:ascii="FrankRuehl" w:hAnsi="FrankRuehl" w:cs="FrankRuehl"/>
          <w:sz w:val="28"/>
          <w:szCs w:val="28"/>
          <w:rtl/>
        </w:rPr>
        <w:t xml:space="preserve">6 חודשי מאסר, שלא ירוצו אלא אם יעבור הנאשם כל עבירת </w:t>
      </w:r>
      <w:r>
        <w:rPr>
          <w:rFonts w:ascii="FrankRuehl" w:hAnsi="FrankRuehl" w:cs="FrankRuehl" w:hint="cs"/>
          <w:sz w:val="28"/>
          <w:szCs w:val="28"/>
          <w:rtl/>
        </w:rPr>
        <w:t xml:space="preserve">פשע </w:t>
      </w:r>
      <w:r>
        <w:rPr>
          <w:rFonts w:ascii="FrankRuehl" w:hAnsi="FrankRuehl" w:cs="FrankRuehl"/>
          <w:sz w:val="28"/>
          <w:szCs w:val="28"/>
          <w:rtl/>
        </w:rPr>
        <w:t xml:space="preserve">לפי </w:t>
      </w:r>
      <w:hyperlink r:id="rId37" w:history="1">
        <w:r w:rsidR="00453AB7" w:rsidRPr="00453AB7">
          <w:rPr>
            <w:rFonts w:ascii="FrankRuehl" w:hAnsi="FrankRuehl" w:cs="FrankRuehl"/>
            <w:color w:val="0000FF"/>
            <w:sz w:val="28"/>
            <w:szCs w:val="28"/>
            <w:u w:val="single"/>
            <w:rtl/>
          </w:rPr>
          <w:t>פקודת הסמים המסוכנים</w:t>
        </w:r>
      </w:hyperlink>
      <w:r>
        <w:rPr>
          <w:rFonts w:ascii="FrankRuehl" w:hAnsi="FrankRuehl" w:cs="FrankRuehl"/>
          <w:sz w:val="28"/>
          <w:szCs w:val="28"/>
          <w:rtl/>
        </w:rPr>
        <w:t xml:space="preserve"> בתוך 3 שנים </w:t>
      </w:r>
      <w:r>
        <w:rPr>
          <w:rFonts w:ascii="FrankRuehl" w:hAnsi="FrankRuehl" w:cs="FrankRuehl" w:hint="cs"/>
          <w:sz w:val="28"/>
          <w:szCs w:val="28"/>
          <w:rtl/>
        </w:rPr>
        <w:t>מסיום עבודות השירות</w:t>
      </w:r>
      <w:r>
        <w:rPr>
          <w:rFonts w:ascii="FrankRuehl" w:hAnsi="FrankRuehl" w:cs="FrankRuehl"/>
          <w:sz w:val="28"/>
          <w:szCs w:val="28"/>
          <w:rtl/>
        </w:rPr>
        <w:t>;</w:t>
      </w:r>
    </w:p>
    <w:p w14:paraId="529968FC" w14:textId="77777777" w:rsidR="00BF30F1" w:rsidRDefault="00BF30F1" w:rsidP="00BF30F1">
      <w:pPr>
        <w:pStyle w:val="a9"/>
        <w:numPr>
          <w:ilvl w:val="0"/>
          <w:numId w:val="1"/>
        </w:numPr>
        <w:spacing w:line="360" w:lineRule="auto"/>
        <w:jc w:val="both"/>
        <w:rPr>
          <w:rFonts w:ascii="FrankRuehl" w:hAnsi="FrankRuehl" w:cs="FrankRuehl"/>
          <w:sz w:val="28"/>
          <w:szCs w:val="28"/>
          <w:rtl/>
        </w:rPr>
      </w:pPr>
      <w:r>
        <w:rPr>
          <w:rFonts w:ascii="FrankRuehl" w:hAnsi="FrankRuehl" w:cs="FrankRuehl" w:hint="cs"/>
          <w:sz w:val="28"/>
          <w:szCs w:val="28"/>
          <w:rtl/>
        </w:rPr>
        <w:t>חודש מאסר שלא ירוצה, אלא אם יעבור הנאשם כל עבירת עוון לפי פקודת הסמים בתוך 3 שנים מסיום עבודות השירות;</w:t>
      </w:r>
    </w:p>
    <w:p w14:paraId="625D7977" w14:textId="77777777" w:rsidR="00BF30F1" w:rsidRDefault="00BF30F1" w:rsidP="00BF30F1">
      <w:pPr>
        <w:pStyle w:val="a9"/>
        <w:numPr>
          <w:ilvl w:val="0"/>
          <w:numId w:val="1"/>
        </w:numPr>
        <w:spacing w:line="360" w:lineRule="auto"/>
        <w:jc w:val="both"/>
        <w:rPr>
          <w:rFonts w:ascii="FrankRuehl" w:hAnsi="FrankRuehl" w:cs="FrankRuehl"/>
          <w:sz w:val="28"/>
          <w:szCs w:val="28"/>
        </w:rPr>
      </w:pPr>
      <w:r>
        <w:rPr>
          <w:rFonts w:ascii="FrankRuehl" w:hAnsi="FrankRuehl" w:cs="FrankRuehl"/>
          <w:sz w:val="28"/>
          <w:szCs w:val="28"/>
          <w:rtl/>
        </w:rPr>
        <w:t xml:space="preserve">קנס בסך  2,000  ₪, אשר ישולם החל מיום </w:t>
      </w:r>
      <w:r>
        <w:rPr>
          <w:rFonts w:ascii="FrankRuehl" w:hAnsi="FrankRuehl" w:cs="FrankRuehl" w:hint="cs"/>
          <w:sz w:val="28"/>
          <w:szCs w:val="28"/>
          <w:rtl/>
        </w:rPr>
        <w:t>1.7.2021</w:t>
      </w:r>
      <w:r>
        <w:rPr>
          <w:rFonts w:ascii="FrankRuehl" w:hAnsi="FrankRuehl" w:cs="FrankRuehl"/>
          <w:sz w:val="28"/>
          <w:szCs w:val="28"/>
          <w:rtl/>
        </w:rPr>
        <w:t xml:space="preserve">, או  שבועיים ימי מאסר תמורתו. הקנס ישולם ב-10 תשלומים שווים ורצופים ב-1 כל בחודש. </w:t>
      </w:r>
      <w:r>
        <w:rPr>
          <w:rFonts w:ascii="FrankRuehl" w:hAnsi="FrankRuehl" w:cs="FrankRuehl" w:hint="cs"/>
          <w:sz w:val="28"/>
          <w:szCs w:val="28"/>
          <w:rtl/>
        </w:rPr>
        <w:t>ניתן לקזז את הקנס מן ההפקדה על אף כל הוראת עיקול ככל שישנה;</w:t>
      </w:r>
    </w:p>
    <w:p w14:paraId="3709B5FA" w14:textId="77777777" w:rsidR="00BF30F1" w:rsidRDefault="00BF30F1" w:rsidP="00BF30F1">
      <w:pPr>
        <w:pStyle w:val="a9"/>
        <w:numPr>
          <w:ilvl w:val="0"/>
          <w:numId w:val="1"/>
        </w:numPr>
        <w:spacing w:line="360" w:lineRule="auto"/>
        <w:jc w:val="both"/>
        <w:rPr>
          <w:rFonts w:ascii="FrankRuehl" w:hAnsi="FrankRuehl" w:cs="FrankRuehl"/>
          <w:sz w:val="28"/>
          <w:szCs w:val="28"/>
        </w:rPr>
      </w:pPr>
      <w:r>
        <w:rPr>
          <w:rFonts w:ascii="FrankRuehl" w:hAnsi="FrankRuehl" w:cs="FrankRuehl"/>
          <w:sz w:val="28"/>
          <w:szCs w:val="28"/>
          <w:rtl/>
        </w:rPr>
        <w:t>צו מבחן לתקופה של  12 חודשים. במהלך תקופה זו הנאשם מחויב בשיתוף פעולה עם שירות המבחן, כאשר מובהר כי הפרת  הצו תוכל להביא לפתיחה מחודשת של המשפט וגזירת עונשו של הנאשם, לרבות עונש מאסר.</w:t>
      </w:r>
    </w:p>
    <w:p w14:paraId="0A97194E" w14:textId="77777777" w:rsidR="00BF30F1" w:rsidRDefault="00BF30F1" w:rsidP="00BF30F1">
      <w:pPr>
        <w:spacing w:line="360" w:lineRule="auto"/>
        <w:jc w:val="both"/>
        <w:rPr>
          <w:rFonts w:ascii="FrankRuehl" w:hAnsi="FrankRuehl" w:cs="FrankRuehl"/>
          <w:sz w:val="28"/>
          <w:szCs w:val="28"/>
          <w:rtl/>
        </w:rPr>
      </w:pPr>
      <w:r>
        <w:rPr>
          <w:rFonts w:ascii="FrankRuehl" w:hAnsi="FrankRuehl" w:cs="FrankRuehl"/>
          <w:sz w:val="28"/>
          <w:szCs w:val="28"/>
          <w:rtl/>
        </w:rPr>
        <w:t xml:space="preserve">מורה על השמדת הסמים, הסכין והטלפון שנתפס ששימש לביצוע העבירות. </w:t>
      </w:r>
    </w:p>
    <w:p w14:paraId="61B284E0" w14:textId="77777777" w:rsidR="00BF30F1" w:rsidRDefault="00BF30F1" w:rsidP="00BF30F1">
      <w:pPr>
        <w:spacing w:line="360" w:lineRule="auto"/>
        <w:jc w:val="both"/>
        <w:rPr>
          <w:rFonts w:ascii="FrankRuehl" w:hAnsi="FrankRuehl" w:cs="FrankRuehl"/>
          <w:sz w:val="28"/>
          <w:szCs w:val="28"/>
          <w:rtl/>
        </w:rPr>
      </w:pPr>
      <w:r>
        <w:rPr>
          <w:rFonts w:ascii="FrankRuehl" w:hAnsi="FrankRuehl" w:cs="FrankRuehl"/>
          <w:sz w:val="28"/>
          <w:szCs w:val="28"/>
          <w:rtl/>
        </w:rPr>
        <w:t>יש לשלוח לשירות המבחן.</w:t>
      </w:r>
    </w:p>
    <w:p w14:paraId="18A0606A" w14:textId="77777777" w:rsidR="00BF30F1" w:rsidRDefault="00453AB7" w:rsidP="00BF30F1">
      <w:pPr>
        <w:spacing w:line="360" w:lineRule="auto"/>
        <w:jc w:val="both"/>
        <w:rPr>
          <w:rFonts w:ascii="FrankRuehl" w:hAnsi="FrankRuehl" w:cs="FrankRuehl"/>
          <w:sz w:val="28"/>
          <w:szCs w:val="28"/>
          <w:rtl/>
        </w:rPr>
      </w:pPr>
      <w:r w:rsidRPr="00453AB7">
        <w:rPr>
          <w:rFonts w:ascii="FrankRuehl" w:hAnsi="FrankRuehl" w:cs="FrankRuehl"/>
          <w:color w:val="FFFFFF"/>
          <w:sz w:val="2"/>
          <w:szCs w:val="2"/>
          <w:rtl/>
        </w:rPr>
        <w:t>5129371</w:t>
      </w:r>
      <w:r w:rsidR="00BF30F1">
        <w:rPr>
          <w:rFonts w:ascii="FrankRuehl" w:hAnsi="FrankRuehl" w:cs="FrankRuehl"/>
          <w:sz w:val="28"/>
          <w:szCs w:val="28"/>
          <w:rtl/>
        </w:rPr>
        <w:t>זכות ערעור כחוק לבית המשפט המחוזי בירושלים בתוך 45 יום מהיום.</w:t>
      </w:r>
    </w:p>
    <w:p w14:paraId="5B9F9095" w14:textId="77777777" w:rsidR="00BF30F1" w:rsidRPr="00453AB7" w:rsidRDefault="00453AB7" w:rsidP="00BF30F1">
      <w:pPr>
        <w:rPr>
          <w:color w:val="FFFFFF"/>
          <w:sz w:val="2"/>
          <w:szCs w:val="2"/>
          <w:rtl/>
        </w:rPr>
      </w:pPr>
      <w:r w:rsidRPr="00453AB7">
        <w:rPr>
          <w:color w:val="FFFFFF"/>
          <w:sz w:val="2"/>
          <w:szCs w:val="2"/>
          <w:rtl/>
        </w:rPr>
        <w:t>54678313</w:t>
      </w:r>
    </w:p>
    <w:p w14:paraId="137A8850" w14:textId="77777777" w:rsidR="00BF30F1" w:rsidRDefault="00453AB7" w:rsidP="00BF30F1">
      <w:pPr>
        <w:rPr>
          <w:rFonts w:cs="FrankRuehl"/>
          <w:sz w:val="28"/>
          <w:szCs w:val="28"/>
          <w:rtl/>
        </w:rPr>
      </w:pPr>
      <w:bookmarkStart w:id="8" w:name="Nitan"/>
      <w:r>
        <w:rPr>
          <w:rFonts w:ascii="Arial" w:hAnsi="Arial"/>
          <w:rtl/>
        </w:rPr>
        <w:t xml:space="preserve">ניתן היום,  כ"ו סיוון תשפ"א, 06 יוני 2021, במעמד הצדדים. </w:t>
      </w:r>
      <w:bookmarkEnd w:id="8"/>
    </w:p>
    <w:p w14:paraId="5ECC12EB" w14:textId="77777777" w:rsidR="00BF30F1" w:rsidRDefault="00BF30F1" w:rsidP="00453AB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5FEA181" w14:textId="77777777" w:rsidR="00BF30F1" w:rsidRDefault="00BF30F1" w:rsidP="00BF30F1">
      <w:pPr>
        <w:jc w:val="center"/>
        <w:rPr>
          <w:rFonts w:ascii="Arial" w:hAnsi="Arial" w:cs="FrankRuehl"/>
          <w:sz w:val="28"/>
          <w:szCs w:val="28"/>
          <w:rtl/>
        </w:rPr>
      </w:pPr>
    </w:p>
    <w:p w14:paraId="2486AD6D" w14:textId="77777777" w:rsidR="00453AB7" w:rsidRDefault="00D171CE" w:rsidP="00453AB7">
      <w:r w:rsidRPr="00D171CE">
        <w:rPr>
          <w:rFonts w:cs="FrankRuehl"/>
          <w:color w:val="FFFFFF"/>
          <w:sz w:val="2"/>
          <w:szCs w:val="2"/>
          <w:rtl/>
        </w:rPr>
        <w:t>5129371</w:t>
      </w:r>
    </w:p>
    <w:p w14:paraId="5DB80716" w14:textId="77777777" w:rsidR="00453AB7" w:rsidRDefault="00453AB7" w:rsidP="00453AB7">
      <w:pPr>
        <w:rPr>
          <w:rtl/>
        </w:rPr>
      </w:pPr>
    </w:p>
    <w:p w14:paraId="77F4C4AF" w14:textId="77777777" w:rsidR="00453AB7" w:rsidRDefault="00453AB7" w:rsidP="00453AB7">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042A6AC9" w14:textId="77777777" w:rsidR="00D171CE" w:rsidRPr="00D171CE" w:rsidRDefault="00D171CE" w:rsidP="00D171CE">
      <w:pPr>
        <w:keepNext/>
        <w:rPr>
          <w:rFonts w:ascii="David" w:hAnsi="David"/>
          <w:color w:val="000000"/>
          <w:sz w:val="22"/>
          <w:szCs w:val="22"/>
          <w:rtl/>
        </w:rPr>
      </w:pPr>
    </w:p>
    <w:p w14:paraId="6A4F4236" w14:textId="77777777" w:rsidR="00D171CE" w:rsidRPr="00D171CE" w:rsidRDefault="00D171CE" w:rsidP="00D171CE">
      <w:pPr>
        <w:keepNext/>
        <w:rPr>
          <w:rFonts w:ascii="David" w:hAnsi="David"/>
          <w:color w:val="000000"/>
          <w:sz w:val="22"/>
          <w:szCs w:val="22"/>
          <w:rtl/>
        </w:rPr>
      </w:pPr>
      <w:r w:rsidRPr="00D171CE">
        <w:rPr>
          <w:rFonts w:ascii="David" w:hAnsi="David"/>
          <w:color w:val="000000"/>
          <w:sz w:val="22"/>
          <w:szCs w:val="22"/>
          <w:rtl/>
        </w:rPr>
        <w:t>דוד שאול גבאי ריכטר 54678313-/</w:t>
      </w:r>
    </w:p>
    <w:p w14:paraId="7DABFD5C" w14:textId="77777777" w:rsidR="00453AB7" w:rsidRPr="00453AB7" w:rsidRDefault="00D171CE" w:rsidP="00D171CE">
      <w:pPr>
        <w:rPr>
          <w:color w:val="0000FF"/>
          <w:u w:val="single"/>
        </w:rPr>
      </w:pPr>
      <w:r w:rsidRPr="00D171CE">
        <w:rPr>
          <w:color w:val="000000"/>
          <w:u w:val="single"/>
          <w:rtl/>
        </w:rPr>
        <w:t>נוסח מסמך זה כפוף לשינויי ניסוח ועריכה</w:t>
      </w:r>
    </w:p>
    <w:sectPr w:rsidR="00453AB7" w:rsidRPr="00453AB7" w:rsidSect="00D171CE">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B552F5" w14:textId="77777777" w:rsidR="00A842B9" w:rsidRDefault="00A842B9" w:rsidP="00D97595">
      <w:r>
        <w:separator/>
      </w:r>
    </w:p>
  </w:endnote>
  <w:endnote w:type="continuationSeparator" w:id="0">
    <w:p w14:paraId="4650DAD7" w14:textId="77777777" w:rsidR="00A842B9" w:rsidRDefault="00A842B9" w:rsidP="00D97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A44D0" w14:textId="77777777" w:rsidR="00D171CE" w:rsidRDefault="00D171CE" w:rsidP="00D171C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A6EB2E2" w14:textId="77777777" w:rsidR="00111B64" w:rsidRPr="00D171CE" w:rsidRDefault="00D171CE" w:rsidP="00D171CE">
    <w:pPr>
      <w:pStyle w:val="a5"/>
      <w:pBdr>
        <w:top w:val="single" w:sz="4" w:space="1" w:color="auto"/>
        <w:between w:val="single" w:sz="4" w:space="0" w:color="auto"/>
      </w:pBdr>
      <w:spacing w:after="60"/>
      <w:jc w:val="center"/>
      <w:rPr>
        <w:rFonts w:ascii="FrankRuehl" w:hAnsi="FrankRuehl" w:cs="FrankRuehl"/>
        <w:color w:val="000000"/>
      </w:rPr>
    </w:pPr>
    <w:r w:rsidRPr="00D171C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02D41" w14:textId="77777777" w:rsidR="00D171CE" w:rsidRDefault="00D171CE" w:rsidP="00D171C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F7BF9">
      <w:rPr>
        <w:rFonts w:ascii="FrankRuehl" w:hAnsi="FrankRuehl" w:cs="FrankRuehl"/>
        <w:noProof/>
        <w:rtl/>
      </w:rPr>
      <w:t>1</w:t>
    </w:r>
    <w:r>
      <w:rPr>
        <w:rFonts w:ascii="FrankRuehl" w:hAnsi="FrankRuehl" w:cs="FrankRuehl"/>
        <w:rtl/>
      </w:rPr>
      <w:fldChar w:fldCharType="end"/>
    </w:r>
  </w:p>
  <w:p w14:paraId="202510F9" w14:textId="77777777" w:rsidR="00111B64" w:rsidRPr="00D171CE" w:rsidRDefault="00D171CE" w:rsidP="00D171CE">
    <w:pPr>
      <w:pStyle w:val="a5"/>
      <w:pBdr>
        <w:top w:val="single" w:sz="4" w:space="1" w:color="auto"/>
        <w:between w:val="single" w:sz="4" w:space="0" w:color="auto"/>
      </w:pBdr>
      <w:spacing w:after="60"/>
      <w:jc w:val="center"/>
      <w:rPr>
        <w:rFonts w:ascii="FrankRuehl" w:hAnsi="FrankRuehl" w:cs="FrankRuehl"/>
        <w:color w:val="000000"/>
      </w:rPr>
    </w:pPr>
    <w:r w:rsidRPr="00D171CE">
      <w:rPr>
        <w:rFonts w:ascii="FrankRuehl" w:hAnsi="FrankRuehl" w:cs="FrankRuehl"/>
        <w:color w:val="000000"/>
      </w:rPr>
      <w:pict w14:anchorId="7802EF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ADA8AE" w14:textId="77777777" w:rsidR="00A842B9" w:rsidRDefault="00A842B9" w:rsidP="00D97595">
      <w:r>
        <w:separator/>
      </w:r>
    </w:p>
  </w:footnote>
  <w:footnote w:type="continuationSeparator" w:id="0">
    <w:p w14:paraId="24FB174D" w14:textId="77777777" w:rsidR="00A842B9" w:rsidRDefault="00A842B9" w:rsidP="00D975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6BEB17" w14:textId="77777777" w:rsidR="00453AB7" w:rsidRPr="00D171CE" w:rsidRDefault="00D171CE" w:rsidP="00D171C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266-06-18</w:t>
    </w:r>
    <w:r>
      <w:rPr>
        <w:rFonts w:ascii="David" w:hAnsi="David"/>
        <w:color w:val="000000"/>
        <w:sz w:val="22"/>
        <w:szCs w:val="22"/>
        <w:rtl/>
      </w:rPr>
      <w:tab/>
      <w:t xml:space="preserve"> מדינת ישראל נ' יעקב קפלן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6C3D8" w14:textId="77777777" w:rsidR="00453AB7" w:rsidRPr="00D171CE" w:rsidRDefault="00D171CE" w:rsidP="00D171C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266-06-18</w:t>
    </w:r>
    <w:r>
      <w:rPr>
        <w:rFonts w:ascii="David" w:hAnsi="David"/>
        <w:color w:val="000000"/>
        <w:sz w:val="22"/>
        <w:szCs w:val="22"/>
        <w:rtl/>
      </w:rPr>
      <w:tab/>
      <w:t xml:space="preserve"> מדינת ישראל נ' יעקב קפלן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2437DB"/>
    <w:multiLevelType w:val="hybridMultilevel"/>
    <w:tmpl w:val="760E9A28"/>
    <w:lvl w:ilvl="0" w:tplc="2B608128">
      <w:start w:val="1"/>
      <w:numFmt w:val="hebrew1"/>
      <w:lvlText w:val="%1."/>
      <w:lvlJc w:val="left"/>
      <w:pPr>
        <w:ind w:left="810" w:hanging="81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110201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F30F1"/>
    <w:rsid w:val="000A79AD"/>
    <w:rsid w:val="00111B64"/>
    <w:rsid w:val="00143152"/>
    <w:rsid w:val="002F14BB"/>
    <w:rsid w:val="00453AB7"/>
    <w:rsid w:val="005B3799"/>
    <w:rsid w:val="00627470"/>
    <w:rsid w:val="009A4E4C"/>
    <w:rsid w:val="00A34ABC"/>
    <w:rsid w:val="00A842B9"/>
    <w:rsid w:val="00AD2BC4"/>
    <w:rsid w:val="00BF30F1"/>
    <w:rsid w:val="00CB3574"/>
    <w:rsid w:val="00CE39AF"/>
    <w:rsid w:val="00D171CE"/>
    <w:rsid w:val="00D97595"/>
    <w:rsid w:val="00DF7B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6FCE51A"/>
  <w15:chartTrackingRefBased/>
  <w15:docId w15:val="{18037680-8768-4136-9EED-A6227797E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F30F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F30F1"/>
    <w:pPr>
      <w:tabs>
        <w:tab w:val="center" w:pos="4153"/>
        <w:tab w:val="right" w:pos="8306"/>
      </w:tabs>
    </w:pPr>
  </w:style>
  <w:style w:type="character" w:customStyle="1" w:styleId="a4">
    <w:name w:val="כותרת עליונה תו"/>
    <w:link w:val="a3"/>
    <w:rsid w:val="00BF30F1"/>
    <w:rPr>
      <w:rFonts w:ascii="Times New Roman" w:eastAsia="Times New Roman" w:hAnsi="Times New Roman" w:cs="David"/>
      <w:sz w:val="24"/>
      <w:szCs w:val="24"/>
    </w:rPr>
  </w:style>
  <w:style w:type="paragraph" w:styleId="a5">
    <w:name w:val="footer"/>
    <w:basedOn w:val="a"/>
    <w:link w:val="a6"/>
    <w:rsid w:val="00BF30F1"/>
    <w:pPr>
      <w:tabs>
        <w:tab w:val="center" w:pos="4153"/>
        <w:tab w:val="right" w:pos="8306"/>
      </w:tabs>
    </w:pPr>
  </w:style>
  <w:style w:type="character" w:customStyle="1" w:styleId="a6">
    <w:name w:val="כותרת תחתונה תו"/>
    <w:link w:val="a5"/>
    <w:rsid w:val="00BF30F1"/>
    <w:rPr>
      <w:rFonts w:ascii="Times New Roman" w:eastAsia="Times New Roman" w:hAnsi="Times New Roman" w:cs="David"/>
      <w:sz w:val="24"/>
      <w:szCs w:val="24"/>
    </w:rPr>
  </w:style>
  <w:style w:type="table" w:styleId="a7">
    <w:name w:val="Table Grid"/>
    <w:basedOn w:val="a1"/>
    <w:rsid w:val="00BF30F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F30F1"/>
  </w:style>
  <w:style w:type="paragraph" w:styleId="a9">
    <w:name w:val="List Paragraph"/>
    <w:basedOn w:val="a"/>
    <w:qFormat/>
    <w:rsid w:val="00BF30F1"/>
    <w:pPr>
      <w:spacing w:after="160" w:line="256" w:lineRule="auto"/>
      <w:ind w:left="720"/>
      <w:contextualSpacing/>
    </w:pPr>
    <w:rPr>
      <w:rFonts w:ascii="Calibri" w:eastAsia="Calibri" w:hAnsi="Calibri" w:cs="Arial"/>
      <w:sz w:val="22"/>
      <w:szCs w:val="22"/>
    </w:rPr>
  </w:style>
  <w:style w:type="character" w:styleId="Hyperlink">
    <w:name w:val="Hyperlink"/>
    <w:rsid w:val="00453A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5" TargetMode="External"/><Relationship Id="rId18" Type="http://schemas.openxmlformats.org/officeDocument/2006/relationships/hyperlink" Target="http://www.nevo.co.il/law/4216/13" TargetMode="External"/><Relationship Id="rId26" Type="http://schemas.openxmlformats.org/officeDocument/2006/relationships/hyperlink" Target="http://www.nevo.co.il/law/4216/13" TargetMode="External"/><Relationship Id="rId39" Type="http://schemas.openxmlformats.org/officeDocument/2006/relationships/header" Target="header1.xml"/><Relationship Id="rId21" Type="http://schemas.openxmlformats.org/officeDocument/2006/relationships/hyperlink" Target="http://www.nevo.co.il/law/70301" TargetMode="External"/><Relationship Id="rId34" Type="http://schemas.openxmlformats.org/officeDocument/2006/relationships/hyperlink" Target="http://www.nevo.co.il/law/70301/40ja" TargetMode="External"/><Relationship Id="rId42" Type="http://schemas.openxmlformats.org/officeDocument/2006/relationships/footer" Target="footer2.xml"/><Relationship Id="rId7" Type="http://schemas.openxmlformats.org/officeDocument/2006/relationships/hyperlink" Target="http://www.nevo.co.il/case/24264861" TargetMode="External"/><Relationship Id="rId2" Type="http://schemas.openxmlformats.org/officeDocument/2006/relationships/styles" Target="styles.xml"/><Relationship Id="rId16" Type="http://schemas.openxmlformats.org/officeDocument/2006/relationships/hyperlink" Target="http://www.nevo.co.il/law/70301/40i" TargetMode="External"/><Relationship Id="rId20" Type="http://schemas.openxmlformats.org/officeDocument/2006/relationships/hyperlink" Target="http://www.nevo.co.il/law/70301/29.a" TargetMode="External"/><Relationship Id="rId29" Type="http://schemas.openxmlformats.org/officeDocument/2006/relationships/hyperlink" Target="http://www.nevo.co.il/law/70301/40i"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 TargetMode="External"/><Relationship Id="rId24" Type="http://schemas.openxmlformats.org/officeDocument/2006/relationships/hyperlink" Target="http://www.nevo.co.il/law/70301/25" TargetMode="External"/><Relationship Id="rId32" Type="http://schemas.openxmlformats.org/officeDocument/2006/relationships/hyperlink" Target="http://www.nevo.co.il/case/21477656" TargetMode="External"/><Relationship Id="rId37" Type="http://schemas.openxmlformats.org/officeDocument/2006/relationships/hyperlink" Target="http://www.nevo.co.il/law/4216"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30" TargetMode="External"/><Relationship Id="rId23" Type="http://schemas.openxmlformats.org/officeDocument/2006/relationships/hyperlink" Target="http://www.nevo.co.il/law/4216/13" TargetMode="External"/><Relationship Id="rId28" Type="http://schemas.openxmlformats.org/officeDocument/2006/relationships/hyperlink" Target="http://www.nevo.co.il/case/23827604" TargetMode="External"/><Relationship Id="rId36" Type="http://schemas.openxmlformats.org/officeDocument/2006/relationships/hyperlink" Target="http://www.nevo.co.il/case/23814688" TargetMode="External"/><Relationship Id="rId10" Type="http://schemas.openxmlformats.org/officeDocument/2006/relationships/hyperlink" Target="http://www.nevo.co.il/law/4216/7.c" TargetMode="External"/><Relationship Id="rId19" Type="http://schemas.openxmlformats.org/officeDocument/2006/relationships/hyperlink" Target="http://www.nevo.co.il/law/4216" TargetMode="External"/><Relationship Id="rId31" Type="http://schemas.openxmlformats.org/officeDocument/2006/relationships/hyperlink" Target="http://www.nevo.co.il/case/11306079"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29.a" TargetMode="External"/><Relationship Id="rId22" Type="http://schemas.openxmlformats.org/officeDocument/2006/relationships/hyperlink" Target="http://www.nevo.co.il/law/4216/7.a.;7.c" TargetMode="External"/><Relationship Id="rId27" Type="http://schemas.openxmlformats.org/officeDocument/2006/relationships/hyperlink" Target="http://www.nevo.co.il/case/24382279" TargetMode="External"/><Relationship Id="rId30" Type="http://schemas.openxmlformats.org/officeDocument/2006/relationships/hyperlink" Target="http://www.nevo.co.il/case/25977712" TargetMode="External"/><Relationship Id="rId35" Type="http://schemas.openxmlformats.org/officeDocument/2006/relationships/hyperlink" Target="http://www.nevo.co.il/case/23523083" TargetMode="External"/><Relationship Id="rId43" Type="http://schemas.openxmlformats.org/officeDocument/2006/relationships/fontTable" Target="fontTable.xml"/><Relationship Id="rId8"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0301/40ja" TargetMode="External"/><Relationship Id="rId25" Type="http://schemas.openxmlformats.org/officeDocument/2006/relationships/hyperlink" Target="http://www.nevo.co.il/law/70301/30" TargetMode="External"/><Relationship Id="rId33" Type="http://schemas.openxmlformats.org/officeDocument/2006/relationships/hyperlink" Target="http://www.nevo.co.il/case/20321459"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2565</Words>
  <Characters>12826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15361</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8257637</vt:i4>
      </vt:variant>
      <vt:variant>
        <vt:i4>90</vt:i4>
      </vt:variant>
      <vt:variant>
        <vt:i4>0</vt:i4>
      </vt:variant>
      <vt:variant>
        <vt:i4>5</vt:i4>
      </vt:variant>
      <vt:variant>
        <vt:lpwstr>http://www.nevo.co.il/law/4216</vt:lpwstr>
      </vt:variant>
      <vt:variant>
        <vt:lpwstr/>
      </vt:variant>
      <vt:variant>
        <vt:i4>3539056</vt:i4>
      </vt:variant>
      <vt:variant>
        <vt:i4>87</vt:i4>
      </vt:variant>
      <vt:variant>
        <vt:i4>0</vt:i4>
      </vt:variant>
      <vt:variant>
        <vt:i4>5</vt:i4>
      </vt:variant>
      <vt:variant>
        <vt:lpwstr>http://www.nevo.co.il/case/23814688</vt:lpwstr>
      </vt:variant>
      <vt:variant>
        <vt:lpwstr/>
      </vt:variant>
      <vt:variant>
        <vt:i4>3932277</vt:i4>
      </vt:variant>
      <vt:variant>
        <vt:i4>84</vt:i4>
      </vt:variant>
      <vt:variant>
        <vt:i4>0</vt:i4>
      </vt:variant>
      <vt:variant>
        <vt:i4>5</vt:i4>
      </vt:variant>
      <vt:variant>
        <vt:lpwstr>http://www.nevo.co.il/case/23523083</vt:lpwstr>
      </vt:variant>
      <vt:variant>
        <vt:lpwstr/>
      </vt:variant>
      <vt:variant>
        <vt:i4>262155</vt:i4>
      </vt:variant>
      <vt:variant>
        <vt:i4>81</vt:i4>
      </vt:variant>
      <vt:variant>
        <vt:i4>0</vt:i4>
      </vt:variant>
      <vt:variant>
        <vt:i4>5</vt:i4>
      </vt:variant>
      <vt:variant>
        <vt:lpwstr>http://www.nevo.co.il/law/70301/40ja</vt:lpwstr>
      </vt:variant>
      <vt:variant>
        <vt:lpwstr/>
      </vt:variant>
      <vt:variant>
        <vt:i4>3473522</vt:i4>
      </vt:variant>
      <vt:variant>
        <vt:i4>78</vt:i4>
      </vt:variant>
      <vt:variant>
        <vt:i4>0</vt:i4>
      </vt:variant>
      <vt:variant>
        <vt:i4>5</vt:i4>
      </vt:variant>
      <vt:variant>
        <vt:lpwstr>http://www.nevo.co.il/case/20321459</vt:lpwstr>
      </vt:variant>
      <vt:variant>
        <vt:lpwstr/>
      </vt:variant>
      <vt:variant>
        <vt:i4>3407988</vt:i4>
      </vt:variant>
      <vt:variant>
        <vt:i4>75</vt:i4>
      </vt:variant>
      <vt:variant>
        <vt:i4>0</vt:i4>
      </vt:variant>
      <vt:variant>
        <vt:i4>5</vt:i4>
      </vt:variant>
      <vt:variant>
        <vt:lpwstr>http://www.nevo.co.il/case/21477656</vt:lpwstr>
      </vt:variant>
      <vt:variant>
        <vt:lpwstr/>
      </vt:variant>
      <vt:variant>
        <vt:i4>3342453</vt:i4>
      </vt:variant>
      <vt:variant>
        <vt:i4>72</vt:i4>
      </vt:variant>
      <vt:variant>
        <vt:i4>0</vt:i4>
      </vt:variant>
      <vt:variant>
        <vt:i4>5</vt:i4>
      </vt:variant>
      <vt:variant>
        <vt:lpwstr>http://www.nevo.co.il/case/11306079</vt:lpwstr>
      </vt:variant>
      <vt:variant>
        <vt:lpwstr/>
      </vt:variant>
      <vt:variant>
        <vt:i4>3997809</vt:i4>
      </vt:variant>
      <vt:variant>
        <vt:i4>69</vt:i4>
      </vt:variant>
      <vt:variant>
        <vt:i4>0</vt:i4>
      </vt:variant>
      <vt:variant>
        <vt:i4>5</vt:i4>
      </vt:variant>
      <vt:variant>
        <vt:lpwstr>http://www.nevo.co.il/case/25977712</vt:lpwstr>
      </vt:variant>
      <vt:variant>
        <vt:lpwstr/>
      </vt:variant>
      <vt:variant>
        <vt:i4>6619233</vt:i4>
      </vt:variant>
      <vt:variant>
        <vt:i4>66</vt:i4>
      </vt:variant>
      <vt:variant>
        <vt:i4>0</vt:i4>
      </vt:variant>
      <vt:variant>
        <vt:i4>5</vt:i4>
      </vt:variant>
      <vt:variant>
        <vt:lpwstr>http://www.nevo.co.il/law/70301/40i</vt:lpwstr>
      </vt:variant>
      <vt:variant>
        <vt:lpwstr/>
      </vt:variant>
      <vt:variant>
        <vt:i4>3997811</vt:i4>
      </vt:variant>
      <vt:variant>
        <vt:i4>63</vt:i4>
      </vt:variant>
      <vt:variant>
        <vt:i4>0</vt:i4>
      </vt:variant>
      <vt:variant>
        <vt:i4>5</vt:i4>
      </vt:variant>
      <vt:variant>
        <vt:lpwstr>http://www.nevo.co.il/case/23827604</vt:lpwstr>
      </vt:variant>
      <vt:variant>
        <vt:lpwstr/>
      </vt:variant>
      <vt:variant>
        <vt:i4>3407994</vt:i4>
      </vt:variant>
      <vt:variant>
        <vt:i4>60</vt:i4>
      </vt:variant>
      <vt:variant>
        <vt:i4>0</vt:i4>
      </vt:variant>
      <vt:variant>
        <vt:i4>5</vt:i4>
      </vt:variant>
      <vt:variant>
        <vt:lpwstr>http://www.nevo.co.il/case/24382279</vt:lpwstr>
      </vt:variant>
      <vt:variant>
        <vt:lpwstr/>
      </vt:variant>
      <vt:variant>
        <vt:i4>5177418</vt:i4>
      </vt:variant>
      <vt:variant>
        <vt:i4>57</vt:i4>
      </vt:variant>
      <vt:variant>
        <vt:i4>0</vt:i4>
      </vt:variant>
      <vt:variant>
        <vt:i4>5</vt:i4>
      </vt:variant>
      <vt:variant>
        <vt:lpwstr>http://www.nevo.co.il/law/4216/13</vt:lpwstr>
      </vt:variant>
      <vt:variant>
        <vt:lpwstr/>
      </vt:variant>
      <vt:variant>
        <vt:i4>6619238</vt:i4>
      </vt:variant>
      <vt:variant>
        <vt:i4>54</vt:i4>
      </vt:variant>
      <vt:variant>
        <vt:i4>0</vt:i4>
      </vt:variant>
      <vt:variant>
        <vt:i4>5</vt:i4>
      </vt:variant>
      <vt:variant>
        <vt:lpwstr>http://www.nevo.co.il/law/70301/30</vt:lpwstr>
      </vt:variant>
      <vt:variant>
        <vt:lpwstr/>
      </vt:variant>
      <vt:variant>
        <vt:i4>6291559</vt:i4>
      </vt:variant>
      <vt:variant>
        <vt:i4>51</vt:i4>
      </vt:variant>
      <vt:variant>
        <vt:i4>0</vt:i4>
      </vt:variant>
      <vt:variant>
        <vt:i4>5</vt:i4>
      </vt:variant>
      <vt:variant>
        <vt:lpwstr>http://www.nevo.co.il/law/70301/25</vt:lpwstr>
      </vt:variant>
      <vt:variant>
        <vt:lpwstr/>
      </vt:variant>
      <vt:variant>
        <vt:i4>5177418</vt:i4>
      </vt:variant>
      <vt:variant>
        <vt:i4>48</vt:i4>
      </vt:variant>
      <vt:variant>
        <vt:i4>0</vt:i4>
      </vt:variant>
      <vt:variant>
        <vt:i4>5</vt:i4>
      </vt:variant>
      <vt:variant>
        <vt:lpwstr>http://www.nevo.co.il/law/4216/13</vt:lpwstr>
      </vt:variant>
      <vt:variant>
        <vt:lpwstr/>
      </vt:variant>
      <vt:variant>
        <vt:i4>3997821</vt:i4>
      </vt:variant>
      <vt:variant>
        <vt:i4>45</vt:i4>
      </vt:variant>
      <vt:variant>
        <vt:i4>0</vt:i4>
      </vt:variant>
      <vt:variant>
        <vt:i4>5</vt:i4>
      </vt:variant>
      <vt:variant>
        <vt:lpwstr>http://www.nevo.co.il/law/4216/7.a.;7.c</vt:lpwstr>
      </vt:variant>
      <vt:variant>
        <vt:lpwstr/>
      </vt:variant>
      <vt:variant>
        <vt:i4>7995492</vt:i4>
      </vt:variant>
      <vt:variant>
        <vt:i4>42</vt:i4>
      </vt:variant>
      <vt:variant>
        <vt:i4>0</vt:i4>
      </vt:variant>
      <vt:variant>
        <vt:i4>5</vt:i4>
      </vt:variant>
      <vt:variant>
        <vt:lpwstr>http://www.nevo.co.il/law/70301</vt:lpwstr>
      </vt:variant>
      <vt:variant>
        <vt:lpwstr/>
      </vt:variant>
      <vt:variant>
        <vt:i4>852041</vt:i4>
      </vt:variant>
      <vt:variant>
        <vt:i4>39</vt:i4>
      </vt:variant>
      <vt:variant>
        <vt:i4>0</vt:i4>
      </vt:variant>
      <vt:variant>
        <vt:i4>5</vt:i4>
      </vt:variant>
      <vt:variant>
        <vt:lpwstr>http://www.nevo.co.il/law/70301/29.a</vt:lpwstr>
      </vt:variant>
      <vt:variant>
        <vt:lpwstr/>
      </vt:variant>
      <vt:variant>
        <vt:i4>8257637</vt:i4>
      </vt:variant>
      <vt:variant>
        <vt:i4>36</vt:i4>
      </vt:variant>
      <vt:variant>
        <vt:i4>0</vt:i4>
      </vt:variant>
      <vt:variant>
        <vt:i4>5</vt:i4>
      </vt:variant>
      <vt:variant>
        <vt:lpwstr>http://www.nevo.co.il/law/4216</vt:lpwstr>
      </vt:variant>
      <vt:variant>
        <vt:lpwstr/>
      </vt:variant>
      <vt:variant>
        <vt:i4>5177418</vt:i4>
      </vt:variant>
      <vt:variant>
        <vt:i4>33</vt:i4>
      </vt:variant>
      <vt:variant>
        <vt:i4>0</vt:i4>
      </vt:variant>
      <vt:variant>
        <vt:i4>5</vt:i4>
      </vt:variant>
      <vt:variant>
        <vt:lpwstr>http://www.nevo.co.il/law/4216/13</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6619233</vt:i4>
      </vt:variant>
      <vt:variant>
        <vt:i4>27</vt:i4>
      </vt:variant>
      <vt:variant>
        <vt:i4>0</vt:i4>
      </vt:variant>
      <vt:variant>
        <vt:i4>5</vt:i4>
      </vt:variant>
      <vt:variant>
        <vt:lpwstr>http://www.nevo.co.il/law/70301/40i</vt:lpwstr>
      </vt:variant>
      <vt:variant>
        <vt:lpwstr/>
      </vt:variant>
      <vt:variant>
        <vt:i4>6619238</vt:i4>
      </vt:variant>
      <vt:variant>
        <vt:i4>24</vt:i4>
      </vt:variant>
      <vt:variant>
        <vt:i4>0</vt:i4>
      </vt:variant>
      <vt:variant>
        <vt:i4>5</vt:i4>
      </vt:variant>
      <vt:variant>
        <vt:lpwstr>http://www.nevo.co.il/law/70301/30</vt:lpwstr>
      </vt:variant>
      <vt:variant>
        <vt:lpwstr/>
      </vt:variant>
      <vt:variant>
        <vt:i4>852041</vt:i4>
      </vt:variant>
      <vt:variant>
        <vt:i4>21</vt:i4>
      </vt:variant>
      <vt:variant>
        <vt:i4>0</vt:i4>
      </vt:variant>
      <vt:variant>
        <vt:i4>5</vt:i4>
      </vt:variant>
      <vt:variant>
        <vt:lpwstr>http://www.nevo.co.il/law/70301/29.a</vt:lpwstr>
      </vt:variant>
      <vt:variant>
        <vt:lpwstr/>
      </vt:variant>
      <vt:variant>
        <vt:i4>6291559</vt:i4>
      </vt:variant>
      <vt:variant>
        <vt:i4>18</vt:i4>
      </vt:variant>
      <vt:variant>
        <vt:i4>0</vt:i4>
      </vt:variant>
      <vt:variant>
        <vt:i4>5</vt:i4>
      </vt:variant>
      <vt:variant>
        <vt:lpwstr>http://www.nevo.co.il/law/70301/25</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http://www.nevo.co.il/law/4216/13</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3276926</vt:i4>
      </vt:variant>
      <vt:variant>
        <vt:i4>0</vt:i4>
      </vt:variant>
      <vt:variant>
        <vt:i4>0</vt:i4>
      </vt:variant>
      <vt:variant>
        <vt:i4>5</vt:i4>
      </vt:variant>
      <vt:variant>
        <vt:lpwstr>http://www.nevo.co.il/case/24264861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2025-04-22T23:48:00Z</dcterms:created>
  <dcterms:modified xsi:type="dcterms:W3CDTF">2025-04-22T23:48:00Z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266</vt:lpwstr>
  </property>
  <property fmtid="{D5CDD505-2E9C-101B-9397-08002B2CF9AE}" pid="6" name="NEWPARTB">
    <vt:lpwstr>06</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יעקב קפלן</vt:lpwstr>
  </property>
  <property fmtid="{D5CDD505-2E9C-101B-9397-08002B2CF9AE}" pid="10" name="LAWYER">
    <vt:lpwstr>מאיר לוברבאום;חן הולנדר</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20210606</vt:lpwstr>
  </property>
  <property fmtid="{D5CDD505-2E9C-101B-9397-08002B2CF9AE}" pid="14" name="TYPE_N_DATE">
    <vt:lpwstr>38020210606</vt:lpwstr>
  </property>
  <property fmtid="{D5CDD505-2E9C-101B-9397-08002B2CF9AE}" pid="15" name="WORDNUMPAGES">
    <vt:lpwstr>9</vt:lpwstr>
  </property>
  <property fmtid="{D5CDD505-2E9C-101B-9397-08002B2CF9AE}" pid="16" name="TYPE_ABS_DATE">
    <vt:lpwstr>380020210606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24264861;24382279;23827604;25977712;11306079;21477656;20321459;23523083;23814688</vt:lpwstr>
  </property>
  <property fmtid="{D5CDD505-2E9C-101B-9397-08002B2CF9AE}" pid="36" name="LAWLISTTMP1">
    <vt:lpwstr>4216/013:3;007.a;007.c</vt:lpwstr>
  </property>
  <property fmtid="{D5CDD505-2E9C-101B-9397-08002B2CF9AE}" pid="37" name="LAWLISTTMP2">
    <vt:lpwstr>70301/029.a;025;030;040i;40ja</vt:lpwstr>
  </property>
</Properties>
</file>