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D5894" w:rsidRPr="00AA5229" w14:paraId="514E4473" w14:textId="77777777" w:rsidTr="00BA4788">
        <w:trPr>
          <w:trHeight w:hRule="exact" w:val="418"/>
          <w:jc w:val="center"/>
        </w:trPr>
        <w:tc>
          <w:tcPr>
            <w:tcW w:w="8721" w:type="dxa"/>
            <w:gridSpan w:val="2"/>
          </w:tcPr>
          <w:p w14:paraId="1FE93977" w14:textId="77777777" w:rsidR="00BD5894" w:rsidRPr="00AA5229" w:rsidRDefault="00BD5894" w:rsidP="00E56088">
            <w:pPr>
              <w:pStyle w:val="a3"/>
              <w:jc w:val="center"/>
              <w:rPr>
                <w:rFonts w:ascii="Tahoma" w:hAnsi="Tahoma" w:cs="Tahoma"/>
                <w:color w:val="000080"/>
                <w:rtl/>
              </w:rPr>
            </w:pPr>
            <w:bookmarkStart w:id="0" w:name="FirstLawyer"/>
            <w:bookmarkStart w:id="1" w:name="LastJudge"/>
            <w:r w:rsidRPr="00AA5229">
              <w:rPr>
                <w:rFonts w:ascii="Tahoma" w:hAnsi="Tahoma" w:cs="Tahoma"/>
                <w:b/>
                <w:bCs/>
                <w:color w:val="000080"/>
                <w:rtl/>
              </w:rPr>
              <w:t>בית משפט השלום בירושלים</w:t>
            </w:r>
          </w:p>
        </w:tc>
      </w:tr>
      <w:tr w:rsidR="00BD5894" w:rsidRPr="00AA5229" w14:paraId="59B439AD" w14:textId="77777777" w:rsidTr="00BA4788">
        <w:trPr>
          <w:trHeight w:val="337"/>
          <w:jc w:val="center"/>
        </w:trPr>
        <w:tc>
          <w:tcPr>
            <w:tcW w:w="5054" w:type="dxa"/>
          </w:tcPr>
          <w:p w14:paraId="42A4CEC9" w14:textId="77777777" w:rsidR="00BD5894" w:rsidRPr="00AA5229" w:rsidRDefault="00BD5894" w:rsidP="00E56088">
            <w:pPr>
              <w:rPr>
                <w:rFonts w:cs="FrankRuehl"/>
                <w:sz w:val="28"/>
                <w:szCs w:val="28"/>
                <w:rtl/>
              </w:rPr>
            </w:pPr>
            <w:r w:rsidRPr="00AA5229">
              <w:rPr>
                <w:rFonts w:cs="FrankRuehl"/>
                <w:sz w:val="28"/>
                <w:szCs w:val="28"/>
                <w:rtl/>
              </w:rPr>
              <w:t>ת"פ</w:t>
            </w:r>
            <w:r w:rsidRPr="00AA5229">
              <w:rPr>
                <w:rFonts w:cs="FrankRuehl" w:hint="cs"/>
                <w:sz w:val="28"/>
                <w:szCs w:val="28"/>
                <w:rtl/>
              </w:rPr>
              <w:t xml:space="preserve"> </w:t>
            </w:r>
            <w:hyperlink r:id="rId7" w:history="1">
              <w:r w:rsidR="00575AA9" w:rsidRPr="00575AA9">
                <w:rPr>
                  <w:rFonts w:cs="FrankRuehl"/>
                  <w:color w:val="0000FF"/>
                  <w:sz w:val="28"/>
                  <w:szCs w:val="28"/>
                  <w:u w:val="single"/>
                  <w:rtl/>
                </w:rPr>
                <w:t xml:space="preserve">32948-06-18 </w:t>
              </w:r>
            </w:hyperlink>
            <w:r w:rsidRPr="00AA5229">
              <w:rPr>
                <w:rFonts w:cs="FrankRuehl" w:hint="cs"/>
                <w:sz w:val="28"/>
                <w:szCs w:val="28"/>
                <w:rtl/>
              </w:rPr>
              <w:t xml:space="preserve"> </w:t>
            </w:r>
            <w:r w:rsidRPr="00AA5229">
              <w:rPr>
                <w:rFonts w:cs="FrankRuehl"/>
                <w:sz w:val="28"/>
                <w:szCs w:val="28"/>
                <w:rtl/>
              </w:rPr>
              <w:t>מדינת ישראל נ' אבו רגב</w:t>
            </w:r>
          </w:p>
          <w:p w14:paraId="479DDB26" w14:textId="77777777" w:rsidR="00BD5894" w:rsidRPr="00AA5229" w:rsidRDefault="00BD5894" w:rsidP="00E56088">
            <w:pPr>
              <w:pStyle w:val="a3"/>
              <w:rPr>
                <w:rFonts w:cs="FrankRuehl"/>
                <w:sz w:val="28"/>
                <w:szCs w:val="28"/>
                <w:rtl/>
              </w:rPr>
            </w:pPr>
          </w:p>
        </w:tc>
        <w:tc>
          <w:tcPr>
            <w:tcW w:w="3667" w:type="dxa"/>
          </w:tcPr>
          <w:p w14:paraId="0DED0A63" w14:textId="77777777" w:rsidR="00BD5894" w:rsidRPr="00AA5229" w:rsidRDefault="00BD5894" w:rsidP="00E56088">
            <w:pPr>
              <w:pStyle w:val="a3"/>
              <w:jc w:val="right"/>
              <w:rPr>
                <w:rFonts w:cs="FrankRuehl"/>
                <w:sz w:val="28"/>
                <w:szCs w:val="28"/>
                <w:rtl/>
              </w:rPr>
            </w:pPr>
          </w:p>
        </w:tc>
      </w:tr>
    </w:tbl>
    <w:p w14:paraId="72158726" w14:textId="77777777" w:rsidR="00BD5894" w:rsidRPr="00AA5229" w:rsidRDefault="00BD5894" w:rsidP="00BD5894">
      <w:pPr>
        <w:pStyle w:val="a3"/>
        <w:rPr>
          <w:rtl/>
        </w:rPr>
      </w:pPr>
      <w:r w:rsidRPr="00AA5229">
        <w:rPr>
          <w:rFonts w:hint="cs"/>
          <w:rtl/>
        </w:rPr>
        <w:t xml:space="preserve"> </w:t>
      </w:r>
    </w:p>
    <w:p w14:paraId="3EEEACD3" w14:textId="77777777" w:rsidR="00BD5894" w:rsidRPr="00AA5229" w:rsidRDefault="00BD5894" w:rsidP="00BD5894">
      <w:pPr>
        <w:rPr>
          <w:rtl/>
        </w:rPr>
      </w:pPr>
    </w:p>
    <w:p w14:paraId="6568E368" w14:textId="77777777" w:rsidR="00BD5894" w:rsidRPr="00AA5229" w:rsidRDefault="00BD5894" w:rsidP="00BD58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5894" w:rsidRPr="00AA5229" w14:paraId="03A33EFD" w14:textId="77777777" w:rsidTr="00BD5894">
        <w:trPr>
          <w:trHeight w:val="295"/>
          <w:jc w:val="center"/>
        </w:trPr>
        <w:tc>
          <w:tcPr>
            <w:tcW w:w="923" w:type="dxa"/>
            <w:tcBorders>
              <w:top w:val="nil"/>
              <w:left w:val="nil"/>
              <w:bottom w:val="nil"/>
              <w:right w:val="nil"/>
            </w:tcBorders>
            <w:shd w:val="clear" w:color="auto" w:fill="auto"/>
          </w:tcPr>
          <w:p w14:paraId="03E8F4F0" w14:textId="77777777" w:rsidR="00BD5894" w:rsidRPr="00AA5229" w:rsidRDefault="00BD5894" w:rsidP="00BD5894">
            <w:pPr>
              <w:jc w:val="both"/>
              <w:rPr>
                <w:rFonts w:ascii="Arial" w:hAnsi="Arial" w:cs="FrankRuehl"/>
                <w:sz w:val="28"/>
                <w:szCs w:val="28"/>
              </w:rPr>
            </w:pPr>
            <w:r w:rsidRPr="00AA5229">
              <w:rPr>
                <w:rFonts w:ascii="Arial" w:hAnsi="Arial" w:cs="FrankRuehl" w:hint="cs"/>
                <w:sz w:val="28"/>
                <w:szCs w:val="28"/>
                <w:rtl/>
              </w:rPr>
              <w:t>ב</w:t>
            </w:r>
            <w:r w:rsidRPr="00AA522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B093ABC" w14:textId="77777777" w:rsidR="00BD5894" w:rsidRPr="00AA5229" w:rsidRDefault="00BD5894" w:rsidP="00E56088">
            <w:pPr>
              <w:rPr>
                <w:rFonts w:ascii="Arial" w:hAnsi="Arial"/>
                <w:b/>
                <w:bCs/>
                <w:rtl/>
              </w:rPr>
            </w:pPr>
            <w:r w:rsidRPr="00AA5229">
              <w:rPr>
                <w:rFonts w:ascii="Arial" w:hAnsi="Arial" w:hint="cs"/>
                <w:b/>
                <w:bCs/>
                <w:rtl/>
              </w:rPr>
              <w:t>כבוד ה</w:t>
            </w:r>
            <w:r w:rsidRPr="00AA5229">
              <w:rPr>
                <w:rFonts w:ascii="Arial" w:hAnsi="Arial"/>
                <w:b/>
                <w:bCs/>
                <w:rtl/>
              </w:rPr>
              <w:t>שופטת בכירה</w:t>
            </w:r>
            <w:r w:rsidRPr="00AA5229">
              <w:rPr>
                <w:rFonts w:ascii="Arial" w:hAnsi="Arial" w:hint="cs"/>
                <w:b/>
                <w:bCs/>
                <w:rtl/>
              </w:rPr>
              <w:t xml:space="preserve">  </w:t>
            </w:r>
            <w:r w:rsidRPr="00AA5229">
              <w:rPr>
                <w:rFonts w:ascii="Arial" w:hAnsi="Arial"/>
                <w:b/>
                <w:bCs/>
                <w:rtl/>
              </w:rPr>
              <w:t>שרון לארי-בבלי</w:t>
            </w:r>
          </w:p>
          <w:p w14:paraId="4C1F03D4" w14:textId="77777777" w:rsidR="00BD5894" w:rsidRPr="00AA5229" w:rsidRDefault="00BD5894" w:rsidP="00E56088">
            <w:pPr>
              <w:rPr>
                <w:rtl/>
              </w:rPr>
            </w:pPr>
          </w:p>
          <w:p w14:paraId="5CE2CB6F" w14:textId="77777777" w:rsidR="00BD5894" w:rsidRPr="00AA5229" w:rsidRDefault="00BD5894" w:rsidP="00BD5894">
            <w:pPr>
              <w:jc w:val="both"/>
              <w:rPr>
                <w:rFonts w:ascii="Arial" w:hAnsi="Arial" w:cs="FrankRuehl"/>
                <w:sz w:val="28"/>
                <w:szCs w:val="28"/>
              </w:rPr>
            </w:pPr>
          </w:p>
        </w:tc>
      </w:tr>
      <w:tr w:rsidR="00BD5894" w:rsidRPr="00AA5229" w14:paraId="01B069CF" w14:textId="77777777" w:rsidTr="00BD5894">
        <w:trPr>
          <w:trHeight w:val="355"/>
          <w:jc w:val="center"/>
        </w:trPr>
        <w:tc>
          <w:tcPr>
            <w:tcW w:w="923" w:type="dxa"/>
            <w:tcBorders>
              <w:top w:val="nil"/>
              <w:left w:val="nil"/>
              <w:bottom w:val="nil"/>
              <w:right w:val="nil"/>
            </w:tcBorders>
            <w:shd w:val="clear" w:color="auto" w:fill="auto"/>
          </w:tcPr>
          <w:p w14:paraId="28B42556" w14:textId="77777777" w:rsidR="00BD5894" w:rsidRPr="00AA5229" w:rsidRDefault="00BD5894" w:rsidP="00BD5894">
            <w:pPr>
              <w:jc w:val="both"/>
              <w:rPr>
                <w:rFonts w:ascii="Arial" w:hAnsi="Arial" w:cs="FrankRuehl"/>
                <w:sz w:val="28"/>
                <w:szCs w:val="28"/>
              </w:rPr>
            </w:pPr>
            <w:bookmarkStart w:id="2" w:name="FirstAppellant"/>
            <w:r w:rsidRPr="00AA522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2091B47" w14:textId="77777777" w:rsidR="00BD5894" w:rsidRPr="00AA5229" w:rsidRDefault="00BD5894" w:rsidP="00E56088">
            <w:r w:rsidRPr="00AA5229">
              <w:rPr>
                <w:rFonts w:ascii="Arial" w:hAnsi="Arial" w:cs="FrankRuehl"/>
                <w:sz w:val="28"/>
                <w:szCs w:val="28"/>
                <w:rtl/>
              </w:rPr>
              <w:t>מדינת ישראל</w:t>
            </w:r>
            <w:r w:rsidRPr="00AA5229">
              <w:rPr>
                <w:rFonts w:ascii="Arial" w:hAnsi="Arial" w:cs="FrankRuehl"/>
                <w:sz w:val="28"/>
                <w:szCs w:val="28"/>
                <w:rtl/>
              </w:rPr>
              <w:br/>
            </w:r>
            <w:r w:rsidRPr="00AA5229">
              <w:rPr>
                <w:rFonts w:hint="cs"/>
                <w:rtl/>
              </w:rPr>
              <w:t>באמצעות תביעות ירושלים</w:t>
            </w:r>
          </w:p>
        </w:tc>
        <w:tc>
          <w:tcPr>
            <w:tcW w:w="3771" w:type="dxa"/>
            <w:tcBorders>
              <w:top w:val="nil"/>
              <w:left w:val="nil"/>
              <w:bottom w:val="nil"/>
              <w:right w:val="nil"/>
            </w:tcBorders>
            <w:shd w:val="clear" w:color="auto" w:fill="auto"/>
          </w:tcPr>
          <w:p w14:paraId="52682DC3" w14:textId="77777777" w:rsidR="00BD5894" w:rsidRPr="00AA5229" w:rsidRDefault="00BD5894" w:rsidP="00BD5894">
            <w:pPr>
              <w:jc w:val="both"/>
              <w:rPr>
                <w:rFonts w:ascii="Arial" w:hAnsi="Arial" w:cs="FrankRuehl"/>
                <w:sz w:val="28"/>
                <w:szCs w:val="28"/>
              </w:rPr>
            </w:pPr>
          </w:p>
        </w:tc>
      </w:tr>
      <w:bookmarkEnd w:id="2"/>
      <w:tr w:rsidR="00BD5894" w:rsidRPr="00AA5229" w14:paraId="772CA9D2" w14:textId="77777777" w:rsidTr="00BD5894">
        <w:trPr>
          <w:trHeight w:val="355"/>
          <w:jc w:val="center"/>
        </w:trPr>
        <w:tc>
          <w:tcPr>
            <w:tcW w:w="923" w:type="dxa"/>
            <w:tcBorders>
              <w:top w:val="nil"/>
              <w:left w:val="nil"/>
              <w:bottom w:val="nil"/>
              <w:right w:val="nil"/>
            </w:tcBorders>
            <w:shd w:val="clear" w:color="auto" w:fill="auto"/>
          </w:tcPr>
          <w:p w14:paraId="67D7E71D" w14:textId="77777777" w:rsidR="00BD5894" w:rsidRPr="00AA5229" w:rsidRDefault="00BD5894" w:rsidP="00BD589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0CA373A" w14:textId="77777777" w:rsidR="00BD5894" w:rsidRPr="00AA5229" w:rsidRDefault="00BD5894" w:rsidP="00BD5894">
            <w:pPr>
              <w:jc w:val="both"/>
              <w:rPr>
                <w:rtl/>
              </w:rPr>
            </w:pPr>
          </w:p>
        </w:tc>
        <w:tc>
          <w:tcPr>
            <w:tcW w:w="3771" w:type="dxa"/>
            <w:tcBorders>
              <w:top w:val="nil"/>
              <w:left w:val="nil"/>
              <w:bottom w:val="nil"/>
              <w:right w:val="nil"/>
            </w:tcBorders>
            <w:shd w:val="clear" w:color="auto" w:fill="auto"/>
          </w:tcPr>
          <w:p w14:paraId="48B587EF" w14:textId="77777777" w:rsidR="00BD5894" w:rsidRPr="00AA5229" w:rsidRDefault="00BD5894" w:rsidP="00BD5894">
            <w:pPr>
              <w:jc w:val="right"/>
              <w:rPr>
                <w:rFonts w:ascii="Arial" w:hAnsi="Arial" w:cs="FrankRuehl"/>
                <w:sz w:val="28"/>
                <w:szCs w:val="28"/>
                <w:rtl/>
              </w:rPr>
            </w:pPr>
            <w:r w:rsidRPr="00AA5229">
              <w:rPr>
                <w:rFonts w:ascii="Arial" w:hAnsi="Arial" w:cs="FrankRuehl" w:hint="cs"/>
                <w:sz w:val="28"/>
                <w:szCs w:val="28"/>
                <w:rtl/>
              </w:rPr>
              <w:t>ה</w:t>
            </w:r>
            <w:r w:rsidRPr="00AA5229">
              <w:rPr>
                <w:rFonts w:ascii="Arial" w:hAnsi="Arial" w:cs="FrankRuehl"/>
                <w:sz w:val="28"/>
                <w:szCs w:val="28"/>
                <w:rtl/>
              </w:rPr>
              <w:t>מאשימה</w:t>
            </w:r>
          </w:p>
        </w:tc>
      </w:tr>
      <w:tr w:rsidR="00BD5894" w:rsidRPr="00AA5229" w14:paraId="7B97B02B" w14:textId="77777777" w:rsidTr="00BD5894">
        <w:trPr>
          <w:trHeight w:val="355"/>
          <w:jc w:val="center"/>
        </w:trPr>
        <w:tc>
          <w:tcPr>
            <w:tcW w:w="923" w:type="dxa"/>
            <w:tcBorders>
              <w:top w:val="nil"/>
              <w:left w:val="nil"/>
              <w:bottom w:val="nil"/>
              <w:right w:val="nil"/>
            </w:tcBorders>
            <w:shd w:val="clear" w:color="auto" w:fill="auto"/>
          </w:tcPr>
          <w:p w14:paraId="077BE0DE" w14:textId="77777777" w:rsidR="00BD5894" w:rsidRPr="00AA5229" w:rsidRDefault="00BD5894" w:rsidP="00BD589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66E56A0" w14:textId="77777777" w:rsidR="00BD5894" w:rsidRPr="00AA5229" w:rsidRDefault="00BD5894" w:rsidP="00BD5894">
            <w:pPr>
              <w:jc w:val="center"/>
              <w:rPr>
                <w:rFonts w:ascii="Arial" w:hAnsi="Arial" w:cs="FrankRuehl"/>
                <w:b/>
                <w:bCs/>
                <w:sz w:val="28"/>
                <w:szCs w:val="28"/>
                <w:rtl/>
              </w:rPr>
            </w:pPr>
          </w:p>
          <w:p w14:paraId="41FE17E2" w14:textId="77777777" w:rsidR="00BD5894" w:rsidRPr="00AA5229" w:rsidRDefault="00BD5894" w:rsidP="00BD5894">
            <w:pPr>
              <w:jc w:val="center"/>
              <w:rPr>
                <w:rFonts w:ascii="Arial" w:hAnsi="Arial" w:cs="FrankRuehl"/>
                <w:b/>
                <w:bCs/>
                <w:sz w:val="28"/>
                <w:szCs w:val="28"/>
                <w:rtl/>
              </w:rPr>
            </w:pPr>
            <w:r w:rsidRPr="00AA5229">
              <w:rPr>
                <w:rFonts w:ascii="Arial" w:hAnsi="Arial" w:cs="FrankRuehl"/>
                <w:b/>
                <w:bCs/>
                <w:sz w:val="28"/>
                <w:szCs w:val="28"/>
                <w:rtl/>
              </w:rPr>
              <w:t>נגד</w:t>
            </w:r>
          </w:p>
          <w:p w14:paraId="4BE7182F" w14:textId="77777777" w:rsidR="00BD5894" w:rsidRPr="00AA5229" w:rsidRDefault="00BD5894" w:rsidP="00BD5894">
            <w:pPr>
              <w:jc w:val="both"/>
              <w:rPr>
                <w:rFonts w:ascii="Arial" w:hAnsi="Arial" w:cs="FrankRuehl"/>
                <w:sz w:val="28"/>
                <w:szCs w:val="28"/>
              </w:rPr>
            </w:pPr>
          </w:p>
        </w:tc>
      </w:tr>
      <w:tr w:rsidR="00BD5894" w:rsidRPr="00AA5229" w14:paraId="1F3C2F76" w14:textId="77777777" w:rsidTr="00BD5894">
        <w:trPr>
          <w:trHeight w:val="355"/>
          <w:jc w:val="center"/>
        </w:trPr>
        <w:tc>
          <w:tcPr>
            <w:tcW w:w="923" w:type="dxa"/>
            <w:tcBorders>
              <w:top w:val="nil"/>
              <w:left w:val="nil"/>
              <w:bottom w:val="nil"/>
              <w:right w:val="nil"/>
            </w:tcBorders>
            <w:shd w:val="clear" w:color="auto" w:fill="auto"/>
          </w:tcPr>
          <w:p w14:paraId="054E4D72" w14:textId="77777777" w:rsidR="00BD5894" w:rsidRPr="00AA5229" w:rsidRDefault="00BD5894" w:rsidP="00E56088">
            <w:pPr>
              <w:rPr>
                <w:rFonts w:ascii="Arial" w:hAnsi="Arial" w:cs="FrankRuehl"/>
                <w:sz w:val="28"/>
                <w:szCs w:val="28"/>
                <w:rtl/>
              </w:rPr>
            </w:pPr>
          </w:p>
        </w:tc>
        <w:tc>
          <w:tcPr>
            <w:tcW w:w="4126" w:type="dxa"/>
            <w:tcBorders>
              <w:top w:val="nil"/>
              <w:left w:val="nil"/>
              <w:bottom w:val="nil"/>
              <w:right w:val="nil"/>
            </w:tcBorders>
            <w:shd w:val="clear" w:color="auto" w:fill="auto"/>
          </w:tcPr>
          <w:p w14:paraId="27FDD094" w14:textId="77777777" w:rsidR="00BD5894" w:rsidRPr="00AA5229" w:rsidRDefault="00BD5894" w:rsidP="00E56088">
            <w:pPr>
              <w:rPr>
                <w:rtl/>
              </w:rPr>
            </w:pPr>
            <w:r w:rsidRPr="00AA5229">
              <w:rPr>
                <w:rFonts w:ascii="Arial" w:hAnsi="Arial" w:cs="FrankRuehl"/>
                <w:sz w:val="28"/>
                <w:szCs w:val="28"/>
                <w:rtl/>
              </w:rPr>
              <w:t>וליד אבו רגב</w:t>
            </w:r>
            <w:r w:rsidRPr="00AA5229">
              <w:rPr>
                <w:rFonts w:ascii="Arial" w:hAnsi="Arial" w:cs="FrankRuehl"/>
                <w:sz w:val="28"/>
                <w:szCs w:val="28"/>
                <w:rtl/>
              </w:rPr>
              <w:br/>
            </w:r>
            <w:r w:rsidRPr="00AA5229">
              <w:rPr>
                <w:rFonts w:hint="cs"/>
                <w:rtl/>
              </w:rPr>
              <w:t>באמצעות ב"כ עו"ד עיסא מוחמדיה</w:t>
            </w:r>
          </w:p>
        </w:tc>
        <w:tc>
          <w:tcPr>
            <w:tcW w:w="3771" w:type="dxa"/>
            <w:tcBorders>
              <w:top w:val="nil"/>
              <w:left w:val="nil"/>
              <w:bottom w:val="nil"/>
              <w:right w:val="nil"/>
            </w:tcBorders>
            <w:shd w:val="clear" w:color="auto" w:fill="auto"/>
          </w:tcPr>
          <w:p w14:paraId="4F378027" w14:textId="77777777" w:rsidR="00BD5894" w:rsidRPr="00AA5229" w:rsidRDefault="00BD5894" w:rsidP="00BD5894">
            <w:pPr>
              <w:jc w:val="right"/>
              <w:rPr>
                <w:rFonts w:ascii="Arial" w:hAnsi="Arial" w:cs="FrankRuehl"/>
                <w:sz w:val="28"/>
                <w:szCs w:val="28"/>
              </w:rPr>
            </w:pPr>
          </w:p>
        </w:tc>
      </w:tr>
      <w:tr w:rsidR="00BD5894" w:rsidRPr="00AA5229" w14:paraId="687B55C9" w14:textId="77777777" w:rsidTr="00BD5894">
        <w:trPr>
          <w:trHeight w:val="355"/>
          <w:jc w:val="center"/>
        </w:trPr>
        <w:tc>
          <w:tcPr>
            <w:tcW w:w="923" w:type="dxa"/>
            <w:tcBorders>
              <w:top w:val="nil"/>
              <w:left w:val="nil"/>
              <w:bottom w:val="nil"/>
              <w:right w:val="nil"/>
            </w:tcBorders>
            <w:shd w:val="clear" w:color="auto" w:fill="auto"/>
          </w:tcPr>
          <w:p w14:paraId="62F58CCB" w14:textId="77777777" w:rsidR="00BD5894" w:rsidRPr="00AA5229" w:rsidRDefault="00BD5894" w:rsidP="00BD589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273A2A" w14:textId="77777777" w:rsidR="00BD5894" w:rsidRPr="00AA5229" w:rsidRDefault="00BD5894" w:rsidP="00BD5894">
            <w:pPr>
              <w:jc w:val="both"/>
              <w:rPr>
                <w:rtl/>
              </w:rPr>
            </w:pPr>
          </w:p>
        </w:tc>
        <w:tc>
          <w:tcPr>
            <w:tcW w:w="3771" w:type="dxa"/>
            <w:tcBorders>
              <w:top w:val="nil"/>
              <w:left w:val="nil"/>
              <w:bottom w:val="nil"/>
              <w:right w:val="nil"/>
            </w:tcBorders>
            <w:shd w:val="clear" w:color="auto" w:fill="auto"/>
          </w:tcPr>
          <w:p w14:paraId="58EF1EBE" w14:textId="77777777" w:rsidR="00BD5894" w:rsidRPr="00AA5229" w:rsidRDefault="00BD5894" w:rsidP="00BD5894">
            <w:pPr>
              <w:jc w:val="right"/>
              <w:rPr>
                <w:rFonts w:ascii="Arial" w:hAnsi="Arial" w:cs="FrankRuehl"/>
                <w:sz w:val="28"/>
                <w:szCs w:val="28"/>
              </w:rPr>
            </w:pPr>
            <w:r w:rsidRPr="00AA5229">
              <w:rPr>
                <w:rFonts w:ascii="Arial" w:hAnsi="Arial" w:cs="FrankRuehl" w:hint="cs"/>
                <w:sz w:val="28"/>
                <w:szCs w:val="28"/>
                <w:rtl/>
              </w:rPr>
              <w:t>ה</w:t>
            </w:r>
            <w:r w:rsidRPr="00AA5229">
              <w:rPr>
                <w:rFonts w:ascii="Arial" w:hAnsi="Arial" w:cs="FrankRuehl"/>
                <w:sz w:val="28"/>
                <w:szCs w:val="28"/>
                <w:rtl/>
              </w:rPr>
              <w:t>נאשם</w:t>
            </w:r>
          </w:p>
        </w:tc>
      </w:tr>
    </w:tbl>
    <w:p w14:paraId="5E96E180" w14:textId="77777777" w:rsidR="00BA4788" w:rsidRDefault="00BA4788" w:rsidP="00AA5229">
      <w:pPr>
        <w:rPr>
          <w:rtl/>
        </w:rPr>
      </w:pPr>
    </w:p>
    <w:p w14:paraId="5D55D167" w14:textId="77777777" w:rsidR="00BA4788" w:rsidRPr="00BA4788" w:rsidRDefault="00BA4788" w:rsidP="00BA4788">
      <w:pPr>
        <w:spacing w:after="120" w:line="240" w:lineRule="exact"/>
        <w:ind w:left="283" w:hanging="283"/>
        <w:jc w:val="both"/>
        <w:rPr>
          <w:rFonts w:ascii="FrankRuehl" w:hAnsi="FrankRuehl" w:cs="FrankRuehl"/>
          <w:rtl/>
        </w:rPr>
      </w:pPr>
    </w:p>
    <w:p w14:paraId="404F3775" w14:textId="77777777" w:rsidR="00575AA9" w:rsidRPr="00575AA9" w:rsidRDefault="00575AA9" w:rsidP="00575AA9">
      <w:pPr>
        <w:spacing w:before="120" w:after="120" w:line="240" w:lineRule="exact"/>
        <w:ind w:left="283" w:hanging="283"/>
        <w:jc w:val="both"/>
        <w:rPr>
          <w:rFonts w:ascii="FrankRuehl" w:hAnsi="FrankRuehl" w:cs="FrankRuehl"/>
          <w:rtl/>
        </w:rPr>
      </w:pPr>
    </w:p>
    <w:p w14:paraId="3A0F5194" w14:textId="77777777" w:rsidR="00B4062D" w:rsidRDefault="00B4062D" w:rsidP="00B4062D">
      <w:pPr>
        <w:rPr>
          <w:rtl/>
        </w:rPr>
      </w:pPr>
      <w:bookmarkStart w:id="3" w:name="LawTable"/>
      <w:bookmarkEnd w:id="3"/>
    </w:p>
    <w:p w14:paraId="78B97EF1" w14:textId="77777777" w:rsidR="00B4062D" w:rsidRPr="00B4062D" w:rsidRDefault="00B4062D" w:rsidP="00B4062D">
      <w:pPr>
        <w:spacing w:before="120" w:after="120" w:line="240" w:lineRule="exact"/>
        <w:ind w:left="283" w:hanging="283"/>
        <w:jc w:val="both"/>
        <w:rPr>
          <w:rFonts w:ascii="FrankRuehl" w:hAnsi="FrankRuehl" w:cs="FrankRuehl"/>
          <w:rtl/>
        </w:rPr>
      </w:pPr>
    </w:p>
    <w:p w14:paraId="7F47DE21" w14:textId="77777777" w:rsidR="00B4062D" w:rsidRPr="00B4062D" w:rsidRDefault="00B4062D" w:rsidP="00B4062D">
      <w:pPr>
        <w:spacing w:before="120" w:after="120" w:line="240" w:lineRule="exact"/>
        <w:ind w:left="283" w:hanging="283"/>
        <w:jc w:val="both"/>
        <w:rPr>
          <w:rFonts w:ascii="FrankRuehl" w:hAnsi="FrankRuehl" w:cs="FrankRuehl"/>
          <w:rtl/>
        </w:rPr>
      </w:pPr>
    </w:p>
    <w:p w14:paraId="03219E7D" w14:textId="77777777" w:rsidR="00B4062D" w:rsidRPr="00B4062D" w:rsidRDefault="00B4062D" w:rsidP="00B4062D">
      <w:pPr>
        <w:spacing w:before="120" w:after="120" w:line="240" w:lineRule="exact"/>
        <w:ind w:left="283" w:hanging="283"/>
        <w:jc w:val="both"/>
        <w:rPr>
          <w:rFonts w:ascii="FrankRuehl" w:hAnsi="FrankRuehl" w:cs="FrankRuehl"/>
          <w:rtl/>
        </w:rPr>
      </w:pPr>
      <w:r w:rsidRPr="00B4062D">
        <w:rPr>
          <w:rFonts w:ascii="FrankRuehl" w:hAnsi="FrankRuehl" w:cs="FrankRuehl"/>
          <w:rtl/>
        </w:rPr>
        <w:t xml:space="preserve">חקיקה שאוזכרה: </w:t>
      </w:r>
    </w:p>
    <w:p w14:paraId="3BC9D6AF" w14:textId="77777777" w:rsidR="00B4062D" w:rsidRPr="00B4062D" w:rsidRDefault="00B4062D" w:rsidP="00B4062D">
      <w:pPr>
        <w:spacing w:before="120" w:after="120" w:line="240" w:lineRule="exact"/>
        <w:ind w:left="283" w:hanging="283"/>
        <w:jc w:val="both"/>
        <w:rPr>
          <w:rFonts w:ascii="FrankRuehl" w:hAnsi="FrankRuehl" w:cs="FrankRuehl"/>
          <w:rtl/>
        </w:rPr>
      </w:pPr>
      <w:hyperlink r:id="rId8" w:history="1">
        <w:r w:rsidRPr="00B4062D">
          <w:rPr>
            <w:rFonts w:ascii="FrankRuehl" w:hAnsi="FrankRuehl" w:cs="FrankRuehl"/>
            <w:color w:val="0000FF"/>
            <w:rtl/>
          </w:rPr>
          <w:t>פקודת הסמים המסוכנים [נוסח חדש], תשל"ג-1973</w:t>
        </w:r>
      </w:hyperlink>
      <w:r w:rsidRPr="00B4062D">
        <w:rPr>
          <w:rFonts w:ascii="FrankRuehl" w:hAnsi="FrankRuehl" w:cs="FrankRuehl"/>
          <w:rtl/>
        </w:rPr>
        <w:t xml:space="preserve">: סע'  </w:t>
      </w:r>
      <w:hyperlink r:id="rId9" w:history="1">
        <w:r w:rsidRPr="00B4062D">
          <w:rPr>
            <w:rFonts w:ascii="FrankRuehl" w:hAnsi="FrankRuehl" w:cs="FrankRuehl"/>
            <w:color w:val="0000FF"/>
            <w:rtl/>
          </w:rPr>
          <w:t>7.א.</w:t>
        </w:r>
      </w:hyperlink>
      <w:r w:rsidRPr="00B4062D">
        <w:rPr>
          <w:rFonts w:ascii="FrankRuehl" w:hAnsi="FrankRuehl" w:cs="FrankRuehl"/>
          <w:rtl/>
        </w:rPr>
        <w:t xml:space="preserve">, </w:t>
      </w:r>
      <w:hyperlink r:id="rId10" w:history="1">
        <w:r w:rsidRPr="00B4062D">
          <w:rPr>
            <w:rFonts w:ascii="FrankRuehl" w:hAnsi="FrankRuehl" w:cs="FrankRuehl"/>
            <w:color w:val="0000FF"/>
            <w:rtl/>
          </w:rPr>
          <w:t>7.ג</w:t>
        </w:r>
      </w:hyperlink>
    </w:p>
    <w:p w14:paraId="493DD709" w14:textId="77777777" w:rsidR="00B4062D" w:rsidRPr="00B4062D" w:rsidRDefault="00B4062D" w:rsidP="00B4062D">
      <w:pPr>
        <w:rPr>
          <w:rtl/>
        </w:rPr>
      </w:pPr>
      <w:bookmarkStart w:id="4" w:name="LawTable_End"/>
      <w:bookmarkEnd w:id="4"/>
    </w:p>
    <w:p w14:paraId="646F4E7B" w14:textId="77777777" w:rsidR="00BD5894" w:rsidRPr="00575AA9" w:rsidRDefault="00BD5894" w:rsidP="00575AA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5894" w14:paraId="02F1332A" w14:textId="77777777" w:rsidTr="00BD5894">
        <w:trPr>
          <w:trHeight w:val="355"/>
          <w:jc w:val="center"/>
        </w:trPr>
        <w:tc>
          <w:tcPr>
            <w:tcW w:w="8820" w:type="dxa"/>
            <w:tcBorders>
              <w:top w:val="nil"/>
              <w:left w:val="nil"/>
              <w:bottom w:val="nil"/>
              <w:right w:val="nil"/>
            </w:tcBorders>
            <w:shd w:val="clear" w:color="auto" w:fill="auto"/>
          </w:tcPr>
          <w:p w14:paraId="1D22B933" w14:textId="77777777" w:rsidR="00AA5229" w:rsidRPr="00AA5229" w:rsidRDefault="00AA5229" w:rsidP="00AA5229">
            <w:pPr>
              <w:jc w:val="center"/>
              <w:rPr>
                <w:rFonts w:ascii="Arial" w:hAnsi="Arial" w:cs="FrankRuehl"/>
                <w:b/>
                <w:bCs/>
                <w:sz w:val="32"/>
                <w:szCs w:val="32"/>
                <w:u w:val="single"/>
                <w:rtl/>
              </w:rPr>
            </w:pPr>
            <w:bookmarkStart w:id="5" w:name="PsakDin" w:colFirst="0" w:colLast="0"/>
            <w:bookmarkEnd w:id="0"/>
            <w:bookmarkEnd w:id="1"/>
            <w:r w:rsidRPr="00AA5229">
              <w:rPr>
                <w:rFonts w:ascii="Arial" w:hAnsi="Arial" w:cs="FrankRuehl"/>
                <w:b/>
                <w:bCs/>
                <w:sz w:val="32"/>
                <w:szCs w:val="32"/>
                <w:u w:val="single"/>
                <w:rtl/>
              </w:rPr>
              <w:t>גזר דין</w:t>
            </w:r>
          </w:p>
          <w:p w14:paraId="58279E4F" w14:textId="77777777" w:rsidR="00BD5894" w:rsidRPr="00AA5229" w:rsidRDefault="00BD5894" w:rsidP="00AA5229">
            <w:pPr>
              <w:jc w:val="center"/>
              <w:rPr>
                <w:rFonts w:ascii="Arial" w:hAnsi="Arial" w:cs="FrankRuehl"/>
                <w:bCs/>
                <w:sz w:val="32"/>
                <w:szCs w:val="32"/>
                <w:u w:val="single"/>
                <w:rtl/>
              </w:rPr>
            </w:pPr>
          </w:p>
        </w:tc>
      </w:tr>
      <w:bookmarkEnd w:id="5"/>
    </w:tbl>
    <w:p w14:paraId="7A448C66" w14:textId="77777777" w:rsidR="00BD5894" w:rsidRPr="00B05847" w:rsidRDefault="00BD5894" w:rsidP="00BD5894">
      <w:pPr>
        <w:rPr>
          <w:rFonts w:ascii="Arial" w:hAnsi="Arial"/>
          <w:rtl/>
        </w:rPr>
      </w:pPr>
    </w:p>
    <w:p w14:paraId="32CB2376" w14:textId="77777777" w:rsidR="00BD5894" w:rsidRPr="004E41D4" w:rsidRDefault="00BD5894" w:rsidP="00BD5894">
      <w:pPr>
        <w:rPr>
          <w:b/>
          <w:bCs/>
          <w:u w:val="single"/>
          <w:rtl/>
        </w:rPr>
      </w:pPr>
    </w:p>
    <w:p w14:paraId="361C40C2" w14:textId="77777777" w:rsidR="00BD5894" w:rsidRPr="004E41D4" w:rsidRDefault="00BD5894" w:rsidP="00BD5894">
      <w:pPr>
        <w:spacing w:line="360" w:lineRule="auto"/>
        <w:jc w:val="both"/>
        <w:rPr>
          <w:u w:val="single"/>
          <w:rtl/>
        </w:rPr>
      </w:pPr>
      <w:r w:rsidRPr="004E41D4">
        <w:rPr>
          <w:rFonts w:hint="cs"/>
          <w:u w:val="single"/>
          <w:rtl/>
        </w:rPr>
        <w:t>רקע</w:t>
      </w:r>
    </w:p>
    <w:p w14:paraId="74ED129D" w14:textId="77777777" w:rsidR="00BD5894" w:rsidRDefault="00BD5894" w:rsidP="00BD5894">
      <w:pPr>
        <w:pStyle w:val="a9"/>
        <w:numPr>
          <w:ilvl w:val="0"/>
          <w:numId w:val="2"/>
        </w:numPr>
        <w:spacing w:line="360" w:lineRule="auto"/>
        <w:ind w:left="360"/>
        <w:jc w:val="both"/>
        <w:rPr>
          <w:rFonts w:cs="David"/>
          <w:sz w:val="24"/>
          <w:szCs w:val="24"/>
        </w:rPr>
      </w:pPr>
      <w:bookmarkStart w:id="6" w:name="ABSTRACT_START"/>
      <w:bookmarkEnd w:id="6"/>
      <w:r w:rsidRPr="00B07191">
        <w:rPr>
          <w:rFonts w:cs="David" w:hint="cs"/>
          <w:sz w:val="24"/>
          <w:szCs w:val="24"/>
          <w:rtl/>
        </w:rPr>
        <w:t xml:space="preserve">הנאשם הורשע לאחר שמיעת ראיות בביצוע עבירת החזקה/שימוש בסמים שלא לצריכה עצמית, לפי סעיף </w:t>
      </w:r>
      <w:hyperlink r:id="rId11" w:history="1">
        <w:r w:rsidR="00BA4788" w:rsidRPr="00BA4788">
          <w:rPr>
            <w:rStyle w:val="Hyperlink"/>
            <w:rFonts w:cs="David"/>
            <w:sz w:val="24"/>
            <w:szCs w:val="24"/>
            <w:rtl/>
          </w:rPr>
          <w:t>7(</w:t>
        </w:r>
        <w:r w:rsidR="00BA4788" w:rsidRPr="00BA4788">
          <w:rPr>
            <w:rStyle w:val="Hyperlink"/>
            <w:rFonts w:cs="David" w:hint="cs"/>
            <w:sz w:val="24"/>
            <w:szCs w:val="24"/>
            <w:rtl/>
          </w:rPr>
          <w:t>א</w:t>
        </w:r>
        <w:r w:rsidR="00BA4788" w:rsidRPr="00BA4788">
          <w:rPr>
            <w:rStyle w:val="Hyperlink"/>
            <w:rFonts w:cs="David"/>
            <w:sz w:val="24"/>
            <w:szCs w:val="24"/>
            <w:rtl/>
          </w:rPr>
          <w:t>) + 7(</w:t>
        </w:r>
        <w:r w:rsidR="00BA4788" w:rsidRPr="00BA4788">
          <w:rPr>
            <w:rStyle w:val="Hyperlink"/>
            <w:rFonts w:cs="David" w:hint="cs"/>
            <w:sz w:val="24"/>
            <w:szCs w:val="24"/>
            <w:rtl/>
          </w:rPr>
          <w:t>ג</w:t>
        </w:r>
        <w:r w:rsidR="00BA4788" w:rsidRPr="00BA4788">
          <w:rPr>
            <w:rStyle w:val="Hyperlink"/>
            <w:rFonts w:cs="David"/>
            <w:sz w:val="24"/>
            <w:szCs w:val="24"/>
            <w:rtl/>
          </w:rPr>
          <w:t xml:space="preserve">) </w:t>
        </w:r>
      </w:hyperlink>
      <w:r w:rsidRPr="00B07191">
        <w:rPr>
          <w:rFonts w:cs="David" w:hint="cs"/>
          <w:sz w:val="24"/>
          <w:szCs w:val="24"/>
          <w:rtl/>
        </w:rPr>
        <w:t xml:space="preserve">  ל</w:t>
      </w:r>
      <w:hyperlink r:id="rId12" w:history="1">
        <w:r w:rsidR="00AA5229" w:rsidRPr="00AA5229">
          <w:rPr>
            <w:rFonts w:cs="David" w:hint="cs"/>
            <w:color w:val="0000FF"/>
            <w:sz w:val="24"/>
            <w:szCs w:val="24"/>
            <w:u w:val="single"/>
            <w:rtl/>
          </w:rPr>
          <w:t>פקודת</w:t>
        </w:r>
        <w:r w:rsidR="00AA5229" w:rsidRPr="00AA5229">
          <w:rPr>
            <w:rFonts w:cs="David"/>
            <w:color w:val="0000FF"/>
            <w:sz w:val="24"/>
            <w:szCs w:val="24"/>
            <w:u w:val="single"/>
            <w:rtl/>
          </w:rPr>
          <w:t xml:space="preserve"> </w:t>
        </w:r>
        <w:r w:rsidR="00AA5229" w:rsidRPr="00AA5229">
          <w:rPr>
            <w:rFonts w:cs="David" w:hint="cs"/>
            <w:color w:val="0000FF"/>
            <w:sz w:val="24"/>
            <w:szCs w:val="24"/>
            <w:u w:val="single"/>
            <w:rtl/>
          </w:rPr>
          <w:t>הסמים</w:t>
        </w:r>
        <w:r w:rsidR="00AA5229" w:rsidRPr="00AA5229">
          <w:rPr>
            <w:rFonts w:cs="David"/>
            <w:color w:val="0000FF"/>
            <w:sz w:val="24"/>
            <w:szCs w:val="24"/>
            <w:u w:val="single"/>
            <w:rtl/>
          </w:rPr>
          <w:t xml:space="preserve"> </w:t>
        </w:r>
        <w:r w:rsidR="00AA5229" w:rsidRPr="00AA5229">
          <w:rPr>
            <w:rFonts w:cs="David" w:hint="cs"/>
            <w:color w:val="0000FF"/>
            <w:sz w:val="24"/>
            <w:szCs w:val="24"/>
            <w:u w:val="single"/>
            <w:rtl/>
          </w:rPr>
          <w:t>המסוכנים</w:t>
        </w:r>
      </w:hyperlink>
      <w:r w:rsidRPr="00B07191">
        <w:rPr>
          <w:rFonts w:cs="David" w:hint="cs"/>
          <w:sz w:val="24"/>
          <w:szCs w:val="24"/>
          <w:rtl/>
        </w:rPr>
        <w:t xml:space="preserve"> (נוסח חדש), התשל"ג-1973 (להלן- </w:t>
      </w:r>
      <w:r w:rsidRPr="00B07191">
        <w:rPr>
          <w:rFonts w:cs="David" w:hint="cs"/>
          <w:b/>
          <w:bCs/>
          <w:sz w:val="24"/>
          <w:szCs w:val="24"/>
          <w:rtl/>
        </w:rPr>
        <w:t>פקודת הסמים</w:t>
      </w:r>
      <w:r w:rsidRPr="00B07191">
        <w:rPr>
          <w:rFonts w:cs="David" w:hint="cs"/>
          <w:sz w:val="24"/>
          <w:szCs w:val="24"/>
          <w:rtl/>
        </w:rPr>
        <w:t>).</w:t>
      </w:r>
    </w:p>
    <w:p w14:paraId="45EFFD75" w14:textId="77777777" w:rsidR="00BD5894" w:rsidRPr="00B07191" w:rsidRDefault="00BD5894" w:rsidP="00BD5894">
      <w:pPr>
        <w:pStyle w:val="a9"/>
        <w:spacing w:line="360" w:lineRule="auto"/>
        <w:ind w:left="0"/>
        <w:jc w:val="both"/>
        <w:rPr>
          <w:rFonts w:cs="David"/>
          <w:sz w:val="24"/>
          <w:szCs w:val="24"/>
          <w:rtl/>
        </w:rPr>
      </w:pPr>
      <w:bookmarkStart w:id="7" w:name="ABSTRACT_END"/>
      <w:bookmarkEnd w:id="7"/>
    </w:p>
    <w:p w14:paraId="22DB450D"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sz w:val="24"/>
          <w:szCs w:val="24"/>
          <w:rtl/>
        </w:rPr>
        <w:t xml:space="preserve">בכתב האישום נטען כי במשך כשבועיים ימים, עובר ליום 7.1.18, החזיק הנאשם בביתו – מוטמן בתוך שקית שחורה בארון בחדר המקלחת – סם מסוג </w:t>
      </w:r>
      <w:r w:rsidRPr="00B07191">
        <w:rPr>
          <w:rFonts w:cs="David"/>
          <w:sz w:val="24"/>
          <w:szCs w:val="24"/>
        </w:rPr>
        <w:t>FUB-AMB</w:t>
      </w:r>
      <w:r w:rsidRPr="00B07191">
        <w:rPr>
          <w:rFonts w:cs="David"/>
          <w:sz w:val="24"/>
          <w:szCs w:val="24"/>
          <w:rtl/>
        </w:rPr>
        <w:t xml:space="preserve"> במשקל נקי של 449.7 </w:t>
      </w:r>
      <w:r w:rsidRPr="00B07191">
        <w:rPr>
          <w:rFonts w:cs="David"/>
          <w:sz w:val="24"/>
          <w:szCs w:val="24"/>
          <w:rtl/>
        </w:rPr>
        <w:lastRenderedPageBreak/>
        <w:t xml:space="preserve">גרם, שהינו סם מסוכן לפי </w:t>
      </w:r>
      <w:hyperlink r:id="rId13" w:history="1">
        <w:r w:rsidR="00AA5229" w:rsidRPr="00AA5229">
          <w:rPr>
            <w:rFonts w:cs="David" w:hint="cs"/>
            <w:color w:val="0000FF"/>
            <w:sz w:val="24"/>
            <w:szCs w:val="24"/>
            <w:u w:val="single"/>
            <w:rtl/>
          </w:rPr>
          <w:t>פקודת</w:t>
        </w:r>
        <w:r w:rsidR="00AA5229" w:rsidRPr="00AA5229">
          <w:rPr>
            <w:rFonts w:cs="David"/>
            <w:color w:val="0000FF"/>
            <w:sz w:val="24"/>
            <w:szCs w:val="24"/>
            <w:u w:val="single"/>
            <w:rtl/>
          </w:rPr>
          <w:t xml:space="preserve"> </w:t>
        </w:r>
        <w:r w:rsidR="00AA5229" w:rsidRPr="00AA5229">
          <w:rPr>
            <w:rFonts w:cs="David" w:hint="cs"/>
            <w:color w:val="0000FF"/>
            <w:sz w:val="24"/>
            <w:szCs w:val="24"/>
            <w:u w:val="single"/>
            <w:rtl/>
          </w:rPr>
          <w:t>הסמים</w:t>
        </w:r>
        <w:r w:rsidR="00AA5229" w:rsidRPr="00AA5229">
          <w:rPr>
            <w:rFonts w:cs="David"/>
            <w:color w:val="0000FF"/>
            <w:sz w:val="24"/>
            <w:szCs w:val="24"/>
            <w:u w:val="single"/>
            <w:rtl/>
          </w:rPr>
          <w:t xml:space="preserve"> </w:t>
        </w:r>
        <w:r w:rsidR="00AA5229" w:rsidRPr="00AA5229">
          <w:rPr>
            <w:rFonts w:cs="David" w:hint="cs"/>
            <w:color w:val="0000FF"/>
            <w:sz w:val="24"/>
            <w:szCs w:val="24"/>
            <w:u w:val="single"/>
            <w:rtl/>
          </w:rPr>
          <w:t>המסוכנים</w:t>
        </w:r>
      </w:hyperlink>
      <w:r w:rsidRPr="00B07191">
        <w:rPr>
          <w:rFonts w:cs="David"/>
          <w:sz w:val="24"/>
          <w:szCs w:val="24"/>
          <w:rtl/>
        </w:rPr>
        <w:t xml:space="preserve"> (נוסח חדש), התשל"ג-1973 (להלן- </w:t>
      </w:r>
      <w:r w:rsidRPr="00B07191">
        <w:rPr>
          <w:rFonts w:cs="David"/>
          <w:b/>
          <w:bCs/>
          <w:sz w:val="24"/>
          <w:szCs w:val="24"/>
          <w:rtl/>
        </w:rPr>
        <w:t>פקודת הסמים</w:t>
      </w:r>
      <w:r w:rsidRPr="00B07191">
        <w:rPr>
          <w:rFonts w:cs="David"/>
          <w:sz w:val="24"/>
          <w:szCs w:val="24"/>
          <w:rtl/>
        </w:rPr>
        <w:t xml:space="preserve">), וזאת שלא לצריכתו העצמית וללא היתר לכך מאת המנהל. </w:t>
      </w:r>
    </w:p>
    <w:p w14:paraId="50F4CB81" w14:textId="77777777" w:rsidR="00BD5894" w:rsidRPr="00B07191" w:rsidRDefault="00BD5894" w:rsidP="00BD5894">
      <w:pPr>
        <w:pStyle w:val="a9"/>
        <w:rPr>
          <w:rFonts w:cs="David"/>
          <w:sz w:val="24"/>
          <w:szCs w:val="24"/>
          <w:rtl/>
        </w:rPr>
      </w:pPr>
    </w:p>
    <w:p w14:paraId="5A2FEE27" w14:textId="77777777" w:rsidR="00BD5894" w:rsidRPr="00B07191" w:rsidRDefault="00BD5894" w:rsidP="00BD5894">
      <w:pPr>
        <w:pStyle w:val="a9"/>
        <w:numPr>
          <w:ilvl w:val="0"/>
          <w:numId w:val="2"/>
        </w:numPr>
        <w:spacing w:line="360" w:lineRule="auto"/>
        <w:ind w:left="360"/>
        <w:jc w:val="both"/>
        <w:rPr>
          <w:rFonts w:cs="David"/>
          <w:sz w:val="24"/>
          <w:szCs w:val="24"/>
          <w:rtl/>
        </w:rPr>
      </w:pPr>
      <w:r>
        <w:rPr>
          <w:rFonts w:cs="David" w:hint="cs"/>
          <w:sz w:val="24"/>
          <w:szCs w:val="24"/>
          <w:rtl/>
        </w:rPr>
        <w:t>ביום 06.05.2020 ניתנה הכרעת הדין בעניינו של הנאשם, בגדרה הורשע במיוחס לו בכתב האישום. בדיון מיום 20.05.2020, ולבקשת ההגנה, הוריתי על שליחת הנאשם לשירות המבחן לצורך עריכת תסקיר בעניינו.</w:t>
      </w:r>
    </w:p>
    <w:p w14:paraId="7BD02348" w14:textId="77777777" w:rsidR="00BD5894" w:rsidRDefault="00BD5894" w:rsidP="00BD5894">
      <w:pPr>
        <w:spacing w:line="360" w:lineRule="auto"/>
        <w:jc w:val="both"/>
        <w:rPr>
          <w:u w:val="single"/>
          <w:rtl/>
        </w:rPr>
      </w:pPr>
      <w:r w:rsidRPr="004E41D4">
        <w:rPr>
          <w:rFonts w:hint="cs"/>
          <w:u w:val="single"/>
          <w:rtl/>
        </w:rPr>
        <w:t>תסקיר שירות המבחן</w:t>
      </w:r>
    </w:p>
    <w:p w14:paraId="7AE68E8B" w14:textId="77777777" w:rsidR="00BD5894" w:rsidRPr="004E41D4" w:rsidRDefault="00BD5894" w:rsidP="00BD5894">
      <w:pPr>
        <w:spacing w:line="360" w:lineRule="auto"/>
        <w:jc w:val="both"/>
        <w:rPr>
          <w:u w:val="single"/>
        </w:rPr>
      </w:pPr>
    </w:p>
    <w:p w14:paraId="79F76167" w14:textId="77777777" w:rsidR="00BD5894" w:rsidRDefault="00BD5894" w:rsidP="00BD5894">
      <w:pPr>
        <w:pStyle w:val="a9"/>
        <w:numPr>
          <w:ilvl w:val="0"/>
          <w:numId w:val="2"/>
        </w:numPr>
        <w:spacing w:line="360" w:lineRule="auto"/>
        <w:ind w:left="360"/>
        <w:jc w:val="both"/>
        <w:rPr>
          <w:rFonts w:cs="David"/>
          <w:sz w:val="24"/>
          <w:szCs w:val="24"/>
        </w:rPr>
      </w:pPr>
      <w:r>
        <w:rPr>
          <w:rFonts w:cs="David" w:hint="cs"/>
          <w:sz w:val="24"/>
          <w:szCs w:val="24"/>
          <w:rtl/>
        </w:rPr>
        <w:t>מתסקיר שירות המבחן שהתקבל ביום 18.11.20 עולה כי הנאשם בן 52, פרוד מרעייתו ומתגורר לבדו. קורות חייו פורטו בהרחבה בתסקיר. ביחס לשימוש בסמים, הנאשם הצהיר כי אינו צורך אלכוהול אולם אישר שימוש במריחואנה החל מגיל 18, ועד היום, ומסר כי אינו רואה סיבה להפסיק שימוש זה. ביחס להרשעתו, הנאשם מסר לשירות כי בעת שהייתו במעצר בעקבות הפרת צו הגנה, השתילה פרודתו תיק המכיל סמים בביתם וזאת במטרה להפלילו ולהרחיקו מילדיו. משכך, אף לא נטל אחריות למעשיו. שירות המבחן התרשם כי הנאשם נוטה להשליך אחריות ותסכול על סביבתו, ונעדר הכרה בחלקים באישיותו שהובילו לנסיבות חייו. בהיעדר נטילת אחריות למעשיו, נמנע השירות מלבוא בהמלצה כלשהי בעניינו.</w:t>
      </w:r>
    </w:p>
    <w:p w14:paraId="2260B6D0" w14:textId="77777777" w:rsidR="00BD5894" w:rsidRDefault="00BD5894" w:rsidP="00BD5894">
      <w:pPr>
        <w:spacing w:line="360" w:lineRule="auto"/>
        <w:jc w:val="both"/>
        <w:rPr>
          <w:u w:val="single"/>
          <w:rtl/>
        </w:rPr>
      </w:pPr>
      <w:r w:rsidRPr="004E41D4">
        <w:rPr>
          <w:rFonts w:hint="cs"/>
          <w:u w:val="single"/>
          <w:rtl/>
        </w:rPr>
        <w:t>תמצית טיעוני הצדדים</w:t>
      </w:r>
    </w:p>
    <w:p w14:paraId="73520FEB" w14:textId="77777777" w:rsidR="00BD5894" w:rsidRPr="004E41D4" w:rsidRDefault="00BD5894" w:rsidP="00BD5894">
      <w:pPr>
        <w:spacing w:line="360" w:lineRule="auto"/>
        <w:jc w:val="both"/>
        <w:rPr>
          <w:u w:val="single"/>
        </w:rPr>
      </w:pPr>
    </w:p>
    <w:p w14:paraId="2E3999B7"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hint="cs"/>
          <w:sz w:val="24"/>
          <w:szCs w:val="24"/>
          <w:rtl/>
        </w:rPr>
        <w:t xml:space="preserve">ב"כ המאשימה עמד על נסיבות ביצוע העבירה, ובפרט על </w:t>
      </w:r>
      <w:r>
        <w:rPr>
          <w:rFonts w:cs="David" w:hint="cs"/>
          <w:sz w:val="24"/>
          <w:szCs w:val="24"/>
          <w:rtl/>
        </w:rPr>
        <w:t>סוג הסם</w:t>
      </w:r>
      <w:r w:rsidRPr="00B07191">
        <w:rPr>
          <w:rFonts w:cs="David" w:hint="cs"/>
          <w:sz w:val="24"/>
          <w:szCs w:val="24"/>
          <w:rtl/>
        </w:rPr>
        <w:t xml:space="preserve"> שהחזיק הנאשם</w:t>
      </w:r>
      <w:r>
        <w:rPr>
          <w:rFonts w:cs="David" w:hint="cs"/>
          <w:sz w:val="24"/>
          <w:szCs w:val="24"/>
          <w:rtl/>
        </w:rPr>
        <w:t>, שהשפעותיו על הציבור טרם הובהרו דיין</w:t>
      </w:r>
      <w:r w:rsidRPr="00B07191">
        <w:rPr>
          <w:rFonts w:cs="David" w:hint="cs"/>
          <w:sz w:val="24"/>
          <w:szCs w:val="24"/>
          <w:rtl/>
        </w:rPr>
        <w:t xml:space="preserve">. עוד הרחיב </w:t>
      </w:r>
      <w:r>
        <w:rPr>
          <w:rFonts w:cs="David" w:hint="cs"/>
          <w:sz w:val="24"/>
          <w:szCs w:val="24"/>
          <w:rtl/>
        </w:rPr>
        <w:t>לגבי ה</w:t>
      </w:r>
      <w:r w:rsidRPr="00B07191">
        <w:rPr>
          <w:rFonts w:cs="David" w:hint="cs"/>
          <w:sz w:val="24"/>
          <w:szCs w:val="24"/>
          <w:rtl/>
        </w:rPr>
        <w:t xml:space="preserve">פגיעה בערכים המוגנים בבסיס העבירה בה הורשע הנאשם. לדבריו, בנסיבות המקרה דנן יש לקבוע מתחם עונש הולם הנע </w:t>
      </w:r>
      <w:r>
        <w:rPr>
          <w:rFonts w:cs="David" w:hint="cs"/>
          <w:sz w:val="24"/>
          <w:szCs w:val="24"/>
          <w:rtl/>
        </w:rPr>
        <w:t>בין 12 ל-24</w:t>
      </w:r>
      <w:r w:rsidRPr="00B07191">
        <w:rPr>
          <w:rFonts w:cs="David" w:hint="cs"/>
          <w:sz w:val="24"/>
          <w:szCs w:val="24"/>
          <w:rtl/>
        </w:rPr>
        <w:t xml:space="preserve"> חודשי מאסר בפועל. </w:t>
      </w:r>
      <w:r>
        <w:rPr>
          <w:rFonts w:cs="David" w:hint="cs"/>
          <w:sz w:val="24"/>
          <w:szCs w:val="24"/>
          <w:rtl/>
        </w:rPr>
        <w:t>בשים לב לעובדה כי זוהי הרשעה ראשונה של הנאשם בתחום הסמים, כמו גם בשים לב לפסיקה הנוהגת, עתר להשית על הנאשם 14 חודשי מאסר בפועל וענישה נלווית.</w:t>
      </w:r>
    </w:p>
    <w:p w14:paraId="72CAD852" w14:textId="77777777" w:rsidR="00BD5894" w:rsidRDefault="00BD5894" w:rsidP="00BD5894">
      <w:pPr>
        <w:pStyle w:val="a9"/>
        <w:spacing w:line="360" w:lineRule="auto"/>
        <w:ind w:left="360"/>
        <w:jc w:val="both"/>
        <w:rPr>
          <w:rFonts w:cs="David"/>
          <w:sz w:val="24"/>
          <w:szCs w:val="24"/>
        </w:rPr>
      </w:pPr>
    </w:p>
    <w:p w14:paraId="6AD9AFA2" w14:textId="77777777" w:rsidR="00BD5894" w:rsidRPr="00B07191" w:rsidRDefault="00BD5894" w:rsidP="00BD5894">
      <w:pPr>
        <w:pStyle w:val="a9"/>
        <w:numPr>
          <w:ilvl w:val="0"/>
          <w:numId w:val="2"/>
        </w:numPr>
        <w:spacing w:line="360" w:lineRule="auto"/>
        <w:ind w:left="360"/>
        <w:jc w:val="both"/>
        <w:rPr>
          <w:rFonts w:cs="David"/>
          <w:sz w:val="24"/>
          <w:szCs w:val="24"/>
          <w:rtl/>
        </w:rPr>
      </w:pPr>
      <w:r>
        <w:rPr>
          <w:rFonts w:cs="David" w:hint="cs"/>
          <w:sz w:val="24"/>
          <w:szCs w:val="24"/>
          <w:rtl/>
        </w:rPr>
        <w:t>ב"כ הנאשם עמד אף הוא על נסיבות ביצוע העבירה. נטען כי מתחם העונש ההולם צריך להתחיל ממאסר מותנה. בשים לב לעובדה כי הנאשם נעדר עבירות קודמות בתחום הסמים, כמו גם לאור נסיבותיו האישיות המפורטות בתסקיר, עתרה ההגנה להסתפק בענישה צופה פני עתיד.</w:t>
      </w:r>
    </w:p>
    <w:p w14:paraId="3C33BEC8" w14:textId="77777777" w:rsidR="00BD5894" w:rsidRDefault="00BD5894" w:rsidP="00BD5894">
      <w:pPr>
        <w:spacing w:line="360" w:lineRule="auto"/>
        <w:jc w:val="both"/>
        <w:rPr>
          <w:u w:val="single"/>
          <w:rtl/>
        </w:rPr>
      </w:pPr>
      <w:r w:rsidRPr="00A23A39">
        <w:rPr>
          <w:rFonts w:hint="cs"/>
          <w:u w:val="single"/>
          <w:rtl/>
        </w:rPr>
        <w:t>דיון והכרעה</w:t>
      </w:r>
    </w:p>
    <w:p w14:paraId="282ACBE9" w14:textId="77777777" w:rsidR="00BD5894" w:rsidRPr="00A23A39" w:rsidRDefault="00BD5894" w:rsidP="00BD5894">
      <w:pPr>
        <w:spacing w:line="360" w:lineRule="auto"/>
        <w:jc w:val="both"/>
        <w:rPr>
          <w:u w:val="single"/>
          <w:rtl/>
        </w:rPr>
      </w:pPr>
    </w:p>
    <w:p w14:paraId="0CDD678A"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hint="cs"/>
          <w:sz w:val="24"/>
          <w:szCs w:val="24"/>
          <w:rtl/>
        </w:rPr>
        <w:t xml:space="preserve">הערך החברתי שנפגע מביצוע העבירה בה הורשע הנאשם הינו שמירה על שלום הציבור ובריאותו. רבות נכתב על חומרתן של עבירות הסמים, ועל ההשפעה הקשה שיש לאלה על החברה כולה, כמו גם על הצורך בענישה מחמירה </w:t>
      </w:r>
      <w:r>
        <w:rPr>
          <w:rFonts w:cs="David" w:hint="cs"/>
          <w:sz w:val="24"/>
          <w:szCs w:val="24"/>
          <w:rtl/>
        </w:rPr>
        <w:t xml:space="preserve">לסוחרי ומפיצי הסמים (ראו לדוגמה: </w:t>
      </w:r>
      <w:hyperlink r:id="rId14" w:history="1">
        <w:r w:rsidR="00AA5229" w:rsidRPr="00AA5229">
          <w:rPr>
            <w:rFonts w:ascii="David" w:hAnsi="David" w:cs="David"/>
            <w:color w:val="0000FF"/>
            <w:sz w:val="24"/>
            <w:szCs w:val="24"/>
            <w:u w:val="single"/>
            <w:rtl/>
          </w:rPr>
          <w:t xml:space="preserve">ע"פ </w:t>
        </w:r>
        <w:r w:rsidR="00AA5229" w:rsidRPr="00AA5229">
          <w:rPr>
            <w:rFonts w:ascii="David" w:hAnsi="David" w:cs="David"/>
            <w:color w:val="0000FF"/>
            <w:sz w:val="24"/>
            <w:szCs w:val="24"/>
            <w:u w:val="single"/>
            <w:rtl/>
          </w:rPr>
          <w:lastRenderedPageBreak/>
          <w:t>4522/18</w:t>
        </w:r>
      </w:hyperlink>
      <w:r w:rsidRPr="00B07191">
        <w:rPr>
          <w:rFonts w:ascii="David" w:hAnsi="David" w:cs="David"/>
          <w:sz w:val="24"/>
          <w:szCs w:val="24"/>
          <w:rtl/>
        </w:rPr>
        <w:t xml:space="preserve"> </w:t>
      </w:r>
      <w:r w:rsidRPr="00B07191">
        <w:rPr>
          <w:rFonts w:ascii="David" w:hAnsi="David" w:cs="David"/>
          <w:b/>
          <w:bCs/>
          <w:sz w:val="24"/>
          <w:szCs w:val="24"/>
          <w:rtl/>
        </w:rPr>
        <w:t>בנימין אסאבן נ' מדינת ישראל</w:t>
      </w:r>
      <w:r w:rsidRPr="00B07191">
        <w:rPr>
          <w:rFonts w:ascii="David" w:hAnsi="David" w:cs="David"/>
          <w:sz w:val="24"/>
          <w:szCs w:val="24"/>
          <w:rtl/>
        </w:rPr>
        <w:t xml:space="preserve"> (פורסם בנבו, 11.11.18))</w:t>
      </w:r>
      <w:r w:rsidRPr="00BD5894">
        <w:rPr>
          <w:rFonts w:ascii="Times New Roman" w:hAnsi="Times New Roman" w:cs="Times New Roman" w:hint="cs"/>
          <w:sz w:val="24"/>
          <w:szCs w:val="24"/>
          <w:rtl/>
        </w:rPr>
        <w:t xml:space="preserve">. </w:t>
      </w:r>
      <w:r>
        <w:rPr>
          <w:rFonts w:cs="David" w:hint="cs"/>
          <w:sz w:val="24"/>
          <w:szCs w:val="24"/>
          <w:rtl/>
        </w:rPr>
        <w:t>שוב ושוב חוזרת ההלכה הפסוקה על הצורך בענישה מרתיעה, אולם נדמה לעיתים כי הלחימה בנגע הסמים עוד בחיתוליה, וישנו צורך בריכוז מאמץ למיגורה של תופעה פסולה זו:</w:t>
      </w:r>
    </w:p>
    <w:p w14:paraId="24D9CDF6" w14:textId="77777777" w:rsidR="00BD5894" w:rsidRDefault="00BD5894" w:rsidP="00BD5894">
      <w:pPr>
        <w:spacing w:line="360" w:lineRule="auto"/>
        <w:ind w:left="1701" w:right="1701"/>
        <w:jc w:val="both"/>
        <w:rPr>
          <w:rFonts w:ascii="David" w:hAnsi="David"/>
          <w:rtl/>
        </w:rPr>
      </w:pPr>
      <w:r>
        <w:rPr>
          <w:rFonts w:ascii="David" w:hAnsi="David" w:hint="cs"/>
          <w:rtl/>
        </w:rPr>
        <w:t>"</w:t>
      </w:r>
      <w:r w:rsidRPr="00BD5894">
        <w:rPr>
          <w:rFonts w:cs="Times New Roman"/>
          <w:rtl/>
        </w:rPr>
        <w:t>בית משפט זה שב והדגיש כי על מדיניות הענישה בגין סחר והפצה של סמים מסוכנים, ובכללן סמים הנחשבים ל"סמים קלים", להיות מרתיעה ומשמעותית, וכי יש לראות בחומרה ניסיונות לעשיית רווח כספי באמצעות סחר בסמים אלה [...] קל וחומר כי כאשר עסקינן בסמים סינתטיים שפגיעתם חמורה יותר, על הענישה להיות מרתיעה ומשמעותית</w:t>
      </w:r>
      <w:r>
        <w:rPr>
          <w:rFonts w:ascii="David" w:hAnsi="David" w:hint="cs"/>
          <w:rtl/>
        </w:rPr>
        <w:t>" (</w:t>
      </w:r>
      <w:hyperlink r:id="rId15" w:history="1">
        <w:r w:rsidR="00AA5229" w:rsidRPr="00AA5229">
          <w:rPr>
            <w:rFonts w:ascii="David" w:hAnsi="David"/>
            <w:color w:val="0000FF"/>
            <w:u w:val="single"/>
            <w:rtl/>
          </w:rPr>
          <w:t>רע"פ 2361/20</w:t>
        </w:r>
      </w:hyperlink>
      <w:r>
        <w:rPr>
          <w:rFonts w:ascii="David" w:hAnsi="David" w:hint="cs"/>
          <w:rtl/>
        </w:rPr>
        <w:t xml:space="preserve"> </w:t>
      </w:r>
      <w:r w:rsidRPr="00B07191">
        <w:rPr>
          <w:rFonts w:ascii="David" w:hAnsi="David" w:hint="cs"/>
          <w:b/>
          <w:bCs/>
          <w:rtl/>
        </w:rPr>
        <w:t>משה בן אדרת נ' מדינת ישראל</w:t>
      </w:r>
      <w:r>
        <w:rPr>
          <w:rFonts w:ascii="David" w:hAnsi="David" w:hint="cs"/>
          <w:rtl/>
        </w:rPr>
        <w:t xml:space="preserve"> (פורסם בנבו, 06.04.2020), פס' 8)</w:t>
      </w:r>
      <w:r w:rsidRPr="00B07191">
        <w:rPr>
          <w:rFonts w:ascii="David" w:hAnsi="David"/>
          <w:rtl/>
        </w:rPr>
        <w:t>.</w:t>
      </w:r>
    </w:p>
    <w:p w14:paraId="52BF0C04" w14:textId="77777777" w:rsidR="00BD5894" w:rsidRDefault="00BD5894" w:rsidP="00BD5894">
      <w:pPr>
        <w:spacing w:line="360" w:lineRule="auto"/>
        <w:ind w:left="1701" w:right="1701"/>
        <w:jc w:val="both"/>
        <w:rPr>
          <w:rFonts w:ascii="David" w:hAnsi="David"/>
          <w:rtl/>
        </w:rPr>
      </w:pPr>
    </w:p>
    <w:p w14:paraId="063CD165" w14:textId="77777777" w:rsidR="00BD5894" w:rsidRDefault="00BD5894" w:rsidP="00BD5894">
      <w:pPr>
        <w:pStyle w:val="a9"/>
        <w:numPr>
          <w:ilvl w:val="0"/>
          <w:numId w:val="2"/>
        </w:numPr>
        <w:spacing w:line="360" w:lineRule="auto"/>
        <w:ind w:left="360"/>
        <w:jc w:val="both"/>
        <w:rPr>
          <w:rFonts w:ascii="David" w:hAnsi="David" w:cs="David"/>
          <w:sz w:val="24"/>
          <w:szCs w:val="24"/>
        </w:rPr>
      </w:pPr>
      <w:r w:rsidRPr="00B07191">
        <w:rPr>
          <w:rFonts w:ascii="David" w:hAnsi="David" w:cs="David" w:hint="cs"/>
          <w:sz w:val="24"/>
          <w:szCs w:val="24"/>
          <w:rtl/>
        </w:rPr>
        <w:t>בחינת נסיבות ביצוע העבירה מובילה למסקנה כי הפגי</w:t>
      </w:r>
      <w:r>
        <w:rPr>
          <w:rFonts w:ascii="David" w:hAnsi="David" w:cs="David" w:hint="cs"/>
          <w:sz w:val="24"/>
          <w:szCs w:val="24"/>
          <w:rtl/>
        </w:rPr>
        <w:t>עה בערכים המוגנים הינה ברף הבינוני</w:t>
      </w:r>
      <w:r w:rsidRPr="00B07191">
        <w:rPr>
          <w:rFonts w:ascii="David" w:hAnsi="David" w:cs="David" w:hint="cs"/>
          <w:sz w:val="24"/>
          <w:szCs w:val="24"/>
          <w:rtl/>
        </w:rPr>
        <w:t>;</w:t>
      </w:r>
    </w:p>
    <w:p w14:paraId="6639BE4B" w14:textId="77777777" w:rsidR="00BD5894" w:rsidRDefault="00BD5894" w:rsidP="00BD5894">
      <w:pPr>
        <w:pStyle w:val="a9"/>
        <w:spacing w:line="360" w:lineRule="auto"/>
        <w:ind w:left="360"/>
        <w:jc w:val="both"/>
        <w:rPr>
          <w:rFonts w:ascii="David" w:hAnsi="David" w:cs="David"/>
          <w:sz w:val="24"/>
          <w:szCs w:val="24"/>
          <w:rtl/>
        </w:rPr>
      </w:pPr>
    </w:p>
    <w:p w14:paraId="504642B3" w14:textId="77777777" w:rsidR="00BD5894" w:rsidRDefault="00BD5894" w:rsidP="00BD5894">
      <w:pPr>
        <w:pStyle w:val="a9"/>
        <w:spacing w:line="360" w:lineRule="auto"/>
        <w:ind w:left="360"/>
        <w:jc w:val="both"/>
        <w:rPr>
          <w:rFonts w:ascii="David" w:hAnsi="David" w:cs="David"/>
          <w:sz w:val="24"/>
          <w:szCs w:val="24"/>
          <w:rtl/>
        </w:rPr>
      </w:pPr>
      <w:r w:rsidRPr="00B07191">
        <w:rPr>
          <w:rFonts w:ascii="David" w:hAnsi="David" w:cs="David" w:hint="cs"/>
          <w:sz w:val="24"/>
          <w:szCs w:val="24"/>
          <w:rtl/>
        </w:rPr>
        <w:t xml:space="preserve">כידוע, בהלכה </w:t>
      </w:r>
      <w:r>
        <w:rPr>
          <w:rFonts w:ascii="David" w:hAnsi="David" w:cs="David" w:hint="cs"/>
          <w:sz w:val="24"/>
          <w:szCs w:val="24"/>
          <w:rtl/>
        </w:rPr>
        <w:t>ה</w:t>
      </w:r>
      <w:r w:rsidRPr="00B07191">
        <w:rPr>
          <w:rFonts w:ascii="David" w:hAnsi="David" w:cs="David" w:hint="cs"/>
          <w:sz w:val="24"/>
          <w:szCs w:val="24"/>
          <w:rtl/>
        </w:rPr>
        <w:t xml:space="preserve">פסוקה נקבע לא אחת כי בהערכת חומרת נסיבות ביצוע עבירות סמים, ישנה חשיבות לבחינה סוג הסם וכמותו (ראו למשל: </w:t>
      </w:r>
      <w:hyperlink r:id="rId16" w:history="1">
        <w:r w:rsidR="00AA5229" w:rsidRPr="00AA5229">
          <w:rPr>
            <w:rFonts w:ascii="David" w:hAnsi="David" w:cs="David"/>
            <w:color w:val="0000FF"/>
            <w:sz w:val="24"/>
            <w:szCs w:val="24"/>
            <w:u w:val="single"/>
            <w:rtl/>
          </w:rPr>
          <w:t>ע"פ 1654/16</w:t>
        </w:r>
      </w:hyperlink>
      <w:r w:rsidRPr="00B07191">
        <w:rPr>
          <w:rFonts w:ascii="David" w:hAnsi="David" w:cs="David"/>
          <w:sz w:val="24"/>
          <w:szCs w:val="24"/>
          <w:rtl/>
        </w:rPr>
        <w:t xml:space="preserve"> </w:t>
      </w:r>
      <w:r w:rsidRPr="00B07191">
        <w:rPr>
          <w:rFonts w:ascii="David" w:hAnsi="David" w:cs="David"/>
          <w:b/>
          <w:bCs/>
          <w:sz w:val="24"/>
          <w:szCs w:val="24"/>
          <w:rtl/>
        </w:rPr>
        <w:t>גל שרר נ' מדינת ישראל</w:t>
      </w:r>
      <w:r w:rsidRPr="00B07191">
        <w:rPr>
          <w:rFonts w:ascii="David" w:hAnsi="David" w:cs="David"/>
          <w:sz w:val="24"/>
          <w:szCs w:val="24"/>
          <w:rtl/>
        </w:rPr>
        <w:t xml:space="preserve"> (פורסם בנבו, 27.02.17)).</w:t>
      </w:r>
      <w:r w:rsidRPr="00B07191">
        <w:rPr>
          <w:rFonts w:ascii="David" w:hAnsi="David" w:cs="David" w:hint="cs"/>
          <w:sz w:val="24"/>
          <w:szCs w:val="24"/>
          <w:rtl/>
        </w:rPr>
        <w:t xml:space="preserve"> בנסיבות המקרה דנא, דומה כי בביתו של הנאשם נמצאה כמות בלתי מבוטלת של כחצי קילו סם מסוג </w:t>
      </w:r>
      <w:r w:rsidRPr="00B07191">
        <w:rPr>
          <w:rFonts w:ascii="David" w:hAnsi="David" w:cs="David" w:hint="cs"/>
          <w:sz w:val="24"/>
          <w:szCs w:val="24"/>
        </w:rPr>
        <w:t>FUB-AMB</w:t>
      </w:r>
      <w:r w:rsidRPr="00B07191">
        <w:rPr>
          <w:rFonts w:ascii="David" w:hAnsi="David" w:cs="David" w:hint="cs"/>
          <w:sz w:val="24"/>
          <w:szCs w:val="24"/>
          <w:rtl/>
        </w:rPr>
        <w:t xml:space="preserve">. אינני שותפה לדעת ההגנה, לפיה בהיעדר מחקרים מדעיים, יש </w:t>
      </w:r>
      <w:r>
        <w:rPr>
          <w:rFonts w:ascii="David" w:hAnsi="David" w:cs="David" w:hint="cs"/>
          <w:sz w:val="24"/>
          <w:szCs w:val="24"/>
          <w:rtl/>
        </w:rPr>
        <w:t>לייחס ל</w:t>
      </w:r>
      <w:r w:rsidRPr="00B07191">
        <w:rPr>
          <w:rFonts w:ascii="David" w:hAnsi="David" w:cs="David" w:hint="cs"/>
          <w:sz w:val="24"/>
          <w:szCs w:val="24"/>
          <w:rtl/>
        </w:rPr>
        <w:t xml:space="preserve">סם זה באותה דרגת חומרה </w:t>
      </w:r>
      <w:r>
        <w:rPr>
          <w:rFonts w:ascii="David" w:hAnsi="David" w:cs="David" w:hint="cs"/>
          <w:sz w:val="24"/>
          <w:szCs w:val="24"/>
          <w:rtl/>
        </w:rPr>
        <w:t>שיש לייחס</w:t>
      </w:r>
      <w:r w:rsidRPr="00B07191">
        <w:rPr>
          <w:rFonts w:ascii="David" w:hAnsi="David" w:cs="David" w:hint="cs"/>
          <w:sz w:val="24"/>
          <w:szCs w:val="24"/>
          <w:rtl/>
        </w:rPr>
        <w:t xml:space="preserve"> </w:t>
      </w:r>
      <w:r>
        <w:rPr>
          <w:rFonts w:ascii="David" w:hAnsi="David" w:cs="David" w:hint="cs"/>
          <w:sz w:val="24"/>
          <w:szCs w:val="24"/>
          <w:rtl/>
        </w:rPr>
        <w:t>ל</w:t>
      </w:r>
      <w:r w:rsidRPr="00B07191">
        <w:rPr>
          <w:rFonts w:ascii="David" w:hAnsi="David" w:cs="David" w:hint="cs"/>
          <w:sz w:val="24"/>
          <w:szCs w:val="24"/>
          <w:rtl/>
        </w:rPr>
        <w:t>ס</w:t>
      </w:r>
      <w:r>
        <w:rPr>
          <w:rFonts w:ascii="David" w:hAnsi="David" w:cs="David" w:hint="cs"/>
          <w:sz w:val="24"/>
          <w:szCs w:val="24"/>
          <w:rtl/>
        </w:rPr>
        <w:t>מי</w:t>
      </w:r>
      <w:r w:rsidRPr="00B07191">
        <w:rPr>
          <w:rFonts w:ascii="David" w:hAnsi="David" w:cs="David" w:hint="cs"/>
          <w:sz w:val="24"/>
          <w:szCs w:val="24"/>
          <w:rtl/>
        </w:rPr>
        <w:t>ם מסוג קנבו</w:t>
      </w:r>
      <w:r>
        <w:rPr>
          <w:rFonts w:ascii="David" w:hAnsi="David" w:cs="David" w:hint="cs"/>
          <w:sz w:val="24"/>
          <w:szCs w:val="24"/>
          <w:rtl/>
        </w:rPr>
        <w:t>ס וחשיש. העובדה כי בימים אלה חלות</w:t>
      </w:r>
      <w:r w:rsidRPr="00B07191">
        <w:rPr>
          <w:rFonts w:ascii="David" w:hAnsi="David" w:cs="David" w:hint="cs"/>
          <w:sz w:val="24"/>
          <w:szCs w:val="24"/>
          <w:rtl/>
        </w:rPr>
        <w:t xml:space="preserve"> אי אילו תמורות </w:t>
      </w:r>
      <w:r>
        <w:rPr>
          <w:rFonts w:ascii="David" w:hAnsi="David" w:cs="David" w:hint="cs"/>
          <w:sz w:val="24"/>
          <w:szCs w:val="24"/>
          <w:rtl/>
        </w:rPr>
        <w:t>בחקיקה</w:t>
      </w:r>
      <w:r w:rsidRPr="00B07191">
        <w:rPr>
          <w:rFonts w:ascii="David" w:hAnsi="David" w:cs="David" w:hint="cs"/>
          <w:sz w:val="24"/>
          <w:szCs w:val="24"/>
          <w:rtl/>
        </w:rPr>
        <w:t xml:space="preserve"> ביחס לסם מסוג קנביס, אין בה כדי להקיש על הסם </w:t>
      </w:r>
      <w:r>
        <w:rPr>
          <w:rFonts w:ascii="David" w:hAnsi="David" w:cs="David" w:hint="cs"/>
          <w:sz w:val="24"/>
          <w:szCs w:val="24"/>
          <w:rtl/>
        </w:rPr>
        <w:t>שנתפס</w:t>
      </w:r>
      <w:r w:rsidRPr="00B07191">
        <w:rPr>
          <w:rFonts w:ascii="David" w:hAnsi="David" w:cs="David" w:hint="cs"/>
          <w:sz w:val="24"/>
          <w:szCs w:val="24"/>
          <w:rtl/>
        </w:rPr>
        <w:t xml:space="preserve"> בחזקתו של הנאשם. ההיפך הוא הנכון- המדובר בסם ממשפחת הקנבינואידים הסינתטיי</w:t>
      </w:r>
      <w:r w:rsidRPr="00B07191">
        <w:rPr>
          <w:rFonts w:ascii="David" w:hAnsi="David" w:cs="David" w:hint="eastAsia"/>
          <w:sz w:val="24"/>
          <w:szCs w:val="24"/>
          <w:rtl/>
        </w:rPr>
        <w:t>ם</w:t>
      </w:r>
      <w:r w:rsidRPr="00B07191">
        <w:rPr>
          <w:rFonts w:ascii="David" w:hAnsi="David" w:cs="David" w:hint="cs"/>
          <w:sz w:val="24"/>
          <w:szCs w:val="24"/>
          <w:rtl/>
        </w:rPr>
        <w:t>. "משפחה" זו של סמים הופצה בציבור במסגרת תרכובות שונות, אשר כונו לא אחת בשם "סמי פיצוצי</w:t>
      </w:r>
      <w:r>
        <w:rPr>
          <w:rFonts w:ascii="David" w:hAnsi="David" w:cs="David" w:hint="cs"/>
          <w:sz w:val="24"/>
          <w:szCs w:val="24"/>
          <w:rtl/>
        </w:rPr>
        <w:t>ה" והנזק הנגרם בעקבות השימוש בהן</w:t>
      </w:r>
      <w:r w:rsidRPr="00B07191">
        <w:rPr>
          <w:rFonts w:ascii="David" w:hAnsi="David" w:cs="David" w:hint="cs"/>
          <w:sz w:val="24"/>
          <w:szCs w:val="24"/>
          <w:rtl/>
        </w:rPr>
        <w:t xml:space="preserve"> הוא ממשי וקשה.</w:t>
      </w:r>
    </w:p>
    <w:p w14:paraId="3279A5BE" w14:textId="77777777" w:rsidR="00BD5894" w:rsidRDefault="00BD5894" w:rsidP="00BD5894">
      <w:pPr>
        <w:pStyle w:val="a9"/>
        <w:spacing w:line="360" w:lineRule="auto"/>
        <w:ind w:left="360"/>
        <w:jc w:val="both"/>
        <w:rPr>
          <w:rFonts w:ascii="David" w:hAnsi="David" w:cs="David"/>
          <w:sz w:val="24"/>
          <w:szCs w:val="24"/>
          <w:rtl/>
        </w:rPr>
      </w:pPr>
    </w:p>
    <w:p w14:paraId="7FD84642" w14:textId="77777777" w:rsidR="00BD5894" w:rsidRDefault="00BD5894" w:rsidP="00BD5894">
      <w:pPr>
        <w:pStyle w:val="a9"/>
        <w:spacing w:line="360" w:lineRule="auto"/>
        <w:ind w:left="360"/>
        <w:jc w:val="both"/>
        <w:rPr>
          <w:rFonts w:ascii="David" w:hAnsi="David" w:cs="David"/>
          <w:sz w:val="24"/>
          <w:szCs w:val="24"/>
          <w:rtl/>
        </w:rPr>
      </w:pPr>
      <w:r>
        <w:rPr>
          <w:rFonts w:ascii="David" w:hAnsi="David" w:cs="David" w:hint="cs"/>
          <w:sz w:val="24"/>
          <w:szCs w:val="24"/>
          <w:rtl/>
        </w:rPr>
        <w:t>עם זאת, יש לזכור ולהדגיש שהנאשם שבפניי הורשע אך בביצוע עבירה בודדת של החזקה שלא לצריכה עצמית, וללא עבירות נלוות, ובמובן זה חומרת המעשים היא פחותה מביצוע עבירות סחר של ממש, המלמדות על הוצאה לפועל של הפצת הסם בציבור.</w:t>
      </w:r>
    </w:p>
    <w:p w14:paraId="270C42D2" w14:textId="77777777" w:rsidR="00BD5894" w:rsidRDefault="00BD5894" w:rsidP="00BD5894">
      <w:pPr>
        <w:pStyle w:val="a9"/>
        <w:spacing w:line="360" w:lineRule="auto"/>
        <w:ind w:left="360"/>
        <w:jc w:val="both"/>
        <w:rPr>
          <w:rFonts w:ascii="David" w:hAnsi="David" w:cs="David"/>
          <w:sz w:val="24"/>
          <w:szCs w:val="24"/>
          <w:rtl/>
        </w:rPr>
      </w:pPr>
    </w:p>
    <w:p w14:paraId="1C6C3B0C" w14:textId="77777777" w:rsidR="00BD5894" w:rsidRPr="00A22604" w:rsidRDefault="00BD5894" w:rsidP="00BD5894">
      <w:pPr>
        <w:pStyle w:val="a9"/>
        <w:numPr>
          <w:ilvl w:val="0"/>
          <w:numId w:val="2"/>
        </w:numPr>
        <w:spacing w:line="360" w:lineRule="auto"/>
        <w:ind w:left="360"/>
        <w:jc w:val="both"/>
        <w:rPr>
          <w:rFonts w:ascii="David" w:hAnsi="David" w:cs="David"/>
          <w:sz w:val="24"/>
          <w:szCs w:val="24"/>
        </w:rPr>
      </w:pPr>
      <w:r w:rsidRPr="00B07191">
        <w:rPr>
          <w:rFonts w:cs="David" w:hint="cs"/>
          <w:sz w:val="24"/>
          <w:szCs w:val="24"/>
          <w:rtl/>
        </w:rPr>
        <w:t>בחינת</w:t>
      </w:r>
      <w:r w:rsidRPr="00B07191">
        <w:rPr>
          <w:rFonts w:cs="David"/>
          <w:sz w:val="24"/>
          <w:szCs w:val="24"/>
          <w:rtl/>
        </w:rPr>
        <w:t xml:space="preserve"> </w:t>
      </w:r>
      <w:r w:rsidRPr="00B07191">
        <w:rPr>
          <w:rFonts w:cs="David" w:hint="cs"/>
          <w:sz w:val="24"/>
          <w:szCs w:val="24"/>
          <w:rtl/>
        </w:rPr>
        <w:t>מדיניות</w:t>
      </w:r>
      <w:r w:rsidRPr="00B07191">
        <w:rPr>
          <w:rFonts w:cs="David"/>
          <w:sz w:val="24"/>
          <w:szCs w:val="24"/>
          <w:rtl/>
        </w:rPr>
        <w:t xml:space="preserve"> </w:t>
      </w:r>
      <w:r w:rsidRPr="00B07191">
        <w:rPr>
          <w:rFonts w:cs="David" w:hint="cs"/>
          <w:sz w:val="24"/>
          <w:szCs w:val="24"/>
          <w:rtl/>
        </w:rPr>
        <w:t>הענישה</w:t>
      </w:r>
      <w:r w:rsidRPr="00B07191">
        <w:rPr>
          <w:rFonts w:cs="David"/>
          <w:sz w:val="24"/>
          <w:szCs w:val="24"/>
          <w:rtl/>
        </w:rPr>
        <w:t xml:space="preserve"> </w:t>
      </w:r>
      <w:r w:rsidRPr="00B07191">
        <w:rPr>
          <w:rFonts w:cs="David" w:hint="cs"/>
          <w:sz w:val="24"/>
          <w:szCs w:val="24"/>
          <w:rtl/>
        </w:rPr>
        <w:t>הנוהגת</w:t>
      </w:r>
      <w:r w:rsidRPr="00B07191">
        <w:rPr>
          <w:rFonts w:cs="David"/>
          <w:sz w:val="24"/>
          <w:szCs w:val="24"/>
          <w:rtl/>
        </w:rPr>
        <w:t xml:space="preserve"> </w:t>
      </w:r>
      <w:r w:rsidRPr="00B07191">
        <w:rPr>
          <w:rFonts w:cs="David" w:hint="cs"/>
          <w:sz w:val="24"/>
          <w:szCs w:val="24"/>
          <w:rtl/>
        </w:rPr>
        <w:t>מעלה</w:t>
      </w:r>
      <w:r w:rsidRPr="00B07191">
        <w:rPr>
          <w:rFonts w:cs="David"/>
          <w:sz w:val="24"/>
          <w:szCs w:val="24"/>
          <w:rtl/>
        </w:rPr>
        <w:t xml:space="preserve"> </w:t>
      </w:r>
      <w:r w:rsidRPr="00B07191">
        <w:rPr>
          <w:rFonts w:cs="David" w:hint="cs"/>
          <w:sz w:val="24"/>
          <w:szCs w:val="24"/>
          <w:rtl/>
        </w:rPr>
        <w:t>כי</w:t>
      </w:r>
      <w:r w:rsidRPr="00B07191">
        <w:rPr>
          <w:rFonts w:cs="David"/>
          <w:sz w:val="24"/>
          <w:szCs w:val="24"/>
          <w:rtl/>
        </w:rPr>
        <w:t xml:space="preserve"> </w:t>
      </w:r>
      <w:r w:rsidRPr="00B07191">
        <w:rPr>
          <w:rFonts w:cs="David" w:hint="cs"/>
          <w:sz w:val="24"/>
          <w:szCs w:val="24"/>
          <w:rtl/>
        </w:rPr>
        <w:t>בגין</w:t>
      </w:r>
      <w:r w:rsidRPr="00B07191">
        <w:rPr>
          <w:rFonts w:cs="David"/>
          <w:sz w:val="24"/>
          <w:szCs w:val="24"/>
          <w:rtl/>
        </w:rPr>
        <w:t xml:space="preserve"> </w:t>
      </w:r>
      <w:r w:rsidRPr="00B07191">
        <w:rPr>
          <w:rFonts w:cs="David" w:hint="cs"/>
          <w:sz w:val="24"/>
          <w:szCs w:val="24"/>
          <w:rtl/>
        </w:rPr>
        <w:t>העבירה</w:t>
      </w:r>
      <w:r w:rsidRPr="00B07191">
        <w:rPr>
          <w:rFonts w:cs="David"/>
          <w:sz w:val="24"/>
          <w:szCs w:val="24"/>
          <w:rtl/>
        </w:rPr>
        <w:t xml:space="preserve"> </w:t>
      </w:r>
      <w:r w:rsidRPr="00B07191">
        <w:rPr>
          <w:rFonts w:cs="David" w:hint="cs"/>
          <w:sz w:val="24"/>
          <w:szCs w:val="24"/>
          <w:rtl/>
        </w:rPr>
        <w:t>בה</w:t>
      </w:r>
      <w:r w:rsidRPr="00B07191">
        <w:rPr>
          <w:rFonts w:cs="David"/>
          <w:sz w:val="24"/>
          <w:szCs w:val="24"/>
          <w:rtl/>
        </w:rPr>
        <w:t xml:space="preserve"> </w:t>
      </w:r>
      <w:r w:rsidRPr="00B07191">
        <w:rPr>
          <w:rFonts w:cs="David" w:hint="cs"/>
          <w:sz w:val="24"/>
          <w:szCs w:val="24"/>
          <w:rtl/>
        </w:rPr>
        <w:t>הורשע</w:t>
      </w:r>
      <w:r w:rsidRPr="00B07191">
        <w:rPr>
          <w:rFonts w:cs="David"/>
          <w:sz w:val="24"/>
          <w:szCs w:val="24"/>
          <w:rtl/>
        </w:rPr>
        <w:t xml:space="preserve"> </w:t>
      </w:r>
      <w:r w:rsidRPr="00B07191">
        <w:rPr>
          <w:rFonts w:cs="David" w:hint="cs"/>
          <w:sz w:val="24"/>
          <w:szCs w:val="24"/>
          <w:rtl/>
        </w:rPr>
        <w:t>הנאשם</w:t>
      </w:r>
      <w:r w:rsidRPr="00B07191">
        <w:rPr>
          <w:rFonts w:cs="David"/>
          <w:sz w:val="24"/>
          <w:szCs w:val="24"/>
          <w:rtl/>
        </w:rPr>
        <w:t xml:space="preserve">, </w:t>
      </w:r>
      <w:r w:rsidRPr="00B07191">
        <w:rPr>
          <w:rFonts w:cs="David" w:hint="cs"/>
          <w:sz w:val="24"/>
          <w:szCs w:val="24"/>
          <w:rtl/>
        </w:rPr>
        <w:t>משיתים</w:t>
      </w:r>
      <w:r w:rsidRPr="00B07191">
        <w:rPr>
          <w:rFonts w:cs="David"/>
          <w:sz w:val="24"/>
          <w:szCs w:val="24"/>
          <w:rtl/>
        </w:rPr>
        <w:t xml:space="preserve"> </w:t>
      </w:r>
      <w:r w:rsidRPr="00B07191">
        <w:rPr>
          <w:rFonts w:cs="David" w:hint="cs"/>
          <w:sz w:val="24"/>
          <w:szCs w:val="24"/>
          <w:rtl/>
        </w:rPr>
        <w:t>בתי</w:t>
      </w:r>
      <w:r w:rsidRPr="00B07191">
        <w:rPr>
          <w:rFonts w:cs="David"/>
          <w:sz w:val="24"/>
          <w:szCs w:val="24"/>
          <w:rtl/>
        </w:rPr>
        <w:t xml:space="preserve"> </w:t>
      </w:r>
      <w:r w:rsidRPr="00B07191">
        <w:rPr>
          <w:rFonts w:cs="David" w:hint="cs"/>
          <w:sz w:val="24"/>
          <w:szCs w:val="24"/>
          <w:rtl/>
        </w:rPr>
        <w:t>המשפט</w:t>
      </w:r>
      <w:r w:rsidRPr="00B07191">
        <w:rPr>
          <w:rFonts w:cs="David"/>
          <w:sz w:val="24"/>
          <w:szCs w:val="24"/>
          <w:rtl/>
        </w:rPr>
        <w:t xml:space="preserve"> </w:t>
      </w:r>
      <w:r w:rsidRPr="00B07191">
        <w:rPr>
          <w:rFonts w:cs="David" w:hint="cs"/>
          <w:sz w:val="24"/>
          <w:szCs w:val="24"/>
          <w:rtl/>
        </w:rPr>
        <w:t>לרוב</w:t>
      </w:r>
      <w:r w:rsidRPr="00B07191">
        <w:rPr>
          <w:rFonts w:cs="David"/>
          <w:sz w:val="24"/>
          <w:szCs w:val="24"/>
          <w:rtl/>
        </w:rPr>
        <w:t xml:space="preserve"> </w:t>
      </w:r>
      <w:r w:rsidRPr="00B07191">
        <w:rPr>
          <w:rFonts w:cs="David" w:hint="cs"/>
          <w:sz w:val="24"/>
          <w:szCs w:val="24"/>
          <w:rtl/>
        </w:rPr>
        <w:t>עונשים</w:t>
      </w:r>
      <w:r w:rsidRPr="00B07191">
        <w:rPr>
          <w:rFonts w:cs="David"/>
          <w:sz w:val="24"/>
          <w:szCs w:val="24"/>
          <w:rtl/>
        </w:rPr>
        <w:t xml:space="preserve"> </w:t>
      </w:r>
      <w:r w:rsidRPr="00B07191">
        <w:rPr>
          <w:rFonts w:cs="David" w:hint="cs"/>
          <w:sz w:val="24"/>
          <w:szCs w:val="24"/>
          <w:rtl/>
        </w:rPr>
        <w:t>של</w:t>
      </w:r>
      <w:r w:rsidRPr="00B07191">
        <w:rPr>
          <w:rFonts w:cs="David"/>
          <w:sz w:val="24"/>
          <w:szCs w:val="24"/>
          <w:rtl/>
        </w:rPr>
        <w:t xml:space="preserve"> </w:t>
      </w:r>
      <w:r w:rsidRPr="00B07191">
        <w:rPr>
          <w:rFonts w:cs="David" w:hint="cs"/>
          <w:sz w:val="24"/>
          <w:szCs w:val="24"/>
          <w:rtl/>
        </w:rPr>
        <w:t>מאסר</w:t>
      </w:r>
      <w:r w:rsidRPr="00B07191">
        <w:rPr>
          <w:rFonts w:cs="David"/>
          <w:sz w:val="24"/>
          <w:szCs w:val="24"/>
          <w:rtl/>
        </w:rPr>
        <w:t xml:space="preserve"> </w:t>
      </w:r>
      <w:r w:rsidRPr="00B07191">
        <w:rPr>
          <w:rFonts w:cs="David" w:hint="cs"/>
          <w:sz w:val="24"/>
          <w:szCs w:val="24"/>
          <w:rtl/>
        </w:rPr>
        <w:t>בפועל, ואולם, כמצוין לעיל, ברור כי הדבר מושפע מסוג הסם, כמותו, נסיבות ביצוע המעשה והעושה</w:t>
      </w:r>
      <w:r w:rsidRPr="00B07191">
        <w:rPr>
          <w:rFonts w:cs="David"/>
          <w:sz w:val="24"/>
          <w:szCs w:val="24"/>
          <w:rtl/>
        </w:rPr>
        <w:t>.</w:t>
      </w:r>
      <w:r w:rsidRPr="00B07191">
        <w:rPr>
          <w:rFonts w:cs="David" w:hint="cs"/>
          <w:sz w:val="24"/>
          <w:szCs w:val="24"/>
          <w:rtl/>
        </w:rPr>
        <w:t xml:space="preserve"> ראו בשינויים המחייבים, ענישה ומתחמי עונש הולם:</w:t>
      </w:r>
      <w:r w:rsidRPr="00B07191">
        <w:rPr>
          <w:rFonts w:cs="David"/>
          <w:sz w:val="24"/>
          <w:szCs w:val="24"/>
          <w:rtl/>
        </w:rPr>
        <w:t xml:space="preserve"> </w:t>
      </w:r>
      <w:hyperlink r:id="rId17" w:history="1">
        <w:r w:rsidR="00AA5229" w:rsidRPr="00AA5229">
          <w:rPr>
            <w:rFonts w:ascii="David" w:hAnsi="David" w:cs="David"/>
            <w:color w:val="0000FF"/>
            <w:sz w:val="24"/>
            <w:szCs w:val="24"/>
            <w:u w:val="single"/>
            <w:rtl/>
          </w:rPr>
          <w:t>רע"פ 1281/19</w:t>
        </w:r>
      </w:hyperlink>
      <w:r w:rsidRPr="00A22604">
        <w:rPr>
          <w:rFonts w:ascii="David" w:hAnsi="David" w:cs="David"/>
          <w:sz w:val="24"/>
          <w:szCs w:val="24"/>
          <w:rtl/>
        </w:rPr>
        <w:t xml:space="preserve"> </w:t>
      </w:r>
      <w:r w:rsidRPr="00A22604">
        <w:rPr>
          <w:rFonts w:ascii="David" w:hAnsi="David" w:cs="David"/>
          <w:b/>
          <w:bCs/>
          <w:sz w:val="24"/>
          <w:szCs w:val="24"/>
          <w:rtl/>
        </w:rPr>
        <w:t>אוחנה מישאל נ' מדינת ישראל</w:t>
      </w:r>
      <w:r w:rsidRPr="00A22604">
        <w:rPr>
          <w:rFonts w:ascii="David" w:hAnsi="David" w:cs="David"/>
          <w:sz w:val="24"/>
          <w:szCs w:val="24"/>
          <w:rtl/>
        </w:rPr>
        <w:t xml:space="preserve"> (פורסם בנבו, 4.4.19); </w:t>
      </w:r>
      <w:hyperlink r:id="rId18" w:history="1">
        <w:r w:rsidR="00AA5229" w:rsidRPr="00AA5229">
          <w:rPr>
            <w:rFonts w:ascii="David" w:hAnsi="David" w:cs="David"/>
            <w:color w:val="0000FF"/>
            <w:sz w:val="24"/>
            <w:szCs w:val="24"/>
            <w:u w:val="single"/>
            <w:rtl/>
          </w:rPr>
          <w:t>רע"פ 3807/18</w:t>
        </w:r>
      </w:hyperlink>
      <w:r w:rsidRPr="00A22604">
        <w:rPr>
          <w:rFonts w:ascii="David" w:hAnsi="David" w:cs="David"/>
          <w:sz w:val="24"/>
          <w:szCs w:val="24"/>
          <w:rtl/>
        </w:rPr>
        <w:t xml:space="preserve"> </w:t>
      </w:r>
      <w:r w:rsidRPr="00A22604">
        <w:rPr>
          <w:rFonts w:ascii="David" w:hAnsi="David" w:cs="David"/>
          <w:b/>
          <w:bCs/>
          <w:sz w:val="24"/>
          <w:szCs w:val="24"/>
          <w:rtl/>
        </w:rPr>
        <w:t>דמיטרי טרטיאקוב נ' מדינת ישראל</w:t>
      </w:r>
      <w:r w:rsidRPr="00A22604">
        <w:rPr>
          <w:rFonts w:ascii="David" w:hAnsi="David" w:cs="David"/>
          <w:sz w:val="24"/>
          <w:szCs w:val="24"/>
          <w:rtl/>
        </w:rPr>
        <w:t xml:space="preserve"> (פורסם בנבו, 12.8.18); </w:t>
      </w:r>
      <w:hyperlink r:id="rId19" w:history="1">
        <w:r w:rsidR="00AA5229" w:rsidRPr="00AA5229">
          <w:rPr>
            <w:rFonts w:ascii="David" w:hAnsi="David" w:cs="David"/>
            <w:color w:val="0000FF"/>
            <w:sz w:val="24"/>
            <w:szCs w:val="24"/>
            <w:u w:val="single"/>
            <w:rtl/>
          </w:rPr>
          <w:t>רע"פ 2870/18</w:t>
        </w:r>
      </w:hyperlink>
      <w:r w:rsidRPr="00A22604">
        <w:rPr>
          <w:rFonts w:ascii="David" w:hAnsi="David" w:cs="David"/>
          <w:sz w:val="24"/>
          <w:szCs w:val="24"/>
          <w:rtl/>
        </w:rPr>
        <w:t xml:space="preserve"> </w:t>
      </w:r>
      <w:r w:rsidRPr="00A22604">
        <w:rPr>
          <w:rFonts w:ascii="David" w:hAnsi="David" w:cs="David"/>
          <w:b/>
          <w:bCs/>
          <w:sz w:val="24"/>
          <w:szCs w:val="24"/>
          <w:rtl/>
        </w:rPr>
        <w:t>ניר כהן נ' מדינת ישראל</w:t>
      </w:r>
      <w:r w:rsidRPr="00A22604">
        <w:rPr>
          <w:rFonts w:ascii="David" w:hAnsi="David" w:cs="David"/>
          <w:sz w:val="24"/>
          <w:szCs w:val="24"/>
          <w:rtl/>
        </w:rPr>
        <w:t xml:space="preserve"> (פורסם בנבו, 11.6.18); </w:t>
      </w:r>
      <w:hyperlink r:id="rId20" w:history="1">
        <w:r w:rsidR="00AA5229" w:rsidRPr="00AA5229">
          <w:rPr>
            <w:rFonts w:ascii="David" w:hAnsi="David" w:cs="David"/>
            <w:color w:val="0000FF"/>
            <w:sz w:val="24"/>
            <w:szCs w:val="24"/>
            <w:u w:val="single"/>
            <w:rtl/>
          </w:rPr>
          <w:t>רע"פ 4512/15</w:t>
        </w:r>
      </w:hyperlink>
      <w:r w:rsidRPr="00A22604">
        <w:rPr>
          <w:rFonts w:ascii="David" w:hAnsi="David" w:cs="David"/>
          <w:sz w:val="24"/>
          <w:szCs w:val="24"/>
          <w:rtl/>
        </w:rPr>
        <w:t xml:space="preserve"> </w:t>
      </w:r>
      <w:r w:rsidRPr="00A22604">
        <w:rPr>
          <w:rFonts w:ascii="David" w:hAnsi="David" w:cs="David"/>
          <w:b/>
          <w:bCs/>
          <w:sz w:val="24"/>
          <w:szCs w:val="24"/>
          <w:rtl/>
        </w:rPr>
        <w:t>אברהם הרוש נ' מדינת ישראל</w:t>
      </w:r>
      <w:r w:rsidRPr="00A22604">
        <w:rPr>
          <w:rFonts w:ascii="David" w:hAnsi="David" w:cs="David"/>
          <w:sz w:val="24"/>
          <w:szCs w:val="24"/>
          <w:rtl/>
        </w:rPr>
        <w:t xml:space="preserve"> (פורסם בנבו, 06.07.15)).</w:t>
      </w:r>
    </w:p>
    <w:p w14:paraId="7F21FD25" w14:textId="77777777" w:rsidR="00BD5894" w:rsidRPr="00B07191" w:rsidRDefault="00BD5894" w:rsidP="00BD5894">
      <w:pPr>
        <w:pStyle w:val="a9"/>
        <w:spacing w:line="360" w:lineRule="auto"/>
        <w:ind w:left="360"/>
        <w:jc w:val="both"/>
        <w:rPr>
          <w:rFonts w:cs="David"/>
          <w:sz w:val="24"/>
          <w:szCs w:val="24"/>
        </w:rPr>
      </w:pPr>
    </w:p>
    <w:p w14:paraId="55F960B6"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hint="cs"/>
          <w:sz w:val="24"/>
          <w:szCs w:val="24"/>
          <w:rtl/>
        </w:rPr>
        <w:t xml:space="preserve">בנסיבות האמורות אני סבורה כי מתחם העונש ההולם את נסיבות העבירה, בשים לב לסוג </w:t>
      </w:r>
      <w:r>
        <w:rPr>
          <w:rFonts w:cs="David" w:hint="cs"/>
          <w:sz w:val="24"/>
          <w:szCs w:val="24"/>
          <w:rtl/>
        </w:rPr>
        <w:t>הסם</w:t>
      </w:r>
      <w:r w:rsidRPr="00B07191">
        <w:rPr>
          <w:rFonts w:cs="David" w:hint="cs"/>
          <w:sz w:val="24"/>
          <w:szCs w:val="24"/>
          <w:rtl/>
        </w:rPr>
        <w:t xml:space="preserve"> שנתפס, כמות </w:t>
      </w:r>
      <w:r>
        <w:rPr>
          <w:rFonts w:cs="David" w:hint="cs"/>
          <w:sz w:val="24"/>
          <w:szCs w:val="24"/>
          <w:rtl/>
        </w:rPr>
        <w:t>הסם</w:t>
      </w:r>
      <w:r w:rsidRPr="00B07191">
        <w:rPr>
          <w:rFonts w:cs="David" w:hint="cs"/>
          <w:sz w:val="24"/>
          <w:szCs w:val="24"/>
          <w:rtl/>
        </w:rPr>
        <w:t xml:space="preserve"> ויתר נסיבות ביצוע העבירה, נע בין </w:t>
      </w:r>
      <w:r>
        <w:rPr>
          <w:rFonts w:cs="David" w:hint="cs"/>
          <w:sz w:val="24"/>
          <w:szCs w:val="24"/>
          <w:rtl/>
        </w:rPr>
        <w:t>מספר חודשי מאסר בפועל, אשר במקרים המתאימים יכול וירוצו בעבודות שירות, לבין 16 חודשי מאסר בפועל.</w:t>
      </w:r>
    </w:p>
    <w:p w14:paraId="5B001216" w14:textId="77777777" w:rsidR="00BD5894" w:rsidRPr="00B07191" w:rsidRDefault="00BD5894" w:rsidP="00BD5894">
      <w:pPr>
        <w:pStyle w:val="a9"/>
        <w:rPr>
          <w:rFonts w:cs="David"/>
          <w:sz w:val="24"/>
          <w:szCs w:val="24"/>
          <w:rtl/>
        </w:rPr>
      </w:pPr>
    </w:p>
    <w:p w14:paraId="2CC2CC61" w14:textId="77777777" w:rsidR="00BD5894" w:rsidRPr="00B07191" w:rsidRDefault="00BD5894" w:rsidP="00BD5894">
      <w:pPr>
        <w:pStyle w:val="a9"/>
        <w:spacing w:line="360" w:lineRule="auto"/>
        <w:ind w:left="360"/>
        <w:jc w:val="both"/>
        <w:rPr>
          <w:rFonts w:cs="David"/>
          <w:sz w:val="24"/>
          <w:szCs w:val="24"/>
          <w:rtl/>
        </w:rPr>
      </w:pPr>
      <w:r>
        <w:rPr>
          <w:rFonts w:cs="David" w:hint="cs"/>
          <w:sz w:val="24"/>
          <w:szCs w:val="24"/>
          <w:rtl/>
        </w:rPr>
        <w:t>טענת ההגנה לפיה מתחם העונש ההולם צריך להתחיל ממאסר מותנה איננה סבירה בנסיבות העניין, ואינה עולה בקנה אחד עם מדיניות הענישה המרתיעה בעבירות הסמים. אין לכחד, כי כל עבירת סמים שונה מן השנייה, אולם במסגרת הניסיון להביא לחדילה מפעילות עבריינית בתחום הסמים, יש להשית ענישה בעלת רכיב מוחשי וקונקרטי.</w:t>
      </w:r>
    </w:p>
    <w:p w14:paraId="48277EC7" w14:textId="77777777" w:rsidR="00BD5894" w:rsidRDefault="00BD5894" w:rsidP="00BD5894">
      <w:pPr>
        <w:spacing w:line="360" w:lineRule="auto"/>
        <w:jc w:val="both"/>
        <w:rPr>
          <w:u w:val="single"/>
          <w:rtl/>
        </w:rPr>
      </w:pPr>
    </w:p>
    <w:p w14:paraId="2E377475" w14:textId="77777777" w:rsidR="00BD5894" w:rsidRDefault="00BD5894" w:rsidP="00BD5894">
      <w:pPr>
        <w:spacing w:line="360" w:lineRule="auto"/>
        <w:jc w:val="both"/>
        <w:rPr>
          <w:u w:val="single"/>
          <w:rtl/>
        </w:rPr>
      </w:pPr>
      <w:r w:rsidRPr="00664F76">
        <w:rPr>
          <w:rFonts w:hint="cs"/>
          <w:u w:val="single"/>
          <w:rtl/>
        </w:rPr>
        <w:t>העונש המתאים</w:t>
      </w:r>
    </w:p>
    <w:p w14:paraId="207B7004" w14:textId="77777777" w:rsidR="00BD5894" w:rsidRPr="00664F76" w:rsidRDefault="00BD5894" w:rsidP="00BD5894">
      <w:pPr>
        <w:spacing w:line="360" w:lineRule="auto"/>
        <w:jc w:val="both"/>
        <w:rPr>
          <w:u w:val="single"/>
          <w:rtl/>
        </w:rPr>
      </w:pPr>
    </w:p>
    <w:p w14:paraId="3A85162E"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hint="cs"/>
          <w:sz w:val="24"/>
          <w:szCs w:val="24"/>
          <w:rtl/>
        </w:rPr>
        <w:t xml:space="preserve">כידוע, הלכה היא כי בעבירות סמים יש לבכר את שיקול ההרתעה על פני שיקולים אחרים, כדוגמת השיקול השיקומי, וזאת נוכח חומרתן היתרה של עבירות הסמים והשפעתן על החברה כולה (ראו לעניין זה </w:t>
      </w:r>
      <w:hyperlink r:id="rId21" w:history="1">
        <w:r w:rsidR="00AA5229" w:rsidRPr="00AA5229">
          <w:rPr>
            <w:rFonts w:ascii="David" w:hAnsi="David" w:cs="David"/>
            <w:color w:val="0000FF"/>
            <w:sz w:val="24"/>
            <w:szCs w:val="24"/>
            <w:u w:val="single"/>
            <w:rtl/>
          </w:rPr>
          <w:t>ע"פ 1274/16</w:t>
        </w:r>
      </w:hyperlink>
      <w:r w:rsidRPr="00A22604">
        <w:rPr>
          <w:rFonts w:ascii="David" w:hAnsi="David" w:cs="David"/>
          <w:sz w:val="24"/>
          <w:szCs w:val="24"/>
          <w:rtl/>
        </w:rPr>
        <w:t xml:space="preserve"> </w:t>
      </w:r>
      <w:r w:rsidRPr="00A22604">
        <w:rPr>
          <w:rFonts w:ascii="David" w:hAnsi="David" w:cs="David"/>
          <w:b/>
          <w:bCs/>
          <w:sz w:val="24"/>
          <w:szCs w:val="24"/>
          <w:rtl/>
        </w:rPr>
        <w:t>עווד נ' מדינת ישראל</w:t>
      </w:r>
      <w:r w:rsidRPr="00A22604">
        <w:rPr>
          <w:rFonts w:ascii="David" w:hAnsi="David" w:cs="David"/>
          <w:sz w:val="24"/>
          <w:szCs w:val="24"/>
          <w:rtl/>
        </w:rPr>
        <w:t xml:space="preserve"> (פורסם בנבו, 06.10.16)).</w:t>
      </w:r>
      <w:r w:rsidRPr="00B07191">
        <w:rPr>
          <w:rFonts w:cs="David" w:hint="cs"/>
          <w:sz w:val="24"/>
          <w:szCs w:val="24"/>
          <w:rtl/>
        </w:rPr>
        <w:t xml:space="preserve"> ואכן, בשורה ארוכה עד מאוד של פסקי דין חוזרים בתי המשפט על הצורך להחמיר בענישת עברייני סמים, ולנסות להביא בכך למיגורה של תופעה פסולה זו. אעיר </w:t>
      </w:r>
      <w:r>
        <w:rPr>
          <w:rFonts w:cs="David" w:hint="cs"/>
          <w:sz w:val="24"/>
          <w:szCs w:val="24"/>
          <w:rtl/>
        </w:rPr>
        <w:t>בהקשר זה, כי אין משמעות הדבר ש</w:t>
      </w:r>
      <w:r w:rsidRPr="00B07191">
        <w:rPr>
          <w:rFonts w:cs="David" w:hint="cs"/>
          <w:sz w:val="24"/>
          <w:szCs w:val="24"/>
          <w:rtl/>
        </w:rPr>
        <w:t xml:space="preserve">יש להעניק משקל </w:t>
      </w:r>
      <w:r>
        <w:rPr>
          <w:rFonts w:cs="David" w:hint="cs"/>
          <w:sz w:val="24"/>
          <w:szCs w:val="24"/>
          <w:rtl/>
        </w:rPr>
        <w:t xml:space="preserve">זהה </w:t>
      </w:r>
      <w:r w:rsidRPr="00B07191">
        <w:rPr>
          <w:rFonts w:cs="David" w:hint="cs"/>
          <w:sz w:val="24"/>
          <w:szCs w:val="24"/>
          <w:rtl/>
        </w:rPr>
        <w:t>לשיקולי הרתעה בכל הרשעה ב</w:t>
      </w:r>
      <w:r>
        <w:rPr>
          <w:rFonts w:cs="David" w:hint="cs"/>
          <w:sz w:val="24"/>
          <w:szCs w:val="24"/>
          <w:rtl/>
        </w:rPr>
        <w:t xml:space="preserve">עבירת </w:t>
      </w:r>
      <w:r w:rsidRPr="00B07191">
        <w:rPr>
          <w:rFonts w:cs="David" w:hint="cs"/>
          <w:sz w:val="24"/>
          <w:szCs w:val="24"/>
          <w:rtl/>
        </w:rPr>
        <w:t>סמים, וברור כי הדבר יבחן בהתאם לנסיבותיו האישיות של הנאשם וברוח עקרון הענישה האינדיבידואלי.</w:t>
      </w:r>
    </w:p>
    <w:p w14:paraId="1EB0BC8D" w14:textId="77777777" w:rsidR="00BD5894" w:rsidRPr="00B07191" w:rsidRDefault="00BD5894" w:rsidP="00BD5894">
      <w:pPr>
        <w:pStyle w:val="a9"/>
        <w:spacing w:line="360" w:lineRule="auto"/>
        <w:ind w:left="360"/>
        <w:jc w:val="both"/>
        <w:rPr>
          <w:rFonts w:cs="David"/>
          <w:sz w:val="24"/>
          <w:szCs w:val="24"/>
          <w:rtl/>
        </w:rPr>
      </w:pPr>
    </w:p>
    <w:p w14:paraId="7D3E3EE4"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hint="cs"/>
          <w:sz w:val="24"/>
          <w:szCs w:val="24"/>
          <w:rtl/>
        </w:rPr>
        <w:t>בחינת נסיבותיו האישיות של הנאשם מלמד כי זוהי הרשעתו הראשונה בעבירות סמים, בבחינת שיקול לקולא בהשתת עונשו. בעברו הפלילי ניתן לאתר אך הרשעה אחת בגין ביצוע עבירה של הפרת הוראה חוקית.</w:t>
      </w:r>
    </w:p>
    <w:p w14:paraId="57FFB094" w14:textId="77777777" w:rsidR="00BD5894" w:rsidRPr="00B07191" w:rsidRDefault="00BD5894" w:rsidP="00BD5894">
      <w:pPr>
        <w:pStyle w:val="a9"/>
        <w:rPr>
          <w:rFonts w:cs="David"/>
          <w:sz w:val="24"/>
          <w:szCs w:val="24"/>
          <w:rtl/>
        </w:rPr>
      </w:pPr>
    </w:p>
    <w:p w14:paraId="0726126F" w14:textId="77777777" w:rsidR="00BD5894" w:rsidRDefault="00BD5894" w:rsidP="00BD5894">
      <w:pPr>
        <w:pStyle w:val="a9"/>
        <w:numPr>
          <w:ilvl w:val="0"/>
          <w:numId w:val="2"/>
        </w:numPr>
        <w:spacing w:line="360" w:lineRule="auto"/>
        <w:ind w:left="360"/>
        <w:jc w:val="both"/>
        <w:rPr>
          <w:rFonts w:cs="David"/>
          <w:sz w:val="24"/>
          <w:szCs w:val="24"/>
        </w:rPr>
      </w:pPr>
      <w:r w:rsidRPr="00B07191">
        <w:rPr>
          <w:rFonts w:cs="David" w:hint="cs"/>
          <w:sz w:val="24"/>
          <w:szCs w:val="24"/>
          <w:rtl/>
        </w:rPr>
        <w:t>הנאשם כפר במיו</w:t>
      </w:r>
      <w:r>
        <w:rPr>
          <w:rFonts w:cs="David" w:hint="cs"/>
          <w:sz w:val="24"/>
          <w:szCs w:val="24"/>
          <w:rtl/>
        </w:rPr>
        <w:t>חס לו, ניהל הוכחות וסי</w:t>
      </w:r>
      <w:r w:rsidRPr="00B07191">
        <w:rPr>
          <w:rFonts w:cs="David" w:hint="cs"/>
          <w:sz w:val="24"/>
          <w:szCs w:val="24"/>
          <w:rtl/>
        </w:rPr>
        <w:t xml:space="preserve">רב ליטול אחריות למעשיו. זוהי כמובן </w:t>
      </w:r>
      <w:r>
        <w:rPr>
          <w:rFonts w:cs="David" w:hint="cs"/>
          <w:sz w:val="24"/>
          <w:szCs w:val="24"/>
          <w:rtl/>
        </w:rPr>
        <w:t>זכותו היסודית, וממילא לא ראיתי בכך כדי להוות נסיבה להחמרה בעונשו. עם זאת, התנהלות זו של הנאשם הובילה לכך ששירות המבחן לא בא בהמלצה כלשהי בעניינו, ובמובן זה דומה כי לא יכול להיות חולק כי אין מקום לבחון ענישה טיפולית. הדברים נכונים גם ביחס לביצוע עבודות שירות. במסגרת שני דיונים מסר הנאשם מפורשות לבית המשפט כי הוא עושה שימוש בסמים (ראו פרוט' מיום 06.05.2020 ומיום 22.11.2020), ומשכך לא מצאתי טעם בבחינת התאמתו לביצוע עבודות כאמור, שהתנאי לביצוען הוא נקיון מסמים.</w:t>
      </w:r>
    </w:p>
    <w:p w14:paraId="5A9DD8AE" w14:textId="77777777" w:rsidR="00BD5894" w:rsidRPr="00DA2513" w:rsidRDefault="00BD5894" w:rsidP="00BD5894">
      <w:pPr>
        <w:pStyle w:val="a9"/>
        <w:rPr>
          <w:rFonts w:cs="David"/>
          <w:sz w:val="24"/>
          <w:szCs w:val="24"/>
          <w:rtl/>
        </w:rPr>
      </w:pPr>
    </w:p>
    <w:p w14:paraId="748E796D" w14:textId="77777777" w:rsidR="00BD5894" w:rsidRPr="00DA2513" w:rsidRDefault="00BD5894" w:rsidP="00BD5894">
      <w:pPr>
        <w:pStyle w:val="a9"/>
        <w:numPr>
          <w:ilvl w:val="0"/>
          <w:numId w:val="2"/>
        </w:numPr>
        <w:spacing w:line="360" w:lineRule="auto"/>
        <w:ind w:left="360"/>
        <w:jc w:val="both"/>
        <w:rPr>
          <w:rFonts w:cs="David"/>
          <w:sz w:val="24"/>
          <w:szCs w:val="24"/>
        </w:rPr>
      </w:pPr>
      <w:r w:rsidRPr="00DA2513">
        <w:rPr>
          <w:rFonts w:cs="David" w:hint="cs"/>
          <w:sz w:val="24"/>
          <w:szCs w:val="24"/>
          <w:rtl/>
        </w:rPr>
        <w:t>באיזון בין כלל השיקולים שפורטו לעיל, בשים לב לצורך להשית ענישה מוחשית בגין ביצוע עבירות סמים מחד, ובשים לב לנסיבותיו האישיות של הנאשם שבפניי, לרבות שימושו בסמים המונע בחינתו לביצוע עבודות שירות, מצאתי למקמו בתחתית מתחם העונש ההולם ולהשית עליו עונש מאסר בפועל לפרק זמן קצר.</w:t>
      </w:r>
    </w:p>
    <w:p w14:paraId="18D55238" w14:textId="77777777" w:rsidR="00BD5894" w:rsidRDefault="00BD5894" w:rsidP="00BD5894">
      <w:pPr>
        <w:pStyle w:val="a9"/>
        <w:spacing w:line="360" w:lineRule="auto"/>
        <w:ind w:left="360"/>
        <w:jc w:val="both"/>
        <w:rPr>
          <w:rFonts w:cs="David"/>
          <w:sz w:val="24"/>
          <w:szCs w:val="24"/>
        </w:rPr>
      </w:pPr>
    </w:p>
    <w:p w14:paraId="4ABFFF7E" w14:textId="77777777" w:rsidR="00BD5894" w:rsidRPr="00B07191" w:rsidRDefault="00BD5894" w:rsidP="00BD5894">
      <w:pPr>
        <w:pStyle w:val="a9"/>
        <w:numPr>
          <w:ilvl w:val="0"/>
          <w:numId w:val="2"/>
        </w:numPr>
        <w:spacing w:line="360" w:lineRule="auto"/>
        <w:ind w:left="360"/>
        <w:jc w:val="both"/>
        <w:rPr>
          <w:rFonts w:cs="David"/>
          <w:sz w:val="24"/>
          <w:szCs w:val="24"/>
          <w:rtl/>
        </w:rPr>
      </w:pPr>
      <w:r w:rsidRPr="00B07191">
        <w:rPr>
          <w:rFonts w:cs="David" w:hint="cs"/>
          <w:sz w:val="24"/>
          <w:szCs w:val="24"/>
          <w:u w:val="single"/>
          <w:rtl/>
        </w:rPr>
        <w:t>אני משיתה על הנאשם את העונשים הבאים</w:t>
      </w:r>
      <w:r w:rsidRPr="00B07191">
        <w:rPr>
          <w:rFonts w:cs="David" w:hint="cs"/>
          <w:sz w:val="24"/>
          <w:szCs w:val="24"/>
          <w:rtl/>
        </w:rPr>
        <w:t>:</w:t>
      </w:r>
    </w:p>
    <w:p w14:paraId="42B953BF" w14:textId="77777777" w:rsidR="00BD5894" w:rsidRDefault="00BD5894" w:rsidP="00BD5894">
      <w:pPr>
        <w:pStyle w:val="a9"/>
        <w:numPr>
          <w:ilvl w:val="0"/>
          <w:numId w:val="1"/>
        </w:numPr>
        <w:spacing w:line="360" w:lineRule="auto"/>
        <w:jc w:val="both"/>
        <w:rPr>
          <w:rFonts w:cs="David"/>
          <w:sz w:val="24"/>
          <w:szCs w:val="24"/>
        </w:rPr>
      </w:pPr>
      <w:r>
        <w:rPr>
          <w:rFonts w:cs="David" w:hint="cs"/>
          <w:sz w:val="24"/>
          <w:szCs w:val="24"/>
          <w:rtl/>
        </w:rPr>
        <w:t>מאסר למשך 4 חודשים. הנאשם יתייצב לתחילת ריצוי עונשו ביום 21.2.21 בשעה 08:00 בבית מעצר ניצן.</w:t>
      </w:r>
    </w:p>
    <w:p w14:paraId="5ACEB175" w14:textId="77777777" w:rsidR="00BD5894" w:rsidRPr="00A5598B" w:rsidRDefault="00BD5894" w:rsidP="00BD5894">
      <w:pPr>
        <w:pStyle w:val="a9"/>
        <w:numPr>
          <w:ilvl w:val="0"/>
          <w:numId w:val="1"/>
        </w:numPr>
        <w:spacing w:line="360" w:lineRule="auto"/>
        <w:jc w:val="both"/>
        <w:rPr>
          <w:rFonts w:cs="David"/>
          <w:sz w:val="24"/>
          <w:szCs w:val="24"/>
          <w:rtl/>
        </w:rPr>
      </w:pPr>
      <w:r w:rsidRPr="00A5598B">
        <w:rPr>
          <w:rFonts w:cs="David" w:hint="cs"/>
          <w:sz w:val="24"/>
          <w:szCs w:val="24"/>
          <w:rtl/>
        </w:rPr>
        <w:t>מאסר</w:t>
      </w:r>
      <w:r w:rsidRPr="00A5598B">
        <w:rPr>
          <w:rFonts w:cs="David"/>
          <w:sz w:val="24"/>
          <w:szCs w:val="24"/>
          <w:rtl/>
        </w:rPr>
        <w:t xml:space="preserve"> </w:t>
      </w:r>
      <w:r w:rsidRPr="00A5598B">
        <w:rPr>
          <w:rFonts w:cs="David" w:hint="cs"/>
          <w:sz w:val="24"/>
          <w:szCs w:val="24"/>
          <w:rtl/>
        </w:rPr>
        <w:t>למשך</w:t>
      </w:r>
      <w:r w:rsidRPr="00A5598B">
        <w:rPr>
          <w:rFonts w:cs="David"/>
          <w:sz w:val="24"/>
          <w:szCs w:val="24"/>
          <w:rtl/>
        </w:rPr>
        <w:t xml:space="preserve"> </w:t>
      </w:r>
      <w:r>
        <w:rPr>
          <w:rFonts w:cs="David" w:hint="cs"/>
          <w:sz w:val="24"/>
          <w:szCs w:val="24"/>
          <w:rtl/>
        </w:rPr>
        <w:t>5</w:t>
      </w:r>
      <w:r w:rsidRPr="00A5598B">
        <w:rPr>
          <w:rFonts w:cs="David"/>
          <w:sz w:val="24"/>
          <w:szCs w:val="24"/>
          <w:rtl/>
        </w:rPr>
        <w:t xml:space="preserve"> </w:t>
      </w:r>
      <w:r w:rsidRPr="00A5598B">
        <w:rPr>
          <w:rFonts w:cs="David" w:hint="cs"/>
          <w:sz w:val="24"/>
          <w:szCs w:val="24"/>
          <w:rtl/>
        </w:rPr>
        <w:t>חודשים</w:t>
      </w:r>
      <w:r w:rsidRPr="00A5598B">
        <w:rPr>
          <w:rFonts w:cs="David"/>
          <w:sz w:val="24"/>
          <w:szCs w:val="24"/>
          <w:rtl/>
        </w:rPr>
        <w:t xml:space="preserve"> </w:t>
      </w:r>
      <w:r w:rsidRPr="00A5598B">
        <w:rPr>
          <w:rFonts w:cs="David" w:hint="cs"/>
          <w:sz w:val="24"/>
          <w:szCs w:val="24"/>
          <w:rtl/>
        </w:rPr>
        <w:t>וזאת</w:t>
      </w:r>
      <w:r w:rsidRPr="00A5598B">
        <w:rPr>
          <w:rFonts w:cs="David"/>
          <w:sz w:val="24"/>
          <w:szCs w:val="24"/>
          <w:rtl/>
        </w:rPr>
        <w:t xml:space="preserve"> </w:t>
      </w:r>
      <w:r w:rsidRPr="00A5598B">
        <w:rPr>
          <w:rFonts w:cs="David" w:hint="cs"/>
          <w:sz w:val="24"/>
          <w:szCs w:val="24"/>
          <w:rtl/>
        </w:rPr>
        <w:t>על</w:t>
      </w:r>
      <w:r w:rsidRPr="00A5598B">
        <w:rPr>
          <w:rFonts w:cs="David"/>
          <w:sz w:val="24"/>
          <w:szCs w:val="24"/>
          <w:rtl/>
        </w:rPr>
        <w:t xml:space="preserve"> </w:t>
      </w:r>
      <w:r w:rsidRPr="00A5598B">
        <w:rPr>
          <w:rFonts w:cs="David" w:hint="cs"/>
          <w:sz w:val="24"/>
          <w:szCs w:val="24"/>
          <w:rtl/>
        </w:rPr>
        <w:t>תנאי</w:t>
      </w:r>
      <w:r w:rsidRPr="00A5598B">
        <w:rPr>
          <w:rFonts w:cs="David"/>
          <w:sz w:val="24"/>
          <w:szCs w:val="24"/>
          <w:rtl/>
        </w:rPr>
        <w:t xml:space="preserve"> </w:t>
      </w:r>
      <w:r w:rsidRPr="00A5598B">
        <w:rPr>
          <w:rFonts w:cs="David" w:hint="cs"/>
          <w:sz w:val="24"/>
          <w:szCs w:val="24"/>
          <w:rtl/>
        </w:rPr>
        <w:t>למשך</w:t>
      </w:r>
      <w:r w:rsidRPr="00A5598B">
        <w:rPr>
          <w:rFonts w:cs="David"/>
          <w:sz w:val="24"/>
          <w:szCs w:val="24"/>
          <w:rtl/>
        </w:rPr>
        <w:t xml:space="preserve"> </w:t>
      </w:r>
      <w:r>
        <w:rPr>
          <w:rFonts w:cs="David" w:hint="cs"/>
          <w:sz w:val="24"/>
          <w:szCs w:val="24"/>
          <w:rtl/>
        </w:rPr>
        <w:t>שלוש שנים</w:t>
      </w:r>
      <w:r w:rsidRPr="00A5598B">
        <w:rPr>
          <w:rFonts w:cs="David"/>
          <w:sz w:val="24"/>
          <w:szCs w:val="24"/>
          <w:rtl/>
        </w:rPr>
        <w:t xml:space="preserve">, </w:t>
      </w:r>
      <w:r>
        <w:rPr>
          <w:rFonts w:cs="David" w:hint="cs"/>
          <w:sz w:val="24"/>
          <w:szCs w:val="24"/>
          <w:rtl/>
        </w:rPr>
        <w:t>והתנאי שלא</w:t>
      </w:r>
      <w:r w:rsidRPr="00A5598B">
        <w:rPr>
          <w:rFonts w:cs="David"/>
          <w:sz w:val="24"/>
          <w:szCs w:val="24"/>
          <w:rtl/>
        </w:rPr>
        <w:t xml:space="preserve"> </w:t>
      </w:r>
      <w:r w:rsidRPr="00A5598B">
        <w:rPr>
          <w:rFonts w:cs="David" w:hint="cs"/>
          <w:sz w:val="24"/>
          <w:szCs w:val="24"/>
          <w:rtl/>
        </w:rPr>
        <w:t>יעבור</w:t>
      </w:r>
      <w:r w:rsidRPr="00A5598B">
        <w:rPr>
          <w:rFonts w:cs="David"/>
          <w:sz w:val="24"/>
          <w:szCs w:val="24"/>
          <w:rtl/>
        </w:rPr>
        <w:t xml:space="preserve"> </w:t>
      </w:r>
      <w:r>
        <w:rPr>
          <w:rFonts w:cs="David" w:hint="cs"/>
          <w:sz w:val="24"/>
          <w:szCs w:val="24"/>
          <w:rtl/>
        </w:rPr>
        <w:t>הנאשם עבירת סמים מסוג פשע. התנאי יחל מיום שחרורו מהכלא.</w:t>
      </w:r>
    </w:p>
    <w:p w14:paraId="467AC4FF" w14:textId="77777777" w:rsidR="00BD5894" w:rsidRPr="007E765A" w:rsidRDefault="00BD5894" w:rsidP="00BD5894">
      <w:pPr>
        <w:pStyle w:val="a9"/>
        <w:numPr>
          <w:ilvl w:val="0"/>
          <w:numId w:val="1"/>
        </w:numPr>
        <w:spacing w:line="360" w:lineRule="auto"/>
        <w:jc w:val="both"/>
        <w:rPr>
          <w:rFonts w:cs="David"/>
          <w:sz w:val="24"/>
          <w:szCs w:val="24"/>
          <w:rtl/>
        </w:rPr>
      </w:pPr>
      <w:r w:rsidRPr="00A5598B">
        <w:rPr>
          <w:rFonts w:cs="David" w:hint="cs"/>
          <w:sz w:val="24"/>
          <w:szCs w:val="24"/>
          <w:rtl/>
        </w:rPr>
        <w:t>מאסר</w:t>
      </w:r>
      <w:r w:rsidRPr="00A5598B">
        <w:rPr>
          <w:rFonts w:cs="David"/>
          <w:sz w:val="24"/>
          <w:szCs w:val="24"/>
          <w:rtl/>
        </w:rPr>
        <w:t xml:space="preserve"> </w:t>
      </w:r>
      <w:r w:rsidRPr="00A5598B">
        <w:rPr>
          <w:rFonts w:cs="David" w:hint="cs"/>
          <w:sz w:val="24"/>
          <w:szCs w:val="24"/>
          <w:rtl/>
        </w:rPr>
        <w:t>למשך</w:t>
      </w:r>
      <w:r w:rsidRPr="00A5598B">
        <w:rPr>
          <w:rFonts w:cs="David"/>
          <w:sz w:val="24"/>
          <w:szCs w:val="24"/>
          <w:rtl/>
        </w:rPr>
        <w:t xml:space="preserve"> </w:t>
      </w:r>
      <w:r>
        <w:rPr>
          <w:rFonts w:cs="David" w:hint="cs"/>
          <w:sz w:val="24"/>
          <w:szCs w:val="24"/>
          <w:rtl/>
        </w:rPr>
        <w:t xml:space="preserve">חודשיים </w:t>
      </w:r>
      <w:r w:rsidRPr="00A5598B">
        <w:rPr>
          <w:rFonts w:cs="David" w:hint="cs"/>
          <w:sz w:val="24"/>
          <w:szCs w:val="24"/>
          <w:rtl/>
        </w:rPr>
        <w:t>וזאת</w:t>
      </w:r>
      <w:r w:rsidRPr="00A5598B">
        <w:rPr>
          <w:rFonts w:cs="David"/>
          <w:sz w:val="24"/>
          <w:szCs w:val="24"/>
          <w:rtl/>
        </w:rPr>
        <w:t xml:space="preserve"> </w:t>
      </w:r>
      <w:r w:rsidRPr="00A5598B">
        <w:rPr>
          <w:rFonts w:cs="David" w:hint="cs"/>
          <w:sz w:val="24"/>
          <w:szCs w:val="24"/>
          <w:rtl/>
        </w:rPr>
        <w:t>על</w:t>
      </w:r>
      <w:r w:rsidRPr="00A5598B">
        <w:rPr>
          <w:rFonts w:cs="David"/>
          <w:sz w:val="24"/>
          <w:szCs w:val="24"/>
          <w:rtl/>
        </w:rPr>
        <w:t xml:space="preserve"> </w:t>
      </w:r>
      <w:r w:rsidRPr="00A5598B">
        <w:rPr>
          <w:rFonts w:cs="David" w:hint="cs"/>
          <w:sz w:val="24"/>
          <w:szCs w:val="24"/>
          <w:rtl/>
        </w:rPr>
        <w:t>תנאי</w:t>
      </w:r>
      <w:r w:rsidRPr="00A5598B">
        <w:rPr>
          <w:rFonts w:cs="David"/>
          <w:sz w:val="24"/>
          <w:szCs w:val="24"/>
          <w:rtl/>
        </w:rPr>
        <w:t xml:space="preserve"> </w:t>
      </w:r>
      <w:r w:rsidRPr="00A5598B">
        <w:rPr>
          <w:rFonts w:cs="David" w:hint="cs"/>
          <w:sz w:val="24"/>
          <w:szCs w:val="24"/>
          <w:rtl/>
        </w:rPr>
        <w:t>למשך</w:t>
      </w:r>
      <w:r w:rsidRPr="00A5598B">
        <w:rPr>
          <w:rFonts w:cs="David"/>
          <w:sz w:val="24"/>
          <w:szCs w:val="24"/>
          <w:rtl/>
        </w:rPr>
        <w:t xml:space="preserve"> </w:t>
      </w:r>
      <w:r w:rsidRPr="00A5598B">
        <w:rPr>
          <w:rFonts w:cs="David" w:hint="cs"/>
          <w:sz w:val="24"/>
          <w:szCs w:val="24"/>
          <w:rtl/>
        </w:rPr>
        <w:t>שנתיים</w:t>
      </w:r>
      <w:r w:rsidRPr="00A5598B">
        <w:rPr>
          <w:rFonts w:cs="David"/>
          <w:sz w:val="24"/>
          <w:szCs w:val="24"/>
          <w:rtl/>
        </w:rPr>
        <w:t xml:space="preserve">, </w:t>
      </w:r>
      <w:r>
        <w:rPr>
          <w:rFonts w:cs="David" w:hint="cs"/>
          <w:sz w:val="24"/>
          <w:szCs w:val="24"/>
          <w:rtl/>
        </w:rPr>
        <w:t>והתנאי שלא</w:t>
      </w:r>
      <w:r w:rsidRPr="00A5598B">
        <w:rPr>
          <w:rFonts w:cs="David"/>
          <w:sz w:val="24"/>
          <w:szCs w:val="24"/>
          <w:rtl/>
        </w:rPr>
        <w:t xml:space="preserve"> </w:t>
      </w:r>
      <w:r w:rsidRPr="00A5598B">
        <w:rPr>
          <w:rFonts w:cs="David" w:hint="cs"/>
          <w:sz w:val="24"/>
          <w:szCs w:val="24"/>
          <w:rtl/>
        </w:rPr>
        <w:t>יעבור</w:t>
      </w:r>
      <w:r w:rsidRPr="00A5598B">
        <w:rPr>
          <w:rFonts w:cs="David"/>
          <w:sz w:val="24"/>
          <w:szCs w:val="24"/>
          <w:rtl/>
        </w:rPr>
        <w:t xml:space="preserve"> </w:t>
      </w:r>
      <w:r w:rsidRPr="00A5598B">
        <w:rPr>
          <w:rFonts w:cs="David" w:hint="cs"/>
          <w:sz w:val="24"/>
          <w:szCs w:val="24"/>
          <w:rtl/>
        </w:rPr>
        <w:t>הנאשם</w:t>
      </w:r>
      <w:r w:rsidRPr="00A5598B">
        <w:rPr>
          <w:rFonts w:cs="David"/>
          <w:sz w:val="24"/>
          <w:szCs w:val="24"/>
          <w:rtl/>
        </w:rPr>
        <w:t xml:space="preserve"> </w:t>
      </w:r>
      <w:r w:rsidRPr="00A5598B">
        <w:rPr>
          <w:rFonts w:cs="David" w:hint="cs"/>
          <w:sz w:val="24"/>
          <w:szCs w:val="24"/>
          <w:rtl/>
        </w:rPr>
        <w:t>עבירת</w:t>
      </w:r>
      <w:r w:rsidRPr="00A5598B">
        <w:rPr>
          <w:rFonts w:cs="David"/>
          <w:sz w:val="24"/>
          <w:szCs w:val="24"/>
          <w:rtl/>
        </w:rPr>
        <w:t xml:space="preserve"> </w:t>
      </w:r>
      <w:r w:rsidRPr="00A5598B">
        <w:rPr>
          <w:rFonts w:cs="David" w:hint="cs"/>
          <w:sz w:val="24"/>
          <w:szCs w:val="24"/>
          <w:rtl/>
        </w:rPr>
        <w:t>סמים</w:t>
      </w:r>
      <w:r w:rsidRPr="00A5598B">
        <w:rPr>
          <w:rFonts w:cs="David"/>
          <w:sz w:val="24"/>
          <w:szCs w:val="24"/>
          <w:rtl/>
        </w:rPr>
        <w:t xml:space="preserve"> </w:t>
      </w:r>
      <w:r w:rsidRPr="00A5598B">
        <w:rPr>
          <w:rFonts w:cs="David" w:hint="cs"/>
          <w:sz w:val="24"/>
          <w:szCs w:val="24"/>
          <w:rtl/>
        </w:rPr>
        <w:t>מסוג</w:t>
      </w:r>
      <w:r w:rsidRPr="00A5598B">
        <w:rPr>
          <w:rFonts w:cs="David"/>
          <w:sz w:val="24"/>
          <w:szCs w:val="24"/>
          <w:rtl/>
        </w:rPr>
        <w:t xml:space="preserve"> </w:t>
      </w:r>
      <w:r w:rsidRPr="00A5598B">
        <w:rPr>
          <w:rFonts w:cs="David" w:hint="cs"/>
          <w:sz w:val="24"/>
          <w:szCs w:val="24"/>
          <w:rtl/>
        </w:rPr>
        <w:t>עוון</w:t>
      </w:r>
      <w:r>
        <w:rPr>
          <w:rFonts w:cs="David" w:hint="cs"/>
          <w:sz w:val="24"/>
          <w:szCs w:val="24"/>
          <w:rtl/>
        </w:rPr>
        <w:t>.</w:t>
      </w:r>
      <w:r>
        <w:rPr>
          <w:rFonts w:cs="David"/>
          <w:sz w:val="24"/>
          <w:szCs w:val="24"/>
          <w:rtl/>
        </w:rPr>
        <w:t xml:space="preserve"> </w:t>
      </w:r>
      <w:r>
        <w:rPr>
          <w:rFonts w:cs="David" w:hint="cs"/>
          <w:sz w:val="24"/>
          <w:szCs w:val="24"/>
          <w:rtl/>
        </w:rPr>
        <w:t>התנאי יחל מיום שחרורו מהכלא.</w:t>
      </w:r>
    </w:p>
    <w:p w14:paraId="6EE44F43" w14:textId="77777777" w:rsidR="00BD5894" w:rsidRDefault="00BD5894" w:rsidP="00BD5894">
      <w:pPr>
        <w:pStyle w:val="a9"/>
        <w:numPr>
          <w:ilvl w:val="0"/>
          <w:numId w:val="1"/>
        </w:numPr>
        <w:spacing w:line="360" w:lineRule="auto"/>
        <w:jc w:val="both"/>
        <w:rPr>
          <w:rFonts w:cs="David"/>
          <w:sz w:val="24"/>
          <w:szCs w:val="24"/>
        </w:rPr>
      </w:pPr>
      <w:r w:rsidRPr="00B91AB1">
        <w:rPr>
          <w:rFonts w:cs="David" w:hint="cs"/>
          <w:sz w:val="24"/>
          <w:szCs w:val="24"/>
          <w:rtl/>
        </w:rPr>
        <w:t xml:space="preserve">קנס בסך </w:t>
      </w:r>
      <w:r>
        <w:rPr>
          <w:rFonts w:cs="David" w:hint="cs"/>
          <w:sz w:val="24"/>
          <w:szCs w:val="24"/>
          <w:rtl/>
        </w:rPr>
        <w:t>1,000</w:t>
      </w:r>
      <w:r w:rsidRPr="00B91AB1">
        <w:rPr>
          <w:rFonts w:cs="David" w:hint="cs"/>
          <w:sz w:val="24"/>
          <w:szCs w:val="24"/>
          <w:rtl/>
        </w:rPr>
        <w:t xml:space="preserve"> ₪ אשר יסולק בש</w:t>
      </w:r>
      <w:r>
        <w:rPr>
          <w:rFonts w:cs="David" w:hint="cs"/>
          <w:sz w:val="24"/>
          <w:szCs w:val="24"/>
          <w:rtl/>
        </w:rPr>
        <w:t>ני</w:t>
      </w:r>
      <w:r w:rsidRPr="00B91AB1">
        <w:rPr>
          <w:rFonts w:cs="David" w:hint="cs"/>
          <w:sz w:val="24"/>
          <w:szCs w:val="24"/>
          <w:rtl/>
        </w:rPr>
        <w:t xml:space="preserve"> תשלומים שווים ורצופים החל מיום </w:t>
      </w:r>
      <w:r>
        <w:rPr>
          <w:rFonts w:cs="David" w:hint="cs"/>
          <w:sz w:val="24"/>
          <w:szCs w:val="24"/>
          <w:rtl/>
        </w:rPr>
        <w:t>01.2.2021.</w:t>
      </w:r>
    </w:p>
    <w:p w14:paraId="47C1BB5E" w14:textId="77777777" w:rsidR="00BD5894" w:rsidRPr="00EE2BAC" w:rsidRDefault="00BD5894" w:rsidP="00BD5894">
      <w:pPr>
        <w:pStyle w:val="a9"/>
        <w:numPr>
          <w:ilvl w:val="0"/>
          <w:numId w:val="1"/>
        </w:numPr>
        <w:spacing w:line="360" w:lineRule="auto"/>
        <w:jc w:val="both"/>
        <w:rPr>
          <w:rFonts w:cs="David"/>
          <w:sz w:val="24"/>
          <w:szCs w:val="24"/>
        </w:rPr>
      </w:pPr>
      <w:r>
        <w:rPr>
          <w:rFonts w:cs="David" w:hint="cs"/>
          <w:sz w:val="24"/>
          <w:szCs w:val="24"/>
          <w:rtl/>
        </w:rPr>
        <w:t xml:space="preserve">פסילת רשיון נהיגה למשך 3 חודשים וזאת על תנאי למשך שלוש שנים, ואל התנאים הקבועים בתוספת יתווסף תנאי של נהיגה תחת השפעת סמים. התנאי יחל מיום שחרורו מן הכלא. </w:t>
      </w:r>
    </w:p>
    <w:p w14:paraId="6E3DF311" w14:textId="77777777" w:rsidR="00BD5894" w:rsidRDefault="00BD5894" w:rsidP="00BD5894">
      <w:pPr>
        <w:spacing w:line="360" w:lineRule="auto"/>
        <w:jc w:val="both"/>
        <w:rPr>
          <w:b/>
          <w:bCs/>
          <w:rtl/>
        </w:rPr>
      </w:pPr>
    </w:p>
    <w:p w14:paraId="59A2BEEC" w14:textId="77777777" w:rsidR="00BD5894" w:rsidRDefault="00BD5894" w:rsidP="00BD5894">
      <w:pPr>
        <w:spacing w:line="360" w:lineRule="auto"/>
        <w:jc w:val="both"/>
        <w:rPr>
          <w:b/>
          <w:bCs/>
          <w:rtl/>
        </w:rPr>
      </w:pPr>
      <w:r>
        <w:rPr>
          <w:rFonts w:hint="cs"/>
          <w:b/>
          <w:bCs/>
          <w:rtl/>
        </w:rPr>
        <w:t xml:space="preserve">מורה על השמדת המוצגים בתיק. </w:t>
      </w:r>
    </w:p>
    <w:p w14:paraId="5383455D" w14:textId="77777777" w:rsidR="00BD5894" w:rsidRPr="001E44EA" w:rsidRDefault="00BD5894" w:rsidP="00BD5894">
      <w:pPr>
        <w:spacing w:line="360" w:lineRule="auto"/>
        <w:jc w:val="both"/>
        <w:rPr>
          <w:b/>
          <w:bCs/>
        </w:rPr>
      </w:pPr>
      <w:r w:rsidRPr="001E44EA">
        <w:rPr>
          <w:rFonts w:hint="cs"/>
          <w:b/>
          <w:bCs/>
          <w:rtl/>
        </w:rPr>
        <w:t>מזכירות ת</w:t>
      </w:r>
      <w:r>
        <w:rPr>
          <w:rFonts w:hint="cs"/>
          <w:b/>
          <w:bCs/>
          <w:rtl/>
        </w:rPr>
        <w:t>שלח גזר הדין לשב"ס</w:t>
      </w:r>
      <w:r w:rsidRPr="001E44EA">
        <w:rPr>
          <w:rFonts w:hint="cs"/>
          <w:b/>
          <w:bCs/>
          <w:rtl/>
        </w:rPr>
        <w:t xml:space="preserve">. </w:t>
      </w:r>
    </w:p>
    <w:p w14:paraId="6E08F49F" w14:textId="77777777" w:rsidR="00BD5894" w:rsidRPr="00A5598B" w:rsidRDefault="00BD5894" w:rsidP="00BD5894">
      <w:pPr>
        <w:spacing w:line="360" w:lineRule="auto"/>
        <w:jc w:val="both"/>
      </w:pPr>
      <w:r w:rsidRPr="00A5598B">
        <w:rPr>
          <w:rFonts w:hint="cs"/>
          <w:rtl/>
        </w:rPr>
        <w:t>זכות ערעור לבית המשפט המחוזי תוך 45 ימים</w:t>
      </w:r>
    </w:p>
    <w:p w14:paraId="689D70EB" w14:textId="77777777" w:rsidR="00BD5894" w:rsidRPr="00AA5229" w:rsidRDefault="00AA5229" w:rsidP="00BD5894">
      <w:pPr>
        <w:rPr>
          <w:color w:val="FFFFFF"/>
          <w:sz w:val="2"/>
          <w:szCs w:val="2"/>
          <w:rtl/>
        </w:rPr>
      </w:pPr>
      <w:r w:rsidRPr="00AA5229">
        <w:rPr>
          <w:color w:val="FFFFFF"/>
          <w:sz w:val="2"/>
          <w:szCs w:val="2"/>
          <w:rtl/>
        </w:rPr>
        <w:t>5129371</w:t>
      </w:r>
    </w:p>
    <w:p w14:paraId="7B01DCA1" w14:textId="77777777" w:rsidR="00BD5894" w:rsidRDefault="00AA5229" w:rsidP="00BD5894">
      <w:pPr>
        <w:rPr>
          <w:rFonts w:cs="FrankRuehl"/>
          <w:sz w:val="28"/>
          <w:szCs w:val="28"/>
          <w:rtl/>
        </w:rPr>
      </w:pPr>
      <w:bookmarkStart w:id="8" w:name="Nitan"/>
      <w:r w:rsidRPr="00AA5229">
        <w:rPr>
          <w:rFonts w:ascii="Arial" w:hAnsi="Arial"/>
          <w:color w:val="FFFFFF"/>
          <w:sz w:val="2"/>
          <w:szCs w:val="2"/>
          <w:rtl/>
        </w:rPr>
        <w:t>54678313</w:t>
      </w:r>
      <w:r>
        <w:rPr>
          <w:rFonts w:ascii="Arial" w:hAnsi="Arial"/>
          <w:rtl/>
        </w:rPr>
        <w:t xml:space="preserve">ניתן היום,  ו' טבת תשפ"א, 21 דצמבר 2020, בהעדר הצדדים. </w:t>
      </w:r>
      <w:bookmarkEnd w:id="8"/>
    </w:p>
    <w:p w14:paraId="117A16F5" w14:textId="77777777" w:rsidR="00BD5894" w:rsidRDefault="00BD5894" w:rsidP="00AA522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CF8242" w14:textId="77777777" w:rsidR="00BD5894" w:rsidRDefault="00BD5894" w:rsidP="00BD5894">
      <w:pPr>
        <w:jc w:val="center"/>
        <w:rPr>
          <w:rFonts w:ascii="Arial" w:hAnsi="Arial" w:cs="FrankRuehl"/>
          <w:sz w:val="28"/>
          <w:szCs w:val="28"/>
          <w:rtl/>
        </w:rPr>
      </w:pPr>
    </w:p>
    <w:p w14:paraId="1AC4DBDF" w14:textId="77777777" w:rsidR="00AA5229" w:rsidRDefault="00AA5229" w:rsidP="00AA5229">
      <w:pPr>
        <w:rPr>
          <w:rtl/>
        </w:rPr>
      </w:pPr>
    </w:p>
    <w:p w14:paraId="0D33AED7" w14:textId="77777777" w:rsidR="00AA5229" w:rsidRDefault="00AA5229" w:rsidP="00AA5229">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2C723C2" w14:textId="77777777" w:rsidR="00BA4788" w:rsidRPr="00BA4788" w:rsidRDefault="00BA4788" w:rsidP="00BA4788">
      <w:pPr>
        <w:keepNext/>
        <w:rPr>
          <w:rFonts w:ascii="David" w:hAnsi="David"/>
          <w:color w:val="000000"/>
          <w:sz w:val="22"/>
          <w:szCs w:val="22"/>
          <w:rtl/>
        </w:rPr>
      </w:pPr>
    </w:p>
    <w:p w14:paraId="7CB37F0C" w14:textId="77777777" w:rsidR="00BA4788" w:rsidRPr="00BA4788" w:rsidRDefault="00BA4788" w:rsidP="00BA4788">
      <w:pPr>
        <w:keepNext/>
        <w:rPr>
          <w:rFonts w:ascii="David" w:hAnsi="David"/>
          <w:color w:val="000000"/>
          <w:sz w:val="22"/>
          <w:szCs w:val="22"/>
          <w:rtl/>
        </w:rPr>
      </w:pPr>
      <w:r w:rsidRPr="00BA4788">
        <w:rPr>
          <w:rFonts w:ascii="David" w:hAnsi="David"/>
          <w:color w:val="000000"/>
          <w:sz w:val="22"/>
          <w:szCs w:val="22"/>
          <w:rtl/>
        </w:rPr>
        <w:t>שרון לארי בבלי 54678313-/</w:t>
      </w:r>
    </w:p>
    <w:p w14:paraId="0D1DEAB2" w14:textId="77777777" w:rsidR="00AA5229" w:rsidRPr="00AA5229" w:rsidRDefault="00BA4788" w:rsidP="00BA4788">
      <w:pPr>
        <w:rPr>
          <w:color w:val="0000FF"/>
          <w:u w:val="single"/>
        </w:rPr>
      </w:pPr>
      <w:r w:rsidRPr="00BA4788">
        <w:rPr>
          <w:color w:val="000000"/>
          <w:u w:val="single"/>
          <w:rtl/>
        </w:rPr>
        <w:t>נוסח מסמך זה כפוף לשינויי ניסוח ועריכה</w:t>
      </w:r>
    </w:p>
    <w:sectPr w:rsidR="00AA5229" w:rsidRPr="00AA5229" w:rsidSect="00BA4788">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C2928" w14:textId="77777777" w:rsidR="009D1ECC" w:rsidRDefault="009D1ECC" w:rsidP="00CC3469">
      <w:r>
        <w:separator/>
      </w:r>
    </w:p>
  </w:endnote>
  <w:endnote w:type="continuationSeparator" w:id="0">
    <w:p w14:paraId="7DDF58DD" w14:textId="77777777" w:rsidR="009D1ECC" w:rsidRDefault="009D1ECC" w:rsidP="00CC3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8F7A" w14:textId="77777777" w:rsidR="00BA4788" w:rsidRDefault="00BA4788" w:rsidP="00BA47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A0110B" w14:textId="77777777" w:rsidR="00E56088" w:rsidRPr="00BA4788" w:rsidRDefault="00BA4788" w:rsidP="00BA4788">
    <w:pPr>
      <w:pStyle w:val="a5"/>
      <w:pBdr>
        <w:top w:val="single" w:sz="4" w:space="1" w:color="auto"/>
        <w:between w:val="single" w:sz="4" w:space="0" w:color="auto"/>
      </w:pBdr>
      <w:spacing w:after="60"/>
      <w:jc w:val="center"/>
      <w:rPr>
        <w:rFonts w:ascii="FrankRuehl" w:hAnsi="FrankRuehl" w:cs="FrankRuehl"/>
        <w:color w:val="000000"/>
      </w:rPr>
    </w:pPr>
    <w:r w:rsidRPr="00BA47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AAF15" w14:textId="77777777" w:rsidR="00BA4788" w:rsidRDefault="00BA4788" w:rsidP="00BA47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2012">
      <w:rPr>
        <w:rFonts w:ascii="FrankRuehl" w:hAnsi="FrankRuehl" w:cs="FrankRuehl"/>
        <w:noProof/>
        <w:rtl/>
      </w:rPr>
      <w:t>1</w:t>
    </w:r>
    <w:r>
      <w:rPr>
        <w:rFonts w:ascii="FrankRuehl" w:hAnsi="FrankRuehl" w:cs="FrankRuehl"/>
        <w:rtl/>
      </w:rPr>
      <w:fldChar w:fldCharType="end"/>
    </w:r>
  </w:p>
  <w:p w14:paraId="6B3B723F" w14:textId="77777777" w:rsidR="00E56088" w:rsidRPr="00BA4788" w:rsidRDefault="00BA4788" w:rsidP="00BA4788">
    <w:pPr>
      <w:pStyle w:val="a5"/>
      <w:pBdr>
        <w:top w:val="single" w:sz="4" w:space="1" w:color="auto"/>
        <w:between w:val="single" w:sz="4" w:space="0" w:color="auto"/>
      </w:pBdr>
      <w:spacing w:after="60"/>
      <w:jc w:val="center"/>
      <w:rPr>
        <w:rFonts w:ascii="FrankRuehl" w:hAnsi="FrankRuehl" w:cs="FrankRuehl"/>
        <w:color w:val="000000"/>
      </w:rPr>
    </w:pPr>
    <w:r w:rsidRPr="00BA4788">
      <w:rPr>
        <w:rFonts w:ascii="FrankRuehl" w:hAnsi="FrankRuehl" w:cs="FrankRuehl"/>
        <w:color w:val="000000"/>
      </w:rPr>
      <w:pict w14:anchorId="477E2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7D1C9" w14:textId="77777777" w:rsidR="009D1ECC" w:rsidRDefault="009D1ECC" w:rsidP="00CC3469">
      <w:r>
        <w:separator/>
      </w:r>
    </w:p>
  </w:footnote>
  <w:footnote w:type="continuationSeparator" w:id="0">
    <w:p w14:paraId="72E9C4AE" w14:textId="77777777" w:rsidR="009D1ECC" w:rsidRDefault="009D1ECC" w:rsidP="00CC3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F13D2" w14:textId="77777777" w:rsidR="00AA5229" w:rsidRPr="00BA4788" w:rsidRDefault="00BA4788" w:rsidP="00BA47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32948-06-18</w:t>
    </w:r>
    <w:r>
      <w:rPr>
        <w:rFonts w:ascii="David" w:hAnsi="David"/>
        <w:color w:val="000000"/>
        <w:sz w:val="22"/>
        <w:szCs w:val="22"/>
        <w:rtl/>
      </w:rPr>
      <w:tab/>
      <w:t xml:space="preserve"> מדינת ישראל  נ' וליד אבו רגב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7840A" w14:textId="77777777" w:rsidR="00AA5229" w:rsidRPr="00BA4788" w:rsidRDefault="00BA4788" w:rsidP="00BA47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32948-06-18</w:t>
    </w:r>
    <w:r>
      <w:rPr>
        <w:rFonts w:ascii="David" w:hAnsi="David"/>
        <w:color w:val="000000"/>
        <w:sz w:val="22"/>
        <w:szCs w:val="22"/>
        <w:rtl/>
      </w:rPr>
      <w:tab/>
      <w:t xml:space="preserve"> מדינת ישראל  נ' וליד אבו רגב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66A9"/>
    <w:multiLevelType w:val="hybridMultilevel"/>
    <w:tmpl w:val="CFFC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95CA4"/>
    <w:multiLevelType w:val="hybridMultilevel"/>
    <w:tmpl w:val="EDF4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605681">
    <w:abstractNumId w:val="0"/>
  </w:num>
  <w:num w:numId="2" w16cid:durableId="154298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5894"/>
    <w:rsid w:val="00002012"/>
    <w:rsid w:val="00050B62"/>
    <w:rsid w:val="003A33AF"/>
    <w:rsid w:val="00575AA9"/>
    <w:rsid w:val="008C45D1"/>
    <w:rsid w:val="008F7538"/>
    <w:rsid w:val="009D1ECC"/>
    <w:rsid w:val="00A21CF1"/>
    <w:rsid w:val="00AA5229"/>
    <w:rsid w:val="00B4062D"/>
    <w:rsid w:val="00BA4788"/>
    <w:rsid w:val="00BB6E4A"/>
    <w:rsid w:val="00BC5CF5"/>
    <w:rsid w:val="00BD5894"/>
    <w:rsid w:val="00CC3469"/>
    <w:rsid w:val="00E56088"/>
    <w:rsid w:val="00FF19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DE4C54"/>
  <w15:chartTrackingRefBased/>
  <w15:docId w15:val="{A6084244-E9F1-448E-8895-E77941DA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58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5894"/>
    <w:pPr>
      <w:tabs>
        <w:tab w:val="center" w:pos="4153"/>
        <w:tab w:val="right" w:pos="8306"/>
      </w:tabs>
    </w:pPr>
  </w:style>
  <w:style w:type="character" w:customStyle="1" w:styleId="a4">
    <w:name w:val="כותרת עליונה תו"/>
    <w:link w:val="a3"/>
    <w:rsid w:val="00BD5894"/>
    <w:rPr>
      <w:rFonts w:ascii="Times New Roman" w:eastAsia="Times New Roman" w:hAnsi="Times New Roman" w:cs="David"/>
      <w:sz w:val="24"/>
      <w:szCs w:val="24"/>
    </w:rPr>
  </w:style>
  <w:style w:type="paragraph" w:styleId="a5">
    <w:name w:val="footer"/>
    <w:basedOn w:val="a"/>
    <w:link w:val="a6"/>
    <w:rsid w:val="00BD5894"/>
    <w:pPr>
      <w:tabs>
        <w:tab w:val="center" w:pos="4153"/>
        <w:tab w:val="right" w:pos="8306"/>
      </w:tabs>
    </w:pPr>
  </w:style>
  <w:style w:type="character" w:customStyle="1" w:styleId="a6">
    <w:name w:val="כותרת תחתונה תו"/>
    <w:link w:val="a5"/>
    <w:rsid w:val="00BD5894"/>
    <w:rPr>
      <w:rFonts w:ascii="Times New Roman" w:eastAsia="Times New Roman" w:hAnsi="Times New Roman" w:cs="David"/>
      <w:sz w:val="24"/>
      <w:szCs w:val="24"/>
    </w:rPr>
  </w:style>
  <w:style w:type="table" w:styleId="a7">
    <w:name w:val="Table Grid"/>
    <w:basedOn w:val="a1"/>
    <w:rsid w:val="00BD58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5894"/>
  </w:style>
  <w:style w:type="paragraph" w:styleId="a9">
    <w:name w:val="List Paragraph"/>
    <w:basedOn w:val="a"/>
    <w:qFormat/>
    <w:rsid w:val="00BD5894"/>
    <w:pPr>
      <w:spacing w:after="200" w:line="276" w:lineRule="auto"/>
      <w:ind w:left="720"/>
      <w:contextualSpacing/>
    </w:pPr>
    <w:rPr>
      <w:rFonts w:ascii="Calibri" w:eastAsia="Calibri" w:hAnsi="Calibri" w:cs="Arial"/>
      <w:sz w:val="22"/>
      <w:szCs w:val="22"/>
    </w:rPr>
  </w:style>
  <w:style w:type="character" w:styleId="Hyperlink">
    <w:name w:val="Hyperlink"/>
    <w:rsid w:val="00AA5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426309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21472796" TargetMode="External"/><Relationship Id="rId7" Type="http://schemas.openxmlformats.org/officeDocument/2006/relationships/hyperlink" Target="http://www.nevo.co.il/case/24303650"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4636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1015131" TargetMode="External"/><Relationship Id="rId20" Type="http://schemas.openxmlformats.org/officeDocument/2006/relationships/hyperlink" Target="http://www.nevo.co.il/case/20402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57484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2385896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4287803"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1405</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8419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3997813</vt:i4>
      </vt:variant>
      <vt:variant>
        <vt:i4>42</vt:i4>
      </vt:variant>
      <vt:variant>
        <vt:i4>0</vt:i4>
      </vt:variant>
      <vt:variant>
        <vt:i4>5</vt:i4>
      </vt:variant>
      <vt:variant>
        <vt:lpwstr>http://www.nevo.co.il/case/21472796</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3407995</vt:i4>
      </vt:variant>
      <vt:variant>
        <vt:i4>36</vt:i4>
      </vt:variant>
      <vt:variant>
        <vt:i4>0</vt:i4>
      </vt:variant>
      <vt:variant>
        <vt:i4>5</vt:i4>
      </vt:variant>
      <vt:variant>
        <vt:lpwstr>http://www.nevo.co.il/case/23858961</vt:lpwstr>
      </vt:variant>
      <vt:variant>
        <vt:lpwstr/>
      </vt:variant>
      <vt:variant>
        <vt:i4>3801206</vt:i4>
      </vt:variant>
      <vt:variant>
        <vt:i4>33</vt:i4>
      </vt:variant>
      <vt:variant>
        <vt:i4>0</vt:i4>
      </vt:variant>
      <vt:variant>
        <vt:i4>5</vt:i4>
      </vt:variant>
      <vt:variant>
        <vt:lpwstr>http://www.nevo.co.il/case/24263098</vt:lpwstr>
      </vt:variant>
      <vt:variant>
        <vt:lpwstr/>
      </vt:variant>
      <vt:variant>
        <vt:i4>3276913</vt:i4>
      </vt:variant>
      <vt:variant>
        <vt:i4>30</vt:i4>
      </vt:variant>
      <vt:variant>
        <vt:i4>0</vt:i4>
      </vt:variant>
      <vt:variant>
        <vt:i4>5</vt:i4>
      </vt:variant>
      <vt:variant>
        <vt:lpwstr>http://www.nevo.co.il/case/25463674</vt:lpwstr>
      </vt:variant>
      <vt:variant>
        <vt:lpwstr/>
      </vt:variant>
      <vt:variant>
        <vt:i4>3407989</vt:i4>
      </vt:variant>
      <vt:variant>
        <vt:i4>27</vt:i4>
      </vt:variant>
      <vt:variant>
        <vt:i4>0</vt:i4>
      </vt:variant>
      <vt:variant>
        <vt:i4>5</vt:i4>
      </vt:variant>
      <vt:variant>
        <vt:lpwstr>http://www.nevo.co.il/case/21015131</vt:lpwstr>
      </vt:variant>
      <vt:variant>
        <vt:lpwstr/>
      </vt:variant>
      <vt:variant>
        <vt:i4>3604605</vt:i4>
      </vt:variant>
      <vt:variant>
        <vt:i4>24</vt:i4>
      </vt:variant>
      <vt:variant>
        <vt:i4>0</vt:i4>
      </vt:variant>
      <vt:variant>
        <vt:i4>5</vt:i4>
      </vt:variant>
      <vt:variant>
        <vt:lpwstr>http://www.nevo.co.il/case/26574841</vt:lpwstr>
      </vt:variant>
      <vt:variant>
        <vt:lpwstr/>
      </vt:variant>
      <vt:variant>
        <vt:i4>3604592</vt:i4>
      </vt:variant>
      <vt:variant>
        <vt:i4>21</vt:i4>
      </vt:variant>
      <vt:variant>
        <vt:i4>0</vt:i4>
      </vt:variant>
      <vt:variant>
        <vt:i4>5</vt:i4>
      </vt:variant>
      <vt:variant>
        <vt:lpwstr>http://www.nevo.co.il/case/24287803</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3604598</vt:i4>
      </vt:variant>
      <vt:variant>
        <vt:i4>0</vt:i4>
      </vt:variant>
      <vt:variant>
        <vt:i4>0</vt:i4>
      </vt:variant>
      <vt:variant>
        <vt:i4>5</vt:i4>
      </vt:variant>
      <vt:variant>
        <vt:lpwstr>http://www.nevo.co.il/case/24303650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32948</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וליד אבו רגב</vt:lpwstr>
  </property>
  <property fmtid="{D5CDD505-2E9C-101B-9397-08002B2CF9AE}" pid="10" name="LAWYER">
    <vt:lpwstr>עיסא מוחמדיה</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20201221</vt:lpwstr>
  </property>
  <property fmtid="{D5CDD505-2E9C-101B-9397-08002B2CF9AE}" pid="14" name="TYPE_N_DATE">
    <vt:lpwstr>38020201221</vt:lpwstr>
  </property>
  <property fmtid="{D5CDD505-2E9C-101B-9397-08002B2CF9AE}" pid="15" name="WORDNUMPAGES">
    <vt:lpwstr>5</vt:lpwstr>
  </property>
  <property fmtid="{D5CDD505-2E9C-101B-9397-08002B2CF9AE}" pid="16" name="TYPE_ABS_DATE">
    <vt:lpwstr>380020201221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24303650;24287803;26574841;21015131;25463674;24263098;23858961;20402486;21472796</vt:lpwstr>
  </property>
  <property fmtid="{D5CDD505-2E9C-101B-9397-08002B2CF9AE}" pid="36" name="LAWLISTTMP1">
    <vt:lpwstr>4216/007.a;007.c</vt:lpwstr>
  </property>
</Properties>
</file>