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41735" w:rsidRPr="002578E9" w14:paraId="25071DE7" w14:textId="77777777" w:rsidTr="00477DA1">
        <w:trPr>
          <w:trHeight w:hRule="exact" w:val="418"/>
          <w:jc w:val="center"/>
        </w:trPr>
        <w:tc>
          <w:tcPr>
            <w:tcW w:w="8721" w:type="dxa"/>
            <w:gridSpan w:val="2"/>
          </w:tcPr>
          <w:p w14:paraId="7B2712BF" w14:textId="77777777" w:rsidR="00841735" w:rsidRPr="002578E9" w:rsidRDefault="00841735" w:rsidP="00325D78">
            <w:pPr>
              <w:pStyle w:val="a3"/>
              <w:jc w:val="center"/>
              <w:rPr>
                <w:rFonts w:ascii="Tahoma" w:hAnsi="Tahoma" w:cs="FrankRuehl"/>
                <w:color w:val="000080"/>
                <w:rtl/>
              </w:rPr>
            </w:pPr>
            <w:bookmarkStart w:id="0" w:name="LastJudge"/>
            <w:r w:rsidRPr="002578E9">
              <w:rPr>
                <w:rFonts w:ascii="Tahoma" w:hAnsi="Tahoma" w:cs="FrankRuehl"/>
                <w:b/>
                <w:bCs/>
                <w:color w:val="000080"/>
                <w:sz w:val="30"/>
                <w:szCs w:val="30"/>
                <w:rtl/>
              </w:rPr>
              <w:t>בית משפט השלום בירושלים</w:t>
            </w:r>
          </w:p>
        </w:tc>
      </w:tr>
      <w:tr w:rsidR="00841735" w:rsidRPr="002578E9" w14:paraId="5C9216B0" w14:textId="77777777" w:rsidTr="00477DA1">
        <w:trPr>
          <w:trHeight w:val="337"/>
          <w:jc w:val="center"/>
        </w:trPr>
        <w:tc>
          <w:tcPr>
            <w:tcW w:w="5058" w:type="dxa"/>
          </w:tcPr>
          <w:p w14:paraId="1D12EBC8" w14:textId="77777777" w:rsidR="00841735" w:rsidRPr="002578E9" w:rsidRDefault="00841735" w:rsidP="00325D78">
            <w:pPr>
              <w:rPr>
                <w:rFonts w:cs="FrankRuehl"/>
                <w:sz w:val="28"/>
                <w:szCs w:val="28"/>
                <w:rtl/>
              </w:rPr>
            </w:pPr>
            <w:r w:rsidRPr="002578E9">
              <w:rPr>
                <w:rFonts w:cs="FrankRuehl"/>
                <w:sz w:val="28"/>
                <w:szCs w:val="28"/>
                <w:rtl/>
              </w:rPr>
              <w:t>ת"פ</w:t>
            </w:r>
            <w:r w:rsidRPr="002578E9">
              <w:rPr>
                <w:rFonts w:cs="FrankRuehl" w:hint="cs"/>
                <w:sz w:val="28"/>
                <w:szCs w:val="28"/>
                <w:rtl/>
              </w:rPr>
              <w:t xml:space="preserve"> </w:t>
            </w:r>
            <w:r w:rsidRPr="002578E9">
              <w:rPr>
                <w:rFonts w:cs="FrankRuehl"/>
                <w:sz w:val="28"/>
                <w:szCs w:val="28"/>
                <w:rtl/>
              </w:rPr>
              <w:t>35856-06-18</w:t>
            </w:r>
            <w:r w:rsidRPr="002578E9">
              <w:rPr>
                <w:rFonts w:cs="FrankRuehl" w:hint="cs"/>
                <w:sz w:val="28"/>
                <w:szCs w:val="28"/>
                <w:rtl/>
              </w:rPr>
              <w:t xml:space="preserve"> </w:t>
            </w:r>
            <w:r w:rsidRPr="002578E9">
              <w:rPr>
                <w:rFonts w:cs="FrankRuehl"/>
                <w:sz w:val="28"/>
                <w:szCs w:val="28"/>
                <w:rtl/>
              </w:rPr>
              <w:t>מדינת ישראל נ' שויכי(עציר)</w:t>
            </w:r>
          </w:p>
          <w:p w14:paraId="79EC085B" w14:textId="77777777" w:rsidR="00841735" w:rsidRPr="002578E9" w:rsidRDefault="00841735" w:rsidP="00325D78">
            <w:pPr>
              <w:pStyle w:val="a3"/>
              <w:rPr>
                <w:rFonts w:cs="FrankRuehl"/>
                <w:sz w:val="28"/>
                <w:szCs w:val="28"/>
                <w:rtl/>
              </w:rPr>
            </w:pPr>
          </w:p>
        </w:tc>
        <w:tc>
          <w:tcPr>
            <w:tcW w:w="3663" w:type="dxa"/>
          </w:tcPr>
          <w:p w14:paraId="6F098DCE" w14:textId="77777777" w:rsidR="00841735" w:rsidRPr="002578E9" w:rsidRDefault="00841735" w:rsidP="00325D78">
            <w:pPr>
              <w:pStyle w:val="a3"/>
              <w:jc w:val="right"/>
              <w:rPr>
                <w:rFonts w:cs="FrankRuehl"/>
                <w:sz w:val="28"/>
                <w:szCs w:val="28"/>
                <w:rtl/>
              </w:rPr>
            </w:pPr>
          </w:p>
        </w:tc>
      </w:tr>
    </w:tbl>
    <w:p w14:paraId="6B7D4BB5" w14:textId="77777777" w:rsidR="00841735" w:rsidRPr="002578E9" w:rsidRDefault="00841735" w:rsidP="00841735">
      <w:pPr>
        <w:pStyle w:val="a3"/>
        <w:rPr>
          <w:rFonts w:cs="FrankRuehl"/>
          <w:rtl/>
        </w:rPr>
      </w:pPr>
      <w:r w:rsidRPr="002578E9">
        <w:rPr>
          <w:rFonts w:cs="FrankRuehl" w:hint="cs"/>
          <w:rtl/>
        </w:rPr>
        <w:t xml:space="preserve"> </w:t>
      </w:r>
    </w:p>
    <w:p w14:paraId="40CE3C90" w14:textId="77777777" w:rsidR="00841735" w:rsidRPr="002578E9" w:rsidRDefault="00841735" w:rsidP="00841735">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41735" w:rsidRPr="002578E9" w14:paraId="5A54B3A2" w14:textId="77777777" w:rsidTr="00841735">
        <w:trPr>
          <w:trHeight w:val="295"/>
          <w:jc w:val="center"/>
        </w:trPr>
        <w:tc>
          <w:tcPr>
            <w:tcW w:w="923" w:type="dxa"/>
            <w:tcBorders>
              <w:top w:val="nil"/>
              <w:left w:val="nil"/>
              <w:bottom w:val="nil"/>
              <w:right w:val="nil"/>
            </w:tcBorders>
            <w:shd w:val="clear" w:color="auto" w:fill="auto"/>
          </w:tcPr>
          <w:p w14:paraId="42F64A09" w14:textId="77777777" w:rsidR="00841735" w:rsidRPr="002578E9" w:rsidRDefault="00841735" w:rsidP="00841735">
            <w:pPr>
              <w:jc w:val="both"/>
              <w:rPr>
                <w:rFonts w:ascii="Arial" w:hAnsi="Arial" w:cs="FrankRuehl"/>
                <w:sz w:val="28"/>
                <w:szCs w:val="28"/>
              </w:rPr>
            </w:pPr>
            <w:r w:rsidRPr="002578E9">
              <w:rPr>
                <w:rFonts w:ascii="Arial" w:hAnsi="Arial" w:cs="FrankRuehl" w:hint="cs"/>
                <w:sz w:val="28"/>
                <w:szCs w:val="28"/>
                <w:rtl/>
              </w:rPr>
              <w:t>ב</w:t>
            </w:r>
            <w:r w:rsidRPr="002578E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83206B" w14:textId="77777777" w:rsidR="00841735" w:rsidRPr="002578E9" w:rsidRDefault="00841735" w:rsidP="00325D78">
            <w:pPr>
              <w:rPr>
                <w:rFonts w:ascii="Arial" w:hAnsi="Arial" w:cs="FrankRuehl"/>
                <w:b/>
                <w:bCs/>
                <w:rtl/>
              </w:rPr>
            </w:pPr>
            <w:r w:rsidRPr="002578E9">
              <w:rPr>
                <w:rFonts w:ascii="Arial" w:hAnsi="Arial" w:cs="FrankRuehl" w:hint="cs"/>
                <w:b/>
                <w:bCs/>
                <w:rtl/>
              </w:rPr>
              <w:t>כבוד ה</w:t>
            </w:r>
            <w:r w:rsidRPr="002578E9">
              <w:rPr>
                <w:rFonts w:ascii="Arial" w:hAnsi="Arial" w:cs="FrankRuehl"/>
                <w:b/>
                <w:bCs/>
                <w:rtl/>
              </w:rPr>
              <w:t>שופט</w:t>
            </w:r>
            <w:r w:rsidRPr="002578E9">
              <w:rPr>
                <w:rFonts w:ascii="Arial" w:hAnsi="Arial" w:cs="FrankRuehl" w:hint="cs"/>
                <w:b/>
                <w:bCs/>
                <w:rtl/>
              </w:rPr>
              <w:t xml:space="preserve">  </w:t>
            </w:r>
            <w:r w:rsidRPr="002578E9">
              <w:rPr>
                <w:rFonts w:ascii="Arial" w:hAnsi="Arial" w:cs="FrankRuehl"/>
                <w:b/>
                <w:bCs/>
                <w:rtl/>
              </w:rPr>
              <w:t>דוד שאול גבאי ריכטר</w:t>
            </w:r>
          </w:p>
          <w:p w14:paraId="2A7FB151" w14:textId="77777777" w:rsidR="00841735" w:rsidRPr="002578E9" w:rsidRDefault="00841735" w:rsidP="00325D78">
            <w:pPr>
              <w:rPr>
                <w:rFonts w:cs="FrankRuehl"/>
                <w:rtl/>
              </w:rPr>
            </w:pPr>
          </w:p>
          <w:p w14:paraId="7FC2416B" w14:textId="77777777" w:rsidR="00841735" w:rsidRPr="002578E9" w:rsidRDefault="00841735" w:rsidP="00841735">
            <w:pPr>
              <w:jc w:val="both"/>
              <w:rPr>
                <w:rFonts w:ascii="Arial" w:hAnsi="Arial" w:cs="FrankRuehl"/>
                <w:sz w:val="28"/>
                <w:szCs w:val="28"/>
              </w:rPr>
            </w:pPr>
          </w:p>
        </w:tc>
      </w:tr>
      <w:tr w:rsidR="00841735" w:rsidRPr="002578E9" w14:paraId="31DF8ED1" w14:textId="77777777" w:rsidTr="00841735">
        <w:trPr>
          <w:trHeight w:val="355"/>
          <w:jc w:val="center"/>
        </w:trPr>
        <w:tc>
          <w:tcPr>
            <w:tcW w:w="923" w:type="dxa"/>
            <w:tcBorders>
              <w:top w:val="nil"/>
              <w:left w:val="nil"/>
              <w:bottom w:val="nil"/>
              <w:right w:val="nil"/>
            </w:tcBorders>
            <w:shd w:val="clear" w:color="auto" w:fill="auto"/>
          </w:tcPr>
          <w:p w14:paraId="7E7C412A" w14:textId="77777777" w:rsidR="00841735" w:rsidRPr="002578E9" w:rsidRDefault="00841735" w:rsidP="00841735">
            <w:pPr>
              <w:jc w:val="both"/>
              <w:rPr>
                <w:rFonts w:ascii="Arial" w:hAnsi="Arial" w:cs="FrankRuehl"/>
                <w:sz w:val="28"/>
                <w:szCs w:val="28"/>
              </w:rPr>
            </w:pPr>
            <w:bookmarkStart w:id="1" w:name="FirstAppellant"/>
            <w:r w:rsidRPr="002578E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FDCD700" w14:textId="77777777" w:rsidR="00841735" w:rsidRPr="002578E9" w:rsidRDefault="00841735" w:rsidP="00325D78">
            <w:pPr>
              <w:rPr>
                <w:rFonts w:cs="FrankRuehl"/>
                <w:b/>
                <w:bCs/>
              </w:rPr>
            </w:pPr>
            <w:r w:rsidRPr="002578E9">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63106D2" w14:textId="77777777" w:rsidR="00841735" w:rsidRPr="002578E9" w:rsidRDefault="00841735" w:rsidP="00841735">
            <w:pPr>
              <w:jc w:val="both"/>
              <w:rPr>
                <w:rFonts w:ascii="Arial" w:hAnsi="Arial" w:cs="FrankRuehl"/>
                <w:sz w:val="28"/>
                <w:szCs w:val="28"/>
              </w:rPr>
            </w:pPr>
          </w:p>
        </w:tc>
      </w:tr>
      <w:bookmarkEnd w:id="1"/>
      <w:tr w:rsidR="00841735" w:rsidRPr="002578E9" w14:paraId="041E14F7" w14:textId="77777777" w:rsidTr="00841735">
        <w:trPr>
          <w:trHeight w:val="355"/>
          <w:jc w:val="center"/>
        </w:trPr>
        <w:tc>
          <w:tcPr>
            <w:tcW w:w="923" w:type="dxa"/>
            <w:tcBorders>
              <w:top w:val="nil"/>
              <w:left w:val="nil"/>
              <w:bottom w:val="nil"/>
              <w:right w:val="nil"/>
            </w:tcBorders>
            <w:shd w:val="clear" w:color="auto" w:fill="auto"/>
          </w:tcPr>
          <w:p w14:paraId="6876AA4F" w14:textId="77777777" w:rsidR="00841735" w:rsidRPr="002578E9" w:rsidRDefault="00841735" w:rsidP="0084173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B70965B" w14:textId="77777777" w:rsidR="00841735" w:rsidRPr="002578E9" w:rsidRDefault="00841735" w:rsidP="00841735">
            <w:pPr>
              <w:jc w:val="both"/>
              <w:rPr>
                <w:rFonts w:cs="FrankRuehl"/>
                <w:rtl/>
              </w:rPr>
            </w:pPr>
            <w:r w:rsidRPr="002578E9">
              <w:rPr>
                <w:rFonts w:cs="FrankRuehl" w:hint="cs"/>
                <w:rtl/>
              </w:rPr>
              <w:t>ע"י תביעות מחוז ירושלים</w:t>
            </w:r>
          </w:p>
        </w:tc>
        <w:tc>
          <w:tcPr>
            <w:tcW w:w="3771" w:type="dxa"/>
            <w:tcBorders>
              <w:top w:val="nil"/>
              <w:left w:val="nil"/>
              <w:bottom w:val="nil"/>
              <w:right w:val="nil"/>
            </w:tcBorders>
            <w:shd w:val="clear" w:color="auto" w:fill="auto"/>
          </w:tcPr>
          <w:p w14:paraId="1944EBFD" w14:textId="77777777" w:rsidR="00841735" w:rsidRPr="002578E9" w:rsidRDefault="00841735" w:rsidP="00841735">
            <w:pPr>
              <w:jc w:val="right"/>
              <w:rPr>
                <w:rFonts w:ascii="Arial" w:hAnsi="Arial" w:cs="FrankRuehl"/>
                <w:sz w:val="28"/>
                <w:szCs w:val="28"/>
                <w:rtl/>
              </w:rPr>
            </w:pPr>
            <w:r w:rsidRPr="002578E9">
              <w:rPr>
                <w:rFonts w:ascii="Arial" w:hAnsi="Arial" w:cs="FrankRuehl" w:hint="cs"/>
                <w:sz w:val="28"/>
                <w:szCs w:val="28"/>
                <w:rtl/>
              </w:rPr>
              <w:t>ה</w:t>
            </w:r>
            <w:r w:rsidRPr="002578E9">
              <w:rPr>
                <w:rFonts w:ascii="Arial" w:hAnsi="Arial" w:cs="FrankRuehl"/>
                <w:sz w:val="28"/>
                <w:szCs w:val="28"/>
                <w:rtl/>
              </w:rPr>
              <w:t>מאשימה</w:t>
            </w:r>
          </w:p>
        </w:tc>
      </w:tr>
      <w:tr w:rsidR="00841735" w:rsidRPr="002578E9" w14:paraId="23C709F9" w14:textId="77777777" w:rsidTr="00841735">
        <w:trPr>
          <w:trHeight w:val="355"/>
          <w:jc w:val="center"/>
        </w:trPr>
        <w:tc>
          <w:tcPr>
            <w:tcW w:w="923" w:type="dxa"/>
            <w:tcBorders>
              <w:top w:val="nil"/>
              <w:left w:val="nil"/>
              <w:bottom w:val="nil"/>
              <w:right w:val="nil"/>
            </w:tcBorders>
            <w:shd w:val="clear" w:color="auto" w:fill="auto"/>
          </w:tcPr>
          <w:p w14:paraId="11170939" w14:textId="77777777" w:rsidR="00841735" w:rsidRPr="002578E9" w:rsidRDefault="00841735" w:rsidP="0084173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C979BE" w14:textId="77777777" w:rsidR="00841735" w:rsidRPr="002578E9" w:rsidRDefault="00841735" w:rsidP="00841735">
            <w:pPr>
              <w:jc w:val="center"/>
              <w:rPr>
                <w:rFonts w:ascii="Arial" w:hAnsi="Arial" w:cs="FrankRuehl"/>
                <w:b/>
                <w:bCs/>
                <w:sz w:val="28"/>
                <w:szCs w:val="28"/>
                <w:rtl/>
              </w:rPr>
            </w:pPr>
          </w:p>
          <w:p w14:paraId="3B50440B" w14:textId="77777777" w:rsidR="00841735" w:rsidRPr="002578E9" w:rsidRDefault="00841735" w:rsidP="00841735">
            <w:pPr>
              <w:jc w:val="center"/>
              <w:rPr>
                <w:rFonts w:ascii="Arial" w:hAnsi="Arial" w:cs="FrankRuehl"/>
                <w:b/>
                <w:bCs/>
                <w:sz w:val="28"/>
                <w:szCs w:val="28"/>
                <w:rtl/>
              </w:rPr>
            </w:pPr>
            <w:r w:rsidRPr="002578E9">
              <w:rPr>
                <w:rFonts w:ascii="Arial" w:hAnsi="Arial" w:cs="FrankRuehl"/>
                <w:b/>
                <w:bCs/>
                <w:sz w:val="28"/>
                <w:szCs w:val="28"/>
                <w:rtl/>
              </w:rPr>
              <w:t>נגד</w:t>
            </w:r>
          </w:p>
          <w:p w14:paraId="114F218E" w14:textId="77777777" w:rsidR="00841735" w:rsidRPr="002578E9" w:rsidRDefault="00841735" w:rsidP="00841735">
            <w:pPr>
              <w:jc w:val="both"/>
              <w:rPr>
                <w:rFonts w:ascii="Arial" w:hAnsi="Arial" w:cs="FrankRuehl"/>
                <w:sz w:val="28"/>
                <w:szCs w:val="28"/>
              </w:rPr>
            </w:pPr>
          </w:p>
        </w:tc>
      </w:tr>
      <w:tr w:rsidR="00841735" w:rsidRPr="002578E9" w14:paraId="1DBC54F4" w14:textId="77777777" w:rsidTr="00841735">
        <w:trPr>
          <w:trHeight w:val="355"/>
          <w:jc w:val="center"/>
        </w:trPr>
        <w:tc>
          <w:tcPr>
            <w:tcW w:w="923" w:type="dxa"/>
            <w:tcBorders>
              <w:top w:val="nil"/>
              <w:left w:val="nil"/>
              <w:bottom w:val="nil"/>
              <w:right w:val="nil"/>
            </w:tcBorders>
            <w:shd w:val="clear" w:color="auto" w:fill="auto"/>
          </w:tcPr>
          <w:p w14:paraId="25D65094" w14:textId="77777777" w:rsidR="00841735" w:rsidRPr="002578E9" w:rsidRDefault="00841735" w:rsidP="00325D78">
            <w:pPr>
              <w:rPr>
                <w:rFonts w:ascii="Arial" w:hAnsi="Arial" w:cs="FrankRuehl"/>
                <w:sz w:val="28"/>
                <w:szCs w:val="28"/>
                <w:rtl/>
              </w:rPr>
            </w:pPr>
          </w:p>
        </w:tc>
        <w:tc>
          <w:tcPr>
            <w:tcW w:w="4126" w:type="dxa"/>
            <w:tcBorders>
              <w:top w:val="nil"/>
              <w:left w:val="nil"/>
              <w:bottom w:val="nil"/>
              <w:right w:val="nil"/>
            </w:tcBorders>
            <w:shd w:val="clear" w:color="auto" w:fill="auto"/>
          </w:tcPr>
          <w:p w14:paraId="29DDFD4E" w14:textId="77777777" w:rsidR="00841735" w:rsidRPr="002578E9" w:rsidRDefault="00841735" w:rsidP="00325D78">
            <w:pPr>
              <w:rPr>
                <w:rFonts w:cs="FrankRuehl"/>
                <w:b/>
                <w:bCs/>
                <w:sz w:val="28"/>
                <w:szCs w:val="28"/>
                <w:rtl/>
              </w:rPr>
            </w:pPr>
            <w:r w:rsidRPr="002578E9">
              <w:rPr>
                <w:rFonts w:ascii="Arial" w:hAnsi="Arial" w:cs="FrankRuehl"/>
                <w:b/>
                <w:bCs/>
                <w:sz w:val="28"/>
                <w:szCs w:val="28"/>
                <w:rtl/>
              </w:rPr>
              <w:t>מחמד נאגח שויכי (עציר)</w:t>
            </w:r>
            <w:r w:rsidRPr="002578E9">
              <w:rPr>
                <w:rFonts w:cs="FrankRuehl" w:hint="cs"/>
                <w:b/>
                <w:bCs/>
                <w:sz w:val="28"/>
                <w:szCs w:val="28"/>
                <w:rtl/>
              </w:rPr>
              <w:t xml:space="preserve">, ת"ז </w:t>
            </w:r>
            <w:r w:rsidR="002578E9">
              <w:rPr>
                <w:rFonts w:cs="FrankRuehl"/>
                <w:b/>
                <w:bCs/>
                <w:sz w:val="28"/>
                <w:szCs w:val="28"/>
              </w:rPr>
              <w:t>xxxxxxxxx</w:t>
            </w:r>
          </w:p>
        </w:tc>
        <w:tc>
          <w:tcPr>
            <w:tcW w:w="3771" w:type="dxa"/>
            <w:tcBorders>
              <w:top w:val="nil"/>
              <w:left w:val="nil"/>
              <w:bottom w:val="nil"/>
              <w:right w:val="nil"/>
            </w:tcBorders>
            <w:shd w:val="clear" w:color="auto" w:fill="auto"/>
          </w:tcPr>
          <w:p w14:paraId="444B7460" w14:textId="77777777" w:rsidR="00841735" w:rsidRPr="002578E9" w:rsidRDefault="00841735" w:rsidP="00841735">
            <w:pPr>
              <w:jc w:val="right"/>
              <w:rPr>
                <w:rFonts w:ascii="Arial" w:hAnsi="Arial" w:cs="FrankRuehl"/>
                <w:sz w:val="28"/>
                <w:szCs w:val="28"/>
              </w:rPr>
            </w:pPr>
          </w:p>
        </w:tc>
      </w:tr>
      <w:tr w:rsidR="00841735" w:rsidRPr="002578E9" w14:paraId="3BC4D02B" w14:textId="77777777" w:rsidTr="00841735">
        <w:trPr>
          <w:trHeight w:val="355"/>
          <w:jc w:val="center"/>
        </w:trPr>
        <w:tc>
          <w:tcPr>
            <w:tcW w:w="923" w:type="dxa"/>
            <w:tcBorders>
              <w:top w:val="nil"/>
              <w:left w:val="nil"/>
              <w:bottom w:val="nil"/>
              <w:right w:val="nil"/>
            </w:tcBorders>
            <w:shd w:val="clear" w:color="auto" w:fill="auto"/>
          </w:tcPr>
          <w:p w14:paraId="5D13D274" w14:textId="77777777" w:rsidR="00841735" w:rsidRPr="002578E9" w:rsidRDefault="00841735" w:rsidP="00841735">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5C7DA6B9" w14:textId="77777777" w:rsidR="00841735" w:rsidRPr="002578E9" w:rsidRDefault="00841735" w:rsidP="00841735">
            <w:pPr>
              <w:jc w:val="both"/>
              <w:rPr>
                <w:rFonts w:cs="FrankRuehl"/>
                <w:rtl/>
              </w:rPr>
            </w:pPr>
            <w:r w:rsidRPr="002578E9">
              <w:rPr>
                <w:rFonts w:cs="FrankRuehl" w:hint="cs"/>
                <w:rtl/>
              </w:rPr>
              <w:t>ע"י ב"כ עו"ד עבד דראושה</w:t>
            </w:r>
          </w:p>
        </w:tc>
        <w:tc>
          <w:tcPr>
            <w:tcW w:w="3771" w:type="dxa"/>
            <w:tcBorders>
              <w:top w:val="nil"/>
              <w:left w:val="nil"/>
              <w:bottom w:val="nil"/>
              <w:right w:val="nil"/>
            </w:tcBorders>
            <w:shd w:val="clear" w:color="auto" w:fill="auto"/>
          </w:tcPr>
          <w:p w14:paraId="5B71E757" w14:textId="77777777" w:rsidR="00841735" w:rsidRPr="002578E9" w:rsidRDefault="00841735" w:rsidP="00841735">
            <w:pPr>
              <w:jc w:val="right"/>
              <w:rPr>
                <w:rFonts w:ascii="Arial" w:hAnsi="Arial" w:cs="FrankRuehl"/>
                <w:sz w:val="28"/>
                <w:szCs w:val="28"/>
              </w:rPr>
            </w:pPr>
            <w:r w:rsidRPr="002578E9">
              <w:rPr>
                <w:rFonts w:ascii="Arial" w:hAnsi="Arial" w:cs="FrankRuehl" w:hint="cs"/>
                <w:sz w:val="28"/>
                <w:szCs w:val="28"/>
                <w:rtl/>
              </w:rPr>
              <w:t>ה</w:t>
            </w:r>
            <w:r w:rsidRPr="002578E9">
              <w:rPr>
                <w:rFonts w:ascii="Arial" w:hAnsi="Arial" w:cs="FrankRuehl"/>
                <w:sz w:val="28"/>
                <w:szCs w:val="28"/>
                <w:rtl/>
              </w:rPr>
              <w:t>נאשם</w:t>
            </w:r>
          </w:p>
        </w:tc>
      </w:tr>
    </w:tbl>
    <w:p w14:paraId="0872DA1D" w14:textId="77777777" w:rsidR="00477DA1" w:rsidRDefault="00477DA1" w:rsidP="00841735">
      <w:pPr>
        <w:rPr>
          <w:rFonts w:cs="FrankRuehl"/>
          <w:rtl/>
        </w:rPr>
      </w:pPr>
      <w:bookmarkStart w:id="3" w:name="LawTable"/>
      <w:bookmarkEnd w:id="2"/>
      <w:bookmarkEnd w:id="3"/>
    </w:p>
    <w:p w14:paraId="392651DE" w14:textId="77777777" w:rsidR="00477DA1" w:rsidRPr="00477DA1" w:rsidRDefault="00477DA1" w:rsidP="00477DA1">
      <w:pPr>
        <w:spacing w:after="120" w:line="240" w:lineRule="exact"/>
        <w:ind w:left="283" w:hanging="283"/>
        <w:jc w:val="both"/>
        <w:rPr>
          <w:rFonts w:ascii="FrankRuehl" w:hAnsi="FrankRuehl" w:cs="FrankRuehl"/>
          <w:rtl/>
        </w:rPr>
      </w:pPr>
    </w:p>
    <w:p w14:paraId="0E1F887E" w14:textId="77777777" w:rsidR="00477DA1" w:rsidRPr="00477DA1" w:rsidRDefault="00477DA1" w:rsidP="00477DA1">
      <w:pPr>
        <w:spacing w:after="120" w:line="240" w:lineRule="exact"/>
        <w:ind w:left="283" w:hanging="283"/>
        <w:jc w:val="both"/>
        <w:rPr>
          <w:rFonts w:ascii="FrankRuehl" w:hAnsi="FrankRuehl" w:cs="FrankRuehl"/>
          <w:rtl/>
        </w:rPr>
      </w:pPr>
      <w:r w:rsidRPr="00477DA1">
        <w:rPr>
          <w:rFonts w:ascii="FrankRuehl" w:hAnsi="FrankRuehl" w:cs="FrankRuehl"/>
          <w:rtl/>
        </w:rPr>
        <w:t xml:space="preserve">חקיקה שאוזכרה: </w:t>
      </w:r>
    </w:p>
    <w:p w14:paraId="6AC41141" w14:textId="77777777" w:rsidR="00477DA1" w:rsidRPr="00477DA1" w:rsidRDefault="00477DA1" w:rsidP="00477DA1">
      <w:pPr>
        <w:spacing w:after="120" w:line="240" w:lineRule="exact"/>
        <w:ind w:left="283" w:hanging="283"/>
        <w:jc w:val="both"/>
        <w:rPr>
          <w:rFonts w:ascii="FrankRuehl" w:hAnsi="FrankRuehl" w:cs="FrankRuehl"/>
          <w:rtl/>
        </w:rPr>
      </w:pPr>
      <w:hyperlink r:id="rId7" w:history="1">
        <w:r w:rsidRPr="00477DA1">
          <w:rPr>
            <w:rFonts w:ascii="FrankRuehl" w:hAnsi="FrankRuehl" w:cs="FrankRuehl"/>
            <w:color w:val="0000FF"/>
            <w:u w:val="single"/>
            <w:rtl/>
          </w:rPr>
          <w:t>פקודת הסמים המסוכנים [נוסח חדש], תשל"ג-1973</w:t>
        </w:r>
      </w:hyperlink>
      <w:r w:rsidRPr="00477DA1">
        <w:rPr>
          <w:rFonts w:ascii="FrankRuehl" w:hAnsi="FrankRuehl" w:cs="FrankRuehl"/>
          <w:rtl/>
        </w:rPr>
        <w:t xml:space="preserve">: סע'  </w:t>
      </w:r>
      <w:hyperlink r:id="rId8" w:history="1">
        <w:r w:rsidRPr="00477DA1">
          <w:rPr>
            <w:rFonts w:ascii="FrankRuehl" w:hAnsi="FrankRuehl" w:cs="FrankRuehl"/>
            <w:color w:val="0000FF"/>
            <w:u w:val="single"/>
            <w:rtl/>
          </w:rPr>
          <w:t>7.א.</w:t>
        </w:r>
      </w:hyperlink>
      <w:r w:rsidRPr="00477DA1">
        <w:rPr>
          <w:rFonts w:ascii="FrankRuehl" w:hAnsi="FrankRuehl" w:cs="FrankRuehl"/>
          <w:rtl/>
        </w:rPr>
        <w:t xml:space="preserve">, </w:t>
      </w:r>
      <w:hyperlink r:id="rId9" w:history="1">
        <w:r w:rsidRPr="00477DA1">
          <w:rPr>
            <w:rFonts w:ascii="FrankRuehl" w:hAnsi="FrankRuehl" w:cs="FrankRuehl"/>
            <w:color w:val="0000FF"/>
            <w:u w:val="single"/>
            <w:rtl/>
          </w:rPr>
          <w:t>7.ג</w:t>
        </w:r>
      </w:hyperlink>
      <w:r w:rsidRPr="00477DA1">
        <w:rPr>
          <w:rFonts w:ascii="FrankRuehl" w:hAnsi="FrankRuehl" w:cs="FrankRuehl"/>
          <w:rtl/>
        </w:rPr>
        <w:t xml:space="preserve">, </w:t>
      </w:r>
      <w:hyperlink r:id="rId10" w:history="1">
        <w:r w:rsidRPr="00477DA1">
          <w:rPr>
            <w:rFonts w:ascii="FrankRuehl" w:hAnsi="FrankRuehl" w:cs="FrankRuehl"/>
            <w:color w:val="0000FF"/>
            <w:u w:val="single"/>
            <w:rtl/>
          </w:rPr>
          <w:t>13</w:t>
        </w:r>
      </w:hyperlink>
      <w:r w:rsidRPr="00477DA1">
        <w:rPr>
          <w:rFonts w:ascii="FrankRuehl" w:hAnsi="FrankRuehl" w:cs="FrankRuehl"/>
          <w:rtl/>
        </w:rPr>
        <w:t xml:space="preserve">, </w:t>
      </w:r>
      <w:hyperlink r:id="rId11" w:history="1">
        <w:r w:rsidRPr="00477DA1">
          <w:rPr>
            <w:rFonts w:ascii="FrankRuehl" w:hAnsi="FrankRuehl" w:cs="FrankRuehl"/>
            <w:color w:val="0000FF"/>
            <w:u w:val="single"/>
            <w:rtl/>
          </w:rPr>
          <w:t>19א</w:t>
        </w:r>
      </w:hyperlink>
    </w:p>
    <w:p w14:paraId="7ED6CF63" w14:textId="77777777" w:rsidR="00477DA1" w:rsidRPr="00477DA1" w:rsidRDefault="00477DA1" w:rsidP="00477DA1">
      <w:pPr>
        <w:spacing w:after="120" w:line="240" w:lineRule="exact"/>
        <w:ind w:left="283" w:hanging="283"/>
        <w:jc w:val="both"/>
        <w:rPr>
          <w:rFonts w:ascii="FrankRuehl" w:hAnsi="FrankRuehl" w:cs="FrankRuehl"/>
          <w:rtl/>
        </w:rPr>
      </w:pPr>
      <w:hyperlink r:id="rId12" w:history="1">
        <w:r w:rsidRPr="00477DA1">
          <w:rPr>
            <w:rFonts w:ascii="FrankRuehl" w:hAnsi="FrankRuehl" w:cs="FrankRuehl"/>
            <w:color w:val="0000FF"/>
            <w:u w:val="single"/>
            <w:rtl/>
          </w:rPr>
          <w:t>חוק הכניסה לישראל, תשי"ב-1952</w:t>
        </w:r>
      </w:hyperlink>
      <w:r w:rsidRPr="00477DA1">
        <w:rPr>
          <w:rFonts w:ascii="FrankRuehl" w:hAnsi="FrankRuehl" w:cs="FrankRuehl"/>
          <w:rtl/>
        </w:rPr>
        <w:t xml:space="preserve">: סע'  </w:t>
      </w:r>
      <w:hyperlink r:id="rId13" w:history="1">
        <w:r w:rsidRPr="00477DA1">
          <w:rPr>
            <w:rFonts w:ascii="FrankRuehl" w:hAnsi="FrankRuehl" w:cs="FrankRuehl"/>
            <w:color w:val="0000FF"/>
            <w:u w:val="single"/>
            <w:rtl/>
          </w:rPr>
          <w:t>12(1)</w:t>
        </w:r>
      </w:hyperlink>
    </w:p>
    <w:p w14:paraId="11DF14EF" w14:textId="77777777" w:rsidR="00477DA1" w:rsidRPr="00477DA1" w:rsidRDefault="00477DA1" w:rsidP="00477DA1">
      <w:pPr>
        <w:spacing w:after="120" w:line="240" w:lineRule="exact"/>
        <w:ind w:left="283" w:hanging="283"/>
        <w:jc w:val="both"/>
        <w:rPr>
          <w:rFonts w:ascii="FrankRuehl" w:hAnsi="FrankRuehl" w:cs="FrankRuehl"/>
          <w:rtl/>
        </w:rPr>
      </w:pPr>
      <w:hyperlink r:id="rId14" w:history="1">
        <w:r w:rsidRPr="00477DA1">
          <w:rPr>
            <w:rFonts w:ascii="FrankRuehl" w:hAnsi="FrankRuehl" w:cs="FrankRuehl"/>
            <w:color w:val="0000FF"/>
            <w:u w:val="single"/>
            <w:rtl/>
          </w:rPr>
          <w:t>פקודת התעבורה [נוסח חדש]</w:t>
        </w:r>
      </w:hyperlink>
      <w:r w:rsidRPr="00477DA1">
        <w:rPr>
          <w:rFonts w:ascii="FrankRuehl" w:hAnsi="FrankRuehl" w:cs="FrankRuehl"/>
          <w:rtl/>
        </w:rPr>
        <w:t xml:space="preserve">: סע'  </w:t>
      </w:r>
      <w:hyperlink r:id="rId15" w:history="1">
        <w:r w:rsidRPr="00477DA1">
          <w:rPr>
            <w:rFonts w:ascii="FrankRuehl" w:hAnsi="FrankRuehl" w:cs="FrankRuehl"/>
            <w:color w:val="0000FF"/>
            <w:u w:val="single"/>
            <w:rtl/>
          </w:rPr>
          <w:t>10(א)</w:t>
        </w:r>
      </w:hyperlink>
    </w:p>
    <w:p w14:paraId="3632D3FD" w14:textId="77777777" w:rsidR="00477DA1" w:rsidRPr="00477DA1" w:rsidRDefault="00477DA1" w:rsidP="00477DA1">
      <w:pPr>
        <w:spacing w:after="120" w:line="240" w:lineRule="exact"/>
        <w:ind w:left="283" w:hanging="283"/>
        <w:jc w:val="both"/>
        <w:rPr>
          <w:rFonts w:ascii="FrankRuehl" w:hAnsi="FrankRuehl" w:cs="FrankRuehl"/>
          <w:rtl/>
        </w:rPr>
      </w:pPr>
      <w:hyperlink r:id="rId16" w:history="1">
        <w:r w:rsidRPr="00477DA1">
          <w:rPr>
            <w:rFonts w:ascii="FrankRuehl" w:hAnsi="FrankRuehl" w:cs="FrankRuehl"/>
            <w:color w:val="0000FF"/>
            <w:u w:val="single"/>
            <w:rtl/>
          </w:rPr>
          <w:t>חוק העונשין, תשל"ז-1977</w:t>
        </w:r>
      </w:hyperlink>
      <w:r w:rsidRPr="00477DA1">
        <w:rPr>
          <w:rFonts w:ascii="FrankRuehl" w:hAnsi="FrankRuehl" w:cs="FrankRuehl"/>
          <w:rtl/>
        </w:rPr>
        <w:t xml:space="preserve">: סע'  </w:t>
      </w:r>
      <w:hyperlink r:id="rId17" w:history="1">
        <w:r w:rsidRPr="00477DA1">
          <w:rPr>
            <w:rFonts w:ascii="FrankRuehl" w:hAnsi="FrankRuehl" w:cs="FrankRuehl"/>
            <w:color w:val="0000FF"/>
            <w:u w:val="single"/>
            <w:rtl/>
          </w:rPr>
          <w:t>40ט'</w:t>
        </w:r>
      </w:hyperlink>
      <w:r w:rsidRPr="00477DA1">
        <w:rPr>
          <w:rFonts w:ascii="FrankRuehl" w:hAnsi="FrankRuehl" w:cs="FrankRuehl"/>
          <w:rtl/>
        </w:rPr>
        <w:t xml:space="preserve">, </w:t>
      </w:r>
      <w:hyperlink r:id="rId18" w:history="1">
        <w:r w:rsidRPr="00477DA1">
          <w:rPr>
            <w:rFonts w:ascii="FrankRuehl" w:hAnsi="FrankRuehl" w:cs="FrankRuehl"/>
            <w:color w:val="0000FF"/>
            <w:u w:val="single"/>
            <w:rtl/>
          </w:rPr>
          <w:t>40יא</w:t>
        </w:r>
      </w:hyperlink>
      <w:r w:rsidRPr="00477DA1">
        <w:rPr>
          <w:rFonts w:ascii="FrankRuehl" w:hAnsi="FrankRuehl" w:cs="FrankRuehl"/>
          <w:rtl/>
        </w:rPr>
        <w:t xml:space="preserve">, </w:t>
      </w:r>
      <w:hyperlink r:id="rId19" w:history="1">
        <w:r w:rsidRPr="00477DA1">
          <w:rPr>
            <w:rFonts w:ascii="FrankRuehl" w:hAnsi="FrankRuehl" w:cs="FrankRuehl"/>
            <w:color w:val="0000FF"/>
            <w:u w:val="single"/>
            <w:rtl/>
          </w:rPr>
          <w:t>420</w:t>
        </w:r>
      </w:hyperlink>
    </w:p>
    <w:p w14:paraId="56FB6F78" w14:textId="77777777" w:rsidR="002578E9" w:rsidRPr="002578E9" w:rsidRDefault="002578E9" w:rsidP="00841735">
      <w:pPr>
        <w:rPr>
          <w:rFonts w:cs="FrankRuehl"/>
          <w:rtl/>
        </w:rPr>
      </w:pPr>
    </w:p>
    <w:p w14:paraId="06F03147" w14:textId="77777777" w:rsidR="00841735" w:rsidRPr="002578E9" w:rsidRDefault="00841735" w:rsidP="00841735">
      <w:pPr>
        <w:rPr>
          <w:rFonts w:cs="FrankRueh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1735" w:rsidRPr="00E628C3" w14:paraId="251EB5B2" w14:textId="77777777" w:rsidTr="00841735">
        <w:trPr>
          <w:trHeight w:val="355"/>
          <w:jc w:val="center"/>
        </w:trPr>
        <w:tc>
          <w:tcPr>
            <w:tcW w:w="8820" w:type="dxa"/>
            <w:tcBorders>
              <w:top w:val="nil"/>
              <w:left w:val="nil"/>
              <w:bottom w:val="nil"/>
              <w:right w:val="nil"/>
            </w:tcBorders>
            <w:shd w:val="clear" w:color="auto" w:fill="auto"/>
          </w:tcPr>
          <w:p w14:paraId="479F2CBC" w14:textId="77777777" w:rsidR="002578E9" w:rsidRPr="002578E9" w:rsidRDefault="002578E9" w:rsidP="002578E9">
            <w:pPr>
              <w:jc w:val="center"/>
              <w:rPr>
                <w:rFonts w:ascii="Arial" w:hAnsi="Arial" w:cs="FrankRuehl"/>
                <w:b/>
                <w:bCs/>
                <w:sz w:val="32"/>
                <w:szCs w:val="32"/>
                <w:u w:val="single"/>
                <w:rtl/>
              </w:rPr>
            </w:pPr>
            <w:bookmarkStart w:id="4" w:name="PsakDin" w:colFirst="0" w:colLast="0"/>
            <w:bookmarkEnd w:id="0"/>
            <w:r w:rsidRPr="002578E9">
              <w:rPr>
                <w:rFonts w:ascii="Arial" w:hAnsi="Arial" w:cs="FrankRuehl"/>
                <w:b/>
                <w:bCs/>
                <w:sz w:val="32"/>
                <w:szCs w:val="32"/>
                <w:u w:val="single"/>
                <w:rtl/>
              </w:rPr>
              <w:t>גזר דין</w:t>
            </w:r>
          </w:p>
          <w:p w14:paraId="40840E20" w14:textId="77777777" w:rsidR="00841735" w:rsidRPr="002578E9" w:rsidRDefault="00841735" w:rsidP="002578E9">
            <w:pPr>
              <w:jc w:val="center"/>
              <w:rPr>
                <w:rFonts w:ascii="Arial" w:hAnsi="Arial" w:cs="FrankRuehl"/>
                <w:bCs/>
                <w:sz w:val="32"/>
                <w:szCs w:val="32"/>
                <w:u w:val="single"/>
                <w:rtl/>
              </w:rPr>
            </w:pPr>
          </w:p>
        </w:tc>
      </w:tr>
      <w:bookmarkEnd w:id="4"/>
    </w:tbl>
    <w:p w14:paraId="262D3FDD" w14:textId="77777777" w:rsidR="00841735" w:rsidRPr="00E628C3" w:rsidRDefault="00841735" w:rsidP="00841735">
      <w:pPr>
        <w:rPr>
          <w:rFonts w:ascii="Arial" w:hAnsi="Arial" w:cs="FrankRuehl"/>
          <w:rtl/>
        </w:rPr>
      </w:pPr>
    </w:p>
    <w:p w14:paraId="30F7BEBA" w14:textId="77777777" w:rsidR="00841735" w:rsidRPr="00E628C3" w:rsidRDefault="00841735" w:rsidP="00841735">
      <w:pPr>
        <w:rPr>
          <w:rFonts w:ascii="Arial" w:hAnsi="Arial" w:cs="FrankRuehl"/>
          <w:rtl/>
        </w:rPr>
      </w:pPr>
    </w:p>
    <w:p w14:paraId="2B5CBD50" w14:textId="77777777" w:rsidR="00841735" w:rsidRPr="00E628C3" w:rsidRDefault="00841735" w:rsidP="00841735">
      <w:pPr>
        <w:rPr>
          <w:rFonts w:cs="FrankRuehl"/>
          <w:rtl/>
        </w:rPr>
      </w:pPr>
    </w:p>
    <w:p w14:paraId="1FD77471" w14:textId="77777777" w:rsidR="00841735" w:rsidRPr="00E628C3" w:rsidRDefault="00841735" w:rsidP="00841735">
      <w:pPr>
        <w:rPr>
          <w:rFonts w:cs="FrankRuehl"/>
          <w:b/>
          <w:bCs/>
          <w:u w:val="single"/>
        </w:rPr>
      </w:pPr>
      <w:r w:rsidRPr="00E628C3">
        <w:rPr>
          <w:rFonts w:cs="FrankRuehl" w:hint="cs"/>
          <w:b/>
          <w:bCs/>
          <w:u w:val="single"/>
          <w:rtl/>
        </w:rPr>
        <w:t>כתב האישום</w:t>
      </w:r>
    </w:p>
    <w:p w14:paraId="279AC661" w14:textId="77777777" w:rsidR="00841735" w:rsidRPr="00841735" w:rsidRDefault="00841735" w:rsidP="00841735">
      <w:pPr>
        <w:spacing w:after="160" w:line="360" w:lineRule="auto"/>
        <w:jc w:val="both"/>
        <w:rPr>
          <w:rFonts w:ascii="Calibri" w:hAnsi="Calibri" w:cs="FrankRuehl"/>
        </w:rPr>
      </w:pPr>
    </w:p>
    <w:p w14:paraId="77B93AF8" w14:textId="77777777" w:rsidR="00841735" w:rsidRPr="00841735" w:rsidRDefault="00841735" w:rsidP="00841735">
      <w:pPr>
        <w:spacing w:after="160" w:line="360" w:lineRule="auto"/>
        <w:jc w:val="both"/>
        <w:rPr>
          <w:rFonts w:ascii="Calibri" w:hAnsi="Calibri" w:cs="FrankRuehl"/>
          <w:rtl/>
        </w:rPr>
      </w:pPr>
      <w:bookmarkStart w:id="5" w:name="ABSTRACT_START"/>
      <w:bookmarkEnd w:id="5"/>
      <w:r w:rsidRPr="00841735">
        <w:rPr>
          <w:rFonts w:ascii="Calibri" w:hAnsi="Calibri" w:cs="FrankRuehl" w:hint="cs"/>
          <w:rtl/>
        </w:rPr>
        <w:t>הנאשם הורשע על פי הודאתו בעבירות ובעובדות המנויות בכתב האישום כמפורט להלן.</w:t>
      </w:r>
    </w:p>
    <w:p w14:paraId="18184417"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t>האישום הראשון</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הנאשם מכר סם מסוג חשיש לסוכן משטרתי במשקל 0.89 גרם תמורת 100 </w:t>
      </w:r>
      <w:r w:rsidRPr="00841735">
        <w:rPr>
          <w:rFonts w:ascii="Calibri" w:hAnsi="Calibri" w:cs="FrankRuehl" w:hint="eastAsia"/>
          <w:rtl/>
        </w:rPr>
        <w:t>₪</w:t>
      </w:r>
      <w:r w:rsidRPr="00841735">
        <w:rPr>
          <w:rFonts w:ascii="Calibri" w:hAnsi="Calibri" w:cs="FrankRuehl" w:hint="cs"/>
          <w:rtl/>
        </w:rPr>
        <w:t xml:space="preserve"> ביום 20.3.2018. בגין כך הודה והורשע בעבירת סחר בסמים, לפי סעיף </w:t>
      </w:r>
      <w:hyperlink r:id="rId20" w:history="1">
        <w:r w:rsidR="00477DA1" w:rsidRPr="00477DA1">
          <w:rPr>
            <w:rFonts w:ascii="Calibri" w:hAnsi="Calibri" w:cs="FrankRuehl"/>
            <w:color w:val="0000FF"/>
            <w:u w:val="single"/>
            <w:rtl/>
          </w:rPr>
          <w:t>13 + 19</w:t>
        </w:r>
        <w:r w:rsidR="00477DA1" w:rsidRPr="00477DA1">
          <w:rPr>
            <w:rFonts w:ascii="Calibri" w:hAnsi="Calibri" w:cs="FrankRuehl" w:hint="eastAsia"/>
            <w:color w:val="0000FF"/>
            <w:u w:val="single"/>
            <w:rtl/>
          </w:rPr>
          <w:t>א</w:t>
        </w:r>
      </w:hyperlink>
      <w:r w:rsidRPr="00841735">
        <w:rPr>
          <w:rFonts w:ascii="Calibri" w:hAnsi="Calibri" w:cs="FrankRuehl" w:hint="cs"/>
          <w:rtl/>
        </w:rPr>
        <w:t xml:space="preserve"> ל</w:t>
      </w:r>
      <w:hyperlink r:id="rId21" w:history="1">
        <w:r w:rsidR="002578E9" w:rsidRPr="002578E9">
          <w:rPr>
            <w:rFonts w:ascii="Calibri" w:hAnsi="Calibri" w:cs="FrankRuehl" w:hint="eastAsia"/>
            <w:color w:val="0000FF"/>
            <w:u w:val="single"/>
            <w:rtl/>
          </w:rPr>
          <w:t>פקודת</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הסמים</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המסוכנים</w:t>
        </w:r>
      </w:hyperlink>
      <w:r w:rsidRPr="00841735">
        <w:rPr>
          <w:rFonts w:ascii="Calibri" w:hAnsi="Calibri" w:cs="FrankRuehl" w:hint="cs"/>
          <w:rtl/>
        </w:rPr>
        <w:t xml:space="preserve"> וכן בשהיה בלתי חוקית בישראל, לפי </w:t>
      </w:r>
      <w:hyperlink r:id="rId22" w:history="1">
        <w:r w:rsidR="00477DA1" w:rsidRPr="00477DA1">
          <w:rPr>
            <w:rFonts w:ascii="Calibri" w:hAnsi="Calibri" w:cs="FrankRuehl" w:hint="eastAsia"/>
            <w:color w:val="0000FF"/>
            <w:u w:val="single"/>
            <w:rtl/>
          </w:rPr>
          <w:t>סעיף</w:t>
        </w:r>
        <w:r w:rsidR="00477DA1" w:rsidRPr="00477DA1">
          <w:rPr>
            <w:rFonts w:ascii="Calibri" w:hAnsi="Calibri" w:cs="FrankRuehl"/>
            <w:color w:val="0000FF"/>
            <w:u w:val="single"/>
            <w:rtl/>
          </w:rPr>
          <w:t xml:space="preserve"> 12(1)</w:t>
        </w:r>
      </w:hyperlink>
      <w:r w:rsidRPr="00841735">
        <w:rPr>
          <w:rFonts w:ascii="Calibri" w:hAnsi="Calibri" w:cs="FrankRuehl" w:hint="cs"/>
          <w:rtl/>
        </w:rPr>
        <w:t xml:space="preserve"> ל</w:t>
      </w:r>
      <w:hyperlink r:id="rId23" w:history="1">
        <w:r w:rsidR="002578E9" w:rsidRPr="002578E9">
          <w:rPr>
            <w:rFonts w:ascii="Calibri" w:hAnsi="Calibri" w:cs="FrankRuehl" w:hint="eastAsia"/>
            <w:color w:val="0000FF"/>
            <w:u w:val="single"/>
            <w:rtl/>
          </w:rPr>
          <w:t>חוק</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הכניסה</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לישראל</w:t>
        </w:r>
      </w:hyperlink>
      <w:r w:rsidRPr="00841735">
        <w:rPr>
          <w:rFonts w:ascii="Calibri" w:hAnsi="Calibri" w:cs="FrankRuehl" w:hint="cs"/>
          <w:rtl/>
        </w:rPr>
        <w:t>, התשי"ב-1952;</w:t>
      </w:r>
    </w:p>
    <w:p w14:paraId="75F8F3E7"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t>האישום השני</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ביום 2.4.2018 מכר הנאשם לסוכן חשיש במשקל 0.5 גרם תמורת 50 </w:t>
      </w:r>
      <w:r w:rsidRPr="00841735">
        <w:rPr>
          <w:rFonts w:ascii="Calibri" w:hAnsi="Calibri" w:cs="FrankRuehl" w:hint="eastAsia"/>
          <w:rtl/>
        </w:rPr>
        <w:t>₪</w:t>
      </w:r>
      <w:r w:rsidRPr="00841735">
        <w:rPr>
          <w:rFonts w:ascii="Calibri" w:hAnsi="Calibri" w:cs="FrankRuehl" w:hint="cs"/>
          <w:rtl/>
        </w:rPr>
        <w:t xml:space="preserve"> בעודו שב"ח;</w:t>
      </w:r>
    </w:p>
    <w:p w14:paraId="6AB1E50B"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t>האישום השלישי</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ביום 2.5.2018 מכר הנאשם לסוכן "נייס גאי" בשתי שקיות תמורת 100 </w:t>
      </w:r>
      <w:r w:rsidRPr="00841735">
        <w:rPr>
          <w:rFonts w:ascii="Calibri" w:hAnsi="Calibri" w:cs="FrankRuehl" w:hint="eastAsia"/>
          <w:rtl/>
        </w:rPr>
        <w:t>₪</w:t>
      </w:r>
      <w:r w:rsidRPr="00841735">
        <w:rPr>
          <w:rFonts w:ascii="Calibri" w:hAnsi="Calibri" w:cs="FrankRuehl" w:hint="cs"/>
          <w:rtl/>
        </w:rPr>
        <w:t xml:space="preserve"> בעודו שב"ח;</w:t>
      </w:r>
    </w:p>
    <w:p w14:paraId="45ACC836"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lastRenderedPageBreak/>
        <w:t>האישום הרביעי</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ביום 6.5.2018 ביצע הנאשם מעשים דומים באותו סוג סם ועבור אותה תמורה כשהוא נוהג ללא רישיון. בגין אישום זה הורשע הנאשם גם בעבירה של נהיגה ללא רישיון למי שמעולם לא הוציא רישיון נהיגה, לפי </w:t>
      </w:r>
      <w:hyperlink r:id="rId24" w:history="1">
        <w:r w:rsidR="00477DA1" w:rsidRPr="00477DA1">
          <w:rPr>
            <w:rFonts w:ascii="Calibri" w:hAnsi="Calibri" w:cs="FrankRuehl" w:hint="eastAsia"/>
            <w:color w:val="0000FF"/>
            <w:u w:val="single"/>
            <w:rtl/>
          </w:rPr>
          <w:t>סעיף</w:t>
        </w:r>
        <w:r w:rsidR="00477DA1" w:rsidRPr="00477DA1">
          <w:rPr>
            <w:rFonts w:ascii="Calibri" w:hAnsi="Calibri" w:cs="FrankRuehl"/>
            <w:color w:val="0000FF"/>
            <w:u w:val="single"/>
            <w:rtl/>
          </w:rPr>
          <w:t xml:space="preserve"> 10(</w:t>
        </w:r>
        <w:r w:rsidR="00477DA1" w:rsidRPr="00477DA1">
          <w:rPr>
            <w:rFonts w:ascii="Calibri" w:hAnsi="Calibri" w:cs="FrankRuehl" w:hint="eastAsia"/>
            <w:color w:val="0000FF"/>
            <w:u w:val="single"/>
            <w:rtl/>
          </w:rPr>
          <w:t>א</w:t>
        </w:r>
        <w:r w:rsidR="00477DA1" w:rsidRPr="00477DA1">
          <w:rPr>
            <w:rFonts w:ascii="Calibri" w:hAnsi="Calibri" w:cs="FrankRuehl"/>
            <w:color w:val="0000FF"/>
            <w:u w:val="single"/>
            <w:rtl/>
          </w:rPr>
          <w:t>)</w:t>
        </w:r>
      </w:hyperlink>
      <w:r w:rsidRPr="00841735">
        <w:rPr>
          <w:rFonts w:ascii="Calibri" w:hAnsi="Calibri" w:cs="FrankRuehl" w:hint="cs"/>
          <w:rtl/>
        </w:rPr>
        <w:t xml:space="preserve"> ל</w:t>
      </w:r>
      <w:hyperlink r:id="rId25" w:history="1">
        <w:r w:rsidR="002578E9" w:rsidRPr="002578E9">
          <w:rPr>
            <w:rFonts w:ascii="Calibri" w:hAnsi="Calibri" w:cs="FrankRuehl" w:hint="eastAsia"/>
            <w:color w:val="0000FF"/>
            <w:u w:val="single"/>
            <w:rtl/>
          </w:rPr>
          <w:t>פקודת</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התעבורה</w:t>
        </w:r>
      </w:hyperlink>
      <w:r w:rsidRPr="00841735">
        <w:rPr>
          <w:rFonts w:ascii="Calibri" w:hAnsi="Calibri" w:cs="FrankRuehl" w:hint="cs"/>
          <w:rtl/>
        </w:rPr>
        <w:t>;</w:t>
      </w:r>
    </w:p>
    <w:p w14:paraId="1089AB11"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t>האישום החמישי</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ביום 4.6.2018, בעת חיפוש שבוצע בביתו במ"פ שועפט, נמצאו סמים מסוג חשיש במשקל 3.51 גרם והירואין במשקל 0.6604 גרם וכן רישיון נהיגה מזויף על שמו הנושא תמונתו, תמורתו שילם 1,000 </w:t>
      </w:r>
      <w:r w:rsidRPr="00841735">
        <w:rPr>
          <w:rFonts w:ascii="Calibri" w:hAnsi="Calibri" w:cs="FrankRuehl" w:hint="eastAsia"/>
          <w:rtl/>
        </w:rPr>
        <w:t>₪</w:t>
      </w:r>
      <w:r w:rsidRPr="00841735">
        <w:rPr>
          <w:rFonts w:ascii="Calibri" w:hAnsi="Calibri" w:cs="FrankRuehl" w:hint="cs"/>
          <w:rtl/>
        </w:rPr>
        <w:t xml:space="preserve">. בשל אישום זה הורשע הנאשם בהחזקת סם שלא לצריכה עצמית, לפי </w:t>
      </w:r>
      <w:hyperlink r:id="rId26" w:history="1">
        <w:r w:rsidR="00477DA1" w:rsidRPr="00477DA1">
          <w:rPr>
            <w:rFonts w:ascii="Calibri" w:hAnsi="Calibri" w:cs="FrankRuehl" w:hint="eastAsia"/>
            <w:color w:val="0000FF"/>
            <w:u w:val="single"/>
            <w:rtl/>
          </w:rPr>
          <w:t>סעיף</w:t>
        </w:r>
        <w:r w:rsidR="00477DA1" w:rsidRPr="00477DA1">
          <w:rPr>
            <w:rFonts w:ascii="Calibri" w:hAnsi="Calibri" w:cs="FrankRuehl"/>
            <w:color w:val="0000FF"/>
            <w:u w:val="single"/>
            <w:rtl/>
          </w:rPr>
          <w:t xml:space="preserve"> 7(</w:t>
        </w:r>
        <w:r w:rsidR="00477DA1" w:rsidRPr="00477DA1">
          <w:rPr>
            <w:rFonts w:ascii="Calibri" w:hAnsi="Calibri" w:cs="FrankRuehl" w:hint="eastAsia"/>
            <w:color w:val="0000FF"/>
            <w:u w:val="single"/>
            <w:rtl/>
          </w:rPr>
          <w:t>א</w:t>
        </w:r>
        <w:r w:rsidR="00477DA1" w:rsidRPr="00477DA1">
          <w:rPr>
            <w:rFonts w:ascii="Calibri" w:hAnsi="Calibri" w:cs="FrankRuehl"/>
            <w:color w:val="0000FF"/>
            <w:u w:val="single"/>
            <w:rtl/>
          </w:rPr>
          <w:t>) + (</w:t>
        </w:r>
        <w:r w:rsidR="00477DA1" w:rsidRPr="00477DA1">
          <w:rPr>
            <w:rFonts w:ascii="Calibri" w:hAnsi="Calibri" w:cs="FrankRuehl" w:hint="eastAsia"/>
            <w:color w:val="0000FF"/>
            <w:u w:val="single"/>
            <w:rtl/>
          </w:rPr>
          <w:t>ג</w:t>
        </w:r>
        <w:r w:rsidR="00477DA1" w:rsidRPr="00477DA1">
          <w:rPr>
            <w:rFonts w:ascii="Calibri" w:hAnsi="Calibri" w:cs="FrankRuehl"/>
            <w:color w:val="0000FF"/>
            <w:u w:val="single"/>
            <w:rtl/>
          </w:rPr>
          <w:t>)</w:t>
        </w:r>
      </w:hyperlink>
      <w:r w:rsidRPr="00841735">
        <w:rPr>
          <w:rFonts w:ascii="Calibri" w:hAnsi="Calibri" w:cs="FrankRuehl" w:hint="cs"/>
          <w:rtl/>
        </w:rPr>
        <w:t xml:space="preserve">רישא לפקודת הסמים ובשימוש במסמך מזויף לפי </w:t>
      </w:r>
      <w:hyperlink r:id="rId27" w:history="1">
        <w:r w:rsidR="00477DA1" w:rsidRPr="00477DA1">
          <w:rPr>
            <w:rFonts w:ascii="Calibri" w:hAnsi="Calibri" w:cs="FrankRuehl" w:hint="eastAsia"/>
            <w:color w:val="0000FF"/>
            <w:u w:val="single"/>
            <w:rtl/>
          </w:rPr>
          <w:t>סעיף</w:t>
        </w:r>
        <w:r w:rsidR="00477DA1" w:rsidRPr="00477DA1">
          <w:rPr>
            <w:rFonts w:ascii="Calibri" w:hAnsi="Calibri" w:cs="FrankRuehl"/>
            <w:color w:val="0000FF"/>
            <w:u w:val="single"/>
            <w:rtl/>
          </w:rPr>
          <w:t xml:space="preserve"> 420</w:t>
        </w:r>
      </w:hyperlink>
      <w:r w:rsidRPr="00841735">
        <w:rPr>
          <w:rFonts w:ascii="Calibri" w:hAnsi="Calibri" w:cs="FrankRuehl" w:hint="cs"/>
          <w:rtl/>
        </w:rPr>
        <w:t xml:space="preserve"> ל</w:t>
      </w:r>
      <w:hyperlink r:id="rId28" w:history="1">
        <w:r w:rsidR="002578E9" w:rsidRPr="002578E9">
          <w:rPr>
            <w:rFonts w:ascii="Calibri" w:hAnsi="Calibri" w:cs="FrankRuehl" w:hint="eastAsia"/>
            <w:color w:val="0000FF"/>
            <w:u w:val="single"/>
            <w:rtl/>
          </w:rPr>
          <w:t>חוק</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העונשין</w:t>
        </w:r>
      </w:hyperlink>
      <w:r w:rsidRPr="00841735">
        <w:rPr>
          <w:rFonts w:ascii="Calibri" w:hAnsi="Calibri" w:cs="FrankRuehl" w:hint="cs"/>
          <w:rtl/>
        </w:rPr>
        <w:t>, התשל"ז-1977;</w:t>
      </w:r>
    </w:p>
    <w:p w14:paraId="0C7470CA" w14:textId="77777777" w:rsidR="00841735" w:rsidRPr="00841735" w:rsidRDefault="00841735" w:rsidP="00841735">
      <w:pPr>
        <w:spacing w:after="160" w:line="360" w:lineRule="auto"/>
        <w:jc w:val="both"/>
        <w:rPr>
          <w:rFonts w:ascii="Calibri" w:hAnsi="Calibri" w:cs="FrankRuehl"/>
          <w:b/>
          <w:bCs/>
          <w:rtl/>
        </w:rPr>
      </w:pPr>
      <w:r w:rsidRPr="00841735">
        <w:rPr>
          <w:rFonts w:ascii="Calibri" w:hAnsi="Calibri" w:cs="FrankRuehl" w:hint="cs"/>
          <w:b/>
          <w:bCs/>
          <w:rtl/>
        </w:rPr>
        <w:t>בסה"כ הודה והורשע הנאשם בביצוע 4 עבירות סחר בסמים; 3 עבירות שב"ח; נהיגה ללא רישיון; החזקת סם שלא לצריכה עצמית ושימוש במסמך מזויף.</w:t>
      </w:r>
    </w:p>
    <w:p w14:paraId="6A179F0A" w14:textId="77777777" w:rsidR="00841735" w:rsidRPr="00841735" w:rsidRDefault="00841735" w:rsidP="00841735">
      <w:pPr>
        <w:spacing w:after="160" w:line="360" w:lineRule="auto"/>
        <w:jc w:val="both"/>
        <w:rPr>
          <w:rFonts w:ascii="Calibri" w:hAnsi="Calibri" w:cs="FrankRuehl"/>
          <w:rtl/>
        </w:rPr>
      </w:pPr>
      <w:bookmarkStart w:id="6" w:name="ABSTRACT_END"/>
      <w:bookmarkEnd w:id="6"/>
    </w:p>
    <w:p w14:paraId="273D428A" w14:textId="77777777" w:rsidR="00841735" w:rsidRPr="00841735" w:rsidRDefault="00841735" w:rsidP="00841735">
      <w:pPr>
        <w:spacing w:after="160" w:line="360" w:lineRule="auto"/>
        <w:jc w:val="both"/>
        <w:rPr>
          <w:rFonts w:ascii="Calibri" w:hAnsi="Calibri" w:cs="FrankRuehl"/>
        </w:rPr>
      </w:pPr>
    </w:p>
    <w:p w14:paraId="742E5DEE" w14:textId="77777777" w:rsidR="00841735" w:rsidRPr="00841735" w:rsidRDefault="00841735" w:rsidP="00841735">
      <w:pPr>
        <w:spacing w:after="160" w:line="360" w:lineRule="auto"/>
        <w:jc w:val="both"/>
        <w:rPr>
          <w:rFonts w:ascii="Calibri" w:hAnsi="Calibri" w:cs="FrankRuehl"/>
          <w:b/>
          <w:bCs/>
          <w:u w:val="single"/>
          <w:rtl/>
        </w:rPr>
      </w:pPr>
      <w:r w:rsidRPr="00841735">
        <w:rPr>
          <w:rFonts w:ascii="Calibri" w:hAnsi="Calibri" w:cs="FrankRuehl" w:hint="cs"/>
          <w:b/>
          <w:bCs/>
          <w:u w:val="single"/>
          <w:rtl/>
        </w:rPr>
        <w:t>טיעונים לעונש</w:t>
      </w:r>
    </w:p>
    <w:p w14:paraId="31D65D56"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 xml:space="preserve">הצדדים לא הגיעו להסכמה עונשית. </w:t>
      </w:r>
    </w:p>
    <w:p w14:paraId="07C7790C"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מחד, המאשימה טוענת כי יש להטיל על הנאשם עונש שלא יפחת מ-34 חודשי מאסר, מאסר על תנאי, וקנס, וזאת בשל חומרת העבירות, הישנותן, העובדה שבוצעו תוך כדי שהיה בלתי חוקית בישראל ועברו הפלילי של הנאשם.</w:t>
      </w:r>
    </w:p>
    <w:p w14:paraId="0A7B7BCF"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 xml:space="preserve">מאידך, הסניגור טוען כי ניתן להסתפק בעונש של חצי שנת מאסר לנוכח הודאת הנאשם במיוחס לו, נסיבותיו וטיבם הקל של הסמים, לטענתו.  </w:t>
      </w:r>
    </w:p>
    <w:p w14:paraId="3E495B63" w14:textId="77777777" w:rsidR="00841735" w:rsidRPr="00841735" w:rsidRDefault="00841735" w:rsidP="00841735">
      <w:pPr>
        <w:spacing w:after="160" w:line="360" w:lineRule="auto"/>
        <w:jc w:val="both"/>
        <w:rPr>
          <w:rFonts w:ascii="Calibri" w:hAnsi="Calibri" w:cs="FrankRuehl"/>
          <w:b/>
          <w:bCs/>
          <w:u w:val="single"/>
          <w:rtl/>
        </w:rPr>
      </w:pPr>
    </w:p>
    <w:p w14:paraId="1F43BEBB" w14:textId="77777777" w:rsidR="00841735" w:rsidRPr="00841735" w:rsidRDefault="00841735" w:rsidP="00841735">
      <w:pPr>
        <w:spacing w:after="160" w:line="360" w:lineRule="auto"/>
        <w:jc w:val="both"/>
        <w:rPr>
          <w:rFonts w:ascii="Calibri" w:hAnsi="Calibri" w:cs="FrankRuehl"/>
          <w:b/>
          <w:bCs/>
          <w:u w:val="single"/>
          <w:rtl/>
        </w:rPr>
      </w:pPr>
      <w:r w:rsidRPr="00841735">
        <w:rPr>
          <w:rFonts w:ascii="Calibri" w:hAnsi="Calibri" w:cs="FrankRuehl" w:hint="cs"/>
          <w:b/>
          <w:bCs/>
          <w:u w:val="single"/>
          <w:rtl/>
        </w:rPr>
        <w:t xml:space="preserve">קביעת מתחם הענישה </w:t>
      </w:r>
      <w:r w:rsidRPr="00841735">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4F8D6A4" w14:textId="77777777" w:rsidR="00841735" w:rsidRPr="00841735" w:rsidRDefault="00841735" w:rsidP="00841735">
      <w:pPr>
        <w:spacing w:after="160" w:line="360" w:lineRule="auto"/>
        <w:jc w:val="both"/>
        <w:rPr>
          <w:rFonts w:ascii="Calibri" w:hAnsi="Calibri" w:cs="FrankRuehl"/>
          <w:b/>
          <w:bCs/>
          <w:u w:val="single"/>
          <w:rtl/>
        </w:rPr>
      </w:pPr>
    </w:p>
    <w:p w14:paraId="594F08B9"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 xml:space="preserve">אשר לערך המוגן </w:t>
      </w:r>
      <w:r w:rsidRPr="00841735">
        <w:rPr>
          <w:rFonts w:ascii="Calibri" w:hAnsi="Calibri" w:cs="FrankRuehl" w:hint="cs"/>
          <w:rtl/>
        </w:rPr>
        <w:t xml:space="preserve">– העבירות אותן עבר הנאשם פוגעות במספר ערכים מוגנים. </w:t>
      </w:r>
      <w:r w:rsidRPr="00841735">
        <w:rPr>
          <w:rFonts w:ascii="Calibri" w:hAnsi="Calibri" w:cs="FrankRuehl" w:hint="cs"/>
          <w:b/>
          <w:bCs/>
          <w:rtl/>
        </w:rPr>
        <w:t xml:space="preserve">בעבירות סמים, </w:t>
      </w:r>
      <w:r w:rsidRPr="00841735">
        <w:rPr>
          <w:rFonts w:ascii="Calibri" w:hAnsi="Calibri" w:cs="FrankRuehl" w:hint="cs"/>
          <w:rtl/>
        </w:rPr>
        <w:t xml:space="preserve">הערך הנפגע הוא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ברע"פ 3343/07 </w:t>
      </w:r>
      <w:r w:rsidRPr="00841735">
        <w:rPr>
          <w:rFonts w:ascii="Calibri" w:hAnsi="Calibri" w:cs="FrankRuehl" w:hint="cs"/>
          <w:b/>
          <w:bCs/>
          <w:u w:val="single"/>
          <w:rtl/>
        </w:rPr>
        <w:t>מכאוי</w:t>
      </w:r>
      <w:r w:rsidRPr="00841735">
        <w:rPr>
          <w:rFonts w:ascii="Calibri" w:hAnsi="Calibri" w:cs="FrankRuehl" w:hint="cs"/>
          <w:rtl/>
        </w:rPr>
        <w:t xml:space="preserve"> נ' </w:t>
      </w:r>
      <w:r w:rsidRPr="00841735">
        <w:rPr>
          <w:rFonts w:ascii="Calibri" w:hAnsi="Calibri" w:cs="FrankRuehl" w:hint="cs"/>
          <w:b/>
          <w:bCs/>
          <w:u w:val="single"/>
          <w:rtl/>
        </w:rPr>
        <w:t>מ"</w:t>
      </w:r>
      <w:r w:rsidRPr="00841735">
        <w:rPr>
          <w:rFonts w:ascii="Calibri" w:hAnsi="Calibri" w:cs="FrankRuehl" w:hint="cs"/>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p>
    <w:p w14:paraId="480E956C"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lastRenderedPageBreak/>
        <w:t>אשר לעבירת השהיה הבלתי חוקית</w:t>
      </w:r>
      <w:r w:rsidRPr="00841735">
        <w:rPr>
          <w:rFonts w:ascii="Calibri" w:hAnsi="Calibri" w:cs="FrankRuehl" w:hint="cs"/>
          <w:rtl/>
        </w:rPr>
        <w:t>, הערך הנפגע הוא השמירה על ריבונותה של המדינה וזכותה הטבועה לדאוג לביקורת הבאים בשעריה, במטרה לשמור על ביטחון אזרחיה ושלומם.</w:t>
      </w:r>
    </w:p>
    <w:p w14:paraId="72871F81" w14:textId="77777777" w:rsidR="00841735" w:rsidRPr="00841735" w:rsidRDefault="00841735" w:rsidP="00841735">
      <w:pPr>
        <w:spacing w:after="160" w:line="360" w:lineRule="auto"/>
        <w:jc w:val="both"/>
        <w:rPr>
          <w:rFonts w:ascii="Calibri" w:hAnsi="Calibri" w:cs="FrankRuehl"/>
          <w:b/>
          <w:bCs/>
          <w:rtl/>
        </w:rPr>
      </w:pPr>
      <w:r w:rsidRPr="00841735">
        <w:rPr>
          <w:rFonts w:ascii="Calibri" w:hAnsi="Calibri" w:cs="FrankRuehl" w:hint="cs"/>
          <w:b/>
          <w:bCs/>
          <w:rtl/>
        </w:rPr>
        <w:t xml:space="preserve">אשר לעבירת הזיוף </w:t>
      </w:r>
      <w:r w:rsidRPr="00841735">
        <w:rPr>
          <w:rFonts w:ascii="Calibri" w:hAnsi="Calibri" w:cs="FrankRuehl"/>
          <w:rtl/>
        </w:rPr>
        <w:t>–</w:t>
      </w:r>
      <w:r w:rsidRPr="00841735">
        <w:rPr>
          <w:rFonts w:ascii="Calibri" w:hAnsi="Calibri" w:cs="FrankRuehl" w:hint="cs"/>
          <w:rtl/>
        </w:rPr>
        <w:t xml:space="preserve"> עבירה זו פוגעת בסדרי שלטון ומשפט ומקשה על כוחות המשטרה והביטחון לברר ביעילות זהותם של חשודים ואחרים.</w:t>
      </w:r>
      <w:r w:rsidRPr="00841735">
        <w:rPr>
          <w:rFonts w:ascii="Calibri" w:hAnsi="Calibri" w:cs="FrankRuehl" w:hint="cs"/>
          <w:b/>
          <w:bCs/>
          <w:rtl/>
        </w:rPr>
        <w:t xml:space="preserve"> </w:t>
      </w:r>
    </w:p>
    <w:p w14:paraId="44D09ECF" w14:textId="77777777" w:rsidR="00841735" w:rsidRPr="00841735" w:rsidRDefault="00841735" w:rsidP="00841735">
      <w:pPr>
        <w:spacing w:after="160" w:line="360" w:lineRule="auto"/>
        <w:jc w:val="both"/>
        <w:rPr>
          <w:rFonts w:ascii="Calibri" w:hAnsi="Calibri" w:cs="FrankRuehl"/>
          <w:b/>
          <w:bCs/>
          <w:rtl/>
        </w:rPr>
      </w:pPr>
      <w:r w:rsidRPr="00841735">
        <w:rPr>
          <w:rFonts w:ascii="Calibri" w:hAnsi="Calibri" w:cs="FrankRuehl" w:hint="cs"/>
          <w:b/>
          <w:bCs/>
          <w:rtl/>
        </w:rPr>
        <w:t xml:space="preserve">אשר לעבירת הנהיגה ללא רישיון </w:t>
      </w:r>
      <w:r w:rsidRPr="00841735">
        <w:rPr>
          <w:rFonts w:ascii="Calibri" w:hAnsi="Calibri" w:cs="FrankRuehl"/>
          <w:b/>
          <w:bCs/>
          <w:rtl/>
        </w:rPr>
        <w:t>–</w:t>
      </w:r>
      <w:r w:rsidRPr="00841735">
        <w:rPr>
          <w:rFonts w:ascii="Calibri" w:hAnsi="Calibri" w:cs="FrankRuehl" w:hint="cs"/>
          <w:b/>
          <w:bCs/>
          <w:rtl/>
        </w:rPr>
        <w:t xml:space="preserve"> </w:t>
      </w:r>
      <w:r w:rsidRPr="00841735">
        <w:rPr>
          <w:rFonts w:ascii="Calibri" w:hAnsi="Calibri" w:cs="FrankRuehl" w:hint="cs"/>
          <w:rtl/>
        </w:rPr>
        <w:t>זוהי עבירה שבאופן מובנה פוגעת בביטחון הציבור ובטיחות המשתמשים בדרך בכך שאדם לא מיומן ולא מורשה נוהג חופשי ברחובות ובין הערים ועלול לגרום לנזק כבר לנפש.</w:t>
      </w:r>
    </w:p>
    <w:p w14:paraId="12694A49"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 xml:space="preserve">נסיבות הקשורות בביצוע העבירה, לפי </w:t>
      </w:r>
      <w:hyperlink r:id="rId29" w:history="1">
        <w:r w:rsidR="00477DA1" w:rsidRPr="00477DA1">
          <w:rPr>
            <w:rFonts w:ascii="Calibri" w:hAnsi="Calibri" w:cs="FrankRuehl" w:hint="eastAsia"/>
            <w:b/>
            <w:bCs/>
            <w:color w:val="0000FF"/>
            <w:u w:val="single"/>
            <w:rtl/>
          </w:rPr>
          <w:t>סעיף</w:t>
        </w:r>
        <w:r w:rsidR="00477DA1" w:rsidRPr="00477DA1">
          <w:rPr>
            <w:rFonts w:ascii="Calibri" w:hAnsi="Calibri" w:cs="FrankRuehl"/>
            <w:b/>
            <w:bCs/>
            <w:color w:val="0000FF"/>
            <w:u w:val="single"/>
            <w:rtl/>
          </w:rPr>
          <w:t xml:space="preserve"> 40</w:t>
        </w:r>
        <w:r w:rsidR="00477DA1" w:rsidRPr="00477DA1">
          <w:rPr>
            <w:rFonts w:ascii="Calibri" w:hAnsi="Calibri" w:cs="FrankRuehl" w:hint="eastAsia"/>
            <w:b/>
            <w:bCs/>
            <w:color w:val="0000FF"/>
            <w:u w:val="single"/>
            <w:rtl/>
          </w:rPr>
          <w:t>ט</w:t>
        </w:r>
        <w:r w:rsidR="00477DA1" w:rsidRPr="00477DA1">
          <w:rPr>
            <w:rFonts w:ascii="Calibri" w:hAnsi="Calibri" w:cs="FrankRuehl"/>
            <w:b/>
            <w:bCs/>
            <w:color w:val="0000FF"/>
            <w:u w:val="single"/>
            <w:rtl/>
          </w:rPr>
          <w:t>'</w:t>
        </w:r>
      </w:hyperlink>
      <w:r w:rsidRPr="00841735">
        <w:rPr>
          <w:rFonts w:ascii="Calibri" w:hAnsi="Calibri" w:cs="FrankRuehl" w:hint="cs"/>
          <w:b/>
          <w:bCs/>
          <w:u w:val="single"/>
          <w:rtl/>
        </w:rPr>
        <w:t xml:space="preserve"> ל</w:t>
      </w:r>
      <w:hyperlink r:id="rId30" w:history="1">
        <w:r w:rsidR="002578E9" w:rsidRPr="002578E9">
          <w:rPr>
            <w:rFonts w:ascii="Calibri" w:hAnsi="Calibri" w:cs="FrankRuehl" w:hint="eastAsia"/>
            <w:b/>
            <w:bCs/>
            <w:color w:val="0000FF"/>
            <w:u w:val="single"/>
            <w:rtl/>
          </w:rPr>
          <w:t>חוק</w:t>
        </w:r>
        <w:r w:rsidR="002578E9" w:rsidRPr="002578E9">
          <w:rPr>
            <w:rFonts w:ascii="Calibri" w:hAnsi="Calibri" w:cs="FrankRuehl"/>
            <w:b/>
            <w:bCs/>
            <w:color w:val="0000FF"/>
            <w:u w:val="single"/>
            <w:rtl/>
          </w:rPr>
          <w:t xml:space="preserve"> </w:t>
        </w:r>
        <w:r w:rsidR="002578E9" w:rsidRPr="002578E9">
          <w:rPr>
            <w:rFonts w:ascii="Calibri" w:hAnsi="Calibri" w:cs="FrankRuehl" w:hint="eastAsia"/>
            <w:b/>
            <w:bCs/>
            <w:color w:val="0000FF"/>
            <w:u w:val="single"/>
            <w:rtl/>
          </w:rPr>
          <w:t>העונשין</w:t>
        </w:r>
      </w:hyperlink>
      <w:r w:rsidRPr="00841735">
        <w:rPr>
          <w:rFonts w:ascii="Calibri" w:hAnsi="Calibri" w:cs="FrankRuehl" w:hint="cs"/>
          <w:b/>
          <w:bCs/>
          <w:rtl/>
        </w:rPr>
        <w:t xml:space="preserve"> – </w:t>
      </w:r>
      <w:r w:rsidRPr="00841735">
        <w:rPr>
          <w:rFonts w:ascii="Calibri" w:hAnsi="Calibri" w:cs="FrankRuehl" w:hint="cs"/>
          <w:rtl/>
        </w:rPr>
        <w:t>בין הנסיבות הקשורות בביצוע העבירה יש לשקול את אלה, לעניין קביעת המתחם: אשר לעבירות הסחר מדובר בעבירות מתכוננות שתואמו מראש ובוצעו בהתאם לתיאום מראש; הנאשם אחראי בלעדית לביצוען; הנזק שנגרם בפועל אינו רב הואיל ומדובר בסוכן, אך הנזק הפוטנציאלי של עבירות מסוג זה הוא כבד במיוחד ככל שהדבר נוגע לסמים סינתטיים שפגיעתם קשה במיוחד בצעירים; העבירות בוצעו לשם בצע כסף וזוהי נסיבה לחומרא; הנאשם אחראי למעשים ויכול היה להימנע מהם.</w:t>
      </w:r>
    </w:p>
    <w:p w14:paraId="6C539940" w14:textId="77777777" w:rsidR="00841735" w:rsidRPr="00841735" w:rsidRDefault="00841735" w:rsidP="00841735">
      <w:pPr>
        <w:spacing w:after="160" w:line="360" w:lineRule="auto"/>
        <w:jc w:val="both"/>
        <w:rPr>
          <w:rFonts w:ascii="Calibri" w:hAnsi="Calibri" w:cs="FrankRuehl"/>
        </w:rPr>
      </w:pPr>
      <w:r w:rsidRPr="00841735">
        <w:rPr>
          <w:rFonts w:ascii="Calibri" w:hAnsi="Calibri" w:cs="FrankRuehl" w:hint="cs"/>
          <w:rtl/>
        </w:rPr>
        <w:t xml:space="preserve"> </w:t>
      </w:r>
    </w:p>
    <w:p w14:paraId="5E2B1812"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מדיניות הענישה הנוהגת</w:t>
      </w:r>
      <w:r w:rsidRPr="00841735">
        <w:rPr>
          <w:rFonts w:ascii="Calibri" w:hAnsi="Calibri" w:cs="FrankRuehl" w:hint="cs"/>
          <w:b/>
          <w:bCs/>
          <w:rtl/>
        </w:rPr>
        <w:t xml:space="preserve"> – </w:t>
      </w:r>
      <w:r w:rsidRPr="00841735">
        <w:rPr>
          <w:rFonts w:ascii="Calibri" w:hAnsi="Calibri" w:cs="FrankRuehl" w:hint="cs"/>
          <w:rtl/>
        </w:rPr>
        <w:t xml:space="preserve">סקירת הפסיקה מלמדת על מגוון עונשים המוטלים בעבירות מסוג זה, אך ענישה של מאסר בפועל חד-ספרתי בטווח הגבוה, היא הכלל. ר' בהקשר זה למשל </w:t>
      </w:r>
      <w:hyperlink r:id="rId31" w:history="1">
        <w:r w:rsidR="002578E9" w:rsidRPr="002578E9">
          <w:rPr>
            <w:rFonts w:ascii="Calibri" w:hAnsi="Calibri" w:cs="FrankRuehl" w:hint="eastAsia"/>
            <w:color w:val="0000FF"/>
            <w:u w:val="single"/>
            <w:rtl/>
          </w:rPr>
          <w:t>רע</w:t>
        </w:r>
        <w:r w:rsidR="002578E9" w:rsidRPr="002578E9">
          <w:rPr>
            <w:rFonts w:ascii="Calibri" w:hAnsi="Calibri" w:cs="FrankRuehl"/>
            <w:color w:val="0000FF"/>
            <w:u w:val="single"/>
            <w:rtl/>
          </w:rPr>
          <w:t>"</w:t>
        </w:r>
        <w:r w:rsidR="002578E9" w:rsidRPr="002578E9">
          <w:rPr>
            <w:rFonts w:ascii="Calibri" w:hAnsi="Calibri" w:cs="FrankRuehl" w:hint="eastAsia"/>
            <w:color w:val="0000FF"/>
            <w:u w:val="single"/>
            <w:rtl/>
          </w:rPr>
          <w:t>פ</w:t>
        </w:r>
        <w:r w:rsidR="002578E9" w:rsidRPr="002578E9">
          <w:rPr>
            <w:rFonts w:ascii="Calibri" w:hAnsi="Calibri" w:cs="FrankRuehl"/>
            <w:color w:val="0000FF"/>
            <w:u w:val="single"/>
            <w:rtl/>
          </w:rPr>
          <w:t xml:space="preserve"> 1183/18</w:t>
        </w:r>
      </w:hyperlink>
      <w:r w:rsidRPr="00841735">
        <w:rPr>
          <w:rFonts w:ascii="Calibri" w:hAnsi="Calibri" w:cs="FrankRuehl" w:hint="cs"/>
          <w:rtl/>
        </w:rPr>
        <w:t xml:space="preserve"> </w:t>
      </w:r>
      <w:r w:rsidRPr="00841735">
        <w:rPr>
          <w:rFonts w:ascii="Calibri" w:hAnsi="Calibri" w:cs="FrankRuehl" w:hint="cs"/>
          <w:b/>
          <w:bCs/>
          <w:u w:val="single"/>
          <w:rtl/>
        </w:rPr>
        <w:t>ששון</w:t>
      </w:r>
      <w:r w:rsidRPr="00841735">
        <w:rPr>
          <w:rFonts w:ascii="Calibri" w:hAnsi="Calibri" w:cs="FrankRuehl" w:hint="cs"/>
          <w:rtl/>
        </w:rPr>
        <w:t xml:space="preserve"> נ' </w:t>
      </w:r>
      <w:r w:rsidRPr="00841735">
        <w:rPr>
          <w:rFonts w:ascii="Calibri" w:hAnsi="Calibri" w:cs="FrankRuehl" w:hint="cs"/>
          <w:b/>
          <w:bCs/>
          <w:u w:val="single"/>
          <w:rtl/>
        </w:rPr>
        <w:t>מ"י</w:t>
      </w:r>
      <w:r w:rsidRPr="00841735">
        <w:rPr>
          <w:rFonts w:ascii="Calibri" w:hAnsi="Calibri" w:cs="FrankRuehl" w:hint="cs"/>
          <w:rtl/>
        </w:rPr>
        <w:t xml:space="preserve"> (מיום 21.3.2018) </w:t>
      </w:r>
      <w:r w:rsidRPr="00841735">
        <w:rPr>
          <w:rFonts w:ascii="Calibri" w:hAnsi="Calibri" w:cs="FrankRuehl"/>
          <w:rtl/>
        </w:rPr>
        <w:t>–</w:t>
      </w:r>
      <w:r w:rsidRPr="00841735">
        <w:rPr>
          <w:rFonts w:ascii="Calibri" w:hAnsi="Calibri" w:cs="FrankRuehl" w:hint="cs"/>
          <w:rtl/>
        </w:rPr>
        <w:t xml:space="preserve"> נסיבות של סחר ב-</w:t>
      </w:r>
      <w:r w:rsidRPr="00841735">
        <w:rPr>
          <w:rFonts w:ascii="Calibri" w:hAnsi="Calibri" w:cs="FrankRuehl" w:hint="cs"/>
        </w:rPr>
        <w:t>LSD</w:t>
      </w:r>
      <w:r w:rsidRPr="00841735">
        <w:rPr>
          <w:rFonts w:ascii="Calibri" w:hAnsi="Calibri" w:cs="FrankRuehl" w:hint="cs"/>
          <w:rtl/>
        </w:rPr>
        <w:t xml:space="preserve">. יצויין, כי גם הפסיקה אליה הפנה הסניגור תומכת בגישה זו. </w:t>
      </w:r>
    </w:p>
    <w:p w14:paraId="36475311" w14:textId="77777777" w:rsidR="00841735" w:rsidRPr="00841735" w:rsidRDefault="00841735" w:rsidP="00841735">
      <w:pPr>
        <w:spacing w:after="160" w:line="360" w:lineRule="auto"/>
        <w:jc w:val="both"/>
        <w:rPr>
          <w:rFonts w:ascii="Calibri" w:hAnsi="Calibri" w:cs="FrankRuehl"/>
          <w:u w:val="single"/>
          <w:rtl/>
        </w:rPr>
      </w:pPr>
    </w:p>
    <w:p w14:paraId="694A758F"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מתחם הענישה</w:t>
      </w:r>
      <w:r w:rsidRPr="00841735">
        <w:rPr>
          <w:rFonts w:ascii="Calibri" w:hAnsi="Calibri" w:cs="FrankRuehl" w:hint="cs"/>
          <w:rtl/>
        </w:rPr>
        <w:t xml:space="preserve"> – </w:t>
      </w:r>
      <w:r w:rsidRPr="00841735">
        <w:rPr>
          <w:rFonts w:ascii="Calibri" w:hAnsi="Calibri" w:cs="FrankRuehl" w:hint="cs"/>
          <w:b/>
          <w:bCs/>
          <w:rtl/>
        </w:rPr>
        <w:t>ראשית</w:t>
      </w:r>
      <w:r w:rsidRPr="00841735">
        <w:rPr>
          <w:rFonts w:ascii="Calibri" w:hAnsi="Calibri" w:cs="FrankRuehl" w:hint="cs"/>
          <w:rtl/>
        </w:rPr>
        <w:t>, יש לקבוע מתחם אחד לעבירות הסחר באישומים 1-3, לנוכח הקרבה בזמן, זהות הצדדים לעסקאות, וסוגי הסמים, וזאת על-פי מבחן הקשר ההדוק שנקבע ב</w:t>
      </w:r>
      <w:hyperlink r:id="rId32" w:history="1">
        <w:r w:rsidR="002578E9" w:rsidRPr="002578E9">
          <w:rPr>
            <w:rFonts w:ascii="Calibri" w:hAnsi="Calibri" w:cs="FrankRuehl" w:hint="eastAsia"/>
            <w:color w:val="0000FF"/>
            <w:u w:val="single"/>
            <w:rtl/>
          </w:rPr>
          <w:t>ע</w:t>
        </w:r>
        <w:r w:rsidR="002578E9" w:rsidRPr="002578E9">
          <w:rPr>
            <w:rFonts w:ascii="Calibri" w:hAnsi="Calibri" w:cs="FrankRuehl"/>
            <w:color w:val="0000FF"/>
            <w:u w:val="single"/>
            <w:rtl/>
          </w:rPr>
          <w:t>"</w:t>
        </w:r>
        <w:r w:rsidR="002578E9" w:rsidRPr="002578E9">
          <w:rPr>
            <w:rFonts w:ascii="Calibri" w:hAnsi="Calibri" w:cs="FrankRuehl" w:hint="eastAsia"/>
            <w:color w:val="0000FF"/>
            <w:u w:val="single"/>
            <w:rtl/>
          </w:rPr>
          <w:t>פ</w:t>
        </w:r>
        <w:r w:rsidR="002578E9" w:rsidRPr="002578E9">
          <w:rPr>
            <w:rFonts w:ascii="Calibri" w:hAnsi="Calibri" w:cs="FrankRuehl"/>
            <w:color w:val="0000FF"/>
            <w:u w:val="single"/>
            <w:rtl/>
          </w:rPr>
          <w:t xml:space="preserve"> 4910/13</w:t>
        </w:r>
      </w:hyperlink>
      <w:r w:rsidRPr="00841735">
        <w:rPr>
          <w:rFonts w:ascii="Calibri" w:hAnsi="Calibri" w:cs="FrankRuehl" w:hint="cs"/>
          <w:rtl/>
        </w:rPr>
        <w:t xml:space="preserve"> </w:t>
      </w:r>
      <w:r w:rsidRPr="00841735">
        <w:rPr>
          <w:rFonts w:ascii="Calibri" w:hAnsi="Calibri" w:cs="FrankRuehl" w:hint="cs"/>
          <w:b/>
          <w:bCs/>
          <w:u w:val="single"/>
          <w:rtl/>
        </w:rPr>
        <w:t>בני ג'אבר</w:t>
      </w:r>
      <w:r w:rsidRPr="00841735">
        <w:rPr>
          <w:rFonts w:ascii="Calibri" w:hAnsi="Calibri" w:cs="FrankRuehl" w:hint="cs"/>
          <w:rtl/>
        </w:rPr>
        <w:t xml:space="preserve"> נ' </w:t>
      </w:r>
      <w:r w:rsidRPr="00841735">
        <w:rPr>
          <w:rFonts w:ascii="Calibri" w:hAnsi="Calibri" w:cs="FrankRuehl" w:hint="cs"/>
          <w:b/>
          <w:bCs/>
          <w:u w:val="single"/>
          <w:rtl/>
        </w:rPr>
        <w:t>מ"י</w:t>
      </w:r>
      <w:r w:rsidRPr="00841735">
        <w:rPr>
          <w:rFonts w:ascii="Calibri" w:hAnsi="Calibri" w:cs="FrankRuehl" w:hint="cs"/>
          <w:rtl/>
        </w:rPr>
        <w:t xml:space="preserve"> (מיום 29.10.2014). לגבי אישום 4 יש לקבוע מתחם נפרד בשל עבירת הנהיגה ללא רישיון ולגבי אישום 5 יש לקבוע מתחם נפרד לנוכח השוני בעובדות ובעבירות.</w:t>
      </w:r>
    </w:p>
    <w:p w14:paraId="688CEC9A"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rtl/>
        </w:rPr>
        <w:t>שנית</w:t>
      </w:r>
      <w:r w:rsidRPr="00841735">
        <w:rPr>
          <w:rFonts w:ascii="Calibri" w:hAnsi="Calibri" w:cs="FrankRuehl" w:hint="cs"/>
          <w:rtl/>
        </w:rPr>
        <w:t>, לנוכח כל האמור קובע כך:</w:t>
      </w:r>
    </w:p>
    <w:p w14:paraId="015DC13E"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 xml:space="preserve">לגבי האישומים הראשון עד השלישי </w:t>
      </w:r>
      <w:r w:rsidRPr="00841735">
        <w:rPr>
          <w:rFonts w:ascii="Calibri" w:hAnsi="Calibri" w:cs="FrankRuehl"/>
          <w:rtl/>
        </w:rPr>
        <w:t>–</w:t>
      </w:r>
      <w:r w:rsidRPr="00841735">
        <w:rPr>
          <w:rFonts w:ascii="Calibri" w:hAnsi="Calibri" w:cs="FrankRuehl" w:hint="cs"/>
          <w:rtl/>
        </w:rPr>
        <w:t xml:space="preserve"> קובע מתחם בין 5 ל-12 חודשי מאסר;</w:t>
      </w:r>
    </w:p>
    <w:p w14:paraId="04CB0D37"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 xml:space="preserve">לגבי האישום הרביעי </w:t>
      </w:r>
      <w:r w:rsidRPr="00841735">
        <w:rPr>
          <w:rFonts w:ascii="Calibri" w:hAnsi="Calibri" w:cs="FrankRuehl"/>
          <w:rtl/>
        </w:rPr>
        <w:t>–</w:t>
      </w:r>
      <w:r w:rsidRPr="00841735">
        <w:rPr>
          <w:rFonts w:ascii="Calibri" w:hAnsi="Calibri" w:cs="FrankRuehl" w:hint="cs"/>
          <w:rtl/>
        </w:rPr>
        <w:t xml:space="preserve"> קובע מתחם בין 6 ל-14 חודשי מאסר;</w:t>
      </w:r>
    </w:p>
    <w:p w14:paraId="7CC6B877"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 xml:space="preserve">לגבי האישום החמישי </w:t>
      </w:r>
      <w:r w:rsidRPr="00841735">
        <w:rPr>
          <w:rFonts w:ascii="Calibri" w:hAnsi="Calibri" w:cs="FrankRuehl"/>
          <w:rtl/>
        </w:rPr>
        <w:t>–</w:t>
      </w:r>
      <w:r w:rsidRPr="00841735">
        <w:rPr>
          <w:rFonts w:ascii="Calibri" w:hAnsi="Calibri" w:cs="FrankRuehl" w:hint="cs"/>
          <w:rtl/>
        </w:rPr>
        <w:t xml:space="preserve"> קובע מתחם בין 4 ל-10 חודשי מאסר.</w:t>
      </w:r>
    </w:p>
    <w:p w14:paraId="6E9FAF7C" w14:textId="77777777" w:rsidR="00841735" w:rsidRPr="00841735" w:rsidRDefault="00841735" w:rsidP="00841735">
      <w:pPr>
        <w:spacing w:after="160" w:line="360" w:lineRule="auto"/>
        <w:jc w:val="both"/>
        <w:rPr>
          <w:rFonts w:ascii="Calibri" w:hAnsi="Calibri" w:cs="FrankRuehl"/>
          <w:b/>
          <w:bCs/>
          <w:rtl/>
        </w:rPr>
      </w:pPr>
    </w:p>
    <w:p w14:paraId="7F1C2B8B"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 xml:space="preserve">נסיבות שאינן קשורות בביצוע העבירה לפי </w:t>
      </w:r>
      <w:hyperlink r:id="rId33" w:history="1">
        <w:r w:rsidR="00477DA1" w:rsidRPr="00477DA1">
          <w:rPr>
            <w:rFonts w:ascii="Calibri" w:hAnsi="Calibri" w:cs="FrankRuehl" w:hint="eastAsia"/>
            <w:b/>
            <w:bCs/>
            <w:color w:val="0000FF"/>
            <w:u w:val="single"/>
            <w:rtl/>
          </w:rPr>
          <w:t>סעיף</w:t>
        </w:r>
        <w:r w:rsidR="00477DA1" w:rsidRPr="00477DA1">
          <w:rPr>
            <w:rFonts w:ascii="Calibri" w:hAnsi="Calibri" w:cs="FrankRuehl"/>
            <w:b/>
            <w:bCs/>
            <w:color w:val="0000FF"/>
            <w:u w:val="single"/>
            <w:rtl/>
          </w:rPr>
          <w:t xml:space="preserve"> 40</w:t>
        </w:r>
        <w:r w:rsidR="00477DA1" w:rsidRPr="00477DA1">
          <w:rPr>
            <w:rFonts w:ascii="Calibri" w:hAnsi="Calibri" w:cs="FrankRuehl" w:hint="eastAsia"/>
            <w:b/>
            <w:bCs/>
            <w:color w:val="0000FF"/>
            <w:u w:val="single"/>
            <w:rtl/>
          </w:rPr>
          <w:t>י</w:t>
        </w:r>
        <w:r w:rsidR="00477DA1" w:rsidRPr="00477DA1">
          <w:rPr>
            <w:rFonts w:ascii="Calibri" w:hAnsi="Calibri" w:cs="FrankRuehl"/>
            <w:b/>
            <w:bCs/>
            <w:color w:val="0000FF"/>
            <w:u w:val="single"/>
            <w:rtl/>
          </w:rPr>
          <w:t>"</w:t>
        </w:r>
        <w:r w:rsidR="00477DA1" w:rsidRPr="00477DA1">
          <w:rPr>
            <w:rFonts w:ascii="Calibri" w:hAnsi="Calibri" w:cs="FrankRuehl" w:hint="eastAsia"/>
            <w:b/>
            <w:bCs/>
            <w:color w:val="0000FF"/>
            <w:u w:val="single"/>
            <w:rtl/>
          </w:rPr>
          <w:t>א</w:t>
        </w:r>
      </w:hyperlink>
      <w:r w:rsidRPr="00841735">
        <w:rPr>
          <w:rFonts w:ascii="Calibri" w:hAnsi="Calibri" w:cs="FrankRuehl" w:hint="cs"/>
          <w:b/>
          <w:bCs/>
          <w:u w:val="single"/>
          <w:rtl/>
        </w:rPr>
        <w:t xml:space="preserve"> ל</w:t>
      </w:r>
      <w:hyperlink r:id="rId34" w:history="1">
        <w:r w:rsidR="002578E9" w:rsidRPr="002578E9">
          <w:rPr>
            <w:rFonts w:ascii="Calibri" w:hAnsi="Calibri" w:cs="FrankRuehl" w:hint="eastAsia"/>
            <w:b/>
            <w:bCs/>
            <w:color w:val="0000FF"/>
            <w:u w:val="single"/>
            <w:rtl/>
          </w:rPr>
          <w:t>חוק</w:t>
        </w:r>
        <w:r w:rsidR="002578E9" w:rsidRPr="002578E9">
          <w:rPr>
            <w:rFonts w:ascii="Calibri" w:hAnsi="Calibri" w:cs="FrankRuehl"/>
            <w:b/>
            <w:bCs/>
            <w:color w:val="0000FF"/>
            <w:u w:val="single"/>
            <w:rtl/>
          </w:rPr>
          <w:t xml:space="preserve"> </w:t>
        </w:r>
        <w:r w:rsidR="002578E9" w:rsidRPr="002578E9">
          <w:rPr>
            <w:rFonts w:ascii="Calibri" w:hAnsi="Calibri" w:cs="FrankRuehl" w:hint="eastAsia"/>
            <w:b/>
            <w:bCs/>
            <w:color w:val="0000FF"/>
            <w:u w:val="single"/>
            <w:rtl/>
          </w:rPr>
          <w:t>העונשין</w:t>
        </w:r>
      </w:hyperlink>
      <w:r w:rsidRPr="00841735">
        <w:rPr>
          <w:rFonts w:ascii="Calibri" w:hAnsi="Calibri" w:cs="FrankRuehl" w:hint="cs"/>
          <w:b/>
          <w:bCs/>
          <w:rtl/>
        </w:rPr>
        <w:t xml:space="preserve"> – </w:t>
      </w:r>
      <w:r w:rsidRPr="00841735">
        <w:rPr>
          <w:rFonts w:ascii="Calibri" w:hAnsi="Calibri" w:cs="FrankRuehl" w:hint="cs"/>
          <w:rtl/>
        </w:rPr>
        <w:t>ניתן  לתת משקל לנסיבות הבאות שאינן קשורות בביצוע העבירה, במסגרת גזירת העונש בתוך המתחם: אין זהו מעצרו הראשון של הנאשם שיש לו רישום פלילי משמעותי הכולל 11 הרשעות קודמות לרבות בעבירות סמים, והוא כבר ריצה מספר שנות מאסר בפועל. צודק ב"כ המאשימה, כי יש לתת מקום לעובדה שהנאשם הורשע רק באוקטובר 2017 בבית המשפט הצבאי בעבירת סמים בגינה הוטל עליו מאסר ממושך שממנו השתחרר זמן לא רב לפני ביצוע העבירות נשוא תיק זה; הנאשם הודה במיוחס לו בשלב מוקדם של המשפט; מדובר בנאשם כבן 30, רווק שלדברי סניגורו, וכפי שעולה מרישומו הפלילי, נסיבות חייו לא היו מן הקלות.</w:t>
      </w:r>
    </w:p>
    <w:p w14:paraId="76BF6B4E" w14:textId="77777777" w:rsidR="00841735" w:rsidRPr="00841735" w:rsidRDefault="00841735" w:rsidP="00841735">
      <w:pPr>
        <w:spacing w:after="160" w:line="360" w:lineRule="auto"/>
        <w:jc w:val="both"/>
        <w:rPr>
          <w:rFonts w:ascii="Calibri" w:hAnsi="Calibri" w:cs="FrankRuehl"/>
          <w:rtl/>
        </w:rPr>
      </w:pPr>
    </w:p>
    <w:p w14:paraId="28847A43"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b/>
          <w:bCs/>
          <w:u w:val="single"/>
          <w:rtl/>
        </w:rPr>
        <w:t>המיקום במתחם</w:t>
      </w:r>
      <w:r w:rsidRPr="00841735">
        <w:rPr>
          <w:rFonts w:ascii="Calibri" w:hAnsi="Calibri" w:cs="FrankRuehl" w:hint="cs"/>
          <w:rtl/>
        </w:rPr>
        <w:t xml:space="preserve"> </w:t>
      </w:r>
      <w:r w:rsidRPr="00841735">
        <w:rPr>
          <w:rFonts w:ascii="Calibri" w:hAnsi="Calibri" w:cs="FrankRuehl"/>
          <w:rtl/>
        </w:rPr>
        <w:t>–</w:t>
      </w:r>
      <w:r w:rsidRPr="00841735">
        <w:rPr>
          <w:rFonts w:ascii="Calibri" w:hAnsi="Calibri" w:cs="FrankRuehl" w:hint="cs"/>
          <w:rtl/>
        </w:rPr>
        <w:t xml:space="preserve"> בנסיבות שמניתי יש למקם את הנאשם במרכז המתחם שקבעתי באופן משוקלל. </w:t>
      </w:r>
    </w:p>
    <w:p w14:paraId="7D53179B" w14:textId="77777777" w:rsidR="00841735" w:rsidRPr="00841735" w:rsidRDefault="00841735" w:rsidP="00841735">
      <w:pPr>
        <w:spacing w:after="160" w:line="360" w:lineRule="auto"/>
        <w:jc w:val="both"/>
        <w:rPr>
          <w:rFonts w:ascii="Calibri" w:hAnsi="Calibri" w:cs="FrankRuehl"/>
          <w:rtl/>
        </w:rPr>
      </w:pPr>
    </w:p>
    <w:p w14:paraId="77BD8925" w14:textId="77777777" w:rsidR="00841735" w:rsidRPr="00841735" w:rsidRDefault="00841735" w:rsidP="00841735">
      <w:pPr>
        <w:spacing w:after="160" w:line="360" w:lineRule="auto"/>
        <w:jc w:val="both"/>
        <w:rPr>
          <w:rFonts w:ascii="Calibri" w:hAnsi="Calibri" w:cs="FrankRuehl"/>
          <w:rtl/>
        </w:rPr>
      </w:pPr>
    </w:p>
    <w:p w14:paraId="3D4349C0" w14:textId="77777777" w:rsidR="00841735" w:rsidRPr="00841735" w:rsidRDefault="00841735" w:rsidP="00841735">
      <w:pPr>
        <w:spacing w:after="160" w:line="360" w:lineRule="auto"/>
        <w:jc w:val="both"/>
        <w:rPr>
          <w:rFonts w:ascii="Calibri" w:hAnsi="Calibri" w:cs="FrankRuehl"/>
          <w:rtl/>
        </w:rPr>
      </w:pPr>
    </w:p>
    <w:p w14:paraId="59712796" w14:textId="77777777" w:rsidR="00841735" w:rsidRPr="00841735" w:rsidRDefault="00841735" w:rsidP="00841735">
      <w:pPr>
        <w:spacing w:after="160" w:line="360" w:lineRule="auto"/>
        <w:jc w:val="both"/>
        <w:rPr>
          <w:rFonts w:ascii="Calibri" w:hAnsi="Calibri" w:cs="FrankRuehl"/>
          <w:rtl/>
        </w:rPr>
      </w:pPr>
      <w:r w:rsidRPr="00841735">
        <w:rPr>
          <w:rFonts w:ascii="Calibri" w:hAnsi="Calibri" w:cs="FrankRuehl" w:hint="cs"/>
          <w:rtl/>
        </w:rPr>
        <w:t>לפיכך, אני מחליט לגזור על הנאשם את העונשים הבאים:</w:t>
      </w:r>
    </w:p>
    <w:p w14:paraId="6508815A" w14:textId="77777777" w:rsidR="00841735" w:rsidRPr="00841735" w:rsidRDefault="00841735" w:rsidP="00841735">
      <w:pPr>
        <w:numPr>
          <w:ilvl w:val="0"/>
          <w:numId w:val="1"/>
        </w:numPr>
        <w:spacing w:after="160" w:line="360" w:lineRule="auto"/>
        <w:contextualSpacing/>
        <w:jc w:val="both"/>
        <w:rPr>
          <w:rFonts w:ascii="Calibri" w:hAnsi="Calibri" w:cs="FrankRuehl"/>
          <w:rtl/>
        </w:rPr>
      </w:pPr>
      <w:r w:rsidRPr="00841735">
        <w:rPr>
          <w:rFonts w:ascii="Calibri" w:hAnsi="Calibri" w:cs="FrankRuehl" w:hint="cs"/>
          <w:rtl/>
        </w:rPr>
        <w:t>9 חודשי מאסר בפועל לריצוי מיום מעצרו ;</w:t>
      </w:r>
    </w:p>
    <w:p w14:paraId="12574E10" w14:textId="77777777" w:rsidR="00841735" w:rsidRPr="00841735" w:rsidRDefault="00841735" w:rsidP="00841735">
      <w:pPr>
        <w:numPr>
          <w:ilvl w:val="0"/>
          <w:numId w:val="1"/>
        </w:numPr>
        <w:spacing w:after="160" w:line="360" w:lineRule="auto"/>
        <w:contextualSpacing/>
        <w:jc w:val="both"/>
        <w:rPr>
          <w:rFonts w:ascii="Calibri" w:hAnsi="Calibri" w:cs="FrankRuehl"/>
        </w:rPr>
      </w:pPr>
      <w:r w:rsidRPr="00841735">
        <w:rPr>
          <w:rFonts w:ascii="Calibri" w:hAnsi="Calibri" w:cs="FrankRuehl" w:hint="cs"/>
          <w:rtl/>
        </w:rPr>
        <w:t>8 חודשי מאסר, שלא ירוצו אלא אם יעבור הנאשם בתוך 3 שנים משחרורו כל עבירת סמים למעט שימוש עצמי לרבות ניסיון לעבור אותן עבירות;</w:t>
      </w:r>
    </w:p>
    <w:p w14:paraId="3A5A72A9" w14:textId="77777777" w:rsidR="00841735" w:rsidRPr="00841735" w:rsidRDefault="00841735" w:rsidP="00841735">
      <w:pPr>
        <w:numPr>
          <w:ilvl w:val="0"/>
          <w:numId w:val="1"/>
        </w:numPr>
        <w:spacing w:after="160" w:line="360" w:lineRule="auto"/>
        <w:contextualSpacing/>
        <w:jc w:val="both"/>
        <w:rPr>
          <w:rFonts w:ascii="Calibri" w:hAnsi="Calibri" w:cs="FrankRuehl"/>
        </w:rPr>
      </w:pPr>
      <w:r w:rsidRPr="00841735">
        <w:rPr>
          <w:rFonts w:ascii="Calibri" w:hAnsi="Calibri" w:cs="FrankRuehl" w:hint="cs"/>
          <w:rtl/>
        </w:rPr>
        <w:t xml:space="preserve">5 חודשי מאסר שלא ירוצו, אלא אם יעבוד הנאשם בתך 3 שנים משחרורו עבירות לפי </w:t>
      </w:r>
      <w:hyperlink r:id="rId35" w:history="1">
        <w:r w:rsidR="002578E9" w:rsidRPr="002578E9">
          <w:rPr>
            <w:rFonts w:ascii="Calibri" w:hAnsi="Calibri" w:cs="FrankRuehl" w:hint="eastAsia"/>
            <w:color w:val="0000FF"/>
            <w:u w:val="single"/>
            <w:rtl/>
          </w:rPr>
          <w:t>חוק</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הכניסה</w:t>
        </w:r>
        <w:r w:rsidR="002578E9" w:rsidRPr="002578E9">
          <w:rPr>
            <w:rFonts w:ascii="Calibri" w:hAnsi="Calibri" w:cs="FrankRuehl"/>
            <w:color w:val="0000FF"/>
            <w:u w:val="single"/>
            <w:rtl/>
          </w:rPr>
          <w:t xml:space="preserve"> </w:t>
        </w:r>
        <w:r w:rsidR="002578E9" w:rsidRPr="002578E9">
          <w:rPr>
            <w:rFonts w:ascii="Calibri" w:hAnsi="Calibri" w:cs="FrankRuehl" w:hint="eastAsia"/>
            <w:color w:val="0000FF"/>
            <w:u w:val="single"/>
            <w:rtl/>
          </w:rPr>
          <w:t>לישראל</w:t>
        </w:r>
      </w:hyperlink>
      <w:r w:rsidRPr="00841735">
        <w:rPr>
          <w:rFonts w:ascii="Calibri" w:hAnsi="Calibri" w:cs="FrankRuehl" w:hint="cs"/>
          <w:rtl/>
        </w:rPr>
        <w:t xml:space="preserve">, זיוף מסמך ושימוש במסמך מזויף, נהיגה ללא רישיון ושימוש עצמי בסמים, לרבות ניסיון לעבור אותן עבירות; </w:t>
      </w:r>
    </w:p>
    <w:p w14:paraId="3AED95BC" w14:textId="77777777" w:rsidR="00841735" w:rsidRPr="00841735" w:rsidRDefault="00841735" w:rsidP="00841735">
      <w:pPr>
        <w:numPr>
          <w:ilvl w:val="0"/>
          <w:numId w:val="1"/>
        </w:numPr>
        <w:spacing w:after="160" w:line="360" w:lineRule="auto"/>
        <w:contextualSpacing/>
        <w:jc w:val="both"/>
        <w:rPr>
          <w:rFonts w:ascii="Calibri" w:hAnsi="Calibri" w:cs="FrankRuehl"/>
          <w:rtl/>
        </w:rPr>
      </w:pPr>
      <w:r w:rsidRPr="00841735">
        <w:rPr>
          <w:rFonts w:ascii="Calibri" w:hAnsi="Calibri" w:cs="FrankRuehl" w:hint="cs"/>
          <w:rtl/>
        </w:rPr>
        <w:t>בנסיבותיו של הנאשם לא מצאתי מקום להטיל עליו קנס.</w:t>
      </w:r>
    </w:p>
    <w:p w14:paraId="47962D0E" w14:textId="77777777" w:rsidR="00841735" w:rsidRDefault="00841735" w:rsidP="00841735">
      <w:pPr>
        <w:rPr>
          <w:rFonts w:cs="FrankRuehl"/>
          <w:rtl/>
        </w:rPr>
      </w:pPr>
    </w:p>
    <w:p w14:paraId="674B512B" w14:textId="77777777" w:rsidR="00841735" w:rsidRDefault="00841735" w:rsidP="00841735">
      <w:pPr>
        <w:rPr>
          <w:rFonts w:cs="FrankRuehl"/>
          <w:rtl/>
        </w:rPr>
      </w:pPr>
      <w:r>
        <w:rPr>
          <w:rFonts w:cs="FrankRuehl" w:hint="cs"/>
          <w:rtl/>
        </w:rPr>
        <w:t>מורה על השמדת הסמים.</w:t>
      </w:r>
    </w:p>
    <w:p w14:paraId="4F75CBB7" w14:textId="77777777" w:rsidR="00841735" w:rsidRDefault="00841735" w:rsidP="00841735">
      <w:pPr>
        <w:rPr>
          <w:rFonts w:cs="FrankRuehl"/>
          <w:rtl/>
        </w:rPr>
      </w:pPr>
    </w:p>
    <w:p w14:paraId="7515174D" w14:textId="77777777" w:rsidR="00841735" w:rsidRDefault="00841735" w:rsidP="00841735">
      <w:pPr>
        <w:rPr>
          <w:rFonts w:cs="FrankRuehl"/>
          <w:rtl/>
        </w:rPr>
      </w:pPr>
      <w:r>
        <w:rPr>
          <w:rFonts w:cs="FrankRuehl" w:hint="cs"/>
          <w:rtl/>
        </w:rPr>
        <w:t>יתר הציוד שנתפס לרבות טלפונים וטבעות יוכלו להיות מושבים לנאשם.</w:t>
      </w:r>
    </w:p>
    <w:p w14:paraId="452BCD6C" w14:textId="77777777" w:rsidR="00841735" w:rsidRDefault="00841735" w:rsidP="00841735">
      <w:pPr>
        <w:rPr>
          <w:rFonts w:cs="FrankRuehl"/>
          <w:rtl/>
        </w:rPr>
      </w:pPr>
    </w:p>
    <w:p w14:paraId="3C748A2B" w14:textId="77777777" w:rsidR="00841735" w:rsidRPr="00E628C3" w:rsidRDefault="00841735" w:rsidP="00841735">
      <w:pPr>
        <w:rPr>
          <w:rFonts w:cs="FrankRuehl"/>
          <w:rtl/>
        </w:rPr>
      </w:pPr>
      <w:r>
        <w:rPr>
          <w:rFonts w:cs="FrankRuehl" w:hint="cs"/>
          <w:rtl/>
        </w:rPr>
        <w:t>זכות ערעור כחוק.</w:t>
      </w:r>
    </w:p>
    <w:p w14:paraId="5DE5569B" w14:textId="77777777" w:rsidR="00841735" w:rsidRPr="00E628C3" w:rsidRDefault="00841735" w:rsidP="00841735">
      <w:pPr>
        <w:rPr>
          <w:rFonts w:cs="FrankRuehl"/>
          <w:rtl/>
        </w:rPr>
      </w:pPr>
    </w:p>
    <w:p w14:paraId="423860FC" w14:textId="77777777" w:rsidR="00841735" w:rsidRPr="00E628C3" w:rsidRDefault="00841735" w:rsidP="00841735">
      <w:pPr>
        <w:rPr>
          <w:rFonts w:cs="FrankRuehl"/>
          <w:rtl/>
        </w:rPr>
      </w:pPr>
    </w:p>
    <w:p w14:paraId="07ED73E0" w14:textId="77777777" w:rsidR="00841735" w:rsidRPr="00E628C3" w:rsidRDefault="00841735" w:rsidP="00841735">
      <w:pPr>
        <w:rPr>
          <w:rFonts w:cs="FrankRuehl"/>
          <w:rtl/>
        </w:rPr>
      </w:pPr>
    </w:p>
    <w:p w14:paraId="3B830110" w14:textId="77777777" w:rsidR="00841735" w:rsidRPr="002578E9" w:rsidRDefault="002578E9" w:rsidP="00841735">
      <w:pPr>
        <w:rPr>
          <w:rFonts w:cs="FrankRuehl"/>
          <w:color w:val="FFFFFF"/>
          <w:sz w:val="2"/>
          <w:szCs w:val="2"/>
          <w:rtl/>
        </w:rPr>
      </w:pPr>
      <w:r w:rsidRPr="002578E9">
        <w:rPr>
          <w:rFonts w:cs="FrankRuehl"/>
          <w:color w:val="FFFFFF"/>
          <w:sz w:val="2"/>
          <w:szCs w:val="2"/>
          <w:rtl/>
        </w:rPr>
        <w:t>5129371</w:t>
      </w:r>
    </w:p>
    <w:p w14:paraId="2BCC8E7E" w14:textId="77777777" w:rsidR="00841735" w:rsidRPr="00E628C3" w:rsidRDefault="002578E9" w:rsidP="00841735">
      <w:pPr>
        <w:rPr>
          <w:rFonts w:cs="FrankRuehl"/>
          <w:sz w:val="28"/>
          <w:szCs w:val="28"/>
          <w:rtl/>
        </w:rPr>
      </w:pPr>
      <w:r w:rsidRPr="002578E9">
        <w:rPr>
          <w:rFonts w:ascii="Arial" w:hAnsi="Arial" w:cs="FrankRuehl"/>
          <w:color w:val="FFFFFF"/>
          <w:sz w:val="2"/>
          <w:szCs w:val="2"/>
          <w:rtl/>
        </w:rPr>
        <w:t>54678313</w:t>
      </w:r>
      <w:r>
        <w:rPr>
          <w:rFonts w:ascii="Arial" w:hAnsi="Arial" w:cs="FrankRuehl"/>
          <w:rtl/>
        </w:rPr>
        <w:t xml:space="preserve">ניתן היום,  י"ט חשוון תשע"ט, 28 אוקטובר 2018, במעמד הנוכחים. </w:t>
      </w:r>
    </w:p>
    <w:p w14:paraId="61833CC8" w14:textId="77777777" w:rsidR="00841735" w:rsidRPr="00E628C3" w:rsidRDefault="00841735" w:rsidP="00841735">
      <w:pPr>
        <w:jc w:val="center"/>
      </w:pPr>
      <w:r w:rsidRPr="00E628C3">
        <w:rPr>
          <w:rFonts w:cs="FrankRuehl" w:hint="cs"/>
          <w:rtl/>
        </w:rPr>
        <w:t xml:space="preserve">   </w:t>
      </w:r>
      <w:r w:rsidRPr="00E628C3">
        <w:rPr>
          <w:rFonts w:cs="FrankRuehl" w:hint="cs"/>
          <w:rtl/>
        </w:rPr>
        <w:tab/>
      </w:r>
      <w:r w:rsidRPr="00E628C3">
        <w:rPr>
          <w:rFonts w:cs="FrankRuehl" w:hint="cs"/>
          <w:rtl/>
        </w:rPr>
        <w:tab/>
      </w:r>
      <w:r w:rsidRPr="00E628C3">
        <w:rPr>
          <w:rFonts w:cs="FrankRuehl" w:hint="cs"/>
          <w:rtl/>
        </w:rPr>
        <w:tab/>
      </w:r>
      <w:r w:rsidRPr="00E628C3">
        <w:rPr>
          <w:rFonts w:cs="FrankRuehl" w:hint="cs"/>
          <w:rtl/>
        </w:rPr>
        <w:tab/>
      </w:r>
      <w:r w:rsidRPr="00E628C3">
        <w:rPr>
          <w:rFonts w:cs="FrankRuehl" w:hint="cs"/>
          <w:rtl/>
        </w:rPr>
        <w:tab/>
      </w:r>
      <w:r>
        <w:rPr>
          <w:rtl/>
        </w:rPr>
        <w:t xml:space="preserve">     </w:t>
      </w:r>
    </w:p>
    <w:p w14:paraId="02BFA9AA" w14:textId="77777777" w:rsidR="00841735" w:rsidRPr="00E628C3" w:rsidRDefault="00841735" w:rsidP="00841735">
      <w:pPr>
        <w:jc w:val="center"/>
        <w:rPr>
          <w:rFonts w:ascii="Arial" w:hAnsi="Arial" w:cs="FrankRuehl"/>
          <w:sz w:val="28"/>
          <w:szCs w:val="28"/>
          <w:rtl/>
        </w:rPr>
      </w:pPr>
    </w:p>
    <w:p w14:paraId="0DDC8C8B" w14:textId="77777777" w:rsidR="00841735" w:rsidRPr="00E628C3" w:rsidRDefault="00841735" w:rsidP="00841735">
      <w:pPr>
        <w:rPr>
          <w:rFonts w:cs="FrankRuehl"/>
          <w:sz w:val="28"/>
          <w:szCs w:val="28"/>
          <w:rtl/>
        </w:rPr>
      </w:pPr>
    </w:p>
    <w:p w14:paraId="6108634C" w14:textId="77777777" w:rsidR="00841735" w:rsidRPr="00477DA1" w:rsidRDefault="00477DA1" w:rsidP="00841735">
      <w:pPr>
        <w:pStyle w:val="a3"/>
        <w:jc w:val="center"/>
        <w:rPr>
          <w:rFonts w:cs="FrankRuehl"/>
          <w:color w:val="FFFFFF"/>
          <w:sz w:val="2"/>
          <w:szCs w:val="2"/>
          <w:rtl/>
        </w:rPr>
      </w:pPr>
      <w:r w:rsidRPr="00477DA1">
        <w:rPr>
          <w:rFonts w:cs="FrankRuehl"/>
          <w:color w:val="FFFFFF"/>
          <w:sz w:val="2"/>
          <w:szCs w:val="2"/>
          <w:rtl/>
        </w:rPr>
        <w:t>5129371</w:t>
      </w:r>
    </w:p>
    <w:p w14:paraId="19D6514C" w14:textId="77777777" w:rsidR="00FC2806" w:rsidRPr="00477DA1" w:rsidRDefault="00477DA1" w:rsidP="002578E9">
      <w:pPr>
        <w:keepNext/>
        <w:rPr>
          <w:rFonts w:ascii="David" w:hAnsi="David"/>
          <w:color w:val="FFFFFF"/>
          <w:sz w:val="2"/>
          <w:szCs w:val="2"/>
          <w:rtl/>
        </w:rPr>
      </w:pPr>
      <w:r w:rsidRPr="00477DA1">
        <w:rPr>
          <w:rFonts w:ascii="David" w:hAnsi="David"/>
          <w:color w:val="FFFFFF"/>
          <w:sz w:val="2"/>
          <w:szCs w:val="2"/>
          <w:rtl/>
        </w:rPr>
        <w:t>54678313</w:t>
      </w:r>
    </w:p>
    <w:p w14:paraId="4DF99FA8" w14:textId="77777777" w:rsidR="002578E9" w:rsidRPr="002578E9" w:rsidRDefault="002578E9" w:rsidP="002578E9">
      <w:pPr>
        <w:keepNext/>
        <w:rPr>
          <w:rFonts w:ascii="David" w:hAnsi="David"/>
          <w:color w:val="000000"/>
          <w:sz w:val="22"/>
          <w:szCs w:val="22"/>
          <w:rtl/>
        </w:rPr>
      </w:pPr>
      <w:r w:rsidRPr="002578E9">
        <w:rPr>
          <w:rFonts w:ascii="David" w:hAnsi="David"/>
          <w:color w:val="000000"/>
          <w:sz w:val="22"/>
          <w:szCs w:val="22"/>
          <w:rtl/>
        </w:rPr>
        <w:t>דוד שאול גבאי ריכטר 54678313</w:t>
      </w:r>
    </w:p>
    <w:p w14:paraId="7C6EE212" w14:textId="77777777" w:rsidR="002578E9" w:rsidRDefault="002578E9" w:rsidP="002578E9">
      <w:r w:rsidRPr="002578E9">
        <w:rPr>
          <w:color w:val="000000"/>
          <w:rtl/>
        </w:rPr>
        <w:t>נוסח מסמך זה כפוף לשינויי ניסוח ועריכה</w:t>
      </w:r>
    </w:p>
    <w:p w14:paraId="44E3B7E9" w14:textId="77777777" w:rsidR="002578E9" w:rsidRDefault="002578E9" w:rsidP="002578E9">
      <w:pPr>
        <w:rPr>
          <w:rtl/>
        </w:rPr>
      </w:pPr>
    </w:p>
    <w:p w14:paraId="6F134AB8" w14:textId="77777777" w:rsidR="002578E9" w:rsidRDefault="002578E9" w:rsidP="002578E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2267652" w14:textId="77777777" w:rsidR="00477DA1" w:rsidRPr="00477DA1" w:rsidRDefault="00477DA1" w:rsidP="00477DA1">
      <w:pPr>
        <w:keepNext/>
        <w:rPr>
          <w:rFonts w:ascii="David" w:hAnsi="David"/>
          <w:color w:val="000000"/>
          <w:sz w:val="22"/>
          <w:szCs w:val="22"/>
          <w:rtl/>
        </w:rPr>
      </w:pPr>
    </w:p>
    <w:p w14:paraId="2895FCD6" w14:textId="77777777" w:rsidR="002578E9" w:rsidRPr="002578E9" w:rsidRDefault="002578E9" w:rsidP="00477DA1">
      <w:pPr>
        <w:rPr>
          <w:color w:val="0000FF"/>
          <w:u w:val="single"/>
        </w:rPr>
      </w:pPr>
    </w:p>
    <w:sectPr w:rsidR="002578E9" w:rsidRPr="002578E9" w:rsidSect="00477DA1">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0F715" w14:textId="77777777" w:rsidR="001C6ECA" w:rsidRDefault="001C6ECA" w:rsidP="004C6627">
      <w:r>
        <w:separator/>
      </w:r>
    </w:p>
  </w:endnote>
  <w:endnote w:type="continuationSeparator" w:id="0">
    <w:p w14:paraId="7E840F7C" w14:textId="77777777" w:rsidR="001C6ECA" w:rsidRDefault="001C6ECA" w:rsidP="004C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2C13D" w14:textId="77777777" w:rsidR="00477DA1" w:rsidRDefault="00477DA1" w:rsidP="00477D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6C2722" w14:textId="77777777" w:rsidR="00325D78" w:rsidRPr="00477DA1" w:rsidRDefault="00477DA1" w:rsidP="00477DA1">
    <w:pPr>
      <w:pStyle w:val="a5"/>
      <w:pBdr>
        <w:top w:val="single" w:sz="4" w:space="1" w:color="auto"/>
        <w:between w:val="single" w:sz="4" w:space="0" w:color="auto"/>
      </w:pBdr>
      <w:spacing w:after="60"/>
      <w:jc w:val="center"/>
      <w:rPr>
        <w:rFonts w:ascii="FrankRuehl" w:hAnsi="FrankRuehl" w:cs="FrankRuehl"/>
        <w:color w:val="000000"/>
      </w:rPr>
    </w:pPr>
    <w:r w:rsidRPr="00477D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9E0FA" w14:textId="77777777" w:rsidR="00477DA1" w:rsidRDefault="00477DA1" w:rsidP="00477D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73F1">
      <w:rPr>
        <w:rFonts w:ascii="FrankRuehl" w:hAnsi="FrankRuehl" w:cs="FrankRuehl"/>
        <w:noProof/>
        <w:rtl/>
      </w:rPr>
      <w:t>1</w:t>
    </w:r>
    <w:r>
      <w:rPr>
        <w:rFonts w:ascii="FrankRuehl" w:hAnsi="FrankRuehl" w:cs="FrankRuehl"/>
        <w:rtl/>
      </w:rPr>
      <w:fldChar w:fldCharType="end"/>
    </w:r>
  </w:p>
  <w:p w14:paraId="18E891B7" w14:textId="77777777" w:rsidR="00325D78" w:rsidRPr="00477DA1" w:rsidRDefault="00477DA1" w:rsidP="00477DA1">
    <w:pPr>
      <w:pStyle w:val="a5"/>
      <w:pBdr>
        <w:top w:val="single" w:sz="4" w:space="1" w:color="auto"/>
        <w:between w:val="single" w:sz="4" w:space="0" w:color="auto"/>
      </w:pBdr>
      <w:spacing w:after="60"/>
      <w:jc w:val="center"/>
      <w:rPr>
        <w:rFonts w:ascii="FrankRuehl" w:hAnsi="FrankRuehl" w:cs="FrankRuehl"/>
        <w:color w:val="000000"/>
      </w:rPr>
    </w:pPr>
    <w:r w:rsidRPr="00477DA1">
      <w:rPr>
        <w:rFonts w:ascii="FrankRuehl" w:hAnsi="FrankRuehl" w:cs="FrankRuehl"/>
        <w:color w:val="000000"/>
      </w:rPr>
      <w:pict w14:anchorId="51EA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43848" w14:textId="77777777" w:rsidR="001C6ECA" w:rsidRDefault="001C6ECA" w:rsidP="004C6627">
      <w:r>
        <w:separator/>
      </w:r>
    </w:p>
  </w:footnote>
  <w:footnote w:type="continuationSeparator" w:id="0">
    <w:p w14:paraId="11DD9287" w14:textId="77777777" w:rsidR="001C6ECA" w:rsidRDefault="001C6ECA" w:rsidP="004C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3D8C2" w14:textId="77777777" w:rsidR="002578E9" w:rsidRPr="00477DA1" w:rsidRDefault="00477DA1" w:rsidP="00477D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35856-06-18</w:t>
    </w:r>
    <w:r>
      <w:rPr>
        <w:rFonts w:ascii="David" w:hAnsi="David"/>
        <w:color w:val="000000"/>
        <w:sz w:val="22"/>
        <w:szCs w:val="22"/>
        <w:rtl/>
      </w:rPr>
      <w:tab/>
      <w:t xml:space="preserve"> מדינת ישראל נ' מחמד נאגח שויכי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20294" w14:textId="77777777" w:rsidR="002578E9" w:rsidRPr="00477DA1" w:rsidRDefault="00477DA1" w:rsidP="00477D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35856-06-18</w:t>
    </w:r>
    <w:r>
      <w:rPr>
        <w:rFonts w:ascii="David" w:hAnsi="David"/>
        <w:color w:val="000000"/>
        <w:sz w:val="22"/>
        <w:szCs w:val="22"/>
        <w:rtl/>
      </w:rPr>
      <w:tab/>
      <w:t xml:space="preserve"> מדינת ישראל נ' מחמד נאגח שויכי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60018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735"/>
    <w:rsid w:val="001C6ECA"/>
    <w:rsid w:val="002578E9"/>
    <w:rsid w:val="00325D78"/>
    <w:rsid w:val="0044208B"/>
    <w:rsid w:val="00477DA1"/>
    <w:rsid w:val="004C6627"/>
    <w:rsid w:val="00572700"/>
    <w:rsid w:val="005F0EC9"/>
    <w:rsid w:val="00841735"/>
    <w:rsid w:val="008673F1"/>
    <w:rsid w:val="00FC2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67AD19"/>
  <w15:chartTrackingRefBased/>
  <w15:docId w15:val="{E2B664C3-A309-4258-B2C8-EA5A8D09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7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1735"/>
    <w:pPr>
      <w:tabs>
        <w:tab w:val="center" w:pos="4153"/>
        <w:tab w:val="right" w:pos="8306"/>
      </w:tabs>
    </w:pPr>
  </w:style>
  <w:style w:type="character" w:customStyle="1" w:styleId="a4">
    <w:name w:val="כותרת עליונה תו"/>
    <w:link w:val="a3"/>
    <w:rsid w:val="00841735"/>
    <w:rPr>
      <w:rFonts w:ascii="Times New Roman" w:eastAsia="Times New Roman" w:hAnsi="Times New Roman" w:cs="David"/>
      <w:sz w:val="24"/>
      <w:szCs w:val="24"/>
    </w:rPr>
  </w:style>
  <w:style w:type="paragraph" w:styleId="a5">
    <w:name w:val="footer"/>
    <w:basedOn w:val="a"/>
    <w:link w:val="a6"/>
    <w:rsid w:val="00841735"/>
    <w:pPr>
      <w:tabs>
        <w:tab w:val="center" w:pos="4153"/>
        <w:tab w:val="right" w:pos="8306"/>
      </w:tabs>
    </w:pPr>
  </w:style>
  <w:style w:type="character" w:customStyle="1" w:styleId="a6">
    <w:name w:val="כותרת תחתונה תו"/>
    <w:link w:val="a5"/>
    <w:rsid w:val="00841735"/>
    <w:rPr>
      <w:rFonts w:ascii="Times New Roman" w:eastAsia="Times New Roman" w:hAnsi="Times New Roman" w:cs="David"/>
      <w:sz w:val="24"/>
      <w:szCs w:val="24"/>
    </w:rPr>
  </w:style>
  <w:style w:type="table" w:styleId="a7">
    <w:name w:val="Table Grid"/>
    <w:basedOn w:val="a1"/>
    <w:rsid w:val="008417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1735"/>
  </w:style>
  <w:style w:type="paragraph" w:styleId="a9">
    <w:name w:val="Balloon Text"/>
    <w:basedOn w:val="a"/>
    <w:link w:val="aa"/>
    <w:rsid w:val="00841735"/>
    <w:rPr>
      <w:rFonts w:ascii="Tahoma" w:hAnsi="Tahoma" w:cs="Tahoma"/>
      <w:sz w:val="16"/>
      <w:szCs w:val="16"/>
    </w:rPr>
  </w:style>
  <w:style w:type="character" w:customStyle="1" w:styleId="aa">
    <w:name w:val="טקסט בלונים תו"/>
    <w:link w:val="a9"/>
    <w:rsid w:val="00841735"/>
    <w:rPr>
      <w:rFonts w:ascii="Tahoma" w:eastAsia="Times New Roman" w:hAnsi="Tahoma" w:cs="Tahoma"/>
      <w:sz w:val="16"/>
      <w:szCs w:val="16"/>
    </w:rPr>
  </w:style>
  <w:style w:type="character" w:styleId="Hyperlink">
    <w:name w:val="Hyperlink"/>
    <w:rsid w:val="00257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4216/7.a.;7.c" TargetMode="External"/><Relationship Id="rId39" Type="http://schemas.openxmlformats.org/officeDocument/2006/relationships/footer" Target="footer1.xm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13;19a" TargetMode="External"/><Relationship Id="rId29" Type="http://schemas.openxmlformats.org/officeDocument/2006/relationships/hyperlink" Target="http://www.nevo.co.il/law/70301/40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1309372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10.a" TargetMode="External"/><Relationship Id="rId23" Type="http://schemas.openxmlformats.org/officeDocument/2006/relationships/hyperlink" Target="http://www.nevo.co.il/law/90721"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420" TargetMode="External"/><Relationship Id="rId31" Type="http://schemas.openxmlformats.org/officeDocument/2006/relationships/hyperlink" Target="http://www.nevo.co.il/case/2374889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90721/12.1" TargetMode="External"/><Relationship Id="rId27" Type="http://schemas.openxmlformats.org/officeDocument/2006/relationships/hyperlink" Target="http://www.nevo.co.il/law/70301/42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90721"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9072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5227"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6335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7586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7864430</vt:i4>
      </vt:variant>
      <vt:variant>
        <vt:i4>84</vt:i4>
      </vt:variant>
      <vt:variant>
        <vt:i4>0</vt:i4>
      </vt:variant>
      <vt:variant>
        <vt:i4>5</vt:i4>
      </vt:variant>
      <vt:variant>
        <vt:lpwstr>http://www.nevo.co.il/law/90721</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3407995</vt:i4>
      </vt:variant>
      <vt:variant>
        <vt:i4>72</vt:i4>
      </vt:variant>
      <vt:variant>
        <vt:i4>0</vt:i4>
      </vt:variant>
      <vt:variant>
        <vt:i4>5</vt:i4>
      </vt:variant>
      <vt:variant>
        <vt:lpwstr>http://www.nevo.co.il/case/23748897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6750305</vt:i4>
      </vt:variant>
      <vt:variant>
        <vt:i4>60</vt:i4>
      </vt:variant>
      <vt:variant>
        <vt:i4>0</vt:i4>
      </vt:variant>
      <vt:variant>
        <vt:i4>5</vt:i4>
      </vt:variant>
      <vt:variant>
        <vt:lpwstr>http://www.nevo.co.il/law/70301/420</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8323175</vt:i4>
      </vt:variant>
      <vt:variant>
        <vt:i4>54</vt:i4>
      </vt:variant>
      <vt:variant>
        <vt:i4>0</vt:i4>
      </vt:variant>
      <vt:variant>
        <vt:i4>5</vt:i4>
      </vt:variant>
      <vt:variant>
        <vt:lpwstr>http://www.nevo.co.il/law/5227</vt:lpwstr>
      </vt:variant>
      <vt:variant>
        <vt:lpwstr/>
      </vt:variant>
      <vt:variant>
        <vt:i4>6291576</vt:i4>
      </vt:variant>
      <vt:variant>
        <vt:i4>51</vt:i4>
      </vt:variant>
      <vt:variant>
        <vt:i4>0</vt:i4>
      </vt:variant>
      <vt:variant>
        <vt:i4>5</vt:i4>
      </vt:variant>
      <vt:variant>
        <vt:lpwstr>http://www.nevo.co.il/law/5227/10.a</vt:lpwstr>
      </vt:variant>
      <vt:variant>
        <vt:lpwstr/>
      </vt:variant>
      <vt:variant>
        <vt:i4>7864430</vt:i4>
      </vt:variant>
      <vt:variant>
        <vt:i4>48</vt:i4>
      </vt:variant>
      <vt:variant>
        <vt:i4>0</vt:i4>
      </vt:variant>
      <vt:variant>
        <vt:i4>5</vt:i4>
      </vt:variant>
      <vt:variant>
        <vt:lpwstr>http://www.nevo.co.il/law/90721</vt:lpwstr>
      </vt:variant>
      <vt:variant>
        <vt:lpwstr/>
      </vt:variant>
      <vt:variant>
        <vt:i4>5505088</vt:i4>
      </vt:variant>
      <vt:variant>
        <vt:i4>45</vt:i4>
      </vt:variant>
      <vt:variant>
        <vt:i4>0</vt:i4>
      </vt:variant>
      <vt:variant>
        <vt:i4>5</vt:i4>
      </vt:variant>
      <vt:variant>
        <vt:lpwstr>http://www.nevo.co.il/law/90721/12.1</vt:lpwstr>
      </vt:variant>
      <vt:variant>
        <vt:lpwstr/>
      </vt:variant>
      <vt:variant>
        <vt:i4>8257637</vt:i4>
      </vt:variant>
      <vt:variant>
        <vt:i4>42</vt:i4>
      </vt:variant>
      <vt:variant>
        <vt:i4>0</vt:i4>
      </vt:variant>
      <vt:variant>
        <vt:i4>5</vt:i4>
      </vt:variant>
      <vt:variant>
        <vt:lpwstr>http://www.nevo.co.il/law/4216</vt:lpwstr>
      </vt:variant>
      <vt:variant>
        <vt:lpwstr/>
      </vt:variant>
      <vt:variant>
        <vt:i4>5046344</vt:i4>
      </vt:variant>
      <vt:variant>
        <vt:i4>39</vt:i4>
      </vt:variant>
      <vt:variant>
        <vt:i4>0</vt:i4>
      </vt:variant>
      <vt:variant>
        <vt:i4>5</vt:i4>
      </vt:variant>
      <vt:variant>
        <vt:lpwstr>http://www.nevo.co.il/law/4216/13;19a</vt:lpwstr>
      </vt:variant>
      <vt:variant>
        <vt:lpwstr/>
      </vt:variant>
      <vt:variant>
        <vt:i4>6750305</vt:i4>
      </vt:variant>
      <vt:variant>
        <vt:i4>36</vt:i4>
      </vt:variant>
      <vt:variant>
        <vt:i4>0</vt:i4>
      </vt:variant>
      <vt:variant>
        <vt:i4>5</vt:i4>
      </vt:variant>
      <vt:variant>
        <vt:lpwstr>http://www.nevo.co.il/law/70301/420</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7864430</vt:i4>
      </vt:variant>
      <vt:variant>
        <vt:i4>15</vt:i4>
      </vt:variant>
      <vt:variant>
        <vt:i4>0</vt:i4>
      </vt:variant>
      <vt:variant>
        <vt:i4>5</vt:i4>
      </vt:variant>
      <vt:variant>
        <vt:lpwstr>http://www.nevo.co.il/law/90721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35856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נאגח שויכי</vt:lpwstr>
  </property>
  <property fmtid="{D5CDD505-2E9C-101B-9397-08002B2CF9AE}" pid="10" name="LAWYER">
    <vt:lpwstr>עבד דראושה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20181028</vt:lpwstr>
  </property>
  <property fmtid="{D5CDD505-2E9C-101B-9397-08002B2CF9AE}" pid="14" name="TYPE_N_DATE">
    <vt:lpwstr>38020181028</vt:lpwstr>
  </property>
  <property fmtid="{D5CDD505-2E9C-101B-9397-08002B2CF9AE}" pid="15" name="CASESLISTTMP1">
    <vt:lpwstr>23748897;13093721</vt:lpwstr>
  </property>
  <property fmtid="{D5CDD505-2E9C-101B-9397-08002B2CF9AE}" pid="16" name="CASENOTES1">
    <vt:lpwstr>ProcID=174;133;209&amp;PartA=3343&amp;PartC=07</vt:lpwstr>
  </property>
  <property fmtid="{D5CDD505-2E9C-101B-9397-08002B2CF9AE}" pid="17" name="WORDNUMPAGES">
    <vt:lpwstr>4</vt:lpwstr>
  </property>
  <property fmtid="{D5CDD505-2E9C-101B-9397-08002B2CF9AE}" pid="18" name="TYPE_ABS_DATE">
    <vt:lpwstr>380020181028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4216/013;019a;007.a;007.c</vt:lpwstr>
  </property>
  <property fmtid="{D5CDD505-2E9C-101B-9397-08002B2CF9AE}" pid="38" name="LAWLISTTMP2">
    <vt:lpwstr>90721/012.1</vt:lpwstr>
  </property>
  <property fmtid="{D5CDD505-2E9C-101B-9397-08002B2CF9AE}" pid="39" name="LAWLISTTMP3">
    <vt:lpwstr>5227/010.a</vt:lpwstr>
  </property>
  <property fmtid="{D5CDD505-2E9C-101B-9397-08002B2CF9AE}" pid="40" name="LAWLISTTMP4">
    <vt:lpwstr>70301/420;040i;40ja</vt:lpwstr>
  </property>
</Properties>
</file>