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BA3145" w:rsidRPr="00BE506B" w14:paraId="6A3AE1D6" w14:textId="77777777" w:rsidTr="003F0843">
        <w:trPr>
          <w:trHeight w:hRule="exact" w:val="418"/>
          <w:jc w:val="center"/>
        </w:trPr>
        <w:tc>
          <w:tcPr>
            <w:tcW w:w="8721" w:type="dxa"/>
            <w:gridSpan w:val="2"/>
          </w:tcPr>
          <w:p w14:paraId="2DDBF460" w14:textId="77777777" w:rsidR="00BA3145" w:rsidRPr="00BE506B" w:rsidRDefault="00BA3145" w:rsidP="00822A0D">
            <w:pPr>
              <w:pStyle w:val="a3"/>
              <w:jc w:val="center"/>
              <w:rPr>
                <w:rFonts w:ascii="Tahoma" w:hAnsi="Tahoma" w:cs="Tahoma"/>
                <w:color w:val="000080"/>
                <w:rtl/>
              </w:rPr>
            </w:pPr>
            <w:r w:rsidRPr="00BE506B">
              <w:rPr>
                <w:rFonts w:ascii="Tahoma" w:hAnsi="Tahoma" w:cs="Tahoma"/>
                <w:b/>
                <w:bCs/>
                <w:color w:val="000080"/>
                <w:rtl/>
              </w:rPr>
              <w:t>בית משפט השלום ברחובות</w:t>
            </w:r>
          </w:p>
        </w:tc>
      </w:tr>
      <w:tr w:rsidR="00BA3145" w:rsidRPr="00BE506B" w14:paraId="089C03A4" w14:textId="77777777" w:rsidTr="003F0843">
        <w:trPr>
          <w:trHeight w:val="337"/>
          <w:jc w:val="center"/>
        </w:trPr>
        <w:tc>
          <w:tcPr>
            <w:tcW w:w="5054" w:type="dxa"/>
          </w:tcPr>
          <w:p w14:paraId="6FF6BC36" w14:textId="77777777" w:rsidR="00BA3145" w:rsidRPr="00BE506B" w:rsidRDefault="00BA3145" w:rsidP="00822A0D">
            <w:pPr>
              <w:rPr>
                <w:rFonts w:cs="FrankRuehl"/>
                <w:sz w:val="28"/>
                <w:szCs w:val="28"/>
                <w:rtl/>
              </w:rPr>
            </w:pPr>
            <w:r w:rsidRPr="00BE506B">
              <w:rPr>
                <w:rFonts w:cs="FrankRuehl"/>
                <w:sz w:val="28"/>
                <w:szCs w:val="28"/>
                <w:rtl/>
              </w:rPr>
              <w:t>ת"פ</w:t>
            </w:r>
            <w:r w:rsidRPr="00BE506B">
              <w:rPr>
                <w:rFonts w:cs="FrankRuehl" w:hint="cs"/>
                <w:sz w:val="28"/>
                <w:szCs w:val="28"/>
                <w:rtl/>
              </w:rPr>
              <w:t xml:space="preserve"> </w:t>
            </w:r>
            <w:r w:rsidRPr="00BE506B">
              <w:rPr>
                <w:rFonts w:cs="FrankRuehl"/>
                <w:sz w:val="28"/>
                <w:szCs w:val="28"/>
                <w:rtl/>
              </w:rPr>
              <w:t>49033-06-18</w:t>
            </w:r>
            <w:r w:rsidRPr="00BE506B">
              <w:rPr>
                <w:rFonts w:cs="FrankRuehl" w:hint="cs"/>
                <w:sz w:val="28"/>
                <w:szCs w:val="28"/>
                <w:rtl/>
              </w:rPr>
              <w:t xml:space="preserve"> </w:t>
            </w:r>
            <w:r w:rsidRPr="00BE506B">
              <w:rPr>
                <w:rFonts w:cs="FrankRuehl"/>
                <w:sz w:val="28"/>
                <w:szCs w:val="28"/>
                <w:rtl/>
              </w:rPr>
              <w:t>מדינת ישראל נ' אתירם</w:t>
            </w:r>
          </w:p>
          <w:p w14:paraId="679F4BEA" w14:textId="77777777" w:rsidR="00BA3145" w:rsidRPr="00BE506B" w:rsidRDefault="00BA3145" w:rsidP="00822A0D">
            <w:pPr>
              <w:pStyle w:val="a3"/>
              <w:rPr>
                <w:rFonts w:cs="FrankRuehl"/>
                <w:sz w:val="28"/>
                <w:szCs w:val="28"/>
                <w:rtl/>
              </w:rPr>
            </w:pPr>
          </w:p>
        </w:tc>
        <w:tc>
          <w:tcPr>
            <w:tcW w:w="3667" w:type="dxa"/>
          </w:tcPr>
          <w:p w14:paraId="65304A37" w14:textId="77777777" w:rsidR="00BA3145" w:rsidRPr="00BE506B" w:rsidRDefault="00BA3145" w:rsidP="00822A0D">
            <w:pPr>
              <w:pStyle w:val="a3"/>
              <w:jc w:val="right"/>
              <w:rPr>
                <w:rFonts w:cs="FrankRuehl"/>
                <w:sz w:val="28"/>
                <w:szCs w:val="28"/>
                <w:rtl/>
              </w:rPr>
            </w:pPr>
          </w:p>
        </w:tc>
      </w:tr>
    </w:tbl>
    <w:p w14:paraId="64444E04" w14:textId="77777777" w:rsidR="00BA3145" w:rsidRPr="00BE506B" w:rsidRDefault="00BA3145" w:rsidP="00BA3145">
      <w:pPr>
        <w:pStyle w:val="a3"/>
        <w:rPr>
          <w:rtl/>
        </w:rPr>
      </w:pPr>
      <w:r w:rsidRPr="00BE506B">
        <w:rPr>
          <w:rFonts w:hint="cs"/>
          <w:rtl/>
        </w:rPr>
        <w:t xml:space="preserve"> </w:t>
      </w:r>
    </w:p>
    <w:p w14:paraId="2B71EC6F" w14:textId="77777777" w:rsidR="00BA3145" w:rsidRPr="00BE506B" w:rsidRDefault="00BA3145" w:rsidP="00BA314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A3145" w:rsidRPr="00BE506B" w14:paraId="24D8F690" w14:textId="77777777" w:rsidTr="00BA3145">
        <w:trPr>
          <w:trHeight w:val="295"/>
          <w:jc w:val="center"/>
        </w:trPr>
        <w:tc>
          <w:tcPr>
            <w:tcW w:w="923" w:type="dxa"/>
            <w:tcBorders>
              <w:top w:val="nil"/>
              <w:left w:val="nil"/>
              <w:bottom w:val="nil"/>
              <w:right w:val="nil"/>
            </w:tcBorders>
            <w:shd w:val="clear" w:color="auto" w:fill="auto"/>
          </w:tcPr>
          <w:p w14:paraId="4C883743" w14:textId="77777777" w:rsidR="00BA3145" w:rsidRPr="00BE506B" w:rsidRDefault="00BA3145" w:rsidP="00BA3145">
            <w:pPr>
              <w:jc w:val="both"/>
              <w:rPr>
                <w:rFonts w:ascii="Arial" w:hAnsi="Arial" w:cs="FrankRuehl"/>
                <w:sz w:val="28"/>
                <w:szCs w:val="28"/>
              </w:rPr>
            </w:pPr>
            <w:r w:rsidRPr="00BE506B">
              <w:rPr>
                <w:rFonts w:ascii="Arial" w:hAnsi="Arial" w:cs="FrankRuehl" w:hint="cs"/>
                <w:sz w:val="28"/>
                <w:szCs w:val="28"/>
                <w:rtl/>
              </w:rPr>
              <w:t>ב</w:t>
            </w:r>
            <w:r w:rsidRPr="00BE506B">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20BCF67C" w14:textId="77777777" w:rsidR="00BA3145" w:rsidRPr="00BE506B" w:rsidRDefault="00BA3145" w:rsidP="00822A0D">
            <w:pPr>
              <w:rPr>
                <w:rFonts w:ascii="Arial" w:hAnsi="Arial"/>
                <w:b/>
                <w:bCs/>
                <w:rtl/>
              </w:rPr>
            </w:pPr>
            <w:r w:rsidRPr="00BE506B">
              <w:rPr>
                <w:rFonts w:ascii="Arial" w:hAnsi="Arial" w:hint="cs"/>
                <w:b/>
                <w:bCs/>
                <w:rtl/>
              </w:rPr>
              <w:t>כבוד ה</w:t>
            </w:r>
            <w:r w:rsidRPr="00BE506B">
              <w:rPr>
                <w:rFonts w:ascii="Arial" w:hAnsi="Arial"/>
                <w:b/>
                <w:bCs/>
                <w:rtl/>
              </w:rPr>
              <w:t>שופטת, סגנית הנשיאה</w:t>
            </w:r>
            <w:r w:rsidRPr="00BE506B">
              <w:rPr>
                <w:rFonts w:ascii="Arial" w:hAnsi="Arial" w:hint="cs"/>
                <w:b/>
                <w:bCs/>
                <w:rtl/>
              </w:rPr>
              <w:t xml:space="preserve">  </w:t>
            </w:r>
            <w:r w:rsidRPr="00BE506B">
              <w:rPr>
                <w:rFonts w:ascii="Arial" w:hAnsi="Arial"/>
                <w:b/>
                <w:bCs/>
                <w:rtl/>
              </w:rPr>
              <w:t>אפרת פינק</w:t>
            </w:r>
          </w:p>
          <w:p w14:paraId="0C48B12A" w14:textId="77777777" w:rsidR="00BA3145" w:rsidRPr="00BE506B" w:rsidRDefault="00BA3145" w:rsidP="00822A0D">
            <w:pPr>
              <w:rPr>
                <w:rtl/>
              </w:rPr>
            </w:pPr>
          </w:p>
          <w:p w14:paraId="5BC161FC" w14:textId="77777777" w:rsidR="00BA3145" w:rsidRPr="00BE506B" w:rsidRDefault="00BA3145" w:rsidP="00BA3145">
            <w:pPr>
              <w:jc w:val="both"/>
              <w:rPr>
                <w:rFonts w:ascii="Arial" w:hAnsi="Arial" w:cs="FrankRuehl"/>
                <w:sz w:val="28"/>
                <w:szCs w:val="28"/>
              </w:rPr>
            </w:pPr>
          </w:p>
        </w:tc>
      </w:tr>
      <w:tr w:rsidR="00BA3145" w:rsidRPr="00BE506B" w14:paraId="7758C143" w14:textId="77777777" w:rsidTr="00BA3145">
        <w:trPr>
          <w:trHeight w:val="355"/>
          <w:jc w:val="center"/>
        </w:trPr>
        <w:tc>
          <w:tcPr>
            <w:tcW w:w="923" w:type="dxa"/>
            <w:tcBorders>
              <w:top w:val="nil"/>
              <w:left w:val="nil"/>
              <w:bottom w:val="nil"/>
              <w:right w:val="nil"/>
            </w:tcBorders>
            <w:shd w:val="clear" w:color="auto" w:fill="auto"/>
          </w:tcPr>
          <w:p w14:paraId="3277A903" w14:textId="77777777" w:rsidR="00BA3145" w:rsidRPr="00BE506B" w:rsidRDefault="00BA3145" w:rsidP="00BA3145">
            <w:pPr>
              <w:jc w:val="both"/>
              <w:rPr>
                <w:rFonts w:ascii="Arial" w:hAnsi="Arial" w:cs="FrankRuehl"/>
                <w:sz w:val="28"/>
                <w:szCs w:val="28"/>
              </w:rPr>
            </w:pPr>
            <w:bookmarkStart w:id="0" w:name="FirstAppellant"/>
            <w:bookmarkStart w:id="1" w:name="LastJudge"/>
            <w:bookmarkEnd w:id="1"/>
            <w:r w:rsidRPr="00BE506B">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339BA27F" w14:textId="77777777" w:rsidR="00BA3145" w:rsidRPr="00BE506B" w:rsidRDefault="00BA3145" w:rsidP="00822A0D">
            <w:r w:rsidRPr="00BE506B">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74B5A3C5" w14:textId="77777777" w:rsidR="00BA3145" w:rsidRPr="00BE506B" w:rsidRDefault="00BA3145" w:rsidP="00BA3145">
            <w:pPr>
              <w:jc w:val="both"/>
              <w:rPr>
                <w:rFonts w:ascii="Arial" w:hAnsi="Arial" w:cs="FrankRuehl"/>
                <w:sz w:val="28"/>
                <w:szCs w:val="28"/>
              </w:rPr>
            </w:pPr>
          </w:p>
        </w:tc>
      </w:tr>
      <w:bookmarkEnd w:id="0"/>
      <w:tr w:rsidR="00BA3145" w:rsidRPr="00BE506B" w14:paraId="361EE2C4" w14:textId="77777777" w:rsidTr="00BA3145">
        <w:trPr>
          <w:trHeight w:val="355"/>
          <w:jc w:val="center"/>
        </w:trPr>
        <w:tc>
          <w:tcPr>
            <w:tcW w:w="923" w:type="dxa"/>
            <w:tcBorders>
              <w:top w:val="nil"/>
              <w:left w:val="nil"/>
              <w:bottom w:val="nil"/>
              <w:right w:val="nil"/>
            </w:tcBorders>
            <w:shd w:val="clear" w:color="auto" w:fill="auto"/>
          </w:tcPr>
          <w:p w14:paraId="22FB1B8E" w14:textId="77777777" w:rsidR="00BA3145" w:rsidRPr="00BE506B" w:rsidRDefault="00BA3145" w:rsidP="00BA314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65CE5F0" w14:textId="77777777" w:rsidR="00BA3145" w:rsidRPr="00BE506B" w:rsidRDefault="00BA3145" w:rsidP="00BA3145">
            <w:pPr>
              <w:jc w:val="both"/>
              <w:rPr>
                <w:rtl/>
              </w:rPr>
            </w:pPr>
          </w:p>
        </w:tc>
        <w:tc>
          <w:tcPr>
            <w:tcW w:w="3771" w:type="dxa"/>
            <w:tcBorders>
              <w:top w:val="nil"/>
              <w:left w:val="nil"/>
              <w:bottom w:val="nil"/>
              <w:right w:val="nil"/>
            </w:tcBorders>
            <w:shd w:val="clear" w:color="auto" w:fill="auto"/>
          </w:tcPr>
          <w:p w14:paraId="04EDE961" w14:textId="77777777" w:rsidR="00BA3145" w:rsidRPr="00BE506B" w:rsidRDefault="00BA3145" w:rsidP="00BA3145">
            <w:pPr>
              <w:jc w:val="right"/>
              <w:rPr>
                <w:rFonts w:ascii="Arial" w:hAnsi="Arial" w:cs="FrankRuehl"/>
                <w:sz w:val="28"/>
                <w:szCs w:val="28"/>
                <w:rtl/>
              </w:rPr>
            </w:pPr>
            <w:r w:rsidRPr="00BE506B">
              <w:rPr>
                <w:rFonts w:ascii="Arial" w:hAnsi="Arial" w:cs="FrankRuehl" w:hint="cs"/>
                <w:sz w:val="28"/>
                <w:szCs w:val="28"/>
                <w:rtl/>
              </w:rPr>
              <w:t>ה</w:t>
            </w:r>
            <w:r w:rsidRPr="00BE506B">
              <w:rPr>
                <w:rFonts w:ascii="Arial" w:hAnsi="Arial" w:cs="FrankRuehl"/>
                <w:sz w:val="28"/>
                <w:szCs w:val="28"/>
                <w:rtl/>
              </w:rPr>
              <w:t>מאשימה</w:t>
            </w:r>
          </w:p>
        </w:tc>
      </w:tr>
      <w:tr w:rsidR="00BA3145" w:rsidRPr="00BE506B" w14:paraId="7CAEF81C" w14:textId="77777777" w:rsidTr="00BA3145">
        <w:trPr>
          <w:trHeight w:val="355"/>
          <w:jc w:val="center"/>
        </w:trPr>
        <w:tc>
          <w:tcPr>
            <w:tcW w:w="923" w:type="dxa"/>
            <w:tcBorders>
              <w:top w:val="nil"/>
              <w:left w:val="nil"/>
              <w:bottom w:val="nil"/>
              <w:right w:val="nil"/>
            </w:tcBorders>
            <w:shd w:val="clear" w:color="auto" w:fill="auto"/>
          </w:tcPr>
          <w:p w14:paraId="59EE3957" w14:textId="77777777" w:rsidR="00BA3145" w:rsidRPr="00BE506B" w:rsidRDefault="00BA3145" w:rsidP="00BA3145">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231AAB07" w14:textId="77777777" w:rsidR="00BA3145" w:rsidRPr="00BE506B" w:rsidRDefault="00BA3145" w:rsidP="00BA3145">
            <w:pPr>
              <w:jc w:val="center"/>
              <w:rPr>
                <w:rFonts w:ascii="Arial" w:hAnsi="Arial" w:cs="FrankRuehl"/>
                <w:b/>
                <w:bCs/>
                <w:sz w:val="28"/>
                <w:szCs w:val="28"/>
                <w:rtl/>
              </w:rPr>
            </w:pPr>
          </w:p>
          <w:p w14:paraId="511FFF03" w14:textId="77777777" w:rsidR="00BA3145" w:rsidRPr="00BE506B" w:rsidRDefault="00BA3145" w:rsidP="00BA3145">
            <w:pPr>
              <w:jc w:val="center"/>
              <w:rPr>
                <w:rFonts w:ascii="Arial" w:hAnsi="Arial" w:cs="FrankRuehl"/>
                <w:b/>
                <w:bCs/>
                <w:sz w:val="28"/>
                <w:szCs w:val="28"/>
                <w:rtl/>
              </w:rPr>
            </w:pPr>
            <w:r w:rsidRPr="00BE506B">
              <w:rPr>
                <w:rFonts w:ascii="Arial" w:hAnsi="Arial" w:cs="FrankRuehl"/>
                <w:b/>
                <w:bCs/>
                <w:sz w:val="28"/>
                <w:szCs w:val="28"/>
                <w:rtl/>
              </w:rPr>
              <w:t>נגד</w:t>
            </w:r>
          </w:p>
          <w:p w14:paraId="5386FD44" w14:textId="77777777" w:rsidR="00BA3145" w:rsidRPr="00BE506B" w:rsidRDefault="00BA3145" w:rsidP="00BA3145">
            <w:pPr>
              <w:jc w:val="both"/>
              <w:rPr>
                <w:rFonts w:ascii="Arial" w:hAnsi="Arial" w:cs="FrankRuehl"/>
                <w:sz w:val="28"/>
                <w:szCs w:val="28"/>
              </w:rPr>
            </w:pPr>
          </w:p>
        </w:tc>
      </w:tr>
      <w:tr w:rsidR="00BA3145" w:rsidRPr="00BE506B" w14:paraId="109FCB95" w14:textId="77777777" w:rsidTr="00BA3145">
        <w:trPr>
          <w:trHeight w:val="355"/>
          <w:jc w:val="center"/>
        </w:trPr>
        <w:tc>
          <w:tcPr>
            <w:tcW w:w="923" w:type="dxa"/>
            <w:tcBorders>
              <w:top w:val="nil"/>
              <w:left w:val="nil"/>
              <w:bottom w:val="nil"/>
              <w:right w:val="nil"/>
            </w:tcBorders>
            <w:shd w:val="clear" w:color="auto" w:fill="auto"/>
          </w:tcPr>
          <w:p w14:paraId="5F714547" w14:textId="77777777" w:rsidR="00BA3145" w:rsidRPr="00BE506B" w:rsidRDefault="00BA3145" w:rsidP="00822A0D">
            <w:pPr>
              <w:rPr>
                <w:rFonts w:ascii="Arial" w:hAnsi="Arial" w:cs="FrankRuehl"/>
                <w:sz w:val="28"/>
                <w:szCs w:val="28"/>
                <w:rtl/>
              </w:rPr>
            </w:pPr>
          </w:p>
        </w:tc>
        <w:tc>
          <w:tcPr>
            <w:tcW w:w="4126" w:type="dxa"/>
            <w:tcBorders>
              <w:top w:val="nil"/>
              <w:left w:val="nil"/>
              <w:bottom w:val="nil"/>
              <w:right w:val="nil"/>
            </w:tcBorders>
            <w:shd w:val="clear" w:color="auto" w:fill="auto"/>
          </w:tcPr>
          <w:p w14:paraId="177B9F6B" w14:textId="77777777" w:rsidR="00BA3145" w:rsidRPr="00BE506B" w:rsidRDefault="00BA3145" w:rsidP="00822A0D">
            <w:pPr>
              <w:rPr>
                <w:rtl/>
              </w:rPr>
            </w:pPr>
            <w:r w:rsidRPr="00BE506B">
              <w:rPr>
                <w:rFonts w:ascii="Arial" w:hAnsi="Arial" w:cs="FrankRuehl"/>
                <w:sz w:val="28"/>
                <w:szCs w:val="28"/>
                <w:rtl/>
              </w:rPr>
              <w:t>סהר אתירם</w:t>
            </w:r>
          </w:p>
        </w:tc>
        <w:tc>
          <w:tcPr>
            <w:tcW w:w="3771" w:type="dxa"/>
            <w:tcBorders>
              <w:top w:val="nil"/>
              <w:left w:val="nil"/>
              <w:bottom w:val="nil"/>
              <w:right w:val="nil"/>
            </w:tcBorders>
            <w:shd w:val="clear" w:color="auto" w:fill="auto"/>
          </w:tcPr>
          <w:p w14:paraId="7C9F918D" w14:textId="77777777" w:rsidR="00BA3145" w:rsidRPr="00BE506B" w:rsidRDefault="00BA3145" w:rsidP="00BA3145">
            <w:pPr>
              <w:jc w:val="right"/>
              <w:rPr>
                <w:rFonts w:ascii="Arial" w:hAnsi="Arial" w:cs="FrankRuehl"/>
                <w:sz w:val="28"/>
                <w:szCs w:val="28"/>
              </w:rPr>
            </w:pPr>
          </w:p>
        </w:tc>
      </w:tr>
      <w:tr w:rsidR="00BA3145" w:rsidRPr="00BE506B" w14:paraId="426608DE" w14:textId="77777777" w:rsidTr="00BA3145">
        <w:trPr>
          <w:trHeight w:val="355"/>
          <w:jc w:val="center"/>
        </w:trPr>
        <w:tc>
          <w:tcPr>
            <w:tcW w:w="923" w:type="dxa"/>
            <w:tcBorders>
              <w:top w:val="nil"/>
              <w:left w:val="nil"/>
              <w:bottom w:val="nil"/>
              <w:right w:val="nil"/>
            </w:tcBorders>
            <w:shd w:val="clear" w:color="auto" w:fill="auto"/>
          </w:tcPr>
          <w:p w14:paraId="5D51C242" w14:textId="77777777" w:rsidR="00BA3145" w:rsidRPr="00BE506B" w:rsidRDefault="00BA3145" w:rsidP="00BA314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496417C" w14:textId="77777777" w:rsidR="00BA3145" w:rsidRPr="00BE506B" w:rsidRDefault="00BA3145" w:rsidP="00BA3145">
            <w:pPr>
              <w:jc w:val="both"/>
              <w:rPr>
                <w:rtl/>
              </w:rPr>
            </w:pPr>
          </w:p>
        </w:tc>
        <w:tc>
          <w:tcPr>
            <w:tcW w:w="3771" w:type="dxa"/>
            <w:tcBorders>
              <w:top w:val="nil"/>
              <w:left w:val="nil"/>
              <w:bottom w:val="nil"/>
              <w:right w:val="nil"/>
            </w:tcBorders>
            <w:shd w:val="clear" w:color="auto" w:fill="auto"/>
          </w:tcPr>
          <w:p w14:paraId="335AEDEA" w14:textId="77777777" w:rsidR="00BA3145" w:rsidRPr="00BE506B" w:rsidRDefault="00BA3145" w:rsidP="00BA3145">
            <w:pPr>
              <w:jc w:val="right"/>
              <w:rPr>
                <w:rFonts w:ascii="Arial" w:hAnsi="Arial" w:cs="FrankRuehl"/>
                <w:sz w:val="28"/>
                <w:szCs w:val="28"/>
              </w:rPr>
            </w:pPr>
            <w:r w:rsidRPr="00BE506B">
              <w:rPr>
                <w:rFonts w:ascii="Arial" w:hAnsi="Arial" w:cs="FrankRuehl" w:hint="cs"/>
                <w:sz w:val="28"/>
                <w:szCs w:val="28"/>
                <w:rtl/>
              </w:rPr>
              <w:t>ה</w:t>
            </w:r>
            <w:r w:rsidRPr="00BE506B">
              <w:rPr>
                <w:rFonts w:ascii="Arial" w:hAnsi="Arial" w:cs="FrankRuehl"/>
                <w:sz w:val="28"/>
                <w:szCs w:val="28"/>
                <w:rtl/>
              </w:rPr>
              <w:t>נאש</w:t>
            </w:r>
            <w:r w:rsidRPr="00BE506B">
              <w:rPr>
                <w:rFonts w:ascii="Arial" w:hAnsi="Arial" w:cs="FrankRuehl" w:hint="cs"/>
                <w:sz w:val="28"/>
                <w:szCs w:val="28"/>
                <w:rtl/>
              </w:rPr>
              <w:t>ם</w:t>
            </w:r>
          </w:p>
        </w:tc>
      </w:tr>
    </w:tbl>
    <w:p w14:paraId="5F6F04D6" w14:textId="77777777" w:rsidR="00BA3145" w:rsidRPr="00BE506B" w:rsidRDefault="00BA3145" w:rsidP="00BA3145"/>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A3145" w:rsidRPr="00BE506B" w14:paraId="554E0568" w14:textId="77777777" w:rsidTr="00BA3145">
        <w:trPr>
          <w:trHeight w:val="355"/>
          <w:jc w:val="center"/>
        </w:trPr>
        <w:tc>
          <w:tcPr>
            <w:tcW w:w="8820" w:type="dxa"/>
            <w:tcBorders>
              <w:top w:val="nil"/>
              <w:left w:val="nil"/>
              <w:bottom w:val="nil"/>
              <w:right w:val="nil"/>
            </w:tcBorders>
            <w:shd w:val="clear" w:color="auto" w:fill="auto"/>
          </w:tcPr>
          <w:p w14:paraId="41197DED" w14:textId="77777777" w:rsidR="00BA3145" w:rsidRPr="00BE506B" w:rsidRDefault="00BA3145" w:rsidP="00822A0D">
            <w:pPr>
              <w:rPr>
                <w:rFonts w:ascii="Arial" w:hAnsi="Arial" w:cs="FrankRuehl"/>
                <w:b/>
                <w:bCs/>
                <w:sz w:val="32"/>
                <w:szCs w:val="32"/>
                <w:rtl/>
              </w:rPr>
            </w:pPr>
            <w:bookmarkStart w:id="2" w:name="FirstLawyer"/>
          </w:p>
          <w:p w14:paraId="0A00D46D" w14:textId="77777777" w:rsidR="00BA3145" w:rsidRDefault="00BA3145" w:rsidP="00822A0D">
            <w:pPr>
              <w:pStyle w:val="12"/>
              <w:rPr>
                <w:rFonts w:hint="cs"/>
                <w:u w:val="none"/>
                <w:rtl/>
              </w:rPr>
            </w:pPr>
            <w:r w:rsidRPr="00BE506B">
              <w:rPr>
                <w:rFonts w:hint="cs"/>
                <w:b w:val="0"/>
                <w:bCs w:val="0"/>
                <w:u w:val="none"/>
                <w:rtl/>
              </w:rPr>
              <w:t>ב"כ המאשימה עו"ד שירלי ברזילי ודפנה קרפל</w:t>
            </w:r>
            <w:r w:rsidRPr="00BE506B">
              <w:rPr>
                <w:rFonts w:hint="cs"/>
                <w:b w:val="0"/>
                <w:bCs w:val="0"/>
                <w:u w:val="none"/>
                <w:rtl/>
              </w:rPr>
              <w:br/>
              <w:t xml:space="preserve">הנאשם בעצמו </w:t>
            </w:r>
            <w:r w:rsidRPr="00BE506B">
              <w:rPr>
                <w:rFonts w:hint="cs"/>
                <w:b w:val="0"/>
                <w:bCs w:val="0"/>
                <w:u w:val="none"/>
                <w:rtl/>
              </w:rPr>
              <w:br/>
              <w:t xml:space="preserve">בא כוח הנאשם עו"ד שלומי ביזק  </w:t>
            </w:r>
          </w:p>
          <w:p w14:paraId="5CE21F94" w14:textId="77777777" w:rsidR="003F0843" w:rsidRDefault="003F0843" w:rsidP="00822A0D">
            <w:pPr>
              <w:pStyle w:val="12"/>
              <w:rPr>
                <w:rFonts w:hint="cs"/>
                <w:u w:val="none"/>
                <w:rtl/>
              </w:rPr>
            </w:pPr>
          </w:p>
          <w:p w14:paraId="69E263A1" w14:textId="77777777" w:rsidR="00963418" w:rsidRPr="00963418" w:rsidRDefault="00963418" w:rsidP="00963418">
            <w:pPr>
              <w:spacing w:before="120" w:after="120" w:line="240" w:lineRule="exact"/>
              <w:ind w:left="283" w:hanging="283"/>
              <w:jc w:val="both"/>
              <w:rPr>
                <w:rFonts w:ascii="FrankRuehl" w:hAnsi="FrankRuehl" w:cs="FrankRuehl"/>
                <w:rtl/>
              </w:rPr>
            </w:pPr>
            <w:bookmarkStart w:id="3" w:name="PsakDin"/>
            <w:bookmarkStart w:id="4" w:name="LawTable"/>
            <w:bookmarkEnd w:id="4"/>
          </w:p>
          <w:p w14:paraId="2D1502C9" w14:textId="77777777" w:rsidR="00963418" w:rsidRPr="00963418" w:rsidRDefault="00963418" w:rsidP="00963418">
            <w:pPr>
              <w:spacing w:before="120" w:after="120" w:line="240" w:lineRule="exact"/>
              <w:ind w:left="283" w:hanging="283"/>
              <w:jc w:val="both"/>
              <w:rPr>
                <w:rFonts w:ascii="FrankRuehl" w:hAnsi="FrankRuehl" w:cs="FrankRuehl"/>
                <w:rtl/>
              </w:rPr>
            </w:pPr>
          </w:p>
          <w:p w14:paraId="1A18B70F" w14:textId="77777777" w:rsidR="00963418" w:rsidRPr="00963418" w:rsidRDefault="00963418" w:rsidP="00963418">
            <w:pPr>
              <w:spacing w:before="120" w:after="120" w:line="240" w:lineRule="exact"/>
              <w:ind w:left="283" w:hanging="283"/>
              <w:jc w:val="both"/>
              <w:rPr>
                <w:rFonts w:ascii="FrankRuehl" w:hAnsi="FrankRuehl" w:cs="FrankRuehl"/>
                <w:rtl/>
              </w:rPr>
            </w:pPr>
            <w:r w:rsidRPr="00963418">
              <w:rPr>
                <w:rFonts w:ascii="FrankRuehl" w:hAnsi="FrankRuehl" w:cs="FrankRuehl"/>
                <w:rtl/>
              </w:rPr>
              <w:t xml:space="preserve">חקיקה שאוזכרה: </w:t>
            </w:r>
          </w:p>
          <w:p w14:paraId="41336C5A" w14:textId="77777777" w:rsidR="00963418" w:rsidRPr="00963418" w:rsidRDefault="00963418" w:rsidP="00963418">
            <w:pPr>
              <w:spacing w:before="120" w:after="120" w:line="240" w:lineRule="exact"/>
              <w:ind w:left="283" w:hanging="283"/>
              <w:jc w:val="both"/>
              <w:rPr>
                <w:rFonts w:ascii="FrankRuehl" w:hAnsi="FrankRuehl" w:cs="FrankRuehl"/>
                <w:color w:val="0000FF"/>
                <w:rtl/>
              </w:rPr>
            </w:pPr>
            <w:hyperlink r:id="rId7" w:history="1">
              <w:r w:rsidRPr="00963418">
                <w:rPr>
                  <w:rStyle w:val="Hyperlink"/>
                  <w:rFonts w:ascii="FrankRuehl" w:hAnsi="FrankRuehl" w:cs="FrankRuehl"/>
                  <w:rtl/>
                </w:rPr>
                <w:t>פקודת הסמים המסוכנים [נוסח חדש], תשל"ג-</w:t>
              </w:r>
              <w:r w:rsidRPr="00963418">
                <w:rPr>
                  <w:rStyle w:val="Hyperlink"/>
                  <w:rFonts w:ascii="FrankRuehl" w:hAnsi="FrankRuehl" w:cs="FrankRuehl"/>
                  <w:color w:val="auto"/>
                  <w:u w:val="none"/>
                  <w:rtl/>
                </w:rPr>
                <w:t>1973</w:t>
              </w:r>
            </w:hyperlink>
            <w:r w:rsidRPr="00963418">
              <w:rPr>
                <w:rFonts w:ascii="FrankRuehl" w:hAnsi="FrankRuehl" w:cs="FrankRuehl"/>
                <w:rtl/>
              </w:rPr>
              <w:t xml:space="preserve">: סע'  </w:t>
            </w:r>
            <w:hyperlink r:id="rId8" w:history="1">
              <w:r w:rsidRPr="00963418">
                <w:rPr>
                  <w:rStyle w:val="Hyperlink"/>
                  <w:rFonts w:ascii="FrankRuehl" w:hAnsi="FrankRuehl" w:cs="FrankRuehl"/>
                </w:rPr>
                <w:t>7</w:t>
              </w:r>
            </w:hyperlink>
            <w:r w:rsidRPr="00963418">
              <w:rPr>
                <w:rFonts w:ascii="FrankRuehl" w:hAnsi="FrankRuehl" w:cs="FrankRuehl"/>
                <w:color w:val="0000FF"/>
                <w:rtl/>
              </w:rPr>
              <w:t xml:space="preserve">(א), </w:t>
            </w:r>
            <w:hyperlink r:id="rId9" w:history="1">
              <w:r w:rsidRPr="00963418">
                <w:rPr>
                  <w:rStyle w:val="Hyperlink"/>
                  <w:rFonts w:ascii="FrankRuehl" w:hAnsi="FrankRuehl" w:cs="FrankRuehl"/>
                </w:rPr>
                <w:t>7</w:t>
              </w:r>
            </w:hyperlink>
            <w:r w:rsidRPr="00963418">
              <w:rPr>
                <w:rFonts w:ascii="FrankRuehl" w:hAnsi="FrankRuehl" w:cs="FrankRuehl"/>
                <w:color w:val="0000FF"/>
                <w:rtl/>
              </w:rPr>
              <w:t>(ג)</w:t>
            </w:r>
          </w:p>
          <w:p w14:paraId="6CD0917C" w14:textId="77777777" w:rsidR="00963418" w:rsidRPr="00963418" w:rsidRDefault="00963418" w:rsidP="00963418">
            <w:pPr>
              <w:spacing w:before="120" w:after="120" w:line="240" w:lineRule="exact"/>
              <w:ind w:left="283" w:hanging="283"/>
              <w:jc w:val="both"/>
              <w:rPr>
                <w:rFonts w:ascii="FrankRuehl" w:hAnsi="FrankRuehl" w:cs="FrankRuehl"/>
                <w:rtl/>
              </w:rPr>
            </w:pPr>
            <w:hyperlink r:id="rId10" w:history="1">
              <w:r w:rsidRPr="00963418">
                <w:rPr>
                  <w:rStyle w:val="Hyperlink"/>
                  <w:rFonts w:ascii="FrankRuehl" w:hAnsi="FrankRuehl" w:cs="FrankRuehl"/>
                  <w:rtl/>
                </w:rPr>
                <w:t xml:space="preserve">תקנות התעבורה, תשכ"א-1961 - לא </w:t>
              </w:r>
              <w:r w:rsidRPr="00963418">
                <w:rPr>
                  <w:rStyle w:val="Hyperlink"/>
                  <w:rFonts w:ascii="FrankRuehl" w:hAnsi="FrankRuehl" w:cs="FrankRuehl"/>
                  <w:color w:val="auto"/>
                  <w:u w:val="none"/>
                  <w:rtl/>
                </w:rPr>
                <w:t>מרובדות</w:t>
              </w:r>
            </w:hyperlink>
            <w:r w:rsidRPr="00963418">
              <w:rPr>
                <w:rFonts w:ascii="FrankRuehl" w:hAnsi="FrankRuehl" w:cs="FrankRuehl"/>
                <w:rtl/>
              </w:rPr>
              <w:t xml:space="preserve">: סע'  </w:t>
            </w:r>
            <w:hyperlink r:id="rId11" w:history="1">
              <w:r w:rsidRPr="00963418">
                <w:rPr>
                  <w:rStyle w:val="Hyperlink"/>
                  <w:rFonts w:ascii="FrankRuehl" w:hAnsi="FrankRuehl" w:cs="FrankRuehl"/>
                  <w:color w:val="auto"/>
                  <w:u w:val="none"/>
                </w:rPr>
                <w:t>15</w:t>
              </w:r>
              <w:r w:rsidRPr="00963418">
                <w:rPr>
                  <w:rStyle w:val="Hyperlink"/>
                  <w:rFonts w:ascii="FrankRuehl" w:hAnsi="FrankRuehl" w:cs="FrankRuehl"/>
                  <w:color w:val="auto"/>
                  <w:u w:val="none"/>
                  <w:rtl/>
                </w:rPr>
                <w:t>ב</w:t>
              </w:r>
            </w:hyperlink>
          </w:p>
          <w:p w14:paraId="186A2541" w14:textId="77777777" w:rsidR="003F0843" w:rsidRPr="003F0843" w:rsidRDefault="003F0843" w:rsidP="00963418">
            <w:pPr>
              <w:spacing w:after="120" w:line="240" w:lineRule="exact"/>
              <w:ind w:left="283" w:hanging="283"/>
              <w:jc w:val="both"/>
              <w:rPr>
                <w:rFonts w:ascii="FrankRuehl" w:hAnsi="FrankRuehl" w:cs="FrankRuehl"/>
                <w:rtl/>
              </w:rPr>
            </w:pPr>
            <w:bookmarkStart w:id="5" w:name="LawTable_End"/>
            <w:bookmarkEnd w:id="5"/>
            <w:r w:rsidRPr="00963418">
              <w:rPr>
                <w:rFonts w:ascii="FrankRuehl" w:hAnsi="FrankRuehl" w:cs="FrankRuehl"/>
                <w:rtl/>
              </w:rPr>
              <w:t>חקיקה</w:t>
            </w:r>
            <w:r w:rsidRPr="003F0843">
              <w:rPr>
                <w:rFonts w:ascii="FrankRuehl" w:hAnsi="FrankRuehl" w:cs="FrankRuehl"/>
                <w:rtl/>
              </w:rPr>
              <w:t xml:space="preserve"> שאוזכרה: </w:t>
            </w:r>
          </w:p>
          <w:p w14:paraId="3B23F4F9" w14:textId="77777777" w:rsidR="003F0843" w:rsidRPr="003F0843" w:rsidRDefault="003F0843" w:rsidP="003F0843">
            <w:pPr>
              <w:spacing w:after="120" w:line="240" w:lineRule="exact"/>
              <w:ind w:left="283" w:hanging="283"/>
              <w:jc w:val="both"/>
              <w:rPr>
                <w:rFonts w:ascii="FrankRuehl" w:hAnsi="FrankRuehl" w:cs="FrankRuehl"/>
                <w:rtl/>
              </w:rPr>
            </w:pPr>
            <w:hyperlink r:id="rId12" w:history="1">
              <w:r w:rsidRPr="003F0843">
                <w:rPr>
                  <w:rFonts w:ascii="FrankRuehl" w:hAnsi="FrankRuehl" w:cs="FrankRuehl"/>
                  <w:color w:val="0000FF"/>
                  <w:u w:val="single"/>
                  <w:rtl/>
                </w:rPr>
                <w:t>פקודת הסמים המסוכנים [נוסח חדש], תשל"ג-1973</w:t>
              </w:r>
            </w:hyperlink>
            <w:r w:rsidRPr="003F0843">
              <w:rPr>
                <w:rFonts w:ascii="FrankRuehl" w:hAnsi="FrankRuehl" w:cs="FrankRuehl"/>
                <w:rtl/>
              </w:rPr>
              <w:t xml:space="preserve">: סע'  </w:t>
            </w:r>
            <w:hyperlink r:id="rId13" w:history="1">
              <w:r w:rsidRPr="003F0843">
                <w:rPr>
                  <w:rFonts w:ascii="FrankRuehl" w:hAnsi="FrankRuehl" w:cs="FrankRuehl"/>
                  <w:color w:val="0000FF"/>
                  <w:u w:val="single"/>
                  <w:rtl/>
                </w:rPr>
                <w:t>7(א)</w:t>
              </w:r>
            </w:hyperlink>
            <w:r w:rsidRPr="003F0843">
              <w:rPr>
                <w:rFonts w:ascii="FrankRuehl" w:hAnsi="FrankRuehl" w:cs="FrankRuehl"/>
                <w:rtl/>
              </w:rPr>
              <w:t xml:space="preserve">, </w:t>
            </w:r>
            <w:hyperlink r:id="rId14" w:history="1">
              <w:r w:rsidRPr="003F0843">
                <w:rPr>
                  <w:rFonts w:ascii="FrankRuehl" w:hAnsi="FrankRuehl" w:cs="FrankRuehl"/>
                  <w:color w:val="0000FF"/>
                  <w:u w:val="single"/>
                  <w:rtl/>
                </w:rPr>
                <w:t>7(ג)</w:t>
              </w:r>
            </w:hyperlink>
          </w:p>
          <w:p w14:paraId="6D79BD6F" w14:textId="77777777" w:rsidR="003F0843" w:rsidRPr="003F0843" w:rsidRDefault="003F0843" w:rsidP="003F0843">
            <w:pPr>
              <w:spacing w:after="120" w:line="240" w:lineRule="exact"/>
              <w:ind w:left="283" w:hanging="283"/>
              <w:jc w:val="both"/>
              <w:rPr>
                <w:rFonts w:ascii="FrankRuehl" w:hAnsi="FrankRuehl" w:cs="FrankRuehl"/>
                <w:rtl/>
              </w:rPr>
            </w:pPr>
            <w:hyperlink r:id="rId15" w:history="1">
              <w:r w:rsidRPr="003F0843">
                <w:rPr>
                  <w:rFonts w:ascii="FrankRuehl" w:hAnsi="FrankRuehl" w:cs="FrankRuehl"/>
                  <w:color w:val="0000FF"/>
                  <w:u w:val="single"/>
                  <w:rtl/>
                </w:rPr>
                <w:t>תקנות התעבורה, תשכ"א-1961 - לא מרובדות</w:t>
              </w:r>
            </w:hyperlink>
            <w:r w:rsidRPr="003F0843">
              <w:rPr>
                <w:rFonts w:ascii="FrankRuehl" w:hAnsi="FrankRuehl" w:cs="FrankRuehl"/>
                <w:rtl/>
              </w:rPr>
              <w:t xml:space="preserve">: סע'  </w:t>
            </w:r>
            <w:hyperlink r:id="rId16" w:history="1">
              <w:r w:rsidRPr="003F0843">
                <w:rPr>
                  <w:rFonts w:ascii="FrankRuehl" w:hAnsi="FrankRuehl" w:cs="FrankRuehl"/>
                  <w:color w:val="0000FF"/>
                  <w:u w:val="single"/>
                  <w:rtl/>
                </w:rPr>
                <w:t>15ב</w:t>
              </w:r>
            </w:hyperlink>
          </w:p>
          <w:p w14:paraId="72654860" w14:textId="77777777" w:rsidR="003F0843" w:rsidRPr="003F0843" w:rsidRDefault="003F0843" w:rsidP="003F0843">
            <w:pPr>
              <w:spacing w:after="120" w:line="240" w:lineRule="exact"/>
              <w:ind w:left="283" w:hanging="283"/>
              <w:jc w:val="both"/>
              <w:rPr>
                <w:rFonts w:ascii="FrankRuehl" w:hAnsi="FrankRuehl" w:cs="FrankRuehl"/>
                <w:rtl/>
              </w:rPr>
            </w:pPr>
          </w:p>
          <w:p w14:paraId="32969139" w14:textId="77777777" w:rsidR="00BA3145" w:rsidRPr="00BE506B" w:rsidRDefault="00BA3145" w:rsidP="00BA3145">
            <w:pPr>
              <w:jc w:val="center"/>
              <w:rPr>
                <w:rFonts w:ascii="Arial" w:hAnsi="Arial" w:cs="FrankRuehl"/>
                <w:sz w:val="32"/>
                <w:szCs w:val="32"/>
                <w:rtl/>
              </w:rPr>
            </w:pPr>
            <w:r w:rsidRPr="00BE506B">
              <w:rPr>
                <w:rFonts w:ascii="Arial" w:hAnsi="Arial" w:cs="FrankRuehl" w:hint="cs"/>
                <w:b/>
                <w:bCs/>
                <w:sz w:val="32"/>
                <w:szCs w:val="32"/>
                <w:rtl/>
              </w:rPr>
              <w:t>גזר דין</w:t>
            </w:r>
            <w:bookmarkEnd w:id="3"/>
          </w:p>
        </w:tc>
      </w:tr>
      <w:bookmarkEnd w:id="2"/>
    </w:tbl>
    <w:p w14:paraId="2D324E7C" w14:textId="77777777" w:rsidR="00BA3145" w:rsidRPr="00BE506B" w:rsidRDefault="00BA3145" w:rsidP="00BA3145">
      <w:pPr>
        <w:rPr>
          <w:rFonts w:ascii="Arial" w:hAnsi="Arial"/>
          <w:rtl/>
        </w:rPr>
      </w:pPr>
    </w:p>
    <w:p w14:paraId="7DF9AD81" w14:textId="77777777" w:rsidR="00BA3145" w:rsidRPr="00BE506B" w:rsidRDefault="00BA3145" w:rsidP="00BA3145">
      <w:pPr>
        <w:rPr>
          <w:rFonts w:ascii="Arial" w:hAnsi="Arial"/>
          <w:rtl/>
        </w:rPr>
      </w:pPr>
    </w:p>
    <w:p w14:paraId="6E82327C" w14:textId="77777777" w:rsidR="00BA3145" w:rsidRPr="00BE506B" w:rsidRDefault="00BA3145" w:rsidP="00BA3145">
      <w:pPr>
        <w:spacing w:line="360" w:lineRule="auto"/>
        <w:jc w:val="both"/>
        <w:rPr>
          <w:rFonts w:ascii="David" w:hAnsi="David"/>
          <w:b/>
          <w:bCs/>
          <w:rtl/>
        </w:rPr>
      </w:pPr>
      <w:r w:rsidRPr="00BE506B">
        <w:rPr>
          <w:rFonts w:ascii="David" w:hAnsi="David" w:hint="cs"/>
          <w:b/>
          <w:bCs/>
          <w:rtl/>
        </w:rPr>
        <w:t>מבוא</w:t>
      </w:r>
    </w:p>
    <w:p w14:paraId="13D7AC5F" w14:textId="77777777" w:rsidR="00BA3145" w:rsidRPr="00BE506B" w:rsidRDefault="00BA3145" w:rsidP="00BA3145">
      <w:pPr>
        <w:pStyle w:val="aa"/>
        <w:numPr>
          <w:ilvl w:val="0"/>
          <w:numId w:val="1"/>
        </w:numPr>
        <w:spacing w:line="360" w:lineRule="auto"/>
        <w:ind w:left="509" w:hanging="509"/>
        <w:jc w:val="both"/>
        <w:rPr>
          <w:rFonts w:ascii="David" w:hAnsi="David" w:cs="David"/>
          <w:sz w:val="24"/>
          <w:szCs w:val="24"/>
          <w:rtl/>
        </w:rPr>
      </w:pPr>
      <w:bookmarkStart w:id="6" w:name="ABSTRACT_START"/>
      <w:bookmarkEnd w:id="6"/>
      <w:r w:rsidRPr="00BE506B">
        <w:rPr>
          <w:rFonts w:ascii="David" w:hAnsi="David" w:cs="David" w:hint="cs"/>
          <w:sz w:val="24"/>
          <w:szCs w:val="24"/>
          <w:rtl/>
        </w:rPr>
        <w:t xml:space="preserve">בהכרעת דין מיום 22.10.18, הודה הנאשם בעובדות כתב האישום המתוקן, בעבירה של החזקת סמים לצריכה עצמית, לפי </w:t>
      </w:r>
      <w:hyperlink r:id="rId17" w:history="1">
        <w:r w:rsidR="003F0843" w:rsidRPr="003F0843">
          <w:rPr>
            <w:rFonts w:ascii="David" w:hAnsi="David" w:cs="David"/>
            <w:color w:val="0000FF"/>
            <w:sz w:val="24"/>
            <w:szCs w:val="24"/>
            <w:u w:val="single"/>
            <w:rtl/>
          </w:rPr>
          <w:t>סעיף 7(א)</w:t>
        </w:r>
      </w:hyperlink>
      <w:r w:rsidRPr="00BE506B">
        <w:rPr>
          <w:rFonts w:ascii="David" w:hAnsi="David" w:cs="David" w:hint="cs"/>
          <w:sz w:val="24"/>
          <w:szCs w:val="24"/>
          <w:rtl/>
        </w:rPr>
        <w:t xml:space="preserve"> יחד עם סעיף </w:t>
      </w:r>
      <w:hyperlink r:id="rId18" w:history="1">
        <w:r w:rsidR="003F0843" w:rsidRPr="003F0843">
          <w:rPr>
            <w:rFonts w:ascii="David" w:hAnsi="David" w:cs="David"/>
            <w:color w:val="0000FF"/>
            <w:sz w:val="24"/>
            <w:szCs w:val="24"/>
            <w:u w:val="single"/>
            <w:rtl/>
          </w:rPr>
          <w:t>7(ג)</w:t>
        </w:r>
      </w:hyperlink>
      <w:r w:rsidR="003F0843">
        <w:rPr>
          <w:rFonts w:ascii="David" w:hAnsi="David" w:cs="David" w:hint="cs"/>
          <w:sz w:val="24"/>
          <w:szCs w:val="24"/>
          <w:rtl/>
        </w:rPr>
        <w:t xml:space="preserve"> </w:t>
      </w:r>
      <w:r w:rsidRPr="00BE506B">
        <w:rPr>
          <w:rFonts w:ascii="David" w:hAnsi="David" w:cs="David" w:hint="cs"/>
          <w:sz w:val="24"/>
          <w:szCs w:val="24"/>
          <w:rtl/>
        </w:rPr>
        <w:t>סיפא ל</w:t>
      </w:r>
      <w:hyperlink r:id="rId19" w:history="1">
        <w:r w:rsidR="00BE506B" w:rsidRPr="00BE506B">
          <w:rPr>
            <w:rFonts w:ascii="David" w:hAnsi="David" w:cs="David"/>
            <w:color w:val="0000FF"/>
            <w:sz w:val="24"/>
            <w:szCs w:val="24"/>
            <w:u w:val="single"/>
            <w:rtl/>
          </w:rPr>
          <w:t>פקודת הסמים המסוכנים</w:t>
        </w:r>
      </w:hyperlink>
      <w:r w:rsidRPr="00BE506B">
        <w:rPr>
          <w:rFonts w:ascii="David" w:hAnsi="David" w:cs="David" w:hint="cs"/>
          <w:sz w:val="24"/>
          <w:szCs w:val="24"/>
          <w:rtl/>
        </w:rPr>
        <w:t xml:space="preserve"> [נוסח חדש], תשל"ג – 1973.</w:t>
      </w:r>
    </w:p>
    <w:p w14:paraId="53FC6C96" w14:textId="77777777" w:rsidR="00BA3145" w:rsidRPr="00BE506B" w:rsidRDefault="00BA3145" w:rsidP="00BA3145">
      <w:pPr>
        <w:pStyle w:val="aa"/>
        <w:spacing w:line="360" w:lineRule="auto"/>
        <w:ind w:left="509"/>
        <w:jc w:val="both"/>
        <w:rPr>
          <w:rFonts w:ascii="David" w:hAnsi="David" w:cs="David"/>
          <w:sz w:val="24"/>
          <w:szCs w:val="24"/>
        </w:rPr>
      </w:pPr>
      <w:r w:rsidRPr="00BE506B">
        <w:rPr>
          <w:rFonts w:ascii="David" w:hAnsi="David" w:cs="David" w:hint="cs"/>
          <w:sz w:val="24"/>
          <w:szCs w:val="24"/>
          <w:rtl/>
        </w:rPr>
        <w:t xml:space="preserve">לפי כתב האישום, לפני יום 9.5.17 הזמין הנאשם באמצעות האינטרנט זרעים של סם מסוכן מסוג קנבוס תרבותי. ביום 9.5.17, בשעות הצהרים, הגיע למסוף דואר ישראל בנמל התעופה </w:t>
      </w:r>
      <w:r w:rsidRPr="00BE506B">
        <w:rPr>
          <w:rFonts w:ascii="David" w:hAnsi="David" w:cs="David" w:hint="cs"/>
          <w:sz w:val="24"/>
          <w:szCs w:val="24"/>
          <w:rtl/>
        </w:rPr>
        <w:lastRenderedPageBreak/>
        <w:t>בן גוריון משלוח ראשון מהולנד ובו 5 זרעים של סם מסוכן מסוג קנבוס תרבותי. יחידת המכס תפסה את המשלוח. משלא הגיע המשלוח לידי הנאשם, פנה הנאשם לפני יום 18.6.17 לאתר ממנו הזמין את המשלוח וביקש לשלוח משלוח נוסף. ביום 18.6.17 הגיע למסוף דואר ישראל בנמל התעופה בן גוריון משלוח נוסף ובו 5 זרעים של סם מסוכן מסוג קנבוס תרבותי. מכאן, יוחסה לנאשם החזקה של 10 זרעים של סם מסוכן מסוג קנבוס תרבותי, ללא היתר וללא רישיון מאת המנהל.</w:t>
      </w:r>
    </w:p>
    <w:p w14:paraId="15DE998D" w14:textId="77777777" w:rsidR="00BA3145" w:rsidRPr="00BE506B" w:rsidRDefault="00BA3145" w:rsidP="00BA3145">
      <w:pPr>
        <w:pStyle w:val="aa"/>
        <w:numPr>
          <w:ilvl w:val="0"/>
          <w:numId w:val="1"/>
        </w:numPr>
        <w:spacing w:line="360" w:lineRule="auto"/>
        <w:ind w:left="509" w:hanging="509"/>
        <w:jc w:val="both"/>
        <w:rPr>
          <w:rFonts w:ascii="David" w:hAnsi="David" w:cs="David"/>
          <w:sz w:val="24"/>
          <w:szCs w:val="24"/>
        </w:rPr>
      </w:pPr>
      <w:r w:rsidRPr="00BE506B">
        <w:rPr>
          <w:rFonts w:ascii="David" w:hAnsi="David" w:cs="David" w:hint="cs"/>
          <w:sz w:val="24"/>
          <w:szCs w:val="24"/>
          <w:rtl/>
        </w:rPr>
        <w:t>לפי הסדר טיעון, נשלח הנאשם לעריכת תסקיר שירות מבחן בעניינו, ללא הסכמה עונשית.</w:t>
      </w:r>
    </w:p>
    <w:p w14:paraId="17B56EA5" w14:textId="77777777" w:rsidR="00BA3145" w:rsidRPr="00BE506B" w:rsidRDefault="00BA3145" w:rsidP="00BA3145">
      <w:pPr>
        <w:spacing w:line="360" w:lineRule="auto"/>
        <w:jc w:val="both"/>
        <w:rPr>
          <w:rFonts w:ascii="David" w:hAnsi="David"/>
          <w:b/>
          <w:bCs/>
          <w:rtl/>
        </w:rPr>
      </w:pPr>
    </w:p>
    <w:p w14:paraId="2662812A" w14:textId="77777777" w:rsidR="00BA3145" w:rsidRDefault="00BA3145" w:rsidP="00BA3145">
      <w:pPr>
        <w:spacing w:line="360" w:lineRule="auto"/>
        <w:jc w:val="both"/>
        <w:rPr>
          <w:rFonts w:ascii="David" w:hAnsi="David"/>
          <w:b/>
          <w:bCs/>
          <w:u w:val="single"/>
          <w:rtl/>
        </w:rPr>
      </w:pPr>
    </w:p>
    <w:p w14:paraId="2C01FE34" w14:textId="77777777" w:rsidR="00BA3145" w:rsidRDefault="00BA3145" w:rsidP="00BA3145">
      <w:pPr>
        <w:spacing w:line="360" w:lineRule="auto"/>
        <w:jc w:val="both"/>
        <w:rPr>
          <w:rFonts w:ascii="David" w:hAnsi="David"/>
          <w:b/>
          <w:bCs/>
          <w:u w:val="single"/>
        </w:rPr>
      </w:pPr>
    </w:p>
    <w:p w14:paraId="6381D17A" w14:textId="77777777" w:rsidR="00BA3145" w:rsidRDefault="00BA3145" w:rsidP="00BA3145">
      <w:pPr>
        <w:spacing w:line="360" w:lineRule="auto"/>
        <w:jc w:val="both"/>
        <w:rPr>
          <w:rFonts w:ascii="David" w:hAnsi="David"/>
          <w:b/>
          <w:bCs/>
          <w:u w:val="single"/>
          <w:rtl/>
        </w:rPr>
      </w:pPr>
      <w:r>
        <w:rPr>
          <w:rFonts w:ascii="David" w:hAnsi="David" w:hint="cs"/>
          <w:b/>
          <w:bCs/>
          <w:u w:val="single"/>
          <w:rtl/>
        </w:rPr>
        <w:t>תסקיר שירות מבחן</w:t>
      </w:r>
    </w:p>
    <w:p w14:paraId="064E2531" w14:textId="77777777" w:rsidR="00BA3145" w:rsidRDefault="00BA3145" w:rsidP="00BA3145">
      <w:pPr>
        <w:pStyle w:val="aa"/>
        <w:numPr>
          <w:ilvl w:val="0"/>
          <w:numId w:val="1"/>
        </w:numPr>
        <w:spacing w:line="360" w:lineRule="auto"/>
        <w:ind w:left="509" w:hanging="509"/>
        <w:jc w:val="both"/>
        <w:rPr>
          <w:rFonts w:ascii="David" w:hAnsi="David" w:cs="David"/>
          <w:sz w:val="24"/>
          <w:szCs w:val="24"/>
          <w:rtl/>
        </w:rPr>
      </w:pPr>
      <w:r>
        <w:rPr>
          <w:rFonts w:ascii="David" w:hAnsi="David" w:cs="David" w:hint="cs"/>
          <w:sz w:val="24"/>
          <w:szCs w:val="24"/>
          <w:rtl/>
        </w:rPr>
        <w:t>שירות המבחן, בתסקירו מיום 11.2.19, ציין כי הנאשם בן 42, רווק, מתגורר ביחידת דיור בבית הוריו. הנאשם הקים אולפן הקלטות בביתו והוא עוסק בתחום המוזיקה. בנוסף עובד הנאשם בשתי עבודות, אחד, כפקח תנועה והשני, כמדריך חוגי העשרה לילדים. ממכתב מנהלת חוגי העשרה, עולה כי הנאשם בעל יכול חשיבה עצמאית, אינטליגנטית, חדור מוטיבציה ומוכן להשקיע מזמנו למען ילדי החוג; הנאשם תיאר כי פעל מתוך שיקול דעת מוטעה בהחלטה לגדל קנבוס לשימוש עצמי. הנאשם הודה במיוחס לו ונטל אחריות מלאה על מעשיו. הנאשם הביע צער על התנהגותו והפגיעה בעצמו ובמשפחתו והביע נכונות לשינוי; כן מסר הנאשם, כי הוא צורך סמים מסוג קנבוס החל מגיל 18, בעיקר במפגשים חברתיים, אולם מאז האירוע חדל לצרוך סמים. בבדיקות שתן שנערכו לנאשם לא נמצאו שרידי סם.</w:t>
      </w:r>
    </w:p>
    <w:p w14:paraId="7EF5838B" w14:textId="77777777" w:rsidR="00BA3145" w:rsidRDefault="00BA3145" w:rsidP="00BA3145">
      <w:pPr>
        <w:pStyle w:val="aa"/>
        <w:spacing w:line="360" w:lineRule="auto"/>
        <w:ind w:left="509"/>
        <w:jc w:val="both"/>
        <w:rPr>
          <w:rFonts w:ascii="David" w:hAnsi="David" w:cs="David"/>
          <w:sz w:val="24"/>
          <w:szCs w:val="24"/>
        </w:rPr>
      </w:pPr>
      <w:r>
        <w:rPr>
          <w:rFonts w:ascii="David" w:hAnsi="David" w:cs="David" w:hint="cs"/>
          <w:sz w:val="24"/>
          <w:szCs w:val="24"/>
          <w:rtl/>
        </w:rPr>
        <w:t>להתרשמות שירות המבחן, הנאשם משקיע את כוחותיו בניהול אורח חיים תקין במישורי חייו השונים, מקיים קשרים בינאישיים טובים ותקינים עם משפחתו, המהווה גורם תמיכה. עם זאת, הנאשם מאופיין בקווי אישיות ילדותיים ולא בשלים ומתקשה להתנתק ולגבש זהות נפרדת ממשפחתו. עוד התרשם שירות המבחן מדימוי עצמי ירוד. להערכת שירות המבחן, הנאשם נעדר דפוסי עבריינות מופנמים ומבין את משמעות הפרת החוק והנורמה החברתית. עוד מסר שירות המבחן, כי הנאשם משתף פעולה באופן מלא, מגיע לפגישות, שומר על קשר רציף ומביע רצון ומוטיבציה להשתלב בהליך טיפולי. לאור האמור, המליץ שירות המבחן לסיים ההליך ללא הרשעת הנאשם ולצד זאת להטיל עליו צו מבחן למשך שנה וחצי וצו שירות לתועלת הציבור בהיקף של 150 שעות.</w:t>
      </w:r>
    </w:p>
    <w:p w14:paraId="2BC454EC" w14:textId="77777777" w:rsidR="00BA3145" w:rsidRDefault="00BA3145" w:rsidP="00BA3145">
      <w:pPr>
        <w:pStyle w:val="aa"/>
        <w:spacing w:line="360" w:lineRule="auto"/>
        <w:ind w:left="0"/>
        <w:jc w:val="both"/>
        <w:rPr>
          <w:rFonts w:ascii="David" w:hAnsi="David" w:cs="David"/>
          <w:b/>
          <w:bCs/>
          <w:sz w:val="24"/>
          <w:szCs w:val="24"/>
          <w:u w:val="single"/>
          <w:rtl/>
        </w:rPr>
      </w:pPr>
    </w:p>
    <w:p w14:paraId="25FAAB17" w14:textId="77777777" w:rsidR="00BA3145" w:rsidRDefault="00BA3145" w:rsidP="00BA3145">
      <w:pPr>
        <w:pStyle w:val="aa"/>
        <w:spacing w:line="360" w:lineRule="auto"/>
        <w:ind w:left="0"/>
        <w:jc w:val="both"/>
        <w:rPr>
          <w:rFonts w:ascii="David" w:hAnsi="David" w:cs="David"/>
          <w:sz w:val="24"/>
          <w:szCs w:val="24"/>
          <w:rtl/>
        </w:rPr>
      </w:pPr>
      <w:r>
        <w:rPr>
          <w:rFonts w:ascii="David" w:hAnsi="David" w:cs="David" w:hint="cs"/>
          <w:b/>
          <w:bCs/>
          <w:sz w:val="24"/>
          <w:szCs w:val="24"/>
          <w:u w:val="single"/>
          <w:rtl/>
        </w:rPr>
        <w:t>טענות הצדדים</w:t>
      </w:r>
    </w:p>
    <w:p w14:paraId="1C826487" w14:textId="77777777" w:rsidR="00BA3145" w:rsidRDefault="00BA3145" w:rsidP="00BA3145">
      <w:pPr>
        <w:pStyle w:val="aa"/>
        <w:spacing w:line="360" w:lineRule="auto"/>
        <w:ind w:left="0"/>
        <w:jc w:val="both"/>
        <w:rPr>
          <w:rFonts w:ascii="David" w:hAnsi="David" w:cs="David"/>
          <w:sz w:val="24"/>
          <w:szCs w:val="24"/>
          <w:rtl/>
        </w:rPr>
      </w:pPr>
    </w:p>
    <w:p w14:paraId="51575A58" w14:textId="77777777" w:rsidR="00BA3145" w:rsidRDefault="00BA3145" w:rsidP="00BA3145">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באת כוח התביעה טענה, כי לא מתקיימים התנאים לסיים ההליך ללא הרשעה.</w:t>
      </w:r>
    </w:p>
    <w:p w14:paraId="1F31D0DD" w14:textId="77777777" w:rsidR="00BA3145" w:rsidRDefault="00BA3145" w:rsidP="00BA3145">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 xml:space="preserve">לטענתה, בקביעת מתחם העונש ההולם יש לקחת בחשבון, כי הנאשם ביצע עבירה של החזקת סם מסוכן בכך שלמעשה ייבא זרעים מחו"ל. עוד טענה, כי אין הליך של שיקום ממשי. </w:t>
      </w:r>
      <w:r>
        <w:rPr>
          <w:rFonts w:ascii="David" w:hAnsi="David" w:cs="David" w:hint="cs"/>
          <w:sz w:val="24"/>
          <w:szCs w:val="24"/>
          <w:rtl/>
        </w:rPr>
        <w:lastRenderedPageBreak/>
        <w:t>הנאשם גם לא הראה, לטענתה, כי תיגרם לו פגיעה קונקרטית. הנאשם משמש כפקח תנועה ואין מדובר בעיסוק שעל פניו לא ניתן ניתן לעסוק בו בהינתן הרשעה פלילית.</w:t>
      </w:r>
    </w:p>
    <w:p w14:paraId="55268188" w14:textId="77777777" w:rsidR="00BA3145" w:rsidRDefault="00BA3145" w:rsidP="00BA3145">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מכאן, עתרה באת כוח התביעה להרשיע את הנאשם ולהטיל עליו צו מבחן, צו שירות לתועלת הציבור ומאסר על תנאי.</w:t>
      </w:r>
    </w:p>
    <w:p w14:paraId="414410AE" w14:textId="77777777" w:rsidR="00BA3145" w:rsidRDefault="00BA3145" w:rsidP="00BA3145">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 xml:space="preserve">בא כוח הנאשם טען, לעומת זאת, כי יש להימנע מהרשעת הנאשם. </w:t>
      </w:r>
    </w:p>
    <w:p w14:paraId="6B40A79E" w14:textId="77777777" w:rsidR="00BA3145" w:rsidRDefault="00BA3145" w:rsidP="00BA3145">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לטענתו, הנאשם ביצע עבירת סמים ברף הנמוך היותר והפגיעה בערכים החברתיים היא  מינורית.</w:t>
      </w:r>
    </w:p>
    <w:p w14:paraId="2A6B5262" w14:textId="77777777" w:rsidR="00BA3145" w:rsidRDefault="00BA3145" w:rsidP="00BA3145">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עוד טען, כי יש לקחת בחשבון את הנסיבות הבאות שאינן קשורות בביצוע העבירה: הנאשם בן 42, רווק, שירת כלוחם בהנדסה קרבית ומשרת באופן פעיל במילואים (ענ/1); הנאשם בוגר קורס הנדסאי שירות, יוצר ומפיק מוזיקלי בסטודיו פרטי בביתו (ענ/2). הנאשם עובד כמדריך בחוגי העשרה לילדים (ענ/3) ומשמש כפקח תנועה (ענ/4); הנאשם הודה במיוחס לו, חסך זמן שיפוטי, מצר על מעשיו, מבין את חומרת הפגיעה ולוקח אחריות על מעשיו; האירוע גרם לטלטלה במשפחה; הנאשם מביע רצון ומוטיבציה להשתלב בהליך טיפולי; בבדיקות שתן שנערכו לנאשם לא נמצאו שרידי סם; הנאשם נעדר עבר פלילי וגם לא נפתחו לחובתו תיקים חדשים;  מכאן, כי הסיכון להישנות העבירה הוא נמוך.</w:t>
      </w:r>
    </w:p>
    <w:p w14:paraId="72444859" w14:textId="77777777" w:rsidR="00BA3145" w:rsidRDefault="00BA3145" w:rsidP="00BA3145">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 xml:space="preserve">עוד הוסיף וטען בא כוח הנאשם, כי הרשעת הנאשם תפגע באופן קונקרטי בתעסוקתו כפקח תנועה, וזאת לפי </w:t>
      </w:r>
      <w:hyperlink r:id="rId20" w:history="1">
        <w:r w:rsidR="00BE506B" w:rsidRPr="00BE506B">
          <w:rPr>
            <w:rFonts w:ascii="David" w:hAnsi="David" w:cs="David"/>
            <w:color w:val="0000FF"/>
            <w:sz w:val="24"/>
            <w:szCs w:val="24"/>
            <w:u w:val="single"/>
            <w:rtl/>
          </w:rPr>
          <w:t>תקנות התעבורה</w:t>
        </w:r>
      </w:hyperlink>
      <w:r>
        <w:rPr>
          <w:rFonts w:ascii="David" w:hAnsi="David" w:cs="David" w:hint="cs"/>
          <w:sz w:val="24"/>
          <w:szCs w:val="24"/>
          <w:rtl/>
        </w:rPr>
        <w:t>, תשכ"א – 1961.</w:t>
      </w:r>
    </w:p>
    <w:p w14:paraId="40987ADD" w14:textId="77777777" w:rsidR="00BA3145" w:rsidRDefault="00BA3145" w:rsidP="00BA3145">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לטענתו, יש לקחת גם בחשבון את השינויים המשמעותיים במדיניות האכיפה שעניינה בעבירה של החזקת סמים לצריכה עצמית.</w:t>
      </w:r>
    </w:p>
    <w:p w14:paraId="34AE45EE" w14:textId="77777777" w:rsidR="00BA3145" w:rsidRDefault="00BA3145" w:rsidP="00BA3145">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מכאן, עתר בא כוח הנאשם לאמץ את המלצות שירות המבחן ולסיים ההליך ללא הרשעה, לצד צו מבחן וצו שירות לתועלת הציבור.</w:t>
      </w:r>
    </w:p>
    <w:p w14:paraId="1CBD868B" w14:textId="77777777" w:rsidR="00BA3145" w:rsidRDefault="00BA3145" w:rsidP="00BA3145">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בדברו האחרון מסר הנאשם, כי הוא לוקח אחריות מלאה על העבירה שביצע, ומביע חרטה וצער. הנאשם הצהיר כי לא יחזור לבצע עבירות דומות בעתיד. הנאשם ביקש להתחשב בו, בתסקיר החיובי, בהיעדר עבר פלילי ובנכונותו להשתתף בהליך טיפולי.</w:t>
      </w:r>
    </w:p>
    <w:p w14:paraId="2DDF3620" w14:textId="77777777" w:rsidR="00BA3145" w:rsidRDefault="00BA3145" w:rsidP="00BA3145">
      <w:pPr>
        <w:spacing w:line="360" w:lineRule="auto"/>
        <w:jc w:val="both"/>
        <w:rPr>
          <w:rFonts w:ascii="David" w:hAnsi="David"/>
          <w:b/>
          <w:bCs/>
          <w:u w:val="single"/>
        </w:rPr>
      </w:pPr>
    </w:p>
    <w:p w14:paraId="672C22DE" w14:textId="77777777" w:rsidR="00BA3145" w:rsidRDefault="00BA3145" w:rsidP="00BA3145">
      <w:pPr>
        <w:spacing w:line="360" w:lineRule="auto"/>
        <w:jc w:val="both"/>
        <w:rPr>
          <w:rFonts w:ascii="David" w:hAnsi="David"/>
          <w:b/>
          <w:bCs/>
          <w:u w:val="single"/>
          <w:rtl/>
        </w:rPr>
      </w:pPr>
      <w:r>
        <w:rPr>
          <w:rFonts w:ascii="David" w:hAnsi="David" w:hint="cs"/>
          <w:b/>
          <w:bCs/>
          <w:u w:val="single"/>
          <w:rtl/>
        </w:rPr>
        <w:t>דיון והכרעה</w:t>
      </w:r>
    </w:p>
    <w:p w14:paraId="23429629" w14:textId="77777777" w:rsidR="00BA3145" w:rsidRDefault="00BA3145" w:rsidP="00BA3145">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האם יש מקום לסיים ההליך ללא הרשעה? זאת המחלוקת העיקרית שבפניי.</w:t>
      </w:r>
    </w:p>
    <w:p w14:paraId="4C8771DE" w14:textId="77777777" w:rsidR="00BA3145" w:rsidRDefault="00BA3145" w:rsidP="00BA3145">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כידוע, בעניינו של בגיר, הרשעה היא הכלל וביטולה הוא החריג, וזאת לפי ההלכה אשר נקבעה זה מכבר ב</w:t>
      </w:r>
      <w:hyperlink r:id="rId21" w:history="1">
        <w:r w:rsidR="00BE506B" w:rsidRPr="00BE506B">
          <w:rPr>
            <w:rFonts w:ascii="David" w:hAnsi="David" w:cs="David"/>
            <w:color w:val="0000FF"/>
            <w:sz w:val="24"/>
            <w:szCs w:val="24"/>
            <w:u w:val="single"/>
            <w:rtl/>
          </w:rPr>
          <w:t>ע"פ 2083/96 כתב נ' מדינת ישראל, פ"ד נב</w:t>
        </w:r>
      </w:hyperlink>
      <w:r>
        <w:rPr>
          <w:rFonts w:ascii="David" w:hAnsi="David" w:cs="David" w:hint="cs"/>
          <w:sz w:val="24"/>
          <w:szCs w:val="24"/>
          <w:rtl/>
        </w:rPr>
        <w:t>(3) 337 (1997).</w:t>
      </w:r>
    </w:p>
    <w:p w14:paraId="03283CBA" w14:textId="77777777" w:rsidR="00BA3145" w:rsidRDefault="00BA3145" w:rsidP="00BA3145">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 xml:space="preserve">עוד נקבע בפסיקה, כי סיום ההליך באופן חריג ללא הרשעה יהא אפשרי בהתקיים התנאים המצטברים הבאים: האחד, סוג העבירה מאפשר לוותר בנסיבות המקרה המסוים על ההרשעה מבלי לפגוע באופן מהותי בשיקולי ענישה אחרים; השני, על ההרשעה לפגוע פגיעה חמורה בשיקום הנאשם (ראו, גם: </w:t>
      </w:r>
      <w:hyperlink r:id="rId22" w:history="1">
        <w:r w:rsidR="00BE506B" w:rsidRPr="00BE506B">
          <w:rPr>
            <w:rFonts w:ascii="David" w:hAnsi="David" w:cs="David"/>
            <w:color w:val="0000FF"/>
            <w:sz w:val="24"/>
            <w:szCs w:val="24"/>
            <w:u w:val="single"/>
            <w:rtl/>
          </w:rPr>
          <w:t>ע"פ 8528/12</w:t>
        </w:r>
      </w:hyperlink>
      <w:r>
        <w:rPr>
          <w:rFonts w:ascii="David" w:hAnsi="David" w:cs="David" w:hint="cs"/>
          <w:sz w:val="24"/>
          <w:szCs w:val="24"/>
          <w:rtl/>
        </w:rPr>
        <w:t xml:space="preserve"> </w:t>
      </w:r>
      <w:r>
        <w:rPr>
          <w:rFonts w:ascii="David" w:hAnsi="David" w:cs="David" w:hint="cs"/>
          <w:b/>
          <w:bCs/>
          <w:sz w:val="24"/>
          <w:szCs w:val="24"/>
          <w:rtl/>
        </w:rPr>
        <w:t>צפורה נ' מדינת ישראל</w:t>
      </w:r>
      <w:r>
        <w:rPr>
          <w:rFonts w:ascii="David" w:hAnsi="David" w:cs="David" w:hint="cs"/>
          <w:sz w:val="24"/>
          <w:szCs w:val="24"/>
          <w:rtl/>
        </w:rPr>
        <w:t xml:space="preserve"> (3.3.13); </w:t>
      </w:r>
      <w:hyperlink r:id="rId23" w:history="1">
        <w:r w:rsidR="00BE506B" w:rsidRPr="00BE506B">
          <w:rPr>
            <w:rFonts w:ascii="David" w:hAnsi="David" w:cs="David"/>
            <w:color w:val="0000FF"/>
            <w:sz w:val="24"/>
            <w:szCs w:val="24"/>
            <w:u w:val="single"/>
            <w:rtl/>
          </w:rPr>
          <w:t>רע"פ 9118/12</w:t>
        </w:r>
      </w:hyperlink>
      <w:r>
        <w:rPr>
          <w:rFonts w:ascii="David" w:hAnsi="David" w:cs="David" w:hint="cs"/>
          <w:sz w:val="24"/>
          <w:szCs w:val="24"/>
          <w:rtl/>
        </w:rPr>
        <w:t xml:space="preserve"> </w:t>
      </w:r>
      <w:r>
        <w:rPr>
          <w:rFonts w:ascii="David" w:hAnsi="David" w:cs="David" w:hint="cs"/>
          <w:b/>
          <w:bCs/>
          <w:sz w:val="24"/>
          <w:szCs w:val="24"/>
          <w:rtl/>
        </w:rPr>
        <w:t>פריגין נ' מדינת ישראל</w:t>
      </w:r>
      <w:r>
        <w:rPr>
          <w:rFonts w:ascii="David" w:hAnsi="David" w:cs="David" w:hint="cs"/>
          <w:sz w:val="24"/>
          <w:szCs w:val="24"/>
          <w:rtl/>
        </w:rPr>
        <w:t xml:space="preserve"> (1.1.13); </w:t>
      </w:r>
      <w:hyperlink r:id="rId24" w:history="1">
        <w:r w:rsidR="00BE506B" w:rsidRPr="00BE506B">
          <w:rPr>
            <w:rFonts w:ascii="David" w:hAnsi="David" w:cs="David"/>
            <w:color w:val="0000FF"/>
            <w:sz w:val="24"/>
            <w:szCs w:val="24"/>
            <w:u w:val="single"/>
            <w:rtl/>
          </w:rPr>
          <w:t>ע"פ 5102/03</w:t>
        </w:r>
      </w:hyperlink>
      <w:r>
        <w:rPr>
          <w:rFonts w:ascii="David" w:hAnsi="David" w:cs="David" w:hint="cs"/>
          <w:sz w:val="24"/>
          <w:szCs w:val="24"/>
          <w:rtl/>
        </w:rPr>
        <w:t xml:space="preserve"> </w:t>
      </w:r>
      <w:r>
        <w:rPr>
          <w:rFonts w:ascii="David" w:hAnsi="David" w:cs="David" w:hint="cs"/>
          <w:b/>
          <w:bCs/>
          <w:sz w:val="24"/>
          <w:szCs w:val="24"/>
          <w:rtl/>
        </w:rPr>
        <w:t>מדינת ישראל נ' קליין</w:t>
      </w:r>
      <w:r>
        <w:rPr>
          <w:rFonts w:ascii="David" w:hAnsi="David" w:cs="David" w:hint="cs"/>
          <w:sz w:val="24"/>
          <w:szCs w:val="24"/>
          <w:rtl/>
        </w:rPr>
        <w:t xml:space="preserve"> (4.9.09); </w:t>
      </w:r>
      <w:hyperlink r:id="rId25" w:history="1">
        <w:r w:rsidR="00BE506B" w:rsidRPr="00BE506B">
          <w:rPr>
            <w:rFonts w:ascii="David" w:hAnsi="David" w:cs="David"/>
            <w:color w:val="0000FF"/>
            <w:sz w:val="24"/>
            <w:szCs w:val="24"/>
            <w:u w:val="single"/>
            <w:rtl/>
          </w:rPr>
          <w:t>ע"פ 9893/06</w:t>
        </w:r>
      </w:hyperlink>
      <w:r>
        <w:rPr>
          <w:rFonts w:ascii="David" w:hAnsi="David" w:cs="David" w:hint="cs"/>
          <w:sz w:val="24"/>
          <w:szCs w:val="24"/>
          <w:rtl/>
        </w:rPr>
        <w:t xml:space="preserve"> </w:t>
      </w:r>
      <w:r>
        <w:rPr>
          <w:rFonts w:ascii="David" w:hAnsi="David" w:cs="David" w:hint="cs"/>
          <w:b/>
          <w:bCs/>
          <w:sz w:val="24"/>
          <w:szCs w:val="24"/>
          <w:rtl/>
        </w:rPr>
        <w:t>לאופר נ' מדינת ישראל</w:t>
      </w:r>
      <w:r>
        <w:rPr>
          <w:rFonts w:ascii="David" w:hAnsi="David" w:cs="David" w:hint="cs"/>
          <w:sz w:val="24"/>
          <w:szCs w:val="24"/>
          <w:rtl/>
        </w:rPr>
        <w:t xml:space="preserve"> (31.12.07)); השלישי, הותרת ההרשעה על כנה תפגע בנאשם באופן קונקרטי (</w:t>
      </w:r>
      <w:hyperlink r:id="rId26" w:history="1">
        <w:r w:rsidR="00BE506B" w:rsidRPr="00BE506B">
          <w:rPr>
            <w:rFonts w:ascii="David" w:hAnsi="David" w:cs="David"/>
            <w:color w:val="0000FF"/>
            <w:sz w:val="24"/>
            <w:szCs w:val="24"/>
            <w:u w:val="single"/>
            <w:rtl/>
          </w:rPr>
          <w:t>רע"פ 2180/14</w:t>
        </w:r>
      </w:hyperlink>
      <w:r>
        <w:rPr>
          <w:rFonts w:ascii="David" w:hAnsi="David" w:cs="David" w:hint="cs"/>
          <w:sz w:val="24"/>
          <w:szCs w:val="24"/>
          <w:rtl/>
        </w:rPr>
        <w:t xml:space="preserve"> </w:t>
      </w:r>
      <w:r>
        <w:rPr>
          <w:rFonts w:ascii="David" w:hAnsi="David" w:cs="David" w:hint="cs"/>
          <w:b/>
          <w:bCs/>
          <w:sz w:val="24"/>
          <w:szCs w:val="24"/>
          <w:rtl/>
        </w:rPr>
        <w:t>שמואלי נ' מדינת ישראל</w:t>
      </w:r>
      <w:r>
        <w:rPr>
          <w:rFonts w:ascii="David" w:hAnsi="David" w:cs="David" w:hint="cs"/>
          <w:sz w:val="24"/>
          <w:szCs w:val="24"/>
          <w:rtl/>
        </w:rPr>
        <w:t xml:space="preserve"> (24.4.14); </w:t>
      </w:r>
      <w:hyperlink w:history="1">
        <w:r w:rsidRPr="00A105B8">
          <w:rPr>
            <w:rFonts w:ascii="David" w:hAnsi="David" w:cs="David" w:hint="cs"/>
            <w:sz w:val="24"/>
            <w:szCs w:val="24"/>
            <w:rtl/>
          </w:rPr>
          <w:t>רע"פ 1439/13</w:t>
        </w:r>
      </w:hyperlink>
      <w:r>
        <w:rPr>
          <w:rFonts w:ascii="David" w:hAnsi="David" w:cs="David" w:hint="cs"/>
          <w:sz w:val="24"/>
          <w:szCs w:val="24"/>
          <w:rtl/>
        </w:rPr>
        <w:t xml:space="preserve"> ‏</w:t>
      </w:r>
      <w:r>
        <w:rPr>
          <w:rFonts w:ascii="David" w:hAnsi="David" w:cs="David" w:hint="cs"/>
          <w:b/>
          <w:bCs/>
          <w:sz w:val="24"/>
          <w:szCs w:val="24"/>
          <w:rtl/>
        </w:rPr>
        <w:t>קשת נ' מדינת ישראל</w:t>
      </w:r>
      <w:r>
        <w:rPr>
          <w:rFonts w:ascii="David" w:hAnsi="David" w:cs="David" w:hint="cs"/>
          <w:sz w:val="24"/>
          <w:szCs w:val="24"/>
          <w:rtl/>
        </w:rPr>
        <w:t xml:space="preserve"> (4.3.2013); </w:t>
      </w:r>
      <w:hyperlink w:history="1">
        <w:r w:rsidRPr="00BE506B">
          <w:rPr>
            <w:rFonts w:ascii="David" w:hAnsi="David" w:cs="David" w:hint="cs"/>
            <w:sz w:val="24"/>
            <w:szCs w:val="24"/>
            <w:rtl/>
          </w:rPr>
          <w:t>רע"פ 8627/12</w:t>
        </w:r>
      </w:hyperlink>
      <w:r>
        <w:rPr>
          <w:rFonts w:ascii="David" w:hAnsi="David" w:cs="David" w:hint="cs"/>
          <w:sz w:val="24"/>
          <w:szCs w:val="24"/>
          <w:rtl/>
        </w:rPr>
        <w:t xml:space="preserve"> </w:t>
      </w:r>
      <w:r>
        <w:rPr>
          <w:rFonts w:ascii="David" w:hAnsi="David" w:cs="David" w:hint="cs"/>
          <w:b/>
          <w:bCs/>
          <w:sz w:val="24"/>
          <w:szCs w:val="24"/>
          <w:rtl/>
        </w:rPr>
        <w:t>הנסב נ' מדינת ישראל</w:t>
      </w:r>
      <w:r>
        <w:rPr>
          <w:rFonts w:ascii="David" w:hAnsi="David" w:cs="David" w:hint="cs"/>
          <w:sz w:val="24"/>
          <w:szCs w:val="24"/>
          <w:rtl/>
        </w:rPr>
        <w:t xml:space="preserve"> (31.12.2012)).</w:t>
      </w:r>
    </w:p>
    <w:p w14:paraId="39AE4E56" w14:textId="77777777" w:rsidR="00BA3145" w:rsidRDefault="00BA3145" w:rsidP="00BA3145">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בביצוע עבירות סמים יש כדי לפגוע בערכים החברתיים המוגנים של שמירה על בריאותו ושלומו הפיזי והנפשי של הציבור מפני נזקים הנגרמים כתוצאה משימוש בסמים והשפעתם הממכרת וההרסנית. לצד זאת, יש בעבירות סמים גם כדי לפגוע בהגנה על הציבור מפני נזקים עקיפים הנגרמים כתוצאה מעבריינות הנלווית לשימוש בסמים.</w:t>
      </w:r>
    </w:p>
    <w:p w14:paraId="6F001DDF" w14:textId="77777777" w:rsidR="00BA3145" w:rsidRDefault="00BA3145" w:rsidP="00BA3145">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עם זאת, הנאשם הודה בביצוע עבירה אחת של החזקת סמים בלבד. אמנם, לא ניתן להתעלם מהעובדה כי החזקת הסמים היתה בדרך של יבוא זרעים. אולם, בסופו של דבר מדובר בהחזקה של 10 זרעים בלבד של סם מסוג קנבוס לשימוש עצמי. לאור האמור, מדובר בעבירת סמים ברף הנמוך.</w:t>
      </w:r>
    </w:p>
    <w:p w14:paraId="7286E2AE" w14:textId="77777777" w:rsidR="00BA3145" w:rsidRDefault="00BA3145" w:rsidP="00BA3145">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 xml:space="preserve">בקביעת חומרת העבירה יש לקחת גם בחשבון את השינויים במדיניות האכיפה שעניינה בהחזקת סמים קלים, שיש בהם כדי לבטא גם את השינוי בתפיסה הציבורית בדבר חומרת העבירה. במסגרת מדיניות זו השתנתה התפיסה בדבר חומרת העבירה של החזקת סמים לצריכה עצמית (ראו, למשל: הנחיית היועץ המשפטי לממשלה מספר 4.1105 (51.056) שכותרתה "מדיניות התביעה – סמים: אחזקה ושימוש לצריכה עצמית" (14.1.03); הצעת חוק הסמים המסוכנים (עבירת קנס מיוחדת - הוראת שעה), התשע"ח – 2018). </w:t>
      </w:r>
    </w:p>
    <w:p w14:paraId="3BB311FD" w14:textId="77777777" w:rsidR="00BA3145" w:rsidRDefault="00BA3145" w:rsidP="00BA3145">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 xml:space="preserve">השינוי במדיניות האכיפה, יש בו כדי לבטא שינוי בנקודת האיזון הנדרשת גם בבחינת שאלת הרשעתו של נאשם בדין. </w:t>
      </w:r>
    </w:p>
    <w:p w14:paraId="5FC5FC96" w14:textId="77777777" w:rsidR="00BA3145" w:rsidRDefault="00BA3145" w:rsidP="00BA3145">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 xml:space="preserve">מכאן, אין מדובר בסוג של עבירות סמים, שבהן לא ניתן לשקול כלל סיום ההליך ללא הרשעה, לאור הפגיעה בערכים המוגנים (לסיום הליך ללא הרשעה, בנסיבות דומות, ראו למשל: </w:t>
      </w:r>
      <w:hyperlink r:id="rId27" w:history="1">
        <w:r w:rsidR="00BE506B" w:rsidRPr="00BE506B">
          <w:rPr>
            <w:rFonts w:ascii="David" w:hAnsi="David" w:cs="David"/>
            <w:color w:val="0000FF"/>
            <w:sz w:val="24"/>
            <w:szCs w:val="24"/>
            <w:u w:val="single"/>
            <w:rtl/>
          </w:rPr>
          <w:t>ת"פ (רח') 23459-01-17</w:t>
        </w:r>
      </w:hyperlink>
      <w:r>
        <w:rPr>
          <w:rFonts w:ascii="David" w:hAnsi="David" w:cs="David" w:hint="cs"/>
          <w:sz w:val="24"/>
          <w:szCs w:val="24"/>
          <w:rtl/>
        </w:rPr>
        <w:t xml:space="preserve"> </w:t>
      </w:r>
      <w:r>
        <w:rPr>
          <w:rFonts w:ascii="David" w:hAnsi="David" w:cs="David" w:hint="cs"/>
          <w:b/>
          <w:bCs/>
          <w:sz w:val="24"/>
          <w:szCs w:val="24"/>
          <w:rtl/>
        </w:rPr>
        <w:t>מדינת ישראל נ' לוי</w:t>
      </w:r>
      <w:r>
        <w:rPr>
          <w:rFonts w:ascii="David" w:hAnsi="David" w:cs="David" w:hint="cs"/>
          <w:sz w:val="24"/>
          <w:szCs w:val="24"/>
          <w:rtl/>
        </w:rPr>
        <w:t xml:space="preserve"> (28.5.18); </w:t>
      </w:r>
      <w:hyperlink r:id="rId28" w:history="1">
        <w:r w:rsidR="00BE506B" w:rsidRPr="00BE506B">
          <w:rPr>
            <w:rFonts w:ascii="David" w:hAnsi="David" w:cs="David"/>
            <w:color w:val="0000FF"/>
            <w:sz w:val="24"/>
            <w:szCs w:val="24"/>
            <w:u w:val="single"/>
            <w:rtl/>
          </w:rPr>
          <w:t>ת"פ (פ"ת) 11951-01-14</w:t>
        </w:r>
      </w:hyperlink>
      <w:r>
        <w:rPr>
          <w:rFonts w:ascii="David" w:hAnsi="David" w:cs="David" w:hint="cs"/>
          <w:sz w:val="24"/>
          <w:szCs w:val="24"/>
          <w:rtl/>
        </w:rPr>
        <w:t xml:space="preserve"> </w:t>
      </w:r>
      <w:r>
        <w:rPr>
          <w:rFonts w:ascii="David" w:hAnsi="David" w:cs="David" w:hint="cs"/>
          <w:b/>
          <w:bCs/>
          <w:sz w:val="24"/>
          <w:szCs w:val="24"/>
          <w:rtl/>
        </w:rPr>
        <w:t>מדינת ישראל נ' חוברה</w:t>
      </w:r>
      <w:r>
        <w:rPr>
          <w:rFonts w:ascii="David" w:hAnsi="David" w:cs="David" w:hint="cs"/>
          <w:sz w:val="24"/>
          <w:szCs w:val="24"/>
          <w:rtl/>
        </w:rPr>
        <w:t xml:space="preserve"> (17.11.15); </w:t>
      </w:r>
      <w:hyperlink r:id="rId29" w:history="1">
        <w:r w:rsidR="00BE506B" w:rsidRPr="00BE506B">
          <w:rPr>
            <w:rFonts w:ascii="David" w:hAnsi="David" w:cs="David"/>
            <w:color w:val="0000FF"/>
            <w:sz w:val="24"/>
            <w:szCs w:val="24"/>
            <w:u w:val="single"/>
            <w:rtl/>
          </w:rPr>
          <w:t>ת"פ (רח') 33292-04-14</w:t>
        </w:r>
      </w:hyperlink>
      <w:r>
        <w:rPr>
          <w:rFonts w:ascii="David" w:hAnsi="David" w:cs="David" w:hint="cs"/>
          <w:b/>
          <w:bCs/>
          <w:sz w:val="24"/>
          <w:szCs w:val="24"/>
          <w:rtl/>
        </w:rPr>
        <w:t xml:space="preserve"> מדינת ישראל נ' דרוז'ינין</w:t>
      </w:r>
      <w:r>
        <w:rPr>
          <w:rFonts w:ascii="David" w:hAnsi="David" w:cs="David" w:hint="cs"/>
          <w:sz w:val="24"/>
          <w:szCs w:val="24"/>
          <w:rtl/>
        </w:rPr>
        <w:t xml:space="preserve"> (1.7.15); </w:t>
      </w:r>
      <w:hyperlink r:id="rId30" w:history="1">
        <w:r w:rsidR="00BE506B" w:rsidRPr="00BE506B">
          <w:rPr>
            <w:rFonts w:ascii="David" w:hAnsi="David" w:cs="David"/>
            <w:color w:val="0000FF"/>
            <w:sz w:val="24"/>
            <w:szCs w:val="24"/>
            <w:u w:val="single"/>
            <w:rtl/>
          </w:rPr>
          <w:t>ת"פ (חד') 3488-07-09</w:t>
        </w:r>
      </w:hyperlink>
      <w:r>
        <w:rPr>
          <w:rFonts w:ascii="David" w:hAnsi="David" w:cs="David" w:hint="cs"/>
          <w:b/>
          <w:bCs/>
          <w:sz w:val="24"/>
          <w:szCs w:val="24"/>
          <w:rtl/>
        </w:rPr>
        <w:t xml:space="preserve"> מדינת ישראל – תביעות חדרה נ' מנדלסון</w:t>
      </w:r>
      <w:r>
        <w:rPr>
          <w:rFonts w:ascii="David" w:hAnsi="David" w:cs="David" w:hint="cs"/>
          <w:sz w:val="24"/>
          <w:szCs w:val="24"/>
          <w:rtl/>
        </w:rPr>
        <w:t xml:space="preserve"> (24.6.10). לסיום הליך ללא הרשעה גם בעבירות סמים חמורות יותר, ראו למשל: עפ"ג (י-ם) </w:t>
      </w:r>
      <w:hyperlink r:id="rId31" w:history="1">
        <w:r w:rsidR="00A105B8" w:rsidRPr="00A105B8">
          <w:rPr>
            <w:rFonts w:ascii="David" w:hAnsi="David" w:cs="David"/>
            <w:color w:val="0000FF"/>
            <w:sz w:val="24"/>
            <w:szCs w:val="24"/>
            <w:u w:val="single"/>
            <w:rtl/>
          </w:rPr>
          <w:t>33947-10-17</w:t>
        </w:r>
      </w:hyperlink>
      <w:r>
        <w:rPr>
          <w:rFonts w:ascii="David" w:hAnsi="David" w:cs="David" w:hint="cs"/>
          <w:sz w:val="24"/>
          <w:szCs w:val="24"/>
          <w:rtl/>
        </w:rPr>
        <w:t xml:space="preserve"> </w:t>
      </w:r>
      <w:r>
        <w:rPr>
          <w:rFonts w:ascii="David" w:hAnsi="David" w:cs="David" w:hint="cs"/>
          <w:b/>
          <w:bCs/>
          <w:sz w:val="24"/>
          <w:szCs w:val="24"/>
          <w:rtl/>
        </w:rPr>
        <w:t xml:space="preserve"> מדינת ישראל נ' קרוקוצקי</w:t>
      </w:r>
      <w:r>
        <w:rPr>
          <w:rFonts w:ascii="David" w:hAnsi="David" w:cs="David" w:hint="cs"/>
          <w:sz w:val="24"/>
          <w:szCs w:val="24"/>
          <w:rtl/>
        </w:rPr>
        <w:t xml:space="preserve"> (20.3.18); </w:t>
      </w:r>
      <w:hyperlink r:id="rId32" w:history="1">
        <w:r w:rsidR="00BE506B" w:rsidRPr="00BE506B">
          <w:rPr>
            <w:rFonts w:ascii="David" w:hAnsi="David" w:cs="David"/>
            <w:color w:val="0000FF"/>
            <w:sz w:val="24"/>
            <w:szCs w:val="24"/>
            <w:u w:val="single"/>
            <w:rtl/>
          </w:rPr>
          <w:t>עפ"ג (חי') 28110-10-15</w:t>
        </w:r>
      </w:hyperlink>
      <w:r>
        <w:rPr>
          <w:rFonts w:ascii="David" w:hAnsi="David" w:cs="David" w:hint="cs"/>
          <w:sz w:val="24"/>
          <w:szCs w:val="24"/>
          <w:rtl/>
        </w:rPr>
        <w:t xml:space="preserve"> </w:t>
      </w:r>
      <w:r>
        <w:rPr>
          <w:rFonts w:ascii="David" w:hAnsi="David" w:cs="David" w:hint="cs"/>
          <w:b/>
          <w:bCs/>
          <w:sz w:val="24"/>
          <w:szCs w:val="24"/>
          <w:rtl/>
        </w:rPr>
        <w:t xml:space="preserve">מדינת ישראל נ' דוד </w:t>
      </w:r>
      <w:r>
        <w:rPr>
          <w:rFonts w:ascii="David" w:hAnsi="David" w:cs="David" w:hint="cs"/>
          <w:sz w:val="24"/>
          <w:szCs w:val="24"/>
          <w:rtl/>
        </w:rPr>
        <w:t xml:space="preserve">(17.12.15); </w:t>
      </w:r>
      <w:hyperlink r:id="rId33" w:history="1">
        <w:r w:rsidR="00BE506B" w:rsidRPr="00BE506B">
          <w:rPr>
            <w:rFonts w:ascii="David" w:hAnsi="David" w:cs="David"/>
            <w:color w:val="0000FF"/>
            <w:sz w:val="24"/>
            <w:szCs w:val="24"/>
            <w:u w:val="single"/>
            <w:rtl/>
          </w:rPr>
          <w:t>עפ"ג (מרכז) 53504-01-11</w:t>
        </w:r>
      </w:hyperlink>
      <w:r>
        <w:rPr>
          <w:rFonts w:ascii="David" w:hAnsi="David" w:cs="David" w:hint="cs"/>
          <w:b/>
          <w:bCs/>
          <w:sz w:val="24"/>
          <w:szCs w:val="24"/>
          <w:rtl/>
        </w:rPr>
        <w:t xml:space="preserve"> אלון נ' מדינת ישראל</w:t>
      </w:r>
      <w:r>
        <w:rPr>
          <w:rFonts w:ascii="David" w:hAnsi="David" w:cs="David" w:hint="cs"/>
          <w:sz w:val="24"/>
          <w:szCs w:val="24"/>
          <w:rtl/>
        </w:rPr>
        <w:t xml:space="preserve"> (22.5.11)).</w:t>
      </w:r>
    </w:p>
    <w:p w14:paraId="4977F2FD" w14:textId="77777777" w:rsidR="00BA3145" w:rsidRDefault="00BA3145" w:rsidP="00BA3145">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יתר על כן, נסיבותיו האישיות של הנאשם עומדות כולן לזכותו ויש בהן כדי להעיד על שיקומו: הנאשם הודה במיוחס לו, נטל אחריות על מעשיו והביע עליהם צער, חרטה ובושה; הנאשם נעדר עבר פלילי וזו הסתבכותו הראשונה עם רשויות אכיפת החוק. גם לא נפתחו לחובתו של הנאשם תיקים חדשים בזמן שחלף מאז ביצוע העבירה; הנאשם שירת בצה"ל ואף במסגרת מילואים; הנאשם מחזיק בשתי עבודות, אחת, כפקח תנועה והשניה, כמפעיל חוגי העשרה לילדים. מעסיקתו ציינה במכתב המלצה, כי הנאשם חדור מוטיבציה, מוכן להשקיע מזמנו למען ילדי החוג, נעים הליכות ומסביר פנים; הנאשם מסר כי למרות שעשה שימוש בסמים מאז היותו בן כ-18 חדל להשתמש בסמים מאז האירוע ואמנם לא נמצאו שרידי סם בבדיקות שתן שנערכו לו; להתרשמות שירות המבחן, הנאשם משקיע את כוחותיו בניהול אורח חיים תקין. הנאשם מבין את חומרת העבירה ומשמעות הפרת החוק והנורמה החברתית. עוד מסר שירות המבחן, כי הנאשם משתף פעולה עם שירות המבחן באופן מלא, מגיע לפגישות באופן רציף ומביע רצון ומוטיבציה גבוהה להשתלב בהליך הטיפולי. לאור האמור, המליץ שירות המבחן לסיים ההליך ללא הרשעת הנאשם ולהטיל עליו צו מבחן וצו שירות לתועלת הציבור.</w:t>
      </w:r>
    </w:p>
    <w:p w14:paraId="19B1AE5A" w14:textId="77777777" w:rsidR="00BA3145" w:rsidRDefault="00BA3145" w:rsidP="00BA3145">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 xml:space="preserve">הנאשם עובד כפקח תנועה ומכאן טענתו כי עשוי להיגרם לו נזק קונקרטי אם יורשע בדין. </w:t>
      </w:r>
    </w:p>
    <w:p w14:paraId="507A6F63" w14:textId="77777777" w:rsidR="00BA3145" w:rsidRDefault="00BA3145" w:rsidP="00BA3145">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 xml:space="preserve">לפי </w:t>
      </w:r>
      <w:hyperlink r:id="rId34" w:history="1">
        <w:r w:rsidR="003F0843" w:rsidRPr="003F0843">
          <w:rPr>
            <w:rFonts w:ascii="David" w:hAnsi="David" w:cs="David"/>
            <w:color w:val="0000FF"/>
            <w:sz w:val="24"/>
            <w:szCs w:val="24"/>
            <w:u w:val="single"/>
            <w:rtl/>
          </w:rPr>
          <w:t>סעיף 15ב</w:t>
        </w:r>
      </w:hyperlink>
      <w:r>
        <w:rPr>
          <w:rFonts w:ascii="David" w:hAnsi="David" w:cs="David" w:hint="cs"/>
          <w:sz w:val="24"/>
          <w:szCs w:val="24"/>
          <w:rtl/>
        </w:rPr>
        <w:t xml:space="preserve"> ל</w:t>
      </w:r>
      <w:hyperlink r:id="rId35" w:history="1">
        <w:r w:rsidR="00BE506B" w:rsidRPr="00BE506B">
          <w:rPr>
            <w:rFonts w:ascii="David" w:hAnsi="David" w:cs="David"/>
            <w:color w:val="0000FF"/>
            <w:sz w:val="24"/>
            <w:szCs w:val="24"/>
            <w:u w:val="single"/>
            <w:rtl/>
          </w:rPr>
          <w:t>תקנות התעבורה</w:t>
        </w:r>
      </w:hyperlink>
      <w:r>
        <w:rPr>
          <w:rFonts w:ascii="David" w:hAnsi="David" w:cs="David" w:hint="cs"/>
          <w:sz w:val="24"/>
          <w:szCs w:val="24"/>
          <w:rtl/>
        </w:rPr>
        <w:t xml:space="preserve">, רשאית הרשות המוסמכת שלא לחדש תעודת פקח או להתלותה אם "יש לגבי המבקש רישום במרשם הפלילי של הרשעה, בעבירה שלדעת הרשות יש בה כדי למנוע את מתן התעודה או חידושה ....". </w:t>
      </w:r>
    </w:p>
    <w:p w14:paraId="041007C1" w14:textId="77777777" w:rsidR="00BA3145" w:rsidRDefault="00BA3145" w:rsidP="00BA3145">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אמנם, אין וודאות כי הרשות המוסמכת לא תחדש תעודת הפקח של הנאשם. ההחלטה מסורה לשיקול דעתה. עם זאת, ישנה אפשרות לפגיעה קונקרטית בתעסוקתו של הנאשם כפקח תנועה.</w:t>
      </w:r>
    </w:p>
    <w:p w14:paraId="760621F8" w14:textId="77777777" w:rsidR="00BA3145" w:rsidRDefault="00BA3145" w:rsidP="00BA3145">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 xml:space="preserve">לעמדתי, לאור רף הפגיעה הנמוך בערכים החברתיים והשינוי הכללי במדיניות הנוגעת לאכיפת עבירות של החזקת סמים, ניתן גם להקל בקביעת רף הוכחת הנזק הקונקרטי. משמע, כי בעבירות סמים מהרף הנמוך ביותר, די יהיה בהוכחת נזק קונקרטי ברמה קרובה לוודאי ואין צורך בהוכחת נזק ברמת וודאות גבוהה. </w:t>
      </w:r>
    </w:p>
    <w:p w14:paraId="64522366" w14:textId="77777777" w:rsidR="00BA3145" w:rsidRDefault="00BA3145" w:rsidP="00BA3145">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לאור כל האמור ובאיזון בין השיקולים השונים, מתקיימות נסיבות חריגות המצדיקות לסיים ההליך ללא הרשעתו של הנאשם.</w:t>
      </w:r>
    </w:p>
    <w:p w14:paraId="3E24E715" w14:textId="77777777" w:rsidR="00BA3145" w:rsidRDefault="00BA3145" w:rsidP="00BA3145">
      <w:pPr>
        <w:pStyle w:val="aa"/>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לפיכך, אני קובעת כי הנאשם ביצע עבירה של החזקת סמים לצריכה עצמית, כמיוחס בכתב האישום המתוקן, אולם ההליך יסתיים ללא הרשעה, לצד זאת, יוטל על הנאשם:</w:t>
      </w:r>
    </w:p>
    <w:p w14:paraId="28C1E11B" w14:textId="77777777" w:rsidR="00BA3145" w:rsidRDefault="00BA3145" w:rsidP="00BA3145">
      <w:pPr>
        <w:pStyle w:val="aa"/>
        <w:numPr>
          <w:ilvl w:val="0"/>
          <w:numId w:val="2"/>
        </w:numPr>
        <w:spacing w:line="360" w:lineRule="auto"/>
        <w:jc w:val="both"/>
        <w:rPr>
          <w:rFonts w:ascii="David" w:hAnsi="David" w:cs="David"/>
          <w:sz w:val="24"/>
          <w:szCs w:val="24"/>
        </w:rPr>
      </w:pPr>
      <w:r>
        <w:rPr>
          <w:rFonts w:ascii="David" w:hAnsi="David" w:cs="David" w:hint="cs"/>
          <w:sz w:val="24"/>
          <w:szCs w:val="24"/>
          <w:rtl/>
        </w:rPr>
        <w:t>צו מבחן למשך שנה וחצי;</w:t>
      </w:r>
    </w:p>
    <w:p w14:paraId="30E57F6F" w14:textId="77777777" w:rsidR="00BA3145" w:rsidRDefault="00BA3145" w:rsidP="00BA3145">
      <w:pPr>
        <w:pStyle w:val="aa"/>
        <w:numPr>
          <w:ilvl w:val="0"/>
          <w:numId w:val="2"/>
        </w:numPr>
        <w:spacing w:line="360" w:lineRule="auto"/>
        <w:jc w:val="both"/>
        <w:rPr>
          <w:rFonts w:ascii="David" w:hAnsi="David" w:cs="David"/>
          <w:sz w:val="24"/>
          <w:szCs w:val="24"/>
        </w:rPr>
      </w:pPr>
      <w:r>
        <w:rPr>
          <w:rFonts w:ascii="David" w:hAnsi="David" w:cs="David" w:hint="cs"/>
          <w:sz w:val="24"/>
          <w:szCs w:val="24"/>
          <w:rtl/>
        </w:rPr>
        <w:t>צו שירות לתועלת הציבור בהיקף של 150 שעות.</w:t>
      </w:r>
    </w:p>
    <w:p w14:paraId="6F5688C2" w14:textId="77777777" w:rsidR="00BA3145" w:rsidRDefault="00BA3145" w:rsidP="00BA3145">
      <w:pPr>
        <w:spacing w:line="360" w:lineRule="auto"/>
        <w:ind w:left="869"/>
        <w:jc w:val="both"/>
        <w:rPr>
          <w:rFonts w:ascii="David" w:hAnsi="David"/>
        </w:rPr>
      </w:pPr>
      <w:r>
        <w:rPr>
          <w:rFonts w:ascii="David" w:hAnsi="David" w:hint="cs"/>
          <w:rtl/>
        </w:rPr>
        <w:t>רשמתי לפני נכונות הנאשם לבצע צו המבחן וצו השירות לתועלת הציבור. מובהר לנאשם כי אם לא יבצע הצווים בהתאם להוראות שירות המבחן, ניתן יהיה להרשיעו ולגזור את דינו.</w:t>
      </w:r>
    </w:p>
    <w:p w14:paraId="65C96699" w14:textId="77777777" w:rsidR="00BA3145" w:rsidRDefault="00BA3145" w:rsidP="00BA3145">
      <w:pPr>
        <w:spacing w:line="360" w:lineRule="auto"/>
        <w:jc w:val="both"/>
        <w:rPr>
          <w:rFonts w:ascii="David" w:hAnsi="David"/>
          <w:b/>
          <w:bCs/>
          <w:rtl/>
        </w:rPr>
      </w:pPr>
      <w:r>
        <w:rPr>
          <w:rFonts w:ascii="David" w:hAnsi="David" w:hint="cs"/>
          <w:b/>
          <w:bCs/>
          <w:rtl/>
        </w:rPr>
        <w:t>ניתן צו להשמדת הסמים.</w:t>
      </w:r>
    </w:p>
    <w:p w14:paraId="7A71D99D" w14:textId="77777777" w:rsidR="00BA3145" w:rsidRDefault="00BA3145" w:rsidP="00BA3145">
      <w:pPr>
        <w:spacing w:line="360" w:lineRule="auto"/>
        <w:jc w:val="both"/>
        <w:rPr>
          <w:rFonts w:ascii="David" w:hAnsi="David"/>
          <w:b/>
          <w:bCs/>
          <w:rtl/>
        </w:rPr>
      </w:pPr>
      <w:r>
        <w:rPr>
          <w:rFonts w:ascii="David" w:hAnsi="David" w:hint="cs"/>
          <w:b/>
          <w:bCs/>
          <w:rtl/>
        </w:rPr>
        <w:t>העתק גזר הדין יועבר לשירות המבחן.</w:t>
      </w:r>
    </w:p>
    <w:p w14:paraId="7CB65AA9" w14:textId="77777777" w:rsidR="00BA3145" w:rsidRDefault="00BA3145" w:rsidP="00BA3145">
      <w:pPr>
        <w:spacing w:line="360" w:lineRule="auto"/>
        <w:jc w:val="both"/>
        <w:rPr>
          <w:rFonts w:ascii="David" w:hAnsi="David"/>
          <w:b/>
          <w:bCs/>
          <w:rtl/>
        </w:rPr>
      </w:pPr>
      <w:r>
        <w:rPr>
          <w:rFonts w:ascii="David" w:hAnsi="David" w:hint="cs"/>
          <w:b/>
          <w:bCs/>
          <w:rtl/>
        </w:rPr>
        <w:t>זכות ערעור כחוק תוך 45 ימים.</w:t>
      </w:r>
    </w:p>
    <w:p w14:paraId="7AC104B2" w14:textId="77777777" w:rsidR="00BA3145" w:rsidRPr="00B05847" w:rsidRDefault="00BA3145" w:rsidP="00BA3145">
      <w:pPr>
        <w:rPr>
          <w:rtl/>
        </w:rPr>
      </w:pPr>
    </w:p>
    <w:p w14:paraId="59DE11E1" w14:textId="77777777" w:rsidR="00BA3145" w:rsidRPr="00B05847" w:rsidRDefault="00BA3145" w:rsidP="00BA3145">
      <w:pPr>
        <w:rPr>
          <w:rtl/>
        </w:rPr>
      </w:pPr>
    </w:p>
    <w:p w14:paraId="3760D043" w14:textId="77777777" w:rsidR="00BA3145" w:rsidRPr="00B05847" w:rsidRDefault="00BA3145" w:rsidP="00BA3145">
      <w:pPr>
        <w:rPr>
          <w:rtl/>
        </w:rPr>
      </w:pPr>
    </w:p>
    <w:p w14:paraId="182266EB" w14:textId="77777777" w:rsidR="00BA3145" w:rsidRPr="00BE506B" w:rsidRDefault="00BE506B" w:rsidP="00BA3145">
      <w:pPr>
        <w:rPr>
          <w:color w:val="FFFFFF"/>
          <w:sz w:val="2"/>
          <w:szCs w:val="2"/>
          <w:rtl/>
        </w:rPr>
      </w:pPr>
      <w:r w:rsidRPr="00BE506B">
        <w:rPr>
          <w:color w:val="FFFFFF"/>
          <w:sz w:val="2"/>
          <w:szCs w:val="2"/>
          <w:rtl/>
        </w:rPr>
        <w:t>5129371</w:t>
      </w:r>
    </w:p>
    <w:p w14:paraId="7AD31145" w14:textId="77777777" w:rsidR="00BA3145" w:rsidRPr="0036535D" w:rsidRDefault="00BE506B" w:rsidP="00BA3145">
      <w:pPr>
        <w:rPr>
          <w:rFonts w:cs="FrankRuehl"/>
          <w:sz w:val="28"/>
          <w:szCs w:val="28"/>
          <w:rtl/>
        </w:rPr>
      </w:pPr>
      <w:r w:rsidRPr="00BE506B">
        <w:rPr>
          <w:rFonts w:ascii="Arial" w:hAnsi="Arial"/>
          <w:color w:val="FFFFFF"/>
          <w:sz w:val="2"/>
          <w:szCs w:val="2"/>
          <w:rtl/>
        </w:rPr>
        <w:t>54678313</w:t>
      </w:r>
      <w:r>
        <w:rPr>
          <w:rFonts w:ascii="Arial" w:hAnsi="Arial"/>
          <w:rtl/>
        </w:rPr>
        <w:t xml:space="preserve">ניתן היום,  י"ג אדר ב' תשע"ט, 20 מרץ 2019, במעמד הצדדים. </w:t>
      </w:r>
    </w:p>
    <w:p w14:paraId="0E4A8459" w14:textId="77777777" w:rsidR="00BA3145" w:rsidRDefault="00BA3145" w:rsidP="00BA314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5BC3FC9C" w14:textId="77777777" w:rsidR="00BA3145" w:rsidRDefault="00BA3145" w:rsidP="00BA3145">
      <w:pPr>
        <w:jc w:val="center"/>
        <w:rPr>
          <w:rFonts w:ascii="Arial" w:hAnsi="Arial" w:cs="FrankRuehl"/>
          <w:sz w:val="28"/>
          <w:szCs w:val="28"/>
          <w:rtl/>
        </w:rPr>
      </w:pPr>
    </w:p>
    <w:p w14:paraId="08BEC1F2" w14:textId="77777777" w:rsidR="00BE506B" w:rsidRDefault="00BE506B" w:rsidP="00BE506B">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19230927" w14:textId="77777777" w:rsidR="003F0843" w:rsidRPr="003F0843" w:rsidRDefault="003F0843" w:rsidP="003F0843">
      <w:pPr>
        <w:keepNext/>
        <w:rPr>
          <w:rFonts w:ascii="David" w:hAnsi="David"/>
          <w:color w:val="000000"/>
          <w:sz w:val="22"/>
          <w:szCs w:val="22"/>
          <w:rtl/>
        </w:rPr>
      </w:pPr>
    </w:p>
    <w:p w14:paraId="7022E565" w14:textId="77777777" w:rsidR="003F0843" w:rsidRPr="003F0843" w:rsidRDefault="003F0843" w:rsidP="003F0843">
      <w:pPr>
        <w:keepNext/>
        <w:rPr>
          <w:rFonts w:ascii="David" w:hAnsi="David"/>
          <w:color w:val="000000"/>
          <w:sz w:val="22"/>
          <w:szCs w:val="22"/>
          <w:rtl/>
        </w:rPr>
      </w:pPr>
      <w:r w:rsidRPr="003F0843">
        <w:rPr>
          <w:rFonts w:ascii="David" w:hAnsi="David"/>
          <w:color w:val="000000"/>
          <w:sz w:val="22"/>
          <w:szCs w:val="22"/>
          <w:rtl/>
        </w:rPr>
        <w:t>אפרת פינק 54678313-/</w:t>
      </w:r>
    </w:p>
    <w:p w14:paraId="05C757CB" w14:textId="77777777" w:rsidR="00BE506B" w:rsidRPr="00BE506B" w:rsidRDefault="003F0843" w:rsidP="003F0843">
      <w:pPr>
        <w:rPr>
          <w:color w:val="0000FF"/>
          <w:u w:val="single"/>
        </w:rPr>
      </w:pPr>
      <w:r w:rsidRPr="003F0843">
        <w:rPr>
          <w:color w:val="000000"/>
          <w:u w:val="single"/>
          <w:rtl/>
        </w:rPr>
        <w:t>נוסח מסמך זה כפוף לשינויי ניסוח ועריכה</w:t>
      </w:r>
      <w:r w:rsidR="00A105B8">
        <w:rPr>
          <w:rFonts w:hint="cs"/>
          <w:color w:val="0000FF"/>
          <w:u w:val="single"/>
          <w:rtl/>
        </w:rPr>
        <w:t xml:space="preserve">           </w:t>
      </w:r>
    </w:p>
    <w:sectPr w:rsidR="00BE506B" w:rsidRPr="00BE506B" w:rsidSect="003F0843">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50FE6F" w14:textId="77777777" w:rsidR="000C2335" w:rsidRDefault="000C2335" w:rsidP="00AA6C1E">
      <w:r>
        <w:separator/>
      </w:r>
    </w:p>
  </w:endnote>
  <w:endnote w:type="continuationSeparator" w:id="0">
    <w:p w14:paraId="695ED12B" w14:textId="77777777" w:rsidR="000C2335" w:rsidRDefault="000C2335" w:rsidP="00AA6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44D94" w14:textId="77777777" w:rsidR="003F0843" w:rsidRDefault="003F0843" w:rsidP="003F084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340E02A" w14:textId="77777777" w:rsidR="00822A0D" w:rsidRPr="003F0843" w:rsidRDefault="003F0843" w:rsidP="003F0843">
    <w:pPr>
      <w:pStyle w:val="a5"/>
      <w:pBdr>
        <w:top w:val="single" w:sz="4" w:space="1" w:color="auto"/>
        <w:between w:val="single" w:sz="4" w:space="0" w:color="auto"/>
      </w:pBdr>
      <w:spacing w:after="60"/>
      <w:jc w:val="center"/>
      <w:rPr>
        <w:rFonts w:ascii="FrankRuehl" w:hAnsi="FrankRuehl" w:cs="FrankRuehl"/>
        <w:color w:val="000000"/>
      </w:rPr>
    </w:pPr>
    <w:r w:rsidRPr="003F084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C5AEA" w14:textId="77777777" w:rsidR="003F0843" w:rsidRDefault="003F0843" w:rsidP="003F084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1537E">
      <w:rPr>
        <w:rFonts w:ascii="FrankRuehl" w:hAnsi="FrankRuehl" w:cs="FrankRuehl"/>
        <w:noProof/>
        <w:rtl/>
      </w:rPr>
      <w:t>1</w:t>
    </w:r>
    <w:r>
      <w:rPr>
        <w:rFonts w:ascii="FrankRuehl" w:hAnsi="FrankRuehl" w:cs="FrankRuehl"/>
        <w:rtl/>
      </w:rPr>
      <w:fldChar w:fldCharType="end"/>
    </w:r>
  </w:p>
  <w:p w14:paraId="2E98AED5" w14:textId="77777777" w:rsidR="00822A0D" w:rsidRPr="003F0843" w:rsidRDefault="003F0843" w:rsidP="003F0843">
    <w:pPr>
      <w:pStyle w:val="a5"/>
      <w:pBdr>
        <w:top w:val="single" w:sz="4" w:space="1" w:color="auto"/>
        <w:between w:val="single" w:sz="4" w:space="0" w:color="auto"/>
      </w:pBdr>
      <w:spacing w:after="60"/>
      <w:jc w:val="center"/>
      <w:rPr>
        <w:rFonts w:ascii="FrankRuehl" w:hAnsi="FrankRuehl" w:cs="FrankRuehl"/>
        <w:color w:val="000000"/>
      </w:rPr>
    </w:pPr>
    <w:r w:rsidRPr="003F0843">
      <w:rPr>
        <w:rFonts w:ascii="FrankRuehl" w:hAnsi="FrankRuehl" w:cs="FrankRuehl"/>
        <w:color w:val="000000"/>
      </w:rPr>
      <w:pict w14:anchorId="041804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70DEDB" w14:textId="77777777" w:rsidR="000C2335" w:rsidRDefault="000C2335" w:rsidP="00AA6C1E">
      <w:r>
        <w:separator/>
      </w:r>
    </w:p>
  </w:footnote>
  <w:footnote w:type="continuationSeparator" w:id="0">
    <w:p w14:paraId="4DE8FF1F" w14:textId="77777777" w:rsidR="000C2335" w:rsidRDefault="000C2335" w:rsidP="00AA6C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F06DCD" w14:textId="77777777" w:rsidR="00BE506B" w:rsidRPr="003F0843" w:rsidRDefault="003F0843" w:rsidP="003F084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49033-06-18</w:t>
    </w:r>
    <w:r>
      <w:rPr>
        <w:rFonts w:ascii="David" w:hAnsi="David"/>
        <w:color w:val="000000"/>
        <w:sz w:val="22"/>
        <w:szCs w:val="22"/>
        <w:rtl/>
      </w:rPr>
      <w:tab/>
      <w:t xml:space="preserve"> מדינת ישראל נ' סהר אתירם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0466AF" w14:textId="77777777" w:rsidR="00BE506B" w:rsidRPr="003F0843" w:rsidRDefault="003F0843" w:rsidP="003F084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49033-06-18</w:t>
    </w:r>
    <w:r>
      <w:rPr>
        <w:rFonts w:ascii="David" w:hAnsi="David"/>
        <w:color w:val="000000"/>
        <w:sz w:val="22"/>
        <w:szCs w:val="22"/>
        <w:rtl/>
      </w:rPr>
      <w:tab/>
      <w:t xml:space="preserve"> מדינת ישראל נ' סהר אתירם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C60791"/>
    <w:multiLevelType w:val="hybridMultilevel"/>
    <w:tmpl w:val="D63E8C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627E3B1B"/>
    <w:multiLevelType w:val="hybridMultilevel"/>
    <w:tmpl w:val="13424B30"/>
    <w:lvl w:ilvl="0" w:tplc="2A5A3694">
      <w:start w:val="1"/>
      <w:numFmt w:val="hebrew1"/>
      <w:lvlText w:val="%1."/>
      <w:lvlJc w:val="left"/>
      <w:pPr>
        <w:ind w:left="869" w:hanging="360"/>
      </w:pPr>
    </w:lvl>
    <w:lvl w:ilvl="1" w:tplc="04090019">
      <w:start w:val="1"/>
      <w:numFmt w:val="lowerLetter"/>
      <w:lvlText w:val="%2."/>
      <w:lvlJc w:val="left"/>
      <w:pPr>
        <w:ind w:left="1589" w:hanging="360"/>
      </w:pPr>
    </w:lvl>
    <w:lvl w:ilvl="2" w:tplc="0409001B">
      <w:start w:val="1"/>
      <w:numFmt w:val="lowerRoman"/>
      <w:lvlText w:val="%3."/>
      <w:lvlJc w:val="right"/>
      <w:pPr>
        <w:ind w:left="2309" w:hanging="180"/>
      </w:pPr>
    </w:lvl>
    <w:lvl w:ilvl="3" w:tplc="0409000F">
      <w:start w:val="1"/>
      <w:numFmt w:val="decimal"/>
      <w:lvlText w:val="%4."/>
      <w:lvlJc w:val="left"/>
      <w:pPr>
        <w:ind w:left="3029" w:hanging="360"/>
      </w:pPr>
    </w:lvl>
    <w:lvl w:ilvl="4" w:tplc="04090019">
      <w:start w:val="1"/>
      <w:numFmt w:val="lowerLetter"/>
      <w:lvlText w:val="%5."/>
      <w:lvlJc w:val="left"/>
      <w:pPr>
        <w:ind w:left="3749" w:hanging="360"/>
      </w:pPr>
    </w:lvl>
    <w:lvl w:ilvl="5" w:tplc="0409001B">
      <w:start w:val="1"/>
      <w:numFmt w:val="lowerRoman"/>
      <w:lvlText w:val="%6."/>
      <w:lvlJc w:val="right"/>
      <w:pPr>
        <w:ind w:left="4469" w:hanging="180"/>
      </w:pPr>
    </w:lvl>
    <w:lvl w:ilvl="6" w:tplc="0409000F">
      <w:start w:val="1"/>
      <w:numFmt w:val="decimal"/>
      <w:lvlText w:val="%7."/>
      <w:lvlJc w:val="left"/>
      <w:pPr>
        <w:ind w:left="5189" w:hanging="360"/>
      </w:pPr>
    </w:lvl>
    <w:lvl w:ilvl="7" w:tplc="04090019">
      <w:start w:val="1"/>
      <w:numFmt w:val="lowerLetter"/>
      <w:lvlText w:val="%8."/>
      <w:lvlJc w:val="left"/>
      <w:pPr>
        <w:ind w:left="5909" w:hanging="360"/>
      </w:pPr>
    </w:lvl>
    <w:lvl w:ilvl="8" w:tplc="0409001B">
      <w:start w:val="1"/>
      <w:numFmt w:val="lowerRoman"/>
      <w:lvlText w:val="%9."/>
      <w:lvlJc w:val="right"/>
      <w:pPr>
        <w:ind w:left="6629" w:hanging="180"/>
      </w:pPr>
    </w:lvl>
  </w:abstractNum>
  <w:num w:numId="1" w16cid:durableId="5404386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443102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A3145"/>
    <w:rsid w:val="000C2335"/>
    <w:rsid w:val="00381020"/>
    <w:rsid w:val="003F0843"/>
    <w:rsid w:val="00562A75"/>
    <w:rsid w:val="005D5522"/>
    <w:rsid w:val="007A2405"/>
    <w:rsid w:val="0081537E"/>
    <w:rsid w:val="00822A0D"/>
    <w:rsid w:val="00963418"/>
    <w:rsid w:val="00A105B8"/>
    <w:rsid w:val="00AA6C1E"/>
    <w:rsid w:val="00BA3145"/>
    <w:rsid w:val="00BE506B"/>
    <w:rsid w:val="00C36262"/>
    <w:rsid w:val="00D167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8313F72"/>
  <w15:chartTrackingRefBased/>
  <w15:docId w15:val="{0D27DEF2-4846-45D7-979A-0E47E454C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A3145"/>
    <w:pPr>
      <w:bidi/>
    </w:pPr>
    <w:rPr>
      <w:rFonts w:ascii="Times New Roman" w:eastAsia="Times New Roman" w:hAnsi="Times New Roman" w:cs="David"/>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A3145"/>
    <w:pPr>
      <w:tabs>
        <w:tab w:val="center" w:pos="4153"/>
        <w:tab w:val="right" w:pos="8306"/>
      </w:tabs>
    </w:pPr>
  </w:style>
  <w:style w:type="character" w:customStyle="1" w:styleId="a4">
    <w:name w:val="כותרת עליונה תו"/>
    <w:link w:val="a3"/>
    <w:rsid w:val="00BA3145"/>
    <w:rPr>
      <w:rFonts w:ascii="Times New Roman" w:eastAsia="Times New Roman" w:hAnsi="Times New Roman" w:cs="David"/>
      <w:sz w:val="24"/>
      <w:szCs w:val="24"/>
    </w:rPr>
  </w:style>
  <w:style w:type="paragraph" w:styleId="a5">
    <w:name w:val="footer"/>
    <w:basedOn w:val="a"/>
    <w:link w:val="a6"/>
    <w:rsid w:val="00BA3145"/>
    <w:pPr>
      <w:tabs>
        <w:tab w:val="center" w:pos="4153"/>
        <w:tab w:val="right" w:pos="8306"/>
      </w:tabs>
    </w:pPr>
  </w:style>
  <w:style w:type="character" w:customStyle="1" w:styleId="a6">
    <w:name w:val="כותרת תחתונה תו"/>
    <w:link w:val="a5"/>
    <w:rsid w:val="00BA3145"/>
    <w:rPr>
      <w:rFonts w:ascii="Times New Roman" w:eastAsia="Times New Roman" w:hAnsi="Times New Roman" w:cs="David"/>
      <w:sz w:val="24"/>
      <w:szCs w:val="24"/>
    </w:rPr>
  </w:style>
  <w:style w:type="table" w:styleId="a7">
    <w:name w:val="Table Grid"/>
    <w:basedOn w:val="a1"/>
    <w:rsid w:val="00BA314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A3145"/>
  </w:style>
  <w:style w:type="paragraph" w:customStyle="1" w:styleId="12">
    <w:name w:val="רגיל + ‏12 נק'"/>
    <w:aliases w:val="מיושר לשני הצדדים,מרווח בין שורות:  שורה וחצי"/>
    <w:basedOn w:val="a"/>
    <w:rsid w:val="00BA3145"/>
    <w:rPr>
      <w:b/>
      <w:bCs/>
      <w:u w:val="single"/>
    </w:rPr>
  </w:style>
  <w:style w:type="character" w:customStyle="1" w:styleId="a9">
    <w:name w:val="פיסקת רשימה תו"/>
    <w:link w:val="aa"/>
    <w:locked/>
    <w:rsid w:val="00BA3145"/>
  </w:style>
  <w:style w:type="paragraph" w:styleId="aa">
    <w:name w:val="List Paragraph"/>
    <w:basedOn w:val="a"/>
    <w:link w:val="a9"/>
    <w:qFormat/>
    <w:rsid w:val="00BA3145"/>
    <w:pPr>
      <w:spacing w:after="160" w:line="256" w:lineRule="auto"/>
      <w:ind w:left="720"/>
      <w:contextualSpacing/>
    </w:pPr>
    <w:rPr>
      <w:rFonts w:ascii="Calibri" w:eastAsia="Calibri" w:hAnsi="Calibri" w:cs="Arial"/>
      <w:sz w:val="22"/>
      <w:szCs w:val="22"/>
    </w:rPr>
  </w:style>
  <w:style w:type="character" w:styleId="Hyperlink">
    <w:name w:val="Hyperlink"/>
    <w:rsid w:val="00BE506B"/>
    <w:rPr>
      <w:color w:val="0563C1"/>
      <w:u w:val="single"/>
    </w:rPr>
  </w:style>
  <w:style w:type="character" w:styleId="ab">
    <w:name w:val="Unresolved Mention"/>
    <w:uiPriority w:val="99"/>
    <w:semiHidden/>
    <w:unhideWhenUsed/>
    <w:rsid w:val="00A105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law/4216/7.c" TargetMode="External"/><Relationship Id="rId26" Type="http://schemas.openxmlformats.org/officeDocument/2006/relationships/hyperlink" Target="http://www.nevo.co.il/case/16900367" TargetMode="External"/><Relationship Id="rId39" Type="http://schemas.openxmlformats.org/officeDocument/2006/relationships/footer" Target="footer1.xml"/><Relationship Id="rId21" Type="http://schemas.openxmlformats.org/officeDocument/2006/relationships/hyperlink" Target="http://www.nevo.co.il/case/5810781" TargetMode="External"/><Relationship Id="rId34" Type="http://schemas.openxmlformats.org/officeDocument/2006/relationships/hyperlink" Target="http://www.nevo.co.il/law/74274/15b" TargetMode="External"/><Relationship Id="rId42"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4274/15b" TargetMode="External"/><Relationship Id="rId20" Type="http://schemas.openxmlformats.org/officeDocument/2006/relationships/hyperlink" Target="http://www.nevo.co.il/law/74274" TargetMode="External"/><Relationship Id="rId29" Type="http://schemas.openxmlformats.org/officeDocument/2006/relationships/hyperlink" Target="http://www.nevo.co.il/case/16886127"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4274/15b" TargetMode="External"/><Relationship Id="rId24" Type="http://schemas.openxmlformats.org/officeDocument/2006/relationships/hyperlink" Target="http://www.nevo.co.il/case/5993495" TargetMode="External"/><Relationship Id="rId32" Type="http://schemas.openxmlformats.org/officeDocument/2006/relationships/hyperlink" Target="http://www.nevo.co.il/case/20632055"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4274" TargetMode="External"/><Relationship Id="rId23" Type="http://schemas.openxmlformats.org/officeDocument/2006/relationships/hyperlink" Target="http://www.nevo.co.il/case/5611948" TargetMode="External"/><Relationship Id="rId28" Type="http://schemas.openxmlformats.org/officeDocument/2006/relationships/hyperlink" Target="http://www.nevo.co.il/case/11226498"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74274" TargetMode="External"/><Relationship Id="rId19" Type="http://schemas.openxmlformats.org/officeDocument/2006/relationships/hyperlink" Target="http://www.nevo.co.il/law/4216" TargetMode="External"/><Relationship Id="rId31" Type="http://schemas.openxmlformats.org/officeDocument/2006/relationships/hyperlink" Target="http://www.nevo.co.il/case/23158178"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c" TargetMode="External"/><Relationship Id="rId22" Type="http://schemas.openxmlformats.org/officeDocument/2006/relationships/hyperlink" Target="http://www.nevo.co.il/case/5608134" TargetMode="External"/><Relationship Id="rId27" Type="http://schemas.openxmlformats.org/officeDocument/2006/relationships/hyperlink" Target="http://www.nevo.co.il/case/22112448" TargetMode="External"/><Relationship Id="rId30" Type="http://schemas.openxmlformats.org/officeDocument/2006/relationships/hyperlink" Target="http://www.nevo.co.il/case/4427215" TargetMode="External"/><Relationship Id="rId35" Type="http://schemas.openxmlformats.org/officeDocument/2006/relationships/hyperlink" Target="http://www.nevo.co.il/law/74274" TargetMode="Externa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law/4216/7.a" TargetMode="External"/><Relationship Id="rId25" Type="http://schemas.openxmlformats.org/officeDocument/2006/relationships/hyperlink" Target="http://www.nevo.co.il/case/6161385" TargetMode="External"/><Relationship Id="rId33" Type="http://schemas.openxmlformats.org/officeDocument/2006/relationships/hyperlink" Target="http://www.nevo.co.il/case/5633505"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1858</Words>
  <Characters>9291</Characters>
  <Application>Microsoft Office Word</Application>
  <DocSecurity>0</DocSecurity>
  <Lines>77</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11127</CharactersWithSpaces>
  <SharedDoc>false</SharedDoc>
  <HLinks>
    <vt:vector size="180" baseType="variant">
      <vt:variant>
        <vt:i4>393283</vt:i4>
      </vt:variant>
      <vt:variant>
        <vt:i4>93</vt:i4>
      </vt:variant>
      <vt:variant>
        <vt:i4>0</vt:i4>
      </vt:variant>
      <vt:variant>
        <vt:i4>5</vt:i4>
      </vt:variant>
      <vt:variant>
        <vt:lpwstr>http://www.nevo.co.il/advertisements/nevo-100.doc</vt:lpwstr>
      </vt:variant>
      <vt:variant>
        <vt:lpwstr/>
      </vt:variant>
      <vt:variant>
        <vt:i4>7929957</vt:i4>
      </vt:variant>
      <vt:variant>
        <vt:i4>90</vt:i4>
      </vt:variant>
      <vt:variant>
        <vt:i4>0</vt:i4>
      </vt:variant>
      <vt:variant>
        <vt:i4>5</vt:i4>
      </vt:variant>
      <vt:variant>
        <vt:lpwstr>http://www.nevo.co.il/law/74274</vt:lpwstr>
      </vt:variant>
      <vt:variant>
        <vt:lpwstr/>
      </vt:variant>
      <vt:variant>
        <vt:i4>6488160</vt:i4>
      </vt:variant>
      <vt:variant>
        <vt:i4>87</vt:i4>
      </vt:variant>
      <vt:variant>
        <vt:i4>0</vt:i4>
      </vt:variant>
      <vt:variant>
        <vt:i4>5</vt:i4>
      </vt:variant>
      <vt:variant>
        <vt:lpwstr>http://www.nevo.co.il/law/74274/15b</vt:lpwstr>
      </vt:variant>
      <vt:variant>
        <vt:lpwstr/>
      </vt:variant>
      <vt:variant>
        <vt:i4>3539057</vt:i4>
      </vt:variant>
      <vt:variant>
        <vt:i4>84</vt:i4>
      </vt:variant>
      <vt:variant>
        <vt:i4>0</vt:i4>
      </vt:variant>
      <vt:variant>
        <vt:i4>5</vt:i4>
      </vt:variant>
      <vt:variant>
        <vt:lpwstr>http://www.nevo.co.il/case/5633505</vt:lpwstr>
      </vt:variant>
      <vt:variant>
        <vt:lpwstr/>
      </vt:variant>
      <vt:variant>
        <vt:i4>3342455</vt:i4>
      </vt:variant>
      <vt:variant>
        <vt:i4>81</vt:i4>
      </vt:variant>
      <vt:variant>
        <vt:i4>0</vt:i4>
      </vt:variant>
      <vt:variant>
        <vt:i4>5</vt:i4>
      </vt:variant>
      <vt:variant>
        <vt:lpwstr>http://www.nevo.co.il/case/20632055</vt:lpwstr>
      </vt:variant>
      <vt:variant>
        <vt:lpwstr/>
      </vt:variant>
      <vt:variant>
        <vt:i4>3932275</vt:i4>
      </vt:variant>
      <vt:variant>
        <vt:i4>78</vt:i4>
      </vt:variant>
      <vt:variant>
        <vt:i4>0</vt:i4>
      </vt:variant>
      <vt:variant>
        <vt:i4>5</vt:i4>
      </vt:variant>
      <vt:variant>
        <vt:lpwstr>http://www.nevo.co.il/case/23158178</vt:lpwstr>
      </vt:variant>
      <vt:variant>
        <vt:lpwstr/>
      </vt:variant>
      <vt:variant>
        <vt:i4>3211382</vt:i4>
      </vt:variant>
      <vt:variant>
        <vt:i4>75</vt:i4>
      </vt:variant>
      <vt:variant>
        <vt:i4>0</vt:i4>
      </vt:variant>
      <vt:variant>
        <vt:i4>5</vt:i4>
      </vt:variant>
      <vt:variant>
        <vt:lpwstr>http://www.nevo.co.il/case/4427215</vt:lpwstr>
      </vt:variant>
      <vt:variant>
        <vt:lpwstr/>
      </vt:variant>
      <vt:variant>
        <vt:i4>3997819</vt:i4>
      </vt:variant>
      <vt:variant>
        <vt:i4>72</vt:i4>
      </vt:variant>
      <vt:variant>
        <vt:i4>0</vt:i4>
      </vt:variant>
      <vt:variant>
        <vt:i4>5</vt:i4>
      </vt:variant>
      <vt:variant>
        <vt:lpwstr>http://www.nevo.co.il/case/16886127</vt:lpwstr>
      </vt:variant>
      <vt:variant>
        <vt:lpwstr/>
      </vt:variant>
      <vt:variant>
        <vt:i4>3932275</vt:i4>
      </vt:variant>
      <vt:variant>
        <vt:i4>69</vt:i4>
      </vt:variant>
      <vt:variant>
        <vt:i4>0</vt:i4>
      </vt:variant>
      <vt:variant>
        <vt:i4>5</vt:i4>
      </vt:variant>
      <vt:variant>
        <vt:lpwstr>http://www.nevo.co.il/case/11226498</vt:lpwstr>
      </vt:variant>
      <vt:variant>
        <vt:lpwstr/>
      </vt:variant>
      <vt:variant>
        <vt:i4>3473523</vt:i4>
      </vt:variant>
      <vt:variant>
        <vt:i4>66</vt:i4>
      </vt:variant>
      <vt:variant>
        <vt:i4>0</vt:i4>
      </vt:variant>
      <vt:variant>
        <vt:i4>5</vt:i4>
      </vt:variant>
      <vt:variant>
        <vt:lpwstr>http://www.nevo.co.il/case/22112448</vt:lpwstr>
      </vt:variant>
      <vt:variant>
        <vt:lpwstr/>
      </vt:variant>
      <vt:variant>
        <vt:i4>4063345</vt:i4>
      </vt:variant>
      <vt:variant>
        <vt:i4>57</vt:i4>
      </vt:variant>
      <vt:variant>
        <vt:i4>0</vt:i4>
      </vt:variant>
      <vt:variant>
        <vt:i4>5</vt:i4>
      </vt:variant>
      <vt:variant>
        <vt:lpwstr>http://www.nevo.co.il/case/16900367</vt:lpwstr>
      </vt:variant>
      <vt:variant>
        <vt:lpwstr/>
      </vt:variant>
      <vt:variant>
        <vt:i4>3539068</vt:i4>
      </vt:variant>
      <vt:variant>
        <vt:i4>54</vt:i4>
      </vt:variant>
      <vt:variant>
        <vt:i4>0</vt:i4>
      </vt:variant>
      <vt:variant>
        <vt:i4>5</vt:i4>
      </vt:variant>
      <vt:variant>
        <vt:lpwstr>http://www.nevo.co.il/case/6161385</vt:lpwstr>
      </vt:variant>
      <vt:variant>
        <vt:lpwstr/>
      </vt:variant>
      <vt:variant>
        <vt:i4>3997815</vt:i4>
      </vt:variant>
      <vt:variant>
        <vt:i4>51</vt:i4>
      </vt:variant>
      <vt:variant>
        <vt:i4>0</vt:i4>
      </vt:variant>
      <vt:variant>
        <vt:i4>5</vt:i4>
      </vt:variant>
      <vt:variant>
        <vt:lpwstr>http://www.nevo.co.il/case/5993495</vt:lpwstr>
      </vt:variant>
      <vt:variant>
        <vt:lpwstr/>
      </vt:variant>
      <vt:variant>
        <vt:i4>3473527</vt:i4>
      </vt:variant>
      <vt:variant>
        <vt:i4>48</vt:i4>
      </vt:variant>
      <vt:variant>
        <vt:i4>0</vt:i4>
      </vt:variant>
      <vt:variant>
        <vt:i4>5</vt:i4>
      </vt:variant>
      <vt:variant>
        <vt:lpwstr>http://www.nevo.co.il/case/5611948</vt:lpwstr>
      </vt:variant>
      <vt:variant>
        <vt:lpwstr/>
      </vt:variant>
      <vt:variant>
        <vt:i4>3145849</vt:i4>
      </vt:variant>
      <vt:variant>
        <vt:i4>45</vt:i4>
      </vt:variant>
      <vt:variant>
        <vt:i4>0</vt:i4>
      </vt:variant>
      <vt:variant>
        <vt:i4>5</vt:i4>
      </vt:variant>
      <vt:variant>
        <vt:lpwstr>http://www.nevo.co.il/case/5608134</vt:lpwstr>
      </vt:variant>
      <vt:variant>
        <vt:lpwstr/>
      </vt:variant>
      <vt:variant>
        <vt:i4>3276916</vt:i4>
      </vt:variant>
      <vt:variant>
        <vt:i4>42</vt:i4>
      </vt:variant>
      <vt:variant>
        <vt:i4>0</vt:i4>
      </vt:variant>
      <vt:variant>
        <vt:i4>5</vt:i4>
      </vt:variant>
      <vt:variant>
        <vt:lpwstr>http://www.nevo.co.il/case/5810781</vt:lpwstr>
      </vt:variant>
      <vt:variant>
        <vt:lpwstr/>
      </vt:variant>
      <vt:variant>
        <vt:i4>7929957</vt:i4>
      </vt:variant>
      <vt:variant>
        <vt:i4>39</vt:i4>
      </vt:variant>
      <vt:variant>
        <vt:i4>0</vt:i4>
      </vt:variant>
      <vt:variant>
        <vt:i4>5</vt:i4>
      </vt:variant>
      <vt:variant>
        <vt:lpwstr>http://www.nevo.co.il/law/74274</vt:lpwstr>
      </vt:variant>
      <vt:variant>
        <vt:lpwstr/>
      </vt:variant>
      <vt:variant>
        <vt:i4>8257637</vt:i4>
      </vt:variant>
      <vt:variant>
        <vt:i4>36</vt:i4>
      </vt:variant>
      <vt:variant>
        <vt:i4>0</vt:i4>
      </vt:variant>
      <vt:variant>
        <vt:i4>5</vt:i4>
      </vt:variant>
      <vt:variant>
        <vt:lpwstr>http://www.nevo.co.il/law/4216</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6488160</vt:i4>
      </vt:variant>
      <vt:variant>
        <vt:i4>27</vt:i4>
      </vt:variant>
      <vt:variant>
        <vt:i4>0</vt:i4>
      </vt:variant>
      <vt:variant>
        <vt:i4>5</vt:i4>
      </vt:variant>
      <vt:variant>
        <vt:lpwstr>http://www.nevo.co.il/law/74274/15b</vt:lpwstr>
      </vt:variant>
      <vt:variant>
        <vt:lpwstr/>
      </vt:variant>
      <vt:variant>
        <vt:i4>7929957</vt:i4>
      </vt:variant>
      <vt:variant>
        <vt:i4>24</vt:i4>
      </vt:variant>
      <vt:variant>
        <vt:i4>0</vt:i4>
      </vt:variant>
      <vt:variant>
        <vt:i4>5</vt:i4>
      </vt:variant>
      <vt:variant>
        <vt:lpwstr>http://www.nevo.co.il/law/74274</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8257637</vt:i4>
      </vt:variant>
      <vt:variant>
        <vt:i4>15</vt:i4>
      </vt:variant>
      <vt:variant>
        <vt:i4>0</vt:i4>
      </vt:variant>
      <vt:variant>
        <vt:i4>5</vt:i4>
      </vt:variant>
      <vt:variant>
        <vt:lpwstr>http://www.nevo.co.il/law/4216</vt:lpwstr>
      </vt:variant>
      <vt:variant>
        <vt:lpwstr/>
      </vt:variant>
      <vt:variant>
        <vt:i4>6488160</vt:i4>
      </vt:variant>
      <vt:variant>
        <vt:i4>12</vt:i4>
      </vt:variant>
      <vt:variant>
        <vt:i4>0</vt:i4>
      </vt:variant>
      <vt:variant>
        <vt:i4>5</vt:i4>
      </vt:variant>
      <vt:variant>
        <vt:lpwstr>http://www.nevo.co.il/law/74274/15b</vt:lpwstr>
      </vt:variant>
      <vt:variant>
        <vt:lpwstr/>
      </vt:variant>
      <vt:variant>
        <vt:i4>7929957</vt:i4>
      </vt:variant>
      <vt:variant>
        <vt:i4>9</vt:i4>
      </vt:variant>
      <vt:variant>
        <vt:i4>0</vt:i4>
      </vt:variant>
      <vt:variant>
        <vt:i4>5</vt:i4>
      </vt:variant>
      <vt:variant>
        <vt:lpwstr>http://www.nevo.co.il/law/74274</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2025-04-22T23:49:00Z</dcterms:created>
  <dcterms:modified xsi:type="dcterms:W3CDTF">2025-04-22T23:49:00Z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49033</vt:lpwstr>
  </property>
  <property fmtid="{D5CDD505-2E9C-101B-9397-08002B2CF9AE}" pid="6" name="NEWPARTB">
    <vt:lpwstr>06</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סהר אתירם</vt:lpwstr>
  </property>
  <property fmtid="{D5CDD505-2E9C-101B-9397-08002B2CF9AE}" pid="10" name="LAWYER">
    <vt:lpwstr>שירלי ברזילי;דפנה קרפל ;שלומי ביזק</vt:lpwstr>
  </property>
  <property fmtid="{D5CDD505-2E9C-101B-9397-08002B2CF9AE}" pid="11" name="JUDGE">
    <vt:lpwstr>אפרת פינק</vt:lpwstr>
  </property>
  <property fmtid="{D5CDD505-2E9C-101B-9397-08002B2CF9AE}" pid="12" name="CITY">
    <vt:lpwstr>רח'</vt:lpwstr>
  </property>
  <property fmtid="{D5CDD505-2E9C-101B-9397-08002B2CF9AE}" pid="13" name="DATE">
    <vt:lpwstr>20190320</vt:lpwstr>
  </property>
  <property fmtid="{D5CDD505-2E9C-101B-9397-08002B2CF9AE}" pid="14" name="TYPE_N_DATE">
    <vt:lpwstr>38020190320</vt:lpwstr>
  </property>
  <property fmtid="{D5CDD505-2E9C-101B-9397-08002B2CF9AE}" pid="15" name="WORDNUMPAGES">
    <vt:lpwstr>5</vt:lpwstr>
  </property>
  <property fmtid="{D5CDD505-2E9C-101B-9397-08002B2CF9AE}" pid="16" name="TYPE_ABS_DATE">
    <vt:lpwstr>380020190320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5810781;5608134;5611948;5993495;6161385;16900367;22112448;11226498;16886127;4427215;23158178;20632055;5633505</vt:lpwstr>
  </property>
  <property fmtid="{D5CDD505-2E9C-101B-9397-08002B2CF9AE}" pid="36" name="LAWLISTTMP1">
    <vt:lpwstr>4216/007.a;007.c</vt:lpwstr>
  </property>
  <property fmtid="{D5CDD505-2E9C-101B-9397-08002B2CF9AE}" pid="37" name="LAWLISTTMP2">
    <vt:lpwstr>74274/015b</vt:lpwstr>
  </property>
</Properties>
</file>