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BF4738" w:rsidRPr="00287F4C" w14:paraId="40637963" w14:textId="77777777" w:rsidTr="007009B1">
        <w:trPr>
          <w:trHeight w:hRule="exact" w:val="418"/>
          <w:jc w:val="center"/>
        </w:trPr>
        <w:tc>
          <w:tcPr>
            <w:tcW w:w="8523" w:type="dxa"/>
            <w:gridSpan w:val="2"/>
          </w:tcPr>
          <w:p w14:paraId="73207CDF" w14:textId="77777777" w:rsidR="00BF4738" w:rsidRPr="00287F4C" w:rsidRDefault="00BF4738" w:rsidP="00801118">
            <w:pPr>
              <w:pStyle w:val="a3"/>
              <w:jc w:val="center"/>
              <w:rPr>
                <w:rFonts w:ascii="Tahoma" w:hAnsi="Tahoma"/>
                <w:color w:val="000080"/>
                <w:sz w:val="32"/>
                <w:szCs w:val="32"/>
                <w:rtl/>
              </w:rPr>
            </w:pPr>
            <w:bookmarkStart w:id="0" w:name="LastJudge"/>
            <w:r w:rsidRPr="00287F4C">
              <w:rPr>
                <w:rFonts w:ascii="Tahoma" w:hAnsi="Tahoma"/>
                <w:b/>
                <w:bCs/>
                <w:color w:val="000080"/>
                <w:sz w:val="32"/>
                <w:szCs w:val="32"/>
                <w:rtl/>
              </w:rPr>
              <w:t>בית משפט השלום בתל אביב - יפו</w:t>
            </w:r>
          </w:p>
        </w:tc>
      </w:tr>
      <w:tr w:rsidR="00BF4738" w:rsidRPr="00287F4C" w14:paraId="033B9D8F" w14:textId="77777777" w:rsidTr="007009B1">
        <w:trPr>
          <w:trHeight w:val="337"/>
          <w:jc w:val="center"/>
        </w:trPr>
        <w:tc>
          <w:tcPr>
            <w:tcW w:w="4945" w:type="dxa"/>
          </w:tcPr>
          <w:p w14:paraId="4334A6E7" w14:textId="77777777" w:rsidR="00BF4738" w:rsidRPr="00287F4C" w:rsidRDefault="00BF4738" w:rsidP="00801118">
            <w:pPr>
              <w:rPr>
                <w:sz w:val="26"/>
                <w:szCs w:val="26"/>
                <w:rtl/>
              </w:rPr>
            </w:pPr>
            <w:r w:rsidRPr="00287F4C">
              <w:rPr>
                <w:sz w:val="26"/>
                <w:szCs w:val="26"/>
                <w:rtl/>
              </w:rPr>
              <w:t>ת"פ</w:t>
            </w:r>
            <w:r w:rsidRPr="00287F4C">
              <w:rPr>
                <w:rFonts w:hint="cs"/>
                <w:sz w:val="26"/>
                <w:szCs w:val="26"/>
                <w:rtl/>
              </w:rPr>
              <w:t xml:space="preserve"> </w:t>
            </w:r>
            <w:r w:rsidRPr="00287F4C">
              <w:rPr>
                <w:sz w:val="26"/>
                <w:szCs w:val="26"/>
                <w:rtl/>
              </w:rPr>
              <w:t>62497-06-18</w:t>
            </w:r>
            <w:r w:rsidRPr="00287F4C">
              <w:rPr>
                <w:rFonts w:hint="cs"/>
                <w:sz w:val="26"/>
                <w:szCs w:val="26"/>
                <w:rtl/>
              </w:rPr>
              <w:t xml:space="preserve"> </w:t>
            </w:r>
            <w:r w:rsidRPr="00287F4C">
              <w:rPr>
                <w:sz w:val="26"/>
                <w:szCs w:val="26"/>
                <w:rtl/>
              </w:rPr>
              <w:t>מדינת ישראל נ' דיקוי</w:t>
            </w:r>
          </w:p>
        </w:tc>
        <w:tc>
          <w:tcPr>
            <w:tcW w:w="3578" w:type="dxa"/>
          </w:tcPr>
          <w:p w14:paraId="55F3C0E3" w14:textId="77777777" w:rsidR="00BF4738" w:rsidRPr="00287F4C" w:rsidRDefault="00BF4738" w:rsidP="00801118">
            <w:pPr>
              <w:pStyle w:val="a3"/>
              <w:jc w:val="right"/>
              <w:rPr>
                <w:rFonts w:cs="FrankRuehl"/>
                <w:sz w:val="28"/>
                <w:szCs w:val="28"/>
                <w:rtl/>
              </w:rPr>
            </w:pPr>
          </w:p>
        </w:tc>
      </w:tr>
    </w:tbl>
    <w:p w14:paraId="2118294E" w14:textId="77777777" w:rsidR="00BF4738" w:rsidRPr="00287F4C" w:rsidRDefault="00BF4738" w:rsidP="00BF4738">
      <w:pPr>
        <w:pStyle w:val="a3"/>
        <w:rPr>
          <w:rtl/>
        </w:rPr>
      </w:pPr>
      <w:r w:rsidRPr="00287F4C">
        <w:rPr>
          <w:rFonts w:hint="cs"/>
          <w:rtl/>
        </w:rPr>
        <w:t xml:space="preserve"> </w:t>
      </w:r>
    </w:p>
    <w:p w14:paraId="36F54B36" w14:textId="77777777" w:rsidR="00BF4738" w:rsidRPr="00287F4C" w:rsidRDefault="00BF4738" w:rsidP="00BF4738">
      <w:pPr>
        <w:rPr>
          <w:rFonts w:ascii="David" w:hAnsi="David"/>
          <w:rtl/>
        </w:rPr>
      </w:pPr>
    </w:p>
    <w:p w14:paraId="7B533818" w14:textId="77777777" w:rsidR="00BF4738" w:rsidRPr="00287F4C" w:rsidRDefault="00BF4738" w:rsidP="00BF4738">
      <w:pPr>
        <w:rPr>
          <w:rFonts w:ascii="David" w:hAnsi="David"/>
          <w:rtl/>
        </w:rPr>
      </w:pPr>
      <w:r w:rsidRPr="00287F4C">
        <w:rPr>
          <w:rFonts w:ascii="David" w:hAnsi="David"/>
          <w:rtl/>
        </w:rPr>
        <w:t>ח</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4263"/>
        <w:gridCol w:w="3437"/>
      </w:tblGrid>
      <w:tr w:rsidR="00BF4738" w:rsidRPr="00287F4C" w14:paraId="75452A95" w14:textId="77777777" w:rsidTr="00BF4738">
        <w:trPr>
          <w:trHeight w:val="295"/>
          <w:jc w:val="center"/>
        </w:trPr>
        <w:tc>
          <w:tcPr>
            <w:tcW w:w="8820" w:type="dxa"/>
            <w:gridSpan w:val="3"/>
            <w:tcBorders>
              <w:top w:val="nil"/>
              <w:left w:val="nil"/>
              <w:bottom w:val="nil"/>
              <w:right w:val="nil"/>
            </w:tcBorders>
            <w:shd w:val="clear" w:color="auto" w:fill="auto"/>
          </w:tcPr>
          <w:p w14:paraId="429BFCFC" w14:textId="77777777" w:rsidR="00BF4738" w:rsidRPr="00287F4C" w:rsidRDefault="00BF4738" w:rsidP="00BF4738">
            <w:pPr>
              <w:jc w:val="both"/>
              <w:rPr>
                <w:rFonts w:ascii="David" w:hAnsi="David"/>
                <w:b/>
                <w:bCs/>
              </w:rPr>
            </w:pPr>
            <w:r w:rsidRPr="00287F4C">
              <w:rPr>
                <w:rFonts w:ascii="David" w:hAnsi="David"/>
                <w:b/>
                <w:bCs/>
                <w:rtl/>
              </w:rPr>
              <w:t>לפני כבוד השופט  איתן קורנהאוזר</w:t>
            </w:r>
          </w:p>
        </w:tc>
      </w:tr>
      <w:tr w:rsidR="00BF4738" w:rsidRPr="00287F4C" w14:paraId="78553274" w14:textId="77777777" w:rsidTr="00BF4738">
        <w:trPr>
          <w:trHeight w:val="355"/>
          <w:jc w:val="center"/>
        </w:trPr>
        <w:tc>
          <w:tcPr>
            <w:tcW w:w="885" w:type="dxa"/>
            <w:tcBorders>
              <w:top w:val="nil"/>
              <w:left w:val="nil"/>
              <w:bottom w:val="nil"/>
              <w:right w:val="nil"/>
            </w:tcBorders>
            <w:shd w:val="clear" w:color="auto" w:fill="auto"/>
          </w:tcPr>
          <w:p w14:paraId="797F8A90" w14:textId="77777777" w:rsidR="00BF4738" w:rsidRPr="00287F4C" w:rsidRDefault="00BF4738" w:rsidP="00BF4738">
            <w:pPr>
              <w:jc w:val="both"/>
              <w:rPr>
                <w:rFonts w:ascii="David" w:hAnsi="David"/>
                <w:b/>
                <w:bCs/>
              </w:rPr>
            </w:pPr>
            <w:bookmarkStart w:id="1" w:name="FirstAppellant"/>
            <w:bookmarkStart w:id="2" w:name="FirstLawyer"/>
            <w:r w:rsidRPr="00287F4C">
              <w:rPr>
                <w:rFonts w:ascii="David" w:hAnsi="David"/>
                <w:rtl/>
              </w:rPr>
              <w:t>המאשימה</w:t>
            </w:r>
          </w:p>
        </w:tc>
        <w:tc>
          <w:tcPr>
            <w:tcW w:w="4384" w:type="dxa"/>
            <w:tcBorders>
              <w:top w:val="nil"/>
              <w:left w:val="nil"/>
              <w:bottom w:val="nil"/>
              <w:right w:val="nil"/>
            </w:tcBorders>
            <w:shd w:val="clear" w:color="auto" w:fill="auto"/>
          </w:tcPr>
          <w:p w14:paraId="2CF3C102" w14:textId="77777777" w:rsidR="00BF4738" w:rsidRPr="00287F4C" w:rsidRDefault="00BF4738" w:rsidP="00801118">
            <w:pPr>
              <w:rPr>
                <w:rFonts w:ascii="David" w:hAnsi="David"/>
                <w:rtl/>
              </w:rPr>
            </w:pPr>
            <w:r w:rsidRPr="00287F4C">
              <w:rPr>
                <w:rFonts w:ascii="David" w:hAnsi="David"/>
                <w:rtl/>
              </w:rPr>
              <w:t>מדינת ישראל</w:t>
            </w:r>
          </w:p>
          <w:p w14:paraId="1E402599" w14:textId="77777777" w:rsidR="00BF4738" w:rsidRPr="00287F4C" w:rsidRDefault="00BF4738" w:rsidP="00801118">
            <w:pPr>
              <w:rPr>
                <w:rFonts w:ascii="David" w:hAnsi="David"/>
              </w:rPr>
            </w:pPr>
            <w:r w:rsidRPr="00287F4C">
              <w:rPr>
                <w:rFonts w:ascii="David" w:hAnsi="David"/>
                <w:rtl/>
              </w:rPr>
              <w:t>ע"י ב"כ עו"ד</w:t>
            </w:r>
            <w:r w:rsidRPr="00287F4C">
              <w:rPr>
                <w:rFonts w:ascii="David" w:hAnsi="David" w:hint="cs"/>
                <w:rtl/>
              </w:rPr>
              <w:t xml:space="preserve"> תמרה ולדן מימון</w:t>
            </w:r>
          </w:p>
        </w:tc>
        <w:tc>
          <w:tcPr>
            <w:tcW w:w="3551" w:type="dxa"/>
            <w:tcBorders>
              <w:top w:val="nil"/>
              <w:left w:val="nil"/>
              <w:bottom w:val="nil"/>
              <w:right w:val="nil"/>
            </w:tcBorders>
            <w:shd w:val="clear" w:color="auto" w:fill="auto"/>
          </w:tcPr>
          <w:p w14:paraId="1DEF1715" w14:textId="77777777" w:rsidR="00BF4738" w:rsidRPr="00287F4C" w:rsidRDefault="00BF4738" w:rsidP="00BF4738">
            <w:pPr>
              <w:jc w:val="both"/>
              <w:rPr>
                <w:rFonts w:ascii="David" w:hAnsi="David"/>
              </w:rPr>
            </w:pPr>
          </w:p>
        </w:tc>
      </w:tr>
      <w:bookmarkEnd w:id="1"/>
      <w:bookmarkEnd w:id="2"/>
      <w:tr w:rsidR="00BF4738" w:rsidRPr="00287F4C" w14:paraId="5157AFF3" w14:textId="77777777" w:rsidTr="00BF4738">
        <w:trPr>
          <w:trHeight w:val="373"/>
          <w:jc w:val="center"/>
        </w:trPr>
        <w:tc>
          <w:tcPr>
            <w:tcW w:w="885" w:type="dxa"/>
            <w:tcBorders>
              <w:top w:val="nil"/>
              <w:left w:val="nil"/>
              <w:bottom w:val="nil"/>
              <w:right w:val="nil"/>
            </w:tcBorders>
            <w:shd w:val="clear" w:color="auto" w:fill="auto"/>
          </w:tcPr>
          <w:p w14:paraId="777D8453" w14:textId="77777777" w:rsidR="00BF4738" w:rsidRPr="00287F4C" w:rsidRDefault="00BF4738" w:rsidP="00BF4738">
            <w:pPr>
              <w:jc w:val="both"/>
              <w:rPr>
                <w:rFonts w:ascii="David" w:hAnsi="David"/>
                <w:rtl/>
              </w:rPr>
            </w:pPr>
          </w:p>
        </w:tc>
        <w:tc>
          <w:tcPr>
            <w:tcW w:w="7935" w:type="dxa"/>
            <w:gridSpan w:val="2"/>
            <w:tcBorders>
              <w:top w:val="nil"/>
              <w:left w:val="nil"/>
              <w:bottom w:val="nil"/>
              <w:right w:val="nil"/>
            </w:tcBorders>
            <w:shd w:val="clear" w:color="auto" w:fill="auto"/>
          </w:tcPr>
          <w:p w14:paraId="254A4B7B" w14:textId="77777777" w:rsidR="00BF4738" w:rsidRPr="00287F4C" w:rsidRDefault="00BF4738" w:rsidP="00BF4738">
            <w:pPr>
              <w:jc w:val="center"/>
              <w:rPr>
                <w:rFonts w:ascii="David" w:hAnsi="David"/>
                <w:b/>
                <w:bCs/>
                <w:rtl/>
              </w:rPr>
            </w:pPr>
          </w:p>
          <w:p w14:paraId="2E3E73BE" w14:textId="77777777" w:rsidR="00BF4738" w:rsidRPr="00287F4C" w:rsidRDefault="00BF4738" w:rsidP="00BF4738">
            <w:pPr>
              <w:jc w:val="center"/>
              <w:rPr>
                <w:rFonts w:ascii="David" w:hAnsi="David"/>
                <w:b/>
                <w:bCs/>
                <w:rtl/>
              </w:rPr>
            </w:pPr>
            <w:r w:rsidRPr="00287F4C">
              <w:rPr>
                <w:rFonts w:ascii="David" w:hAnsi="David"/>
                <w:b/>
                <w:bCs/>
                <w:rtl/>
              </w:rPr>
              <w:t>נגד</w:t>
            </w:r>
          </w:p>
          <w:p w14:paraId="2CEB137F" w14:textId="77777777" w:rsidR="00BF4738" w:rsidRPr="00287F4C" w:rsidRDefault="00BF4738" w:rsidP="00BF4738">
            <w:pPr>
              <w:jc w:val="both"/>
              <w:rPr>
                <w:rFonts w:ascii="David" w:hAnsi="David"/>
              </w:rPr>
            </w:pPr>
          </w:p>
        </w:tc>
      </w:tr>
      <w:tr w:rsidR="00BF4738" w:rsidRPr="00287F4C" w14:paraId="41BF1171" w14:textId="77777777" w:rsidTr="00BF4738">
        <w:trPr>
          <w:trHeight w:val="355"/>
          <w:jc w:val="center"/>
        </w:trPr>
        <w:tc>
          <w:tcPr>
            <w:tcW w:w="885" w:type="dxa"/>
            <w:tcBorders>
              <w:top w:val="nil"/>
              <w:left w:val="nil"/>
              <w:bottom w:val="nil"/>
              <w:right w:val="nil"/>
            </w:tcBorders>
            <w:shd w:val="clear" w:color="auto" w:fill="auto"/>
          </w:tcPr>
          <w:p w14:paraId="2C05DBB0" w14:textId="77777777" w:rsidR="00BF4738" w:rsidRPr="00287F4C" w:rsidRDefault="00BF4738" w:rsidP="00801118">
            <w:pPr>
              <w:rPr>
                <w:rFonts w:ascii="David" w:hAnsi="David"/>
                <w:rtl/>
              </w:rPr>
            </w:pPr>
            <w:r w:rsidRPr="00287F4C">
              <w:rPr>
                <w:rFonts w:ascii="David" w:hAnsi="David"/>
                <w:rtl/>
              </w:rPr>
              <w:t>הנאשם</w:t>
            </w:r>
          </w:p>
        </w:tc>
        <w:tc>
          <w:tcPr>
            <w:tcW w:w="4384" w:type="dxa"/>
            <w:tcBorders>
              <w:top w:val="nil"/>
              <w:left w:val="nil"/>
              <w:bottom w:val="nil"/>
              <w:right w:val="nil"/>
            </w:tcBorders>
            <w:shd w:val="clear" w:color="auto" w:fill="auto"/>
          </w:tcPr>
          <w:p w14:paraId="77C9C3AE" w14:textId="77777777" w:rsidR="00BF4738" w:rsidRPr="00287F4C" w:rsidRDefault="00BF4738" w:rsidP="00801118">
            <w:pPr>
              <w:rPr>
                <w:rFonts w:ascii="David" w:hAnsi="David"/>
                <w:rtl/>
              </w:rPr>
            </w:pPr>
            <w:r w:rsidRPr="00287F4C">
              <w:rPr>
                <w:rFonts w:ascii="David" w:hAnsi="David"/>
                <w:rtl/>
              </w:rPr>
              <w:t>דמיטרי דיקוי</w:t>
            </w:r>
          </w:p>
          <w:p w14:paraId="1264D4C3" w14:textId="77777777" w:rsidR="00BF4738" w:rsidRPr="00287F4C" w:rsidRDefault="00BF4738" w:rsidP="00801118">
            <w:pPr>
              <w:rPr>
                <w:rFonts w:ascii="David" w:hAnsi="David"/>
                <w:rtl/>
              </w:rPr>
            </w:pPr>
            <w:r w:rsidRPr="00287F4C">
              <w:rPr>
                <w:rFonts w:ascii="David" w:hAnsi="David"/>
                <w:rtl/>
              </w:rPr>
              <w:t>ע"י ב"כ עו"ד</w:t>
            </w:r>
            <w:r w:rsidRPr="00287F4C">
              <w:rPr>
                <w:rFonts w:ascii="David" w:hAnsi="David" w:hint="cs"/>
                <w:rtl/>
              </w:rPr>
              <w:t xml:space="preserve"> ניר אלפסה</w:t>
            </w:r>
          </w:p>
        </w:tc>
        <w:tc>
          <w:tcPr>
            <w:tcW w:w="3551" w:type="dxa"/>
            <w:tcBorders>
              <w:top w:val="nil"/>
              <w:left w:val="nil"/>
              <w:bottom w:val="nil"/>
              <w:right w:val="nil"/>
            </w:tcBorders>
            <w:shd w:val="clear" w:color="auto" w:fill="auto"/>
          </w:tcPr>
          <w:p w14:paraId="4142FBB4" w14:textId="77777777" w:rsidR="00BF4738" w:rsidRPr="00287F4C" w:rsidRDefault="00BF4738" w:rsidP="00BF4738">
            <w:pPr>
              <w:jc w:val="right"/>
              <w:rPr>
                <w:rFonts w:ascii="David" w:hAnsi="David"/>
              </w:rPr>
            </w:pPr>
          </w:p>
        </w:tc>
      </w:tr>
    </w:tbl>
    <w:p w14:paraId="5A0CE8DA" w14:textId="77777777" w:rsidR="007009B1" w:rsidRPr="007009B1" w:rsidRDefault="007009B1" w:rsidP="007009B1">
      <w:pPr>
        <w:spacing w:before="120" w:after="120" w:line="240" w:lineRule="exact"/>
        <w:ind w:left="283" w:hanging="283"/>
        <w:jc w:val="both"/>
        <w:rPr>
          <w:rFonts w:ascii="FrankRuehl" w:hAnsi="FrankRuehl" w:cs="FrankRuehl"/>
          <w:rtl/>
        </w:rPr>
      </w:pPr>
    </w:p>
    <w:p w14:paraId="3C4DD401" w14:textId="77777777" w:rsidR="00B72810" w:rsidRPr="00B72810" w:rsidRDefault="00B72810" w:rsidP="00B72810">
      <w:pPr>
        <w:spacing w:before="120" w:after="120" w:line="240" w:lineRule="exact"/>
        <w:ind w:left="283" w:hanging="283"/>
        <w:jc w:val="both"/>
        <w:rPr>
          <w:rFonts w:ascii="FrankRuehl" w:hAnsi="FrankRuehl" w:cs="FrankRuehl"/>
          <w:rtl/>
        </w:rPr>
      </w:pPr>
    </w:p>
    <w:p w14:paraId="10CAF7EB" w14:textId="77777777" w:rsidR="00FD4F72" w:rsidRDefault="00FD4F72" w:rsidP="00FD4F72">
      <w:pPr>
        <w:rPr>
          <w:rFonts w:ascii="David" w:hAnsi="David"/>
          <w:rtl/>
        </w:rPr>
      </w:pPr>
      <w:bookmarkStart w:id="3" w:name="LawTable"/>
      <w:bookmarkEnd w:id="3"/>
    </w:p>
    <w:p w14:paraId="5595A5C5" w14:textId="77777777" w:rsidR="00FD4F72" w:rsidRPr="00FD4F72" w:rsidRDefault="00FD4F72" w:rsidP="00FD4F72">
      <w:pPr>
        <w:spacing w:before="120" w:after="120" w:line="240" w:lineRule="exact"/>
        <w:ind w:left="283" w:hanging="283"/>
        <w:jc w:val="both"/>
        <w:rPr>
          <w:rFonts w:ascii="FrankRuehl" w:hAnsi="FrankRuehl" w:cs="FrankRuehl"/>
          <w:rtl/>
        </w:rPr>
      </w:pPr>
    </w:p>
    <w:p w14:paraId="690567A2" w14:textId="77777777" w:rsidR="00FD4F72" w:rsidRPr="00FD4F72" w:rsidRDefault="00FD4F72" w:rsidP="00FD4F72">
      <w:pPr>
        <w:spacing w:before="120" w:after="120" w:line="240" w:lineRule="exact"/>
        <w:ind w:left="283" w:hanging="283"/>
        <w:jc w:val="both"/>
        <w:rPr>
          <w:rFonts w:ascii="FrankRuehl" w:hAnsi="FrankRuehl" w:cs="FrankRuehl"/>
          <w:rtl/>
        </w:rPr>
      </w:pPr>
    </w:p>
    <w:p w14:paraId="0F658F5E" w14:textId="77777777" w:rsidR="00FD4F72" w:rsidRPr="00FD4F72" w:rsidRDefault="00FD4F72" w:rsidP="00FD4F72">
      <w:pPr>
        <w:spacing w:before="120" w:after="120" w:line="240" w:lineRule="exact"/>
        <w:ind w:left="283" w:hanging="283"/>
        <w:jc w:val="both"/>
        <w:rPr>
          <w:rFonts w:ascii="FrankRuehl" w:hAnsi="FrankRuehl" w:cs="FrankRuehl"/>
          <w:rtl/>
        </w:rPr>
      </w:pPr>
      <w:r w:rsidRPr="00FD4F72">
        <w:rPr>
          <w:rFonts w:ascii="FrankRuehl" w:hAnsi="FrankRuehl" w:cs="FrankRuehl"/>
          <w:rtl/>
        </w:rPr>
        <w:t xml:space="preserve">חקיקה שאוזכרה: </w:t>
      </w:r>
    </w:p>
    <w:p w14:paraId="4639B0A3" w14:textId="77777777" w:rsidR="00FD4F72" w:rsidRPr="00FD4F72" w:rsidRDefault="00FD4F72" w:rsidP="00FD4F72">
      <w:pPr>
        <w:spacing w:before="120" w:after="120" w:line="240" w:lineRule="exact"/>
        <w:ind w:left="283" w:hanging="283"/>
        <w:jc w:val="both"/>
        <w:rPr>
          <w:rFonts w:ascii="FrankRuehl" w:hAnsi="FrankRuehl" w:cs="FrankRuehl"/>
          <w:rtl/>
        </w:rPr>
      </w:pPr>
      <w:hyperlink r:id="rId7" w:history="1">
        <w:r w:rsidRPr="00FD4F72">
          <w:rPr>
            <w:rFonts w:ascii="FrankRuehl" w:hAnsi="FrankRuehl" w:cs="FrankRuehl"/>
            <w:color w:val="0000FF"/>
            <w:rtl/>
          </w:rPr>
          <w:t>פקודת הסמים המסוכנים [נוסח חדש], תשל"ג-1973</w:t>
        </w:r>
      </w:hyperlink>
      <w:r w:rsidRPr="00FD4F72">
        <w:rPr>
          <w:rFonts w:ascii="FrankRuehl" w:hAnsi="FrankRuehl" w:cs="FrankRuehl"/>
          <w:rtl/>
        </w:rPr>
        <w:t xml:space="preserve">: סע'  </w:t>
      </w:r>
      <w:hyperlink r:id="rId8" w:history="1">
        <w:r w:rsidRPr="00FD4F72">
          <w:rPr>
            <w:rFonts w:ascii="FrankRuehl" w:hAnsi="FrankRuehl" w:cs="FrankRuehl"/>
            <w:color w:val="0000FF"/>
            <w:rtl/>
          </w:rPr>
          <w:t>7(א)</w:t>
        </w:r>
      </w:hyperlink>
      <w:r w:rsidRPr="00FD4F72">
        <w:rPr>
          <w:rFonts w:ascii="FrankRuehl" w:hAnsi="FrankRuehl" w:cs="FrankRuehl"/>
          <w:rtl/>
        </w:rPr>
        <w:t xml:space="preserve">, </w:t>
      </w:r>
      <w:hyperlink r:id="rId9" w:history="1">
        <w:r w:rsidRPr="00FD4F72">
          <w:rPr>
            <w:rFonts w:ascii="FrankRuehl" w:hAnsi="FrankRuehl" w:cs="FrankRuehl"/>
            <w:color w:val="0000FF"/>
            <w:rtl/>
          </w:rPr>
          <w:t>7(ג)</w:t>
        </w:r>
      </w:hyperlink>
    </w:p>
    <w:p w14:paraId="2E3A2C7E" w14:textId="77777777" w:rsidR="00FD4F72" w:rsidRPr="00FD4F72" w:rsidRDefault="00FD4F72" w:rsidP="00FD4F72">
      <w:pPr>
        <w:spacing w:before="120" w:after="120" w:line="240" w:lineRule="exact"/>
        <w:ind w:left="283" w:hanging="283"/>
        <w:jc w:val="both"/>
        <w:rPr>
          <w:rFonts w:ascii="FrankRuehl" w:hAnsi="FrankRuehl" w:cs="FrankRuehl"/>
          <w:rtl/>
        </w:rPr>
      </w:pPr>
      <w:hyperlink r:id="rId10" w:history="1">
        <w:r w:rsidRPr="00FD4F72">
          <w:rPr>
            <w:rFonts w:ascii="FrankRuehl" w:hAnsi="FrankRuehl" w:cs="FrankRuehl"/>
            <w:color w:val="0000FF"/>
            <w:rtl/>
          </w:rPr>
          <w:t>חוק העונשין, תשל"ז-1977</w:t>
        </w:r>
      </w:hyperlink>
    </w:p>
    <w:p w14:paraId="08C997FF" w14:textId="77777777" w:rsidR="00FD4F72" w:rsidRPr="00FD4F72" w:rsidRDefault="00FD4F72" w:rsidP="00FD4F72">
      <w:pPr>
        <w:spacing w:before="120" w:after="120" w:line="240" w:lineRule="exact"/>
        <w:ind w:left="283" w:hanging="283"/>
        <w:jc w:val="both"/>
        <w:rPr>
          <w:rFonts w:ascii="FrankRuehl" w:hAnsi="FrankRuehl" w:cs="FrankRuehl"/>
          <w:rtl/>
        </w:rPr>
      </w:pPr>
      <w:hyperlink r:id="rId11" w:history="1">
        <w:r w:rsidRPr="00FD4F72">
          <w:rPr>
            <w:rFonts w:ascii="FrankRuehl" w:hAnsi="FrankRuehl" w:cs="FrankRuehl"/>
            <w:color w:val="0000FF"/>
            <w:rtl/>
          </w:rPr>
          <w:t>חוק לשכת עורכי הדין, תשכ"א-1961</w:t>
        </w:r>
      </w:hyperlink>
      <w:r w:rsidRPr="00FD4F72">
        <w:rPr>
          <w:rFonts w:ascii="FrankRuehl" w:hAnsi="FrankRuehl" w:cs="FrankRuehl"/>
          <w:rtl/>
        </w:rPr>
        <w:t xml:space="preserve">: סע'  </w:t>
      </w:r>
      <w:hyperlink r:id="rId12" w:history="1">
        <w:r w:rsidRPr="00FD4F72">
          <w:rPr>
            <w:rFonts w:ascii="FrankRuehl" w:hAnsi="FrankRuehl" w:cs="FrankRuehl"/>
            <w:color w:val="0000FF"/>
            <w:rtl/>
          </w:rPr>
          <w:t>44</w:t>
        </w:r>
      </w:hyperlink>
      <w:r w:rsidRPr="00FD4F72">
        <w:rPr>
          <w:rFonts w:ascii="FrankRuehl" w:hAnsi="FrankRuehl" w:cs="FrankRuehl"/>
          <w:rtl/>
        </w:rPr>
        <w:t xml:space="preserve">, </w:t>
      </w:r>
      <w:hyperlink r:id="rId13" w:history="1">
        <w:r w:rsidRPr="00FD4F72">
          <w:rPr>
            <w:rFonts w:ascii="FrankRuehl" w:hAnsi="FrankRuehl" w:cs="FrankRuehl"/>
            <w:color w:val="0000FF"/>
            <w:rtl/>
          </w:rPr>
          <w:t>44(א)(1)</w:t>
        </w:r>
      </w:hyperlink>
    </w:p>
    <w:p w14:paraId="38D8CA49" w14:textId="77777777" w:rsidR="00FD4F72" w:rsidRPr="00FD4F72" w:rsidRDefault="00FD4F72" w:rsidP="00FD4F72">
      <w:pPr>
        <w:rPr>
          <w:rFonts w:ascii="David" w:hAnsi="David"/>
          <w:rtl/>
        </w:rPr>
      </w:pPr>
      <w:bookmarkStart w:id="4" w:name="LawTable_End"/>
      <w:bookmarkEnd w:id="4"/>
    </w:p>
    <w:p w14:paraId="6FD51248" w14:textId="77777777" w:rsidR="00BF4738" w:rsidRPr="00B72810" w:rsidRDefault="00BF4738" w:rsidP="00B72810">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4738" w:rsidRPr="000D223A" w14:paraId="741BB293" w14:textId="77777777" w:rsidTr="00BF4738">
        <w:trPr>
          <w:trHeight w:val="355"/>
          <w:jc w:val="center"/>
        </w:trPr>
        <w:tc>
          <w:tcPr>
            <w:tcW w:w="8820" w:type="dxa"/>
            <w:tcBorders>
              <w:top w:val="nil"/>
              <w:left w:val="nil"/>
              <w:bottom w:val="nil"/>
              <w:right w:val="nil"/>
            </w:tcBorders>
            <w:shd w:val="clear" w:color="auto" w:fill="auto"/>
          </w:tcPr>
          <w:p w14:paraId="5C2B4419" w14:textId="77777777" w:rsidR="00287F4C" w:rsidRPr="00287F4C" w:rsidRDefault="00287F4C" w:rsidP="00287F4C">
            <w:pPr>
              <w:jc w:val="center"/>
              <w:rPr>
                <w:rFonts w:ascii="David" w:hAnsi="David"/>
                <w:b/>
                <w:bCs/>
                <w:rtl/>
              </w:rPr>
            </w:pPr>
            <w:bookmarkStart w:id="5" w:name="PsakDin" w:colFirst="0" w:colLast="0"/>
            <w:bookmarkEnd w:id="0"/>
            <w:r w:rsidRPr="00287F4C">
              <w:rPr>
                <w:rFonts w:ascii="David" w:hAnsi="David"/>
                <w:b/>
                <w:bCs/>
                <w:rtl/>
              </w:rPr>
              <w:t>גזר דין</w:t>
            </w:r>
          </w:p>
          <w:p w14:paraId="02E05B50" w14:textId="77777777" w:rsidR="00BF4738" w:rsidRPr="00287F4C" w:rsidRDefault="00BF4738" w:rsidP="00287F4C">
            <w:pPr>
              <w:jc w:val="center"/>
              <w:rPr>
                <w:rFonts w:ascii="David" w:hAnsi="David"/>
                <w:bCs/>
                <w:rtl/>
              </w:rPr>
            </w:pPr>
          </w:p>
        </w:tc>
      </w:tr>
      <w:bookmarkEnd w:id="5"/>
    </w:tbl>
    <w:p w14:paraId="659E992E" w14:textId="77777777" w:rsidR="00BF4738" w:rsidRPr="000D223A" w:rsidRDefault="00BF4738" w:rsidP="00BF4738">
      <w:pPr>
        <w:rPr>
          <w:rFonts w:ascii="David" w:hAnsi="David"/>
          <w:rtl/>
        </w:rPr>
      </w:pPr>
    </w:p>
    <w:p w14:paraId="10675A26" w14:textId="77777777" w:rsidR="00BF4738" w:rsidRPr="005E05F7" w:rsidRDefault="00BF4738" w:rsidP="00BF4738">
      <w:pPr>
        <w:spacing w:line="360" w:lineRule="auto"/>
        <w:jc w:val="both"/>
        <w:rPr>
          <w:rFonts w:ascii="David" w:hAnsi="David"/>
          <w:b/>
          <w:bCs/>
          <w:u w:val="single"/>
        </w:rPr>
      </w:pPr>
      <w:r w:rsidRPr="005E05F7">
        <w:rPr>
          <w:rFonts w:ascii="David" w:hAnsi="David"/>
          <w:b/>
          <w:bCs/>
          <w:u w:val="single"/>
          <w:rtl/>
        </w:rPr>
        <w:t>רקע</w:t>
      </w:r>
    </w:p>
    <w:p w14:paraId="67FA0E83" w14:textId="77777777" w:rsidR="00BF4738" w:rsidRPr="000D223A" w:rsidRDefault="00BF4738" w:rsidP="00BF4738">
      <w:pPr>
        <w:pStyle w:val="a9"/>
        <w:numPr>
          <w:ilvl w:val="0"/>
          <w:numId w:val="1"/>
        </w:numPr>
        <w:spacing w:line="360" w:lineRule="auto"/>
        <w:jc w:val="both"/>
        <w:rPr>
          <w:rFonts w:ascii="David" w:hAnsi="David" w:cs="David"/>
          <w:sz w:val="24"/>
          <w:szCs w:val="24"/>
          <w:rtl/>
        </w:rPr>
      </w:pPr>
      <w:bookmarkStart w:id="6" w:name="ABSTRACT_START"/>
      <w:bookmarkEnd w:id="6"/>
      <w:r w:rsidRPr="000D223A">
        <w:rPr>
          <w:rFonts w:ascii="David" w:hAnsi="David" w:cs="David"/>
          <w:sz w:val="24"/>
          <w:szCs w:val="24"/>
          <w:rtl/>
        </w:rPr>
        <w:t xml:space="preserve">הנאשם הורשע על יסוד הודאתו בכתב אישום מתוקן, בעבירת החזקת סם שלא לצריכתו העצמית, לפי </w:t>
      </w:r>
      <w:hyperlink r:id="rId14" w:history="1">
        <w:r w:rsidR="007009B1" w:rsidRPr="007009B1">
          <w:rPr>
            <w:rStyle w:val="Hyperlink"/>
            <w:rFonts w:ascii="David" w:hAnsi="David" w:cs="David"/>
            <w:sz w:val="24"/>
            <w:szCs w:val="24"/>
            <w:rtl/>
          </w:rPr>
          <w:t>סעיף 7(א)</w:t>
        </w:r>
      </w:hyperlink>
      <w:r w:rsidRPr="000D223A">
        <w:rPr>
          <w:rFonts w:ascii="David" w:hAnsi="David" w:cs="David"/>
          <w:sz w:val="24"/>
          <w:szCs w:val="24"/>
          <w:rtl/>
        </w:rPr>
        <w:t xml:space="preserve"> ו-</w:t>
      </w:r>
      <w:hyperlink r:id="rId15" w:history="1">
        <w:r w:rsidR="007009B1" w:rsidRPr="007009B1">
          <w:rPr>
            <w:rStyle w:val="Hyperlink"/>
            <w:rFonts w:ascii="David" w:hAnsi="David" w:cs="David"/>
            <w:sz w:val="24"/>
            <w:szCs w:val="24"/>
            <w:rtl/>
          </w:rPr>
          <w:t>7(ג)</w:t>
        </w:r>
      </w:hyperlink>
      <w:r w:rsidRPr="000D223A">
        <w:rPr>
          <w:rFonts w:ascii="David" w:hAnsi="David" w:cs="David"/>
          <w:sz w:val="24"/>
          <w:szCs w:val="24"/>
          <w:rtl/>
        </w:rPr>
        <w:t xml:space="preserve"> רישא ל</w:t>
      </w:r>
      <w:hyperlink r:id="rId16" w:history="1">
        <w:r w:rsidR="00287F4C" w:rsidRPr="00287F4C">
          <w:rPr>
            <w:rFonts w:ascii="David" w:hAnsi="David" w:cs="David"/>
            <w:color w:val="0000FF"/>
            <w:sz w:val="24"/>
            <w:szCs w:val="24"/>
            <w:u w:val="single"/>
            <w:rtl/>
          </w:rPr>
          <w:t>פקודת הסמים המסוכנים</w:t>
        </w:r>
      </w:hyperlink>
      <w:r w:rsidRPr="000D223A">
        <w:rPr>
          <w:rFonts w:ascii="David" w:hAnsi="David" w:cs="David"/>
          <w:sz w:val="24"/>
          <w:szCs w:val="24"/>
          <w:rtl/>
        </w:rPr>
        <w:t xml:space="preserve"> (נוסח חדש), תשל"ג- 1973 (להלן: "</w:t>
      </w:r>
      <w:r w:rsidRPr="000D223A">
        <w:rPr>
          <w:rFonts w:ascii="David" w:hAnsi="David" w:cs="David"/>
          <w:b/>
          <w:bCs/>
          <w:sz w:val="24"/>
          <w:szCs w:val="24"/>
          <w:rtl/>
        </w:rPr>
        <w:t>פקודת הסמים</w:t>
      </w:r>
      <w:r w:rsidRPr="000D223A">
        <w:rPr>
          <w:rFonts w:ascii="David" w:hAnsi="David" w:cs="David"/>
          <w:sz w:val="24"/>
          <w:szCs w:val="24"/>
          <w:rtl/>
        </w:rPr>
        <w:t>").</w:t>
      </w:r>
    </w:p>
    <w:p w14:paraId="7F0BA5F5" w14:textId="77777777" w:rsidR="00BF4738" w:rsidRPr="000D223A" w:rsidRDefault="00BF4738" w:rsidP="00BF4738">
      <w:pPr>
        <w:pStyle w:val="a9"/>
        <w:spacing w:line="360" w:lineRule="auto"/>
        <w:jc w:val="both"/>
        <w:rPr>
          <w:rFonts w:ascii="David" w:hAnsi="David" w:cs="David"/>
          <w:sz w:val="24"/>
          <w:szCs w:val="24"/>
        </w:rPr>
      </w:pPr>
    </w:p>
    <w:p w14:paraId="7CEA9732" w14:textId="77777777" w:rsidR="00BF4738" w:rsidRPr="000D223A" w:rsidRDefault="00BF4738" w:rsidP="00BF4738">
      <w:pPr>
        <w:pStyle w:val="a9"/>
        <w:spacing w:line="360" w:lineRule="auto"/>
        <w:jc w:val="both"/>
        <w:rPr>
          <w:rFonts w:ascii="David" w:hAnsi="David" w:cs="David"/>
          <w:sz w:val="24"/>
          <w:szCs w:val="24"/>
          <w:rtl/>
        </w:rPr>
      </w:pPr>
      <w:r w:rsidRPr="000D223A">
        <w:rPr>
          <w:rFonts w:ascii="David" w:hAnsi="David" w:cs="David"/>
          <w:sz w:val="24"/>
          <w:szCs w:val="24"/>
          <w:rtl/>
        </w:rPr>
        <w:t>בהתאם לעובדות בהן הורשע, בתאריך 26.7.2017 החזיק הנאשם ב</w:t>
      </w:r>
      <w:r>
        <w:rPr>
          <w:rFonts w:ascii="David" w:hAnsi="David" w:cs="David" w:hint="cs"/>
          <w:sz w:val="24"/>
          <w:szCs w:val="24"/>
          <w:rtl/>
        </w:rPr>
        <w:t>"</w:t>
      </w:r>
      <w:r w:rsidRPr="000D223A">
        <w:rPr>
          <w:rFonts w:ascii="David" w:hAnsi="David" w:cs="David"/>
          <w:sz w:val="24"/>
          <w:szCs w:val="24"/>
          <w:rtl/>
        </w:rPr>
        <w:t>קיוסק</w:t>
      </w:r>
      <w:r>
        <w:rPr>
          <w:rFonts w:ascii="David" w:hAnsi="David" w:cs="David" w:hint="cs"/>
          <w:sz w:val="24"/>
          <w:szCs w:val="24"/>
          <w:rtl/>
        </w:rPr>
        <w:t>"</w:t>
      </w:r>
      <w:r w:rsidRPr="000D223A">
        <w:rPr>
          <w:rFonts w:ascii="David" w:hAnsi="David" w:cs="David"/>
          <w:sz w:val="24"/>
          <w:szCs w:val="24"/>
          <w:rtl/>
        </w:rPr>
        <w:t xml:space="preserve"> אשר בבעלותו בתל אביב ב-90 שקיות של סם מסוכן מסוג </w:t>
      </w:r>
      <w:r w:rsidRPr="000D223A">
        <w:rPr>
          <w:rFonts w:ascii="David" w:hAnsi="David" w:cs="David"/>
          <w:sz w:val="24"/>
          <w:szCs w:val="24"/>
        </w:rPr>
        <w:t>FUB-AMB</w:t>
      </w:r>
      <w:r w:rsidRPr="000D223A">
        <w:rPr>
          <w:rFonts w:ascii="David" w:hAnsi="David" w:cs="David"/>
          <w:sz w:val="24"/>
          <w:szCs w:val="24"/>
          <w:rtl/>
        </w:rPr>
        <w:t xml:space="preserve"> שלא לצריכתו העצמית, ללא היתר כדין או רישיון מאת המנהל.</w:t>
      </w:r>
    </w:p>
    <w:p w14:paraId="4EB74848" w14:textId="77777777" w:rsidR="00BF4738" w:rsidRPr="000D223A" w:rsidRDefault="00BF4738" w:rsidP="00BF4738">
      <w:pPr>
        <w:pStyle w:val="a9"/>
        <w:spacing w:line="360" w:lineRule="auto"/>
        <w:jc w:val="both"/>
        <w:rPr>
          <w:rFonts w:ascii="David" w:hAnsi="David" w:cs="David"/>
          <w:sz w:val="24"/>
          <w:szCs w:val="24"/>
          <w:rtl/>
        </w:rPr>
      </w:pPr>
      <w:bookmarkStart w:id="7" w:name="ABSTRACT_END"/>
      <w:bookmarkEnd w:id="7"/>
    </w:p>
    <w:p w14:paraId="685CDA61" w14:textId="77777777" w:rsidR="00BF4738" w:rsidRPr="000D223A" w:rsidRDefault="00BF4738" w:rsidP="00BF4738">
      <w:pPr>
        <w:pStyle w:val="a9"/>
        <w:numPr>
          <w:ilvl w:val="0"/>
          <w:numId w:val="1"/>
        </w:numPr>
        <w:spacing w:line="360" w:lineRule="auto"/>
        <w:jc w:val="both"/>
        <w:rPr>
          <w:rFonts w:ascii="David" w:hAnsi="David" w:cs="David"/>
          <w:sz w:val="24"/>
          <w:szCs w:val="24"/>
        </w:rPr>
      </w:pPr>
      <w:r w:rsidRPr="000D223A">
        <w:rPr>
          <w:rFonts w:ascii="David" w:hAnsi="David" w:cs="David"/>
          <w:sz w:val="24"/>
          <w:szCs w:val="24"/>
          <w:rtl/>
        </w:rPr>
        <w:t>בטרם נשמעו טיעונים לעונש, התקבל תסקיר שרות המבחן</w:t>
      </w:r>
      <w:r>
        <w:rPr>
          <w:rFonts w:ascii="David" w:hAnsi="David" w:cs="David" w:hint="cs"/>
          <w:sz w:val="24"/>
          <w:szCs w:val="24"/>
          <w:rtl/>
        </w:rPr>
        <w:t>.</w:t>
      </w:r>
      <w:r w:rsidRPr="000D223A">
        <w:rPr>
          <w:rFonts w:ascii="David" w:hAnsi="David" w:cs="David"/>
          <w:sz w:val="24"/>
          <w:szCs w:val="24"/>
          <w:rtl/>
        </w:rPr>
        <w:t xml:space="preserve"> מדובר בנאשם בן 50, יליד אוקראינה אשר עלה ארצה בשנת 1999, נשוי ואב לשלושה ילדים. לאחר עלייתו למד הנאשם הנדסת אלקטרוניקה, השתלב בעבודה בתחום ואף ניהל חברה עצמאית ו</w:t>
      </w:r>
      <w:r>
        <w:rPr>
          <w:rFonts w:ascii="David" w:hAnsi="David" w:cs="David" w:hint="cs"/>
          <w:sz w:val="24"/>
          <w:szCs w:val="24"/>
          <w:rtl/>
        </w:rPr>
        <w:t xml:space="preserve">כן </w:t>
      </w:r>
      <w:r w:rsidRPr="000D223A">
        <w:rPr>
          <w:rFonts w:ascii="David" w:hAnsi="David" w:cs="David"/>
          <w:sz w:val="24"/>
          <w:szCs w:val="24"/>
          <w:rtl/>
        </w:rPr>
        <w:t xml:space="preserve">חנויות לממכר מזון. שרות המבחן התרשם כי ברקע לביצוע העבירה עמדו לחצים בהם היה נתון הנאשם </w:t>
      </w:r>
      <w:r>
        <w:rPr>
          <w:rFonts w:ascii="David" w:hAnsi="David" w:cs="David" w:hint="cs"/>
          <w:sz w:val="24"/>
          <w:szCs w:val="24"/>
          <w:rtl/>
        </w:rPr>
        <w:t>ש</w:t>
      </w:r>
      <w:r w:rsidRPr="000D223A">
        <w:rPr>
          <w:rFonts w:ascii="David" w:hAnsi="David" w:cs="David"/>
          <w:sz w:val="24"/>
          <w:szCs w:val="24"/>
          <w:rtl/>
        </w:rPr>
        <w:t>אף פנה לשימוש מזדמן וחברתי בסם  מסוג "נייס גא</w:t>
      </w:r>
      <w:r>
        <w:rPr>
          <w:rFonts w:ascii="David" w:hAnsi="David" w:cs="David" w:hint="cs"/>
          <w:sz w:val="24"/>
          <w:szCs w:val="24"/>
          <w:rtl/>
        </w:rPr>
        <w:t>י</w:t>
      </w:r>
      <w:r w:rsidRPr="000D223A">
        <w:rPr>
          <w:rFonts w:ascii="David" w:hAnsi="David" w:cs="David"/>
          <w:sz w:val="24"/>
          <w:szCs w:val="24"/>
          <w:rtl/>
        </w:rPr>
        <w:t xml:space="preserve">". שרות המבחן </w:t>
      </w:r>
      <w:r>
        <w:rPr>
          <w:rFonts w:ascii="David" w:hAnsi="David" w:cs="David" w:hint="cs"/>
          <w:sz w:val="24"/>
          <w:szCs w:val="24"/>
          <w:rtl/>
        </w:rPr>
        <w:t xml:space="preserve">התרשם </w:t>
      </w:r>
      <w:r w:rsidRPr="000D223A">
        <w:rPr>
          <w:rFonts w:ascii="David" w:hAnsi="David" w:cs="David"/>
          <w:sz w:val="24"/>
          <w:szCs w:val="24"/>
          <w:rtl/>
        </w:rPr>
        <w:t xml:space="preserve"> כי לנאשם אין דפוסים עברייניים והתמכרותיים והדגיש את האחריות שביטא כלפי ביצוע העבירה וכלפי תפקידו כהורה מפרנס. שרות המבחן הוסיף כי מאז ביצוע </w:t>
      </w:r>
      <w:r w:rsidRPr="000D223A">
        <w:rPr>
          <w:rFonts w:ascii="David" w:hAnsi="David" w:cs="David"/>
          <w:sz w:val="24"/>
          <w:szCs w:val="24"/>
          <w:rtl/>
        </w:rPr>
        <w:lastRenderedPageBreak/>
        <w:t xml:space="preserve">העבירה </w:t>
      </w:r>
      <w:r>
        <w:rPr>
          <w:rFonts w:ascii="David" w:hAnsi="David" w:cs="David" w:hint="cs"/>
          <w:sz w:val="24"/>
          <w:szCs w:val="24"/>
          <w:rtl/>
        </w:rPr>
        <w:t xml:space="preserve">בחר </w:t>
      </w:r>
      <w:r w:rsidRPr="000D223A">
        <w:rPr>
          <w:rFonts w:ascii="David" w:hAnsi="David" w:cs="David"/>
          <w:sz w:val="24"/>
          <w:szCs w:val="24"/>
          <w:rtl/>
        </w:rPr>
        <w:t xml:space="preserve">הנאשם </w:t>
      </w:r>
      <w:r>
        <w:rPr>
          <w:rFonts w:ascii="David" w:hAnsi="David" w:cs="David" w:hint="cs"/>
          <w:sz w:val="24"/>
          <w:szCs w:val="24"/>
          <w:rtl/>
        </w:rPr>
        <w:t xml:space="preserve">לשנות </w:t>
      </w:r>
      <w:r w:rsidRPr="000D223A">
        <w:rPr>
          <w:rFonts w:ascii="David" w:hAnsi="David" w:cs="David"/>
          <w:sz w:val="24"/>
          <w:szCs w:val="24"/>
          <w:rtl/>
        </w:rPr>
        <w:t xml:space="preserve">את מקצועו, החל וסיים לימודי משפטים וחדל מלהשתמש בסמים. בנסיבות אלה, כאשר הנאשם נמצא </w:t>
      </w:r>
      <w:r>
        <w:rPr>
          <w:rFonts w:ascii="David" w:hAnsi="David" w:cs="David" w:hint="cs"/>
          <w:sz w:val="24"/>
          <w:szCs w:val="24"/>
          <w:rtl/>
        </w:rPr>
        <w:t>כעת</w:t>
      </w:r>
      <w:r w:rsidRPr="000D223A">
        <w:rPr>
          <w:rFonts w:ascii="David" w:hAnsi="David" w:cs="David"/>
          <w:sz w:val="24"/>
          <w:szCs w:val="24"/>
          <w:rtl/>
        </w:rPr>
        <w:t xml:space="preserve"> בהתמחות והרשעה תפגע ביכולתו לקבל רשיון לעריכת דין, המליץ שרות המבחן לשקול בחיוב את ביטול ההרשעה וכן להטיל על הנאשם של"צ למשך 200 שעות.   </w:t>
      </w:r>
    </w:p>
    <w:p w14:paraId="4D32AE7A" w14:textId="77777777" w:rsidR="00BF4738" w:rsidRPr="000D223A" w:rsidRDefault="00BF4738" w:rsidP="00BF4738">
      <w:pPr>
        <w:spacing w:line="360" w:lineRule="auto"/>
        <w:jc w:val="both"/>
        <w:rPr>
          <w:rFonts w:ascii="David" w:hAnsi="David"/>
          <w:b/>
          <w:bCs/>
          <w:rtl/>
        </w:rPr>
      </w:pPr>
    </w:p>
    <w:p w14:paraId="2C5C6619" w14:textId="77777777" w:rsidR="00BF4738" w:rsidRPr="005E05F7" w:rsidRDefault="00BF4738" w:rsidP="00BF4738">
      <w:pPr>
        <w:spacing w:line="360" w:lineRule="auto"/>
        <w:jc w:val="both"/>
        <w:rPr>
          <w:rFonts w:ascii="David" w:hAnsi="David"/>
          <w:b/>
          <w:bCs/>
          <w:u w:val="single"/>
          <w:rtl/>
        </w:rPr>
      </w:pPr>
      <w:r w:rsidRPr="005E05F7">
        <w:rPr>
          <w:rFonts w:ascii="David" w:hAnsi="David"/>
          <w:b/>
          <w:bCs/>
          <w:u w:val="single"/>
          <w:rtl/>
        </w:rPr>
        <w:t>תמצית טיעוני הצדדים</w:t>
      </w:r>
    </w:p>
    <w:p w14:paraId="6FC59682" w14:textId="77777777" w:rsidR="00BF4738" w:rsidRPr="000D223A" w:rsidRDefault="00BF4738" w:rsidP="00BF4738">
      <w:pPr>
        <w:pStyle w:val="a9"/>
        <w:numPr>
          <w:ilvl w:val="0"/>
          <w:numId w:val="1"/>
        </w:numPr>
        <w:spacing w:line="360" w:lineRule="auto"/>
        <w:jc w:val="both"/>
        <w:rPr>
          <w:rFonts w:ascii="David" w:hAnsi="David" w:cs="David"/>
          <w:sz w:val="24"/>
          <w:szCs w:val="24"/>
          <w:rtl/>
        </w:rPr>
      </w:pPr>
      <w:r w:rsidRPr="000D223A">
        <w:rPr>
          <w:rFonts w:ascii="David" w:hAnsi="David" w:cs="David"/>
          <w:sz w:val="24"/>
          <w:szCs w:val="24"/>
          <w:rtl/>
        </w:rPr>
        <w:t xml:space="preserve">ב"כ המאשימה התייחסה בטיעוניה לעתירת הנאשם לבטול הרשעתו וטענה כי המקרה אינו עומד בתנאים </w:t>
      </w:r>
      <w:r>
        <w:rPr>
          <w:rFonts w:ascii="David" w:hAnsi="David" w:cs="David" w:hint="cs"/>
          <w:sz w:val="24"/>
          <w:szCs w:val="24"/>
          <w:rtl/>
        </w:rPr>
        <w:t xml:space="preserve">הנדרשים לשם הימנעות </w:t>
      </w:r>
      <w:r w:rsidRPr="000D223A">
        <w:rPr>
          <w:rFonts w:ascii="David" w:hAnsi="David" w:cs="David"/>
          <w:sz w:val="24"/>
          <w:szCs w:val="24"/>
          <w:rtl/>
        </w:rPr>
        <w:t xml:space="preserve">מהרשעת הנאשם, הן בשל חומרת העבירה והן בשל חוסר הוכחת נזק קונקרטי. ב"כ המאשימה ציינה את הערכים המוגנים אשר נפגעו </w:t>
      </w:r>
      <w:r>
        <w:rPr>
          <w:rFonts w:ascii="David" w:hAnsi="David" w:cs="David" w:hint="cs"/>
          <w:sz w:val="24"/>
          <w:szCs w:val="24"/>
          <w:rtl/>
        </w:rPr>
        <w:t xml:space="preserve">כתוצאה </w:t>
      </w:r>
      <w:r w:rsidRPr="000D223A">
        <w:rPr>
          <w:rFonts w:ascii="David" w:hAnsi="David" w:cs="David"/>
          <w:sz w:val="24"/>
          <w:szCs w:val="24"/>
          <w:rtl/>
        </w:rPr>
        <w:t>מביצוע העבירה, הפנתה לנסיבות ביצועה ועתרה לקביעת מתחם ענישה הנע בין 5 חודשי מאסר ועד 18 חודשים</w:t>
      </w:r>
      <w:r>
        <w:rPr>
          <w:rFonts w:ascii="David" w:hAnsi="David" w:cs="David" w:hint="cs"/>
          <w:sz w:val="24"/>
          <w:szCs w:val="24"/>
          <w:rtl/>
        </w:rPr>
        <w:t>,</w:t>
      </w:r>
      <w:r w:rsidRPr="000D223A">
        <w:rPr>
          <w:rFonts w:ascii="David" w:hAnsi="David" w:cs="David"/>
          <w:sz w:val="24"/>
          <w:szCs w:val="24"/>
          <w:rtl/>
        </w:rPr>
        <w:t xml:space="preserve"> לצד ענישה נלווית. לאור גילו של הנאשם, היעדר עבר פלילי, נטילת האחריות על ביצוע העבירה, חלוף הזמן ונסיבות חייו, טענה ב"כ המאשימה כי יש למקם את הנאשם בשליש התחתון של מתחם הענישה ולגזור עליו מספר חודשי מאסר שירוצו בעבודות שירות לצד מאסר על תנאי, קנס ופסילת רשיון נהיגה על תנאי. ב"כ המאשימה הגישה פסיקה לביסוס טיעוניה</w:t>
      </w:r>
      <w:r>
        <w:rPr>
          <w:rFonts w:ascii="David" w:hAnsi="David" w:cs="David" w:hint="cs"/>
          <w:sz w:val="24"/>
          <w:szCs w:val="24"/>
          <w:rtl/>
        </w:rPr>
        <w:t>.</w:t>
      </w:r>
      <w:r w:rsidRPr="000D223A">
        <w:rPr>
          <w:rFonts w:ascii="David" w:hAnsi="David" w:cs="David"/>
          <w:sz w:val="24"/>
          <w:szCs w:val="24"/>
          <w:rtl/>
        </w:rPr>
        <w:t xml:space="preserve"> </w:t>
      </w:r>
    </w:p>
    <w:p w14:paraId="0A2BF9BB" w14:textId="77777777" w:rsidR="00BF4738" w:rsidRPr="000D223A" w:rsidRDefault="00BF4738" w:rsidP="00BF4738">
      <w:pPr>
        <w:pStyle w:val="a9"/>
        <w:spacing w:line="360" w:lineRule="auto"/>
        <w:jc w:val="both"/>
        <w:rPr>
          <w:rFonts w:ascii="David" w:hAnsi="David" w:cs="David"/>
          <w:sz w:val="24"/>
          <w:szCs w:val="24"/>
        </w:rPr>
      </w:pPr>
    </w:p>
    <w:p w14:paraId="54184231" w14:textId="77777777" w:rsidR="00BF4738" w:rsidRPr="000D223A" w:rsidRDefault="00BF4738" w:rsidP="00BF4738">
      <w:pPr>
        <w:pStyle w:val="a9"/>
        <w:numPr>
          <w:ilvl w:val="0"/>
          <w:numId w:val="1"/>
        </w:numPr>
        <w:spacing w:line="360" w:lineRule="auto"/>
        <w:jc w:val="both"/>
        <w:rPr>
          <w:rFonts w:ascii="David" w:hAnsi="David" w:cs="David"/>
          <w:sz w:val="24"/>
          <w:szCs w:val="24"/>
        </w:rPr>
      </w:pPr>
      <w:r w:rsidRPr="000D223A">
        <w:rPr>
          <w:rFonts w:ascii="David" w:hAnsi="David" w:cs="David"/>
          <w:sz w:val="24"/>
          <w:szCs w:val="24"/>
          <w:rtl/>
        </w:rPr>
        <w:t>ב"כ הנאשם עתר לב</w:t>
      </w:r>
      <w:r>
        <w:rPr>
          <w:rFonts w:ascii="David" w:hAnsi="David" w:cs="David" w:hint="cs"/>
          <w:sz w:val="24"/>
          <w:szCs w:val="24"/>
          <w:rtl/>
        </w:rPr>
        <w:t>י</w:t>
      </w:r>
      <w:r w:rsidRPr="000D223A">
        <w:rPr>
          <w:rFonts w:ascii="David" w:hAnsi="David" w:cs="David"/>
          <w:sz w:val="24"/>
          <w:szCs w:val="24"/>
          <w:rtl/>
        </w:rPr>
        <w:t>ט</w:t>
      </w:r>
      <w:r>
        <w:rPr>
          <w:rFonts w:ascii="David" w:hAnsi="David" w:cs="David" w:hint="cs"/>
          <w:sz w:val="24"/>
          <w:szCs w:val="24"/>
          <w:rtl/>
        </w:rPr>
        <w:t>ו</w:t>
      </w:r>
      <w:r w:rsidRPr="000D223A">
        <w:rPr>
          <w:rFonts w:ascii="David" w:hAnsi="David" w:cs="David"/>
          <w:sz w:val="24"/>
          <w:szCs w:val="24"/>
          <w:rtl/>
        </w:rPr>
        <w:t xml:space="preserve">ל </w:t>
      </w:r>
      <w:r>
        <w:rPr>
          <w:rFonts w:ascii="David" w:hAnsi="David" w:cs="David" w:hint="cs"/>
          <w:sz w:val="24"/>
          <w:szCs w:val="24"/>
          <w:rtl/>
        </w:rPr>
        <w:t xml:space="preserve">ההרשעה </w:t>
      </w:r>
      <w:r w:rsidRPr="000D223A">
        <w:rPr>
          <w:rFonts w:ascii="David" w:hAnsi="David" w:cs="David"/>
          <w:sz w:val="24"/>
          <w:szCs w:val="24"/>
          <w:rtl/>
        </w:rPr>
        <w:t>וזאת בשל נסיבות ח</w:t>
      </w:r>
      <w:r>
        <w:rPr>
          <w:rFonts w:ascii="David" w:hAnsi="David" w:cs="David" w:hint="cs"/>
          <w:sz w:val="24"/>
          <w:szCs w:val="24"/>
          <w:rtl/>
        </w:rPr>
        <w:t>י</w:t>
      </w:r>
      <w:r w:rsidRPr="000D223A">
        <w:rPr>
          <w:rFonts w:ascii="David" w:hAnsi="David" w:cs="David"/>
          <w:sz w:val="24"/>
          <w:szCs w:val="24"/>
          <w:rtl/>
        </w:rPr>
        <w:t>י</w:t>
      </w:r>
      <w:r>
        <w:rPr>
          <w:rFonts w:ascii="David" w:hAnsi="David" w:cs="David" w:hint="cs"/>
          <w:sz w:val="24"/>
          <w:szCs w:val="24"/>
          <w:rtl/>
        </w:rPr>
        <w:t>ו של הנאשם</w:t>
      </w:r>
      <w:r w:rsidRPr="000D223A">
        <w:rPr>
          <w:rFonts w:ascii="David" w:hAnsi="David" w:cs="David"/>
          <w:sz w:val="24"/>
          <w:szCs w:val="24"/>
          <w:rtl/>
        </w:rPr>
        <w:t xml:space="preserve">, המלצת שירות המבחן, חלוף הזמן, וכן הפגיעה שתגרם לנאשם </w:t>
      </w:r>
      <w:r>
        <w:rPr>
          <w:rFonts w:ascii="David" w:hAnsi="David" w:cs="David" w:hint="cs"/>
          <w:sz w:val="24"/>
          <w:szCs w:val="24"/>
          <w:rtl/>
        </w:rPr>
        <w:t xml:space="preserve">בעיסוקו בעתיד זאת </w:t>
      </w:r>
      <w:r w:rsidRPr="000D223A">
        <w:rPr>
          <w:rFonts w:ascii="David" w:hAnsi="David" w:cs="David"/>
          <w:sz w:val="24"/>
          <w:szCs w:val="24"/>
          <w:rtl/>
        </w:rPr>
        <w:t>לאחר שקיבל אישור מיוחד לביצוע ההתמחות (</w:t>
      </w:r>
      <w:r w:rsidRPr="000D223A">
        <w:rPr>
          <w:rFonts w:ascii="David" w:hAnsi="David" w:cs="David"/>
          <w:b/>
          <w:bCs/>
          <w:sz w:val="24"/>
          <w:szCs w:val="24"/>
          <w:rtl/>
        </w:rPr>
        <w:t>טנ/1</w:t>
      </w:r>
      <w:r w:rsidRPr="000D223A">
        <w:rPr>
          <w:rFonts w:ascii="David" w:hAnsi="David" w:cs="David"/>
          <w:sz w:val="24"/>
          <w:szCs w:val="24"/>
          <w:rtl/>
        </w:rPr>
        <w:t xml:space="preserve">). לטענתו, קיים סיכון משמעותי כי הנאשם לא יוכל להתפרנס כעורך דין לאחר סיום התמחותו ככל שהרשעתו לא תבוטל. ב"כ הנאשם </w:t>
      </w:r>
      <w:r>
        <w:rPr>
          <w:rFonts w:ascii="David" w:hAnsi="David" w:cs="David" w:hint="cs"/>
          <w:sz w:val="24"/>
          <w:szCs w:val="24"/>
          <w:rtl/>
        </w:rPr>
        <w:t xml:space="preserve">טען </w:t>
      </w:r>
      <w:r w:rsidRPr="000D223A">
        <w:rPr>
          <w:rFonts w:ascii="David" w:hAnsi="David" w:cs="David"/>
          <w:sz w:val="24"/>
          <w:szCs w:val="24"/>
          <w:rtl/>
        </w:rPr>
        <w:t xml:space="preserve">כי הפסיקה אליה הפנתה ב"כ המאשימה עוסקת במקרים חמורים מהמקרה הנדון בו הנאשם לא הפיץ את החומר ללקוחותיו, וכן הציג פסיקה ממנה ביקש ללמוד כי חומרת העבירה ואי הצבעה על נזק קונקרטי אינם מובילים בהכרח לדחית המלצת שרות המבחן. לפיכך, עתר לבטול הרשעת הנאשם ולהטלת של"צ. לאחר שבית המשפט הבהיר כי העתירה לביטול ההרשעה נדחתה, טען ב"כ הנאשם כי מתחם הענישה מתחיל במאסר מותנה, בהתחשב בכך שאין מדובר ב"סם קשה" וכן בהתבסס על הפסיקה שהגיש. בנסיבותיו האישיות של הנאשם, טען בא כוחו כי יש למקמו ברף הנמוך ולהטיל עליו מאסר מותנה והתחייבות, ענישה אשר יתכן כי תוכל לסייע בידי הנאשם לשכנע את גורמי לשכת עורכי הדין לקבלו כחבר הלשכה לאחר סיום ההתמחות.  </w:t>
      </w:r>
    </w:p>
    <w:p w14:paraId="41B021AD" w14:textId="77777777" w:rsidR="00BF4738" w:rsidRPr="000D223A" w:rsidRDefault="00BF4738" w:rsidP="00BF4738">
      <w:pPr>
        <w:pStyle w:val="a9"/>
        <w:rPr>
          <w:rFonts w:ascii="David" w:hAnsi="David" w:cs="David"/>
          <w:sz w:val="24"/>
          <w:szCs w:val="24"/>
        </w:rPr>
      </w:pPr>
    </w:p>
    <w:p w14:paraId="1D08B574" w14:textId="77777777" w:rsidR="00BF4738" w:rsidRPr="000D223A" w:rsidRDefault="00BF4738" w:rsidP="00BF4738">
      <w:pPr>
        <w:pStyle w:val="a9"/>
        <w:numPr>
          <w:ilvl w:val="0"/>
          <w:numId w:val="1"/>
        </w:numPr>
        <w:spacing w:line="360" w:lineRule="auto"/>
        <w:jc w:val="both"/>
        <w:rPr>
          <w:rFonts w:ascii="David" w:hAnsi="David" w:cs="David"/>
          <w:sz w:val="24"/>
          <w:szCs w:val="24"/>
          <w:rtl/>
        </w:rPr>
      </w:pPr>
      <w:r w:rsidRPr="000D223A">
        <w:rPr>
          <w:rFonts w:ascii="David" w:hAnsi="David" w:cs="David"/>
          <w:sz w:val="24"/>
          <w:szCs w:val="24"/>
          <w:rtl/>
        </w:rPr>
        <w:t>הנאשם טען כי לא התכוון להחזיק בסמים וכי הבעיה נעוצה בכך שלא בדק את האיסור בהחזקת החומר.</w:t>
      </w:r>
    </w:p>
    <w:p w14:paraId="7225E12E" w14:textId="77777777" w:rsidR="00BF4738" w:rsidRDefault="00BF4738" w:rsidP="00BF4738">
      <w:pPr>
        <w:spacing w:line="360" w:lineRule="auto"/>
        <w:jc w:val="both"/>
        <w:rPr>
          <w:rFonts w:ascii="David" w:hAnsi="David"/>
          <w:b/>
          <w:bCs/>
          <w:u w:val="single"/>
          <w:rtl/>
        </w:rPr>
      </w:pPr>
    </w:p>
    <w:p w14:paraId="323C8AD6" w14:textId="77777777" w:rsidR="00BF4738" w:rsidRPr="000D223A" w:rsidRDefault="00BF4738" w:rsidP="00BF4738">
      <w:pPr>
        <w:spacing w:line="360" w:lineRule="auto"/>
        <w:jc w:val="both"/>
        <w:rPr>
          <w:rFonts w:ascii="David" w:hAnsi="David"/>
          <w:b/>
          <w:bCs/>
          <w:u w:val="single"/>
        </w:rPr>
      </w:pPr>
      <w:r w:rsidRPr="000D223A">
        <w:rPr>
          <w:rFonts w:ascii="David" w:hAnsi="David"/>
          <w:b/>
          <w:bCs/>
          <w:u w:val="single"/>
          <w:rtl/>
        </w:rPr>
        <w:t>דיון והכרעה</w:t>
      </w:r>
    </w:p>
    <w:p w14:paraId="57A70796" w14:textId="77777777" w:rsidR="00BF4738" w:rsidRPr="000D223A" w:rsidRDefault="00BF4738" w:rsidP="00BF4738">
      <w:pPr>
        <w:spacing w:line="360" w:lineRule="auto"/>
        <w:ind w:firstLine="360"/>
        <w:jc w:val="both"/>
        <w:rPr>
          <w:rFonts w:ascii="David" w:hAnsi="David"/>
          <w:b/>
          <w:bCs/>
          <w:u w:val="single"/>
          <w:rtl/>
        </w:rPr>
      </w:pPr>
      <w:r w:rsidRPr="000D223A">
        <w:rPr>
          <w:rFonts w:ascii="David" w:hAnsi="David"/>
          <w:b/>
          <w:bCs/>
          <w:u w:val="single"/>
          <w:rtl/>
        </w:rPr>
        <w:t>סוגיית אי הרשעה</w:t>
      </w:r>
    </w:p>
    <w:p w14:paraId="3DDAE926" w14:textId="77777777" w:rsidR="00BF4738" w:rsidRPr="000D223A" w:rsidRDefault="00BF4738" w:rsidP="00BF4738">
      <w:pPr>
        <w:pStyle w:val="a9"/>
        <w:numPr>
          <w:ilvl w:val="0"/>
          <w:numId w:val="1"/>
        </w:numPr>
        <w:spacing w:line="360" w:lineRule="auto"/>
        <w:jc w:val="both"/>
        <w:rPr>
          <w:rFonts w:ascii="David" w:hAnsi="David" w:cs="David"/>
          <w:b/>
          <w:bCs/>
          <w:sz w:val="24"/>
          <w:szCs w:val="24"/>
          <w:rtl/>
        </w:rPr>
      </w:pPr>
      <w:r w:rsidRPr="000D223A">
        <w:rPr>
          <w:rFonts w:ascii="David" w:hAnsi="David" w:cs="David"/>
          <w:sz w:val="24"/>
          <w:szCs w:val="24"/>
          <w:rtl/>
        </w:rPr>
        <w:t>בחינת סוגיית ביטול הרשעה פלילית</w:t>
      </w:r>
      <w:r>
        <w:rPr>
          <w:rFonts w:ascii="David" w:hAnsi="David" w:cs="David" w:hint="cs"/>
          <w:sz w:val="24"/>
          <w:szCs w:val="24"/>
          <w:rtl/>
        </w:rPr>
        <w:t>,</w:t>
      </w:r>
      <w:r w:rsidRPr="000D223A">
        <w:rPr>
          <w:rFonts w:ascii="David" w:hAnsi="David" w:cs="David"/>
          <w:sz w:val="24"/>
          <w:szCs w:val="24"/>
          <w:rtl/>
        </w:rPr>
        <w:t xml:space="preserve"> קודמת לבחינת הענישה בהתאם לתיקון 113 ל</w:t>
      </w:r>
      <w:hyperlink r:id="rId17" w:history="1">
        <w:r w:rsidR="00287F4C" w:rsidRPr="00287F4C">
          <w:rPr>
            <w:rFonts w:ascii="David" w:hAnsi="David" w:cs="David"/>
            <w:color w:val="0000FF"/>
            <w:sz w:val="24"/>
            <w:szCs w:val="24"/>
            <w:u w:val="single"/>
            <w:rtl/>
          </w:rPr>
          <w:t>חוק העונשין</w:t>
        </w:r>
      </w:hyperlink>
      <w:r w:rsidRPr="000D223A">
        <w:rPr>
          <w:rFonts w:ascii="David" w:hAnsi="David" w:cs="David"/>
          <w:sz w:val="24"/>
          <w:szCs w:val="24"/>
          <w:rtl/>
        </w:rPr>
        <w:t xml:space="preserve"> (</w:t>
      </w:r>
      <w:hyperlink r:id="rId18" w:history="1">
        <w:r w:rsidR="00287F4C" w:rsidRPr="00287F4C">
          <w:rPr>
            <w:rFonts w:ascii="David" w:hAnsi="David" w:cs="David"/>
            <w:color w:val="0000FF"/>
            <w:sz w:val="24"/>
            <w:szCs w:val="24"/>
            <w:u w:val="single"/>
            <w:rtl/>
          </w:rPr>
          <w:t>רע"פ 2327/19</w:t>
        </w:r>
      </w:hyperlink>
      <w:r w:rsidRPr="000D223A">
        <w:rPr>
          <w:rFonts w:ascii="David" w:hAnsi="David" w:cs="David"/>
          <w:sz w:val="24"/>
          <w:szCs w:val="24"/>
          <w:rtl/>
        </w:rPr>
        <w:t xml:space="preserve"> </w:t>
      </w:r>
      <w:r w:rsidRPr="000D223A">
        <w:rPr>
          <w:rFonts w:ascii="David" w:hAnsi="David" w:cs="David"/>
          <w:b/>
          <w:bCs/>
          <w:sz w:val="24"/>
          <w:szCs w:val="24"/>
          <w:rtl/>
        </w:rPr>
        <w:t>גוז מרסלו אדוארדו נ' מדינת ישראל</w:t>
      </w:r>
      <w:r w:rsidRPr="000D223A">
        <w:rPr>
          <w:rFonts w:ascii="David" w:hAnsi="David" w:cs="David"/>
          <w:sz w:val="24"/>
          <w:szCs w:val="24"/>
          <w:rtl/>
        </w:rPr>
        <w:t xml:space="preserve">, פסקאות 8 ו-11 (19.5.2019)). בנוסף, הנסיבות הנבחנות בעת קביעת מתחם העונש ההולם אינן מתייחסות </w:t>
      </w:r>
      <w:r w:rsidRPr="000D223A">
        <w:rPr>
          <w:rFonts w:ascii="David" w:hAnsi="David" w:cs="David"/>
          <w:sz w:val="24"/>
          <w:szCs w:val="24"/>
          <w:rtl/>
        </w:rPr>
        <w:lastRenderedPageBreak/>
        <w:t>לנסיבותיו האישיות של הנאשם, לעומת הצורך בבחינתן בעת דיון בסוגיית ביטול ההרשעה.</w:t>
      </w:r>
    </w:p>
    <w:p w14:paraId="122F209D" w14:textId="77777777" w:rsidR="00BF4738" w:rsidRPr="000D223A" w:rsidRDefault="00BF4738" w:rsidP="00BF4738">
      <w:pPr>
        <w:pStyle w:val="a9"/>
        <w:spacing w:line="360" w:lineRule="auto"/>
        <w:jc w:val="both"/>
        <w:rPr>
          <w:rFonts w:ascii="David" w:hAnsi="David" w:cs="David"/>
          <w:sz w:val="24"/>
          <w:szCs w:val="24"/>
        </w:rPr>
      </w:pPr>
      <w:r w:rsidRPr="000D223A">
        <w:rPr>
          <w:rFonts w:ascii="David" w:hAnsi="David" w:cs="David"/>
          <w:sz w:val="24"/>
          <w:szCs w:val="24"/>
          <w:rtl/>
        </w:rPr>
        <w:t>לפיכך, אדון תחילה בשאלה האם מדובר במקרה חריג בו יש להורות על ביטול הרשעתו של הנאשם.</w:t>
      </w:r>
    </w:p>
    <w:p w14:paraId="3502D74A" w14:textId="77777777" w:rsidR="00BF4738" w:rsidRPr="000D223A" w:rsidRDefault="00BF4738" w:rsidP="00BF4738">
      <w:pPr>
        <w:pStyle w:val="a9"/>
        <w:spacing w:line="360" w:lineRule="auto"/>
        <w:jc w:val="both"/>
        <w:rPr>
          <w:rFonts w:ascii="David" w:hAnsi="David" w:cs="David"/>
          <w:sz w:val="24"/>
          <w:szCs w:val="24"/>
          <w:rtl/>
        </w:rPr>
      </w:pPr>
    </w:p>
    <w:p w14:paraId="490A0AD3" w14:textId="77777777" w:rsidR="00BF4738" w:rsidRPr="000D223A" w:rsidRDefault="00BF4738" w:rsidP="00BF4738">
      <w:pPr>
        <w:pStyle w:val="a9"/>
        <w:numPr>
          <w:ilvl w:val="0"/>
          <w:numId w:val="1"/>
        </w:numPr>
        <w:spacing w:line="360" w:lineRule="auto"/>
        <w:jc w:val="both"/>
        <w:rPr>
          <w:rFonts w:ascii="David" w:hAnsi="David" w:cs="David"/>
          <w:b/>
          <w:bCs/>
          <w:sz w:val="24"/>
          <w:szCs w:val="24"/>
        </w:rPr>
      </w:pPr>
      <w:r>
        <w:rPr>
          <w:rFonts w:ascii="David" w:hAnsi="David" w:cs="David" w:hint="cs"/>
          <w:sz w:val="24"/>
          <w:szCs w:val="24"/>
          <w:rtl/>
        </w:rPr>
        <w:t xml:space="preserve">את </w:t>
      </w:r>
      <w:r w:rsidRPr="000D223A">
        <w:rPr>
          <w:rFonts w:ascii="David" w:hAnsi="David" w:cs="David"/>
          <w:sz w:val="24"/>
          <w:szCs w:val="24"/>
          <w:rtl/>
        </w:rPr>
        <w:t xml:space="preserve">סוגיית אי ההרשעה </w:t>
      </w:r>
      <w:r>
        <w:rPr>
          <w:rFonts w:ascii="David" w:hAnsi="David" w:cs="David" w:hint="cs"/>
          <w:sz w:val="24"/>
          <w:szCs w:val="24"/>
          <w:rtl/>
        </w:rPr>
        <w:t xml:space="preserve">יש לבחון </w:t>
      </w:r>
      <w:r w:rsidRPr="000D223A">
        <w:rPr>
          <w:rFonts w:ascii="David" w:hAnsi="David" w:cs="David"/>
          <w:sz w:val="24"/>
          <w:szCs w:val="24"/>
          <w:rtl/>
        </w:rPr>
        <w:t>בהתאם לשני התנאים המצטברים שנקבעו ב</w:t>
      </w:r>
      <w:r w:rsidRPr="000D223A">
        <w:rPr>
          <w:rFonts w:ascii="David" w:hAnsi="David" w:cs="David"/>
          <w:b/>
          <w:bCs/>
          <w:sz w:val="24"/>
          <w:szCs w:val="24"/>
          <w:rtl/>
        </w:rPr>
        <w:t xml:space="preserve">הלכת כתב </w:t>
      </w:r>
      <w:r w:rsidRPr="000D223A">
        <w:rPr>
          <w:rFonts w:ascii="David" w:hAnsi="David" w:cs="David"/>
          <w:sz w:val="24"/>
          <w:szCs w:val="24"/>
          <w:rtl/>
        </w:rPr>
        <w:t>(</w:t>
      </w:r>
      <w:hyperlink r:id="rId19" w:history="1">
        <w:r w:rsidR="00287F4C" w:rsidRPr="00287F4C">
          <w:rPr>
            <w:rFonts w:ascii="David" w:hAnsi="David" w:cs="David"/>
            <w:color w:val="0000FF"/>
            <w:sz w:val="24"/>
            <w:szCs w:val="24"/>
            <w:u w:val="single"/>
            <w:rtl/>
          </w:rPr>
          <w:t>ע"פ 2083/96</w:t>
        </w:r>
      </w:hyperlink>
      <w:r w:rsidRPr="000D223A">
        <w:rPr>
          <w:rFonts w:ascii="David" w:hAnsi="David" w:cs="David"/>
          <w:sz w:val="24"/>
          <w:szCs w:val="24"/>
          <w:rtl/>
        </w:rPr>
        <w:t xml:space="preserve"> </w:t>
      </w:r>
      <w:r w:rsidRPr="000D223A">
        <w:rPr>
          <w:rFonts w:ascii="David" w:hAnsi="David" w:cs="David"/>
          <w:b/>
          <w:bCs/>
          <w:sz w:val="24"/>
          <w:szCs w:val="24"/>
          <w:rtl/>
        </w:rPr>
        <w:t>תמר כתב נ' מדינת ישראל</w:t>
      </w:r>
      <w:r w:rsidRPr="000D223A">
        <w:rPr>
          <w:rFonts w:ascii="David" w:hAnsi="David" w:cs="David"/>
          <w:sz w:val="24"/>
          <w:szCs w:val="24"/>
          <w:rtl/>
        </w:rPr>
        <w:t xml:space="preserve">, פ"ד נ"ב(3) 337 (1997)): סוג העבירה מאפשר לוותר על ההרשעה וכן פגיעה חמורה בשיקום הנאשם מעצם הרשעתו. הליך זה יוחד למקרים חריגים ויוצאי דופן, בהם נוצר פער קיצוני בין עוצמת פגיעת ההרשעה בנאשם לבין התועלת הציבורית כתוצאה מההרשעה. בנוסף, </w:t>
      </w:r>
      <w:r w:rsidRPr="000D223A">
        <w:rPr>
          <w:rFonts w:ascii="David" w:eastAsia="Times New Roman" w:hAnsi="David" w:cs="David"/>
          <w:sz w:val="24"/>
          <w:szCs w:val="24"/>
          <w:rtl/>
        </w:rPr>
        <w:t>נקבע כי על הנאשם לבסס בראיות את טענתו לפגיעה חמורה וקונקרטית בסיכויי שיקומו, וכי אין די בטענה כללית לפיה "ככל הנראה" ייגרם נזק (</w:t>
      </w:r>
      <w:hyperlink r:id="rId20" w:history="1">
        <w:r w:rsidR="00287F4C" w:rsidRPr="00287F4C">
          <w:rPr>
            <w:rFonts w:ascii="David" w:eastAsia="Times New Roman" w:hAnsi="David" w:cs="David"/>
            <w:color w:val="0000FF"/>
            <w:sz w:val="24"/>
            <w:szCs w:val="24"/>
            <w:u w:val="single"/>
            <w:rtl/>
          </w:rPr>
          <w:t>רע"פ 1240/19</w:t>
        </w:r>
      </w:hyperlink>
      <w:r w:rsidRPr="000D223A">
        <w:rPr>
          <w:rFonts w:ascii="David" w:eastAsia="Times New Roman" w:hAnsi="David" w:cs="David"/>
          <w:sz w:val="24"/>
          <w:szCs w:val="24"/>
          <w:rtl/>
        </w:rPr>
        <w:t xml:space="preserve"> </w:t>
      </w:r>
      <w:r w:rsidRPr="000D223A">
        <w:rPr>
          <w:rFonts w:ascii="David" w:eastAsia="Times New Roman" w:hAnsi="David" w:cs="David"/>
          <w:b/>
          <w:bCs/>
          <w:sz w:val="24"/>
          <w:szCs w:val="24"/>
          <w:rtl/>
        </w:rPr>
        <w:t>עופר לוי נ' מדינת ישראל,</w:t>
      </w:r>
      <w:r w:rsidRPr="000D223A">
        <w:rPr>
          <w:rFonts w:ascii="David" w:eastAsia="Times New Roman" w:hAnsi="David" w:cs="David"/>
          <w:sz w:val="24"/>
          <w:szCs w:val="24"/>
          <w:rtl/>
        </w:rPr>
        <w:t xml:space="preserve"> פסקה 8 והאסמכתאות הרבות המפורטות שם (24.3.2019)</w:t>
      </w:r>
      <w:r>
        <w:rPr>
          <w:rFonts w:ascii="David" w:eastAsia="Times New Roman" w:hAnsi="David" w:cs="David" w:hint="cs"/>
          <w:sz w:val="24"/>
          <w:szCs w:val="24"/>
          <w:rtl/>
        </w:rPr>
        <w:t>,</w:t>
      </w:r>
      <w:r w:rsidRPr="000D223A">
        <w:rPr>
          <w:rFonts w:ascii="David" w:eastAsia="Times New Roman" w:hAnsi="David" w:cs="David"/>
          <w:sz w:val="24"/>
          <w:szCs w:val="24"/>
          <w:rtl/>
        </w:rPr>
        <w:t xml:space="preserve"> להלן: "</w:t>
      </w:r>
      <w:r w:rsidRPr="000D223A">
        <w:rPr>
          <w:rFonts w:ascii="David" w:eastAsia="Times New Roman" w:hAnsi="David" w:cs="David"/>
          <w:b/>
          <w:bCs/>
          <w:sz w:val="24"/>
          <w:szCs w:val="24"/>
          <w:rtl/>
        </w:rPr>
        <w:t>ענין לוי</w:t>
      </w:r>
      <w:r w:rsidRPr="000D223A">
        <w:rPr>
          <w:rFonts w:ascii="David" w:eastAsia="Times New Roman" w:hAnsi="David" w:cs="David"/>
          <w:sz w:val="24"/>
          <w:szCs w:val="24"/>
          <w:rtl/>
        </w:rPr>
        <w:t>"). עוד נקבע, כי אין להידרש לאפשרויות תאורטיות, על פיהן עלול להיגרם לנאשם נזק כלשהו בעתיד (</w:t>
      </w:r>
      <w:hyperlink r:id="rId21" w:history="1">
        <w:r w:rsidR="00287F4C" w:rsidRPr="00287F4C">
          <w:rPr>
            <w:rFonts w:ascii="David" w:eastAsia="Times New Roman" w:hAnsi="David" w:cs="David"/>
            <w:color w:val="0000FF"/>
            <w:sz w:val="24"/>
            <w:szCs w:val="24"/>
            <w:u w:val="single"/>
            <w:rtl/>
          </w:rPr>
          <w:t>ע"פ 8528/12</w:t>
        </w:r>
      </w:hyperlink>
      <w:r w:rsidR="00287F4C">
        <w:rPr>
          <w:rFonts w:ascii="David" w:eastAsia="Times New Roman" w:hAnsi="David" w:cs="David"/>
          <w:sz w:val="24"/>
          <w:szCs w:val="24"/>
          <w:rtl/>
        </w:rPr>
        <w:t xml:space="preserve"> </w:t>
      </w:r>
      <w:r w:rsidRPr="000D223A">
        <w:rPr>
          <w:rFonts w:ascii="David" w:eastAsia="Times New Roman" w:hAnsi="David" w:cs="David"/>
          <w:b/>
          <w:bCs/>
          <w:sz w:val="24"/>
          <w:szCs w:val="24"/>
          <w:rtl/>
        </w:rPr>
        <w:t>אלירן צפורה נ' מדינת ישראל</w:t>
      </w:r>
      <w:r w:rsidRPr="000D223A">
        <w:rPr>
          <w:rFonts w:ascii="David" w:eastAsia="Times New Roman" w:hAnsi="David" w:cs="David"/>
          <w:sz w:val="24"/>
          <w:szCs w:val="24"/>
          <w:rtl/>
        </w:rPr>
        <w:t xml:space="preserve">, פסקה 11 והאסמכתאות שם (3.3.2013); רע"פ </w:t>
      </w:r>
      <w:hyperlink r:id="rId22" w:history="1">
        <w:r w:rsidR="00B72810" w:rsidRPr="00B72810">
          <w:rPr>
            <w:rFonts w:ascii="David" w:eastAsia="Times New Roman" w:hAnsi="David" w:cs="David"/>
            <w:color w:val="0000FF"/>
            <w:sz w:val="24"/>
            <w:szCs w:val="24"/>
            <w:u w:val="single"/>
            <w:rtl/>
          </w:rPr>
          <w:t xml:space="preserve">54/15 </w:t>
        </w:r>
      </w:hyperlink>
      <w:r w:rsidRPr="000D223A">
        <w:rPr>
          <w:rFonts w:ascii="David" w:eastAsia="Times New Roman" w:hAnsi="David" w:cs="David"/>
          <w:sz w:val="24"/>
          <w:szCs w:val="24"/>
          <w:rtl/>
        </w:rPr>
        <w:t xml:space="preserve"> </w:t>
      </w:r>
      <w:r w:rsidRPr="000D223A">
        <w:rPr>
          <w:rFonts w:ascii="David" w:eastAsia="Times New Roman" w:hAnsi="David" w:cs="David"/>
          <w:b/>
          <w:bCs/>
          <w:sz w:val="24"/>
          <w:szCs w:val="24"/>
          <w:rtl/>
        </w:rPr>
        <w:t xml:space="preserve">פלוני נ' מדינת ישראל </w:t>
      </w:r>
      <w:r w:rsidRPr="000D223A">
        <w:rPr>
          <w:rFonts w:ascii="David" w:eastAsia="Times New Roman" w:hAnsi="David" w:cs="David"/>
          <w:sz w:val="24"/>
          <w:szCs w:val="24"/>
          <w:rtl/>
        </w:rPr>
        <w:t xml:space="preserve">(27.1.2015); </w:t>
      </w:r>
      <w:hyperlink r:id="rId23" w:history="1">
        <w:r w:rsidR="00287F4C" w:rsidRPr="00287F4C">
          <w:rPr>
            <w:rFonts w:ascii="David" w:eastAsia="Times New Roman" w:hAnsi="David" w:cs="David"/>
            <w:color w:val="0000FF"/>
            <w:sz w:val="24"/>
            <w:szCs w:val="24"/>
            <w:u w:val="single"/>
            <w:rtl/>
          </w:rPr>
          <w:t>רע"פ 9118/12</w:t>
        </w:r>
      </w:hyperlink>
      <w:r w:rsidRPr="000D223A">
        <w:rPr>
          <w:rFonts w:ascii="David" w:eastAsia="Times New Roman" w:hAnsi="David" w:cs="David"/>
          <w:sz w:val="24"/>
          <w:szCs w:val="24"/>
          <w:rtl/>
        </w:rPr>
        <w:t xml:space="preserve"> </w:t>
      </w:r>
      <w:r w:rsidRPr="000D223A">
        <w:rPr>
          <w:rFonts w:ascii="David" w:eastAsia="Times New Roman" w:hAnsi="David" w:cs="David"/>
          <w:b/>
          <w:bCs/>
          <w:sz w:val="24"/>
          <w:szCs w:val="24"/>
          <w:rtl/>
        </w:rPr>
        <w:t xml:space="preserve">פריגין נ' מדינת ישראל </w:t>
      </w:r>
      <w:r w:rsidRPr="000D223A">
        <w:rPr>
          <w:rFonts w:ascii="David" w:eastAsia="Times New Roman" w:hAnsi="David" w:cs="David"/>
          <w:sz w:val="24"/>
          <w:szCs w:val="24"/>
          <w:rtl/>
        </w:rPr>
        <w:t xml:space="preserve">(1.1.2013)). </w:t>
      </w:r>
    </w:p>
    <w:p w14:paraId="214E0B6F" w14:textId="77777777" w:rsidR="00BF4738" w:rsidRPr="000D223A" w:rsidRDefault="00BF4738" w:rsidP="00BF4738">
      <w:pPr>
        <w:pStyle w:val="a9"/>
        <w:spacing w:line="360" w:lineRule="auto"/>
        <w:jc w:val="both"/>
        <w:rPr>
          <w:rFonts w:ascii="David" w:hAnsi="David" w:cs="David"/>
          <w:b/>
          <w:bCs/>
          <w:sz w:val="24"/>
          <w:szCs w:val="24"/>
        </w:rPr>
      </w:pPr>
    </w:p>
    <w:p w14:paraId="4A195F71" w14:textId="77777777" w:rsidR="00BF4738" w:rsidRPr="000D223A" w:rsidRDefault="00BF4738" w:rsidP="00BF4738">
      <w:pPr>
        <w:pStyle w:val="a9"/>
        <w:numPr>
          <w:ilvl w:val="0"/>
          <w:numId w:val="1"/>
        </w:numPr>
        <w:spacing w:line="360" w:lineRule="auto"/>
        <w:jc w:val="both"/>
        <w:rPr>
          <w:rFonts w:ascii="David" w:hAnsi="David" w:cs="David"/>
          <w:b/>
          <w:bCs/>
          <w:sz w:val="24"/>
          <w:szCs w:val="24"/>
        </w:rPr>
      </w:pPr>
      <w:r w:rsidRPr="000D223A">
        <w:rPr>
          <w:rFonts w:ascii="David" w:hAnsi="David" w:cs="David"/>
          <w:sz w:val="24"/>
          <w:szCs w:val="24"/>
          <w:rtl/>
        </w:rPr>
        <w:t>בנסיבות המקרה הנדון, אין מדובר ברף נמוך של עבירת החזקת סם שלא לצריכה עצמית, הן בשל סוג הסם, כמותו, אופן החזקתו כמחולק ל-90 מנות וכן מקום החזקתו המעיד על פוטנציאל מכירתו.</w:t>
      </w:r>
      <w:r w:rsidRPr="000D223A">
        <w:rPr>
          <w:rFonts w:ascii="David" w:hAnsi="David" w:cs="David"/>
          <w:sz w:val="24"/>
          <w:szCs w:val="24"/>
        </w:rPr>
        <w:t xml:space="preserve"> </w:t>
      </w:r>
      <w:r w:rsidRPr="000D223A">
        <w:rPr>
          <w:rFonts w:ascii="David" w:hAnsi="David" w:cs="David"/>
          <w:sz w:val="24"/>
          <w:szCs w:val="24"/>
          <w:rtl/>
        </w:rPr>
        <w:t>שלא כמשתמע מטיעון ב"כ הנאשם, אין מדובר ב"סם קל" אלא בסם סינטטי אשר פגיעתו חמורה יותר ולכן</w:t>
      </w:r>
      <w:r>
        <w:rPr>
          <w:rFonts w:ascii="David" w:hAnsi="David" w:cs="David" w:hint="cs"/>
          <w:sz w:val="24"/>
          <w:szCs w:val="24"/>
          <w:rtl/>
        </w:rPr>
        <w:t xml:space="preserve"> ביחס לסם שכזה </w:t>
      </w:r>
      <w:r w:rsidRPr="000D223A">
        <w:rPr>
          <w:rFonts w:ascii="David" w:hAnsi="David" w:cs="David"/>
          <w:sz w:val="24"/>
          <w:szCs w:val="24"/>
          <w:rtl/>
        </w:rPr>
        <w:t>"</w:t>
      </w:r>
      <w:r w:rsidRPr="000D223A">
        <w:rPr>
          <w:rFonts w:ascii="David" w:hAnsi="David" w:cs="David"/>
          <w:b/>
          <w:bCs/>
          <w:sz w:val="24"/>
          <w:szCs w:val="24"/>
          <w:rtl/>
        </w:rPr>
        <w:t>על הענישה להיות מרתיעה ומשמעותית</w:t>
      </w:r>
      <w:r w:rsidRPr="000D223A">
        <w:rPr>
          <w:rFonts w:ascii="David" w:hAnsi="David" w:cs="David"/>
          <w:sz w:val="24"/>
          <w:szCs w:val="24"/>
          <w:rtl/>
        </w:rPr>
        <w:t>" (</w:t>
      </w:r>
      <w:hyperlink r:id="rId24" w:history="1">
        <w:r w:rsidR="00287F4C" w:rsidRPr="00287F4C">
          <w:rPr>
            <w:rFonts w:ascii="David" w:hAnsi="David" w:cs="David"/>
            <w:color w:val="0000FF"/>
            <w:sz w:val="24"/>
            <w:szCs w:val="24"/>
            <w:u w:val="single"/>
            <w:rtl/>
          </w:rPr>
          <w:t>רע"פ 2361/20</w:t>
        </w:r>
      </w:hyperlink>
      <w:r w:rsidRPr="000D223A">
        <w:rPr>
          <w:rFonts w:ascii="David" w:hAnsi="David" w:cs="David"/>
          <w:sz w:val="24"/>
          <w:szCs w:val="24"/>
          <w:rtl/>
        </w:rPr>
        <w:t xml:space="preserve"> </w:t>
      </w:r>
      <w:r w:rsidRPr="000D223A">
        <w:rPr>
          <w:rFonts w:ascii="David" w:hAnsi="David" w:cs="David"/>
          <w:b/>
          <w:bCs/>
          <w:sz w:val="24"/>
          <w:szCs w:val="24"/>
          <w:rtl/>
        </w:rPr>
        <w:t>משה בן אדרת נ' מדינת ישראל</w:t>
      </w:r>
      <w:r w:rsidRPr="000D223A">
        <w:rPr>
          <w:rFonts w:ascii="David" w:hAnsi="David" w:cs="David"/>
          <w:sz w:val="24"/>
          <w:szCs w:val="24"/>
          <w:rtl/>
        </w:rPr>
        <w:t>, פסקה 8 (6.4.2020)). השפעתם של סמים סינטטיים היא קשה, בעלת השפעות ממכרות, משנות תודעה, מצב רוח, התנהגות</w:t>
      </w:r>
      <w:r w:rsidR="00287F4C">
        <w:rPr>
          <w:rFonts w:ascii="David" w:hAnsi="David" w:cs="David"/>
          <w:sz w:val="24"/>
          <w:szCs w:val="24"/>
          <w:rtl/>
        </w:rPr>
        <w:t xml:space="preserve"> </w:t>
      </w:r>
      <w:r w:rsidRPr="000D223A">
        <w:rPr>
          <w:rFonts w:ascii="David" w:hAnsi="David" w:cs="David"/>
          <w:sz w:val="24"/>
          <w:szCs w:val="24"/>
          <w:rtl/>
        </w:rPr>
        <w:t>ותפיסה (ראו פירוט ביחס לסמים אלה המכונים "סמי פיצוציות" ב</w:t>
      </w:r>
      <w:hyperlink r:id="rId25" w:history="1">
        <w:r w:rsidR="00287F4C" w:rsidRPr="00287F4C">
          <w:rPr>
            <w:rFonts w:ascii="David" w:hAnsi="David" w:cs="David"/>
            <w:color w:val="0000FF"/>
            <w:sz w:val="24"/>
            <w:szCs w:val="24"/>
            <w:u w:val="single"/>
            <w:rtl/>
          </w:rPr>
          <w:t>ת"פ(מחוזי חי') 9572-01-15</w:t>
        </w:r>
      </w:hyperlink>
      <w:r w:rsidRPr="000D223A">
        <w:rPr>
          <w:rFonts w:ascii="David" w:hAnsi="David" w:cs="David"/>
          <w:sz w:val="24"/>
          <w:szCs w:val="24"/>
          <w:rtl/>
        </w:rPr>
        <w:t xml:space="preserve"> </w:t>
      </w:r>
      <w:r w:rsidRPr="000D223A">
        <w:rPr>
          <w:rFonts w:ascii="David" w:hAnsi="David" w:cs="David"/>
          <w:b/>
          <w:bCs/>
          <w:sz w:val="24"/>
          <w:szCs w:val="24"/>
          <w:rtl/>
        </w:rPr>
        <w:t>מדינת ישראל נ' מהאדי ותד</w:t>
      </w:r>
      <w:r w:rsidRPr="000D223A">
        <w:rPr>
          <w:rFonts w:ascii="David" w:hAnsi="David" w:cs="David"/>
          <w:sz w:val="24"/>
          <w:szCs w:val="24"/>
          <w:rtl/>
        </w:rPr>
        <w:t xml:space="preserve">, פסקה 3 (3.6.2015), שם משווה בית המשפט סמים אלה ל"סמים קשים". ראו עוד את התייחסות ערכאת הערעור – </w:t>
      </w:r>
      <w:hyperlink r:id="rId26" w:history="1">
        <w:r w:rsidR="00287F4C" w:rsidRPr="00287F4C">
          <w:rPr>
            <w:rFonts w:ascii="David" w:hAnsi="David" w:cs="David"/>
            <w:color w:val="0000FF"/>
            <w:sz w:val="24"/>
            <w:szCs w:val="24"/>
            <w:u w:val="single"/>
            <w:rtl/>
          </w:rPr>
          <w:t>ע"פ 4915/15</w:t>
        </w:r>
      </w:hyperlink>
      <w:r w:rsidRPr="000D223A">
        <w:rPr>
          <w:rFonts w:ascii="David" w:hAnsi="David" w:cs="David"/>
          <w:sz w:val="24"/>
          <w:szCs w:val="24"/>
          <w:rtl/>
        </w:rPr>
        <w:t xml:space="preserve"> </w:t>
      </w:r>
      <w:r w:rsidRPr="000D223A">
        <w:rPr>
          <w:rFonts w:ascii="David" w:hAnsi="David" w:cs="David"/>
          <w:b/>
          <w:bCs/>
          <w:sz w:val="24"/>
          <w:szCs w:val="24"/>
          <w:rtl/>
        </w:rPr>
        <w:t xml:space="preserve">מהאדי ותד נ' מדינת ישראל </w:t>
      </w:r>
      <w:r w:rsidRPr="000D223A">
        <w:rPr>
          <w:rFonts w:ascii="David" w:hAnsi="David" w:cs="David"/>
          <w:sz w:val="24"/>
          <w:szCs w:val="24"/>
          <w:rtl/>
        </w:rPr>
        <w:t xml:space="preserve">(2.11.2015)).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 xml:space="preserve">           </w:t>
      </w:r>
      <w:r w:rsidRPr="000D223A">
        <w:rPr>
          <w:rFonts w:ascii="David" w:hAnsi="David" w:cs="David"/>
          <w:sz w:val="24"/>
          <w:szCs w:val="24"/>
          <w:rtl/>
        </w:rPr>
        <w:t xml:space="preserve">בנוסף, יש לתת משקל לאופן ייצור סמים אלה, אשר </w:t>
      </w:r>
      <w:r w:rsidRPr="00012F39">
        <w:rPr>
          <w:rFonts w:ascii="David" w:hAnsi="David" w:cs="David"/>
          <w:sz w:val="24"/>
          <w:szCs w:val="24"/>
          <w:rtl/>
        </w:rPr>
        <w:t>"</w:t>
      </w:r>
      <w:r w:rsidRPr="000D223A">
        <w:rPr>
          <w:rFonts w:ascii="David" w:hAnsi="David" w:cs="David"/>
          <w:b/>
          <w:bCs/>
          <w:sz w:val="24"/>
          <w:szCs w:val="24"/>
          <w:rtl/>
        </w:rPr>
        <w:t>התנאים בהם יוצרו, היעדר אחידות או שליטה על החומר הפעיל בכל מנה - כל אלה גורמים לסיכון משמעותי של המשתמשים מעבר לסכנות "הרגילות" הנובעות משימוש באותם סמים</w:t>
      </w:r>
      <w:r w:rsidRPr="00012F39">
        <w:rPr>
          <w:rFonts w:ascii="David" w:hAnsi="David" w:cs="David"/>
          <w:sz w:val="24"/>
          <w:szCs w:val="24"/>
          <w:rtl/>
        </w:rPr>
        <w:t>"</w:t>
      </w:r>
      <w:r w:rsidRPr="000D223A">
        <w:rPr>
          <w:rFonts w:ascii="David" w:hAnsi="David" w:cs="David"/>
          <w:sz w:val="24"/>
          <w:szCs w:val="24"/>
          <w:rtl/>
        </w:rPr>
        <w:t xml:space="preserve"> (</w:t>
      </w:r>
      <w:hyperlink r:id="rId27" w:history="1">
        <w:r w:rsidR="00287F4C" w:rsidRPr="00287F4C">
          <w:rPr>
            <w:rFonts w:ascii="David" w:hAnsi="David" w:cs="David"/>
            <w:color w:val="0000FF"/>
            <w:sz w:val="24"/>
            <w:szCs w:val="24"/>
            <w:u w:val="single"/>
            <w:rtl/>
          </w:rPr>
          <w:t>ת"פ (מחוזי ת"א) 48731-11-14</w:t>
        </w:r>
      </w:hyperlink>
      <w:r w:rsidRPr="000D223A">
        <w:rPr>
          <w:rFonts w:ascii="David" w:hAnsi="David" w:cs="David"/>
          <w:b/>
          <w:bCs/>
          <w:sz w:val="24"/>
          <w:szCs w:val="24"/>
          <w:rtl/>
        </w:rPr>
        <w:t xml:space="preserve"> מדינת ישראל נ' נתנאל ביטון </w:t>
      </w:r>
      <w:r w:rsidRPr="000D223A">
        <w:rPr>
          <w:rFonts w:ascii="David" w:hAnsi="David" w:cs="David"/>
          <w:sz w:val="24"/>
          <w:szCs w:val="24"/>
          <w:rtl/>
        </w:rPr>
        <w:t>(11.4.2016)).</w:t>
      </w:r>
      <w:r w:rsidRPr="000D223A">
        <w:rPr>
          <w:rFonts w:ascii="David" w:hAnsi="David" w:cs="David"/>
          <w:b/>
          <w:bCs/>
          <w:sz w:val="24"/>
          <w:szCs w:val="24"/>
          <w:rtl/>
        </w:rPr>
        <w:t xml:space="preserve"> </w:t>
      </w:r>
      <w:r>
        <w:rPr>
          <w:rFonts w:ascii="David" w:hAnsi="David" w:cs="David" w:hint="cs"/>
          <w:sz w:val="24"/>
          <w:szCs w:val="24"/>
          <w:rtl/>
        </w:rPr>
        <w:t xml:space="preserve">ניתן עוד ללמוד על הנזק הקשה כתוצאה משמוש בסמים דומים במקרים שאירעו בתקופה האחרונה, בהתאם לעדכון </w:t>
      </w:r>
      <w:r w:rsidRPr="000D223A">
        <w:rPr>
          <w:rFonts w:ascii="David" w:hAnsi="David" w:cs="David"/>
          <w:sz w:val="24"/>
          <w:szCs w:val="24"/>
          <w:rtl/>
        </w:rPr>
        <w:t>משרד</w:t>
      </w:r>
      <w:r w:rsidRPr="000D223A">
        <w:rPr>
          <w:rFonts w:ascii="David" w:hAnsi="David" w:cs="David"/>
          <w:b/>
          <w:bCs/>
          <w:sz w:val="24"/>
          <w:szCs w:val="24"/>
          <w:rtl/>
        </w:rPr>
        <w:t xml:space="preserve"> </w:t>
      </w:r>
      <w:r w:rsidRPr="000D223A">
        <w:rPr>
          <w:rFonts w:ascii="David" w:hAnsi="David" w:cs="David"/>
          <w:sz w:val="24"/>
          <w:szCs w:val="24"/>
          <w:rtl/>
        </w:rPr>
        <w:t>הבריאות לגבי שימוש בסם מסוג "נייס גא</w:t>
      </w:r>
      <w:r>
        <w:rPr>
          <w:rFonts w:ascii="David" w:hAnsi="David" w:cs="David" w:hint="cs"/>
          <w:sz w:val="24"/>
          <w:szCs w:val="24"/>
          <w:rtl/>
        </w:rPr>
        <w:t>י</w:t>
      </w:r>
      <w:r w:rsidRPr="000D223A">
        <w:rPr>
          <w:rFonts w:ascii="David" w:hAnsi="David" w:cs="David"/>
          <w:sz w:val="24"/>
          <w:szCs w:val="24"/>
          <w:rtl/>
        </w:rPr>
        <w:t>" אשר גרם לאשפוז משתמשים רבים בו ואף למוות (הודעות משרד הבריאות מיום 2.10.21, 7.10.21 - אתר משרד הבריאות; דיווח משרד הבריאות לוועדת סמים בכנסת ביום 6.10.21 – אתר הכנסת).</w:t>
      </w:r>
    </w:p>
    <w:p w14:paraId="4A6F3BC8" w14:textId="77777777" w:rsidR="00BF4738" w:rsidRPr="000D223A" w:rsidRDefault="00BF4738" w:rsidP="00BF4738">
      <w:pPr>
        <w:pStyle w:val="a9"/>
        <w:spacing w:line="360" w:lineRule="auto"/>
        <w:jc w:val="both"/>
        <w:rPr>
          <w:rFonts w:ascii="David" w:hAnsi="David" w:cs="David"/>
          <w:sz w:val="24"/>
          <w:szCs w:val="24"/>
          <w:rtl/>
        </w:rPr>
      </w:pPr>
      <w:r w:rsidRPr="000D223A">
        <w:rPr>
          <w:rFonts w:ascii="David" w:hAnsi="David" w:cs="David"/>
          <w:sz w:val="24"/>
          <w:szCs w:val="24"/>
          <w:rtl/>
        </w:rPr>
        <w:t xml:space="preserve">החזקת הסם ב"קיוסק" השייך לנאשם, עונה על הגדרתו כ"סם פיצוציות" בשל </w:t>
      </w:r>
      <w:r>
        <w:rPr>
          <w:rFonts w:ascii="David" w:hAnsi="David" w:cs="David" w:hint="cs"/>
          <w:sz w:val="24"/>
          <w:szCs w:val="24"/>
          <w:rtl/>
        </w:rPr>
        <w:t xml:space="preserve">סוג הסם וכן אופי </w:t>
      </w:r>
      <w:r w:rsidRPr="000D223A">
        <w:rPr>
          <w:rFonts w:ascii="David" w:hAnsi="David" w:cs="David"/>
          <w:sz w:val="24"/>
          <w:szCs w:val="24"/>
          <w:rtl/>
        </w:rPr>
        <w:t xml:space="preserve">המקום בו נהוג למכור סם מסוג זה. חלוקת הסם ללא פחות מ-90 מנות מעידה על פוטנציאל הנזק הרב שעלולה היתה להביא הפצתו. </w:t>
      </w:r>
    </w:p>
    <w:p w14:paraId="2855374F" w14:textId="77777777" w:rsidR="00BF4738" w:rsidRPr="000D223A" w:rsidRDefault="00BF4738" w:rsidP="00BF4738">
      <w:pPr>
        <w:pStyle w:val="a9"/>
        <w:spacing w:line="360" w:lineRule="auto"/>
        <w:jc w:val="both"/>
        <w:rPr>
          <w:rFonts w:ascii="David" w:hAnsi="David" w:cs="David"/>
          <w:sz w:val="24"/>
          <w:szCs w:val="24"/>
          <w:rtl/>
        </w:rPr>
      </w:pPr>
      <w:r w:rsidRPr="000D223A">
        <w:rPr>
          <w:rFonts w:ascii="David" w:hAnsi="David" w:cs="David"/>
          <w:sz w:val="24"/>
          <w:szCs w:val="24"/>
          <w:rtl/>
        </w:rPr>
        <w:t>במסגרת</w:t>
      </w:r>
      <w:r w:rsidRPr="000D223A">
        <w:rPr>
          <w:rFonts w:ascii="David" w:hAnsi="David" w:cs="David"/>
          <w:b/>
          <w:bCs/>
          <w:sz w:val="24"/>
          <w:szCs w:val="24"/>
          <w:rtl/>
        </w:rPr>
        <w:t xml:space="preserve"> </w:t>
      </w:r>
      <w:r w:rsidRPr="000D223A">
        <w:rPr>
          <w:rFonts w:ascii="David" w:hAnsi="David" w:cs="David"/>
          <w:sz w:val="24"/>
          <w:szCs w:val="24"/>
          <w:rtl/>
        </w:rPr>
        <w:t>בחינת סוג העבירה, יש להתייחס אף להשפעה הציבורית הנרחבת ולפגיעה בערך החברתי המוגן, הוא ההגנה על שלום הציבור מפני פגיעתם הקשה של סמים. מדובר בפגיעה בעלת רבדים שונים - החל מצרכן הסמים, דרך משפחתו הקרובה ועד לסביבתו הרחוקה אשר נפגעת לא פעם מהצורך במימון צריכת הסם</w:t>
      </w:r>
      <w:r>
        <w:rPr>
          <w:rFonts w:ascii="David" w:hAnsi="David" w:cs="David" w:hint="cs"/>
          <w:sz w:val="24"/>
          <w:szCs w:val="24"/>
          <w:rtl/>
        </w:rPr>
        <w:t xml:space="preserve"> בדרכים פוגעניות</w:t>
      </w:r>
      <w:r w:rsidRPr="000D223A">
        <w:rPr>
          <w:rFonts w:ascii="David" w:hAnsi="David" w:cs="David"/>
          <w:sz w:val="24"/>
          <w:szCs w:val="24"/>
          <w:rtl/>
        </w:rPr>
        <w:t xml:space="preserve">: </w:t>
      </w:r>
    </w:p>
    <w:p w14:paraId="68378865" w14:textId="77777777" w:rsidR="00BF4738" w:rsidRDefault="00BF4738" w:rsidP="00BF4738">
      <w:pPr>
        <w:pStyle w:val="a9"/>
        <w:spacing w:line="240" w:lineRule="auto"/>
        <w:ind w:left="1361" w:right="1134"/>
        <w:jc w:val="both"/>
        <w:rPr>
          <w:rFonts w:ascii="David" w:hAnsi="David" w:cs="David"/>
          <w:sz w:val="24"/>
          <w:szCs w:val="24"/>
          <w:rtl/>
        </w:rPr>
      </w:pPr>
      <w:r w:rsidRPr="000D223A">
        <w:rPr>
          <w:rFonts w:ascii="David" w:hAnsi="David" w:cs="David"/>
          <w:sz w:val="24"/>
          <w:szCs w:val="24"/>
          <w:rtl/>
        </w:rPr>
        <w:t>"</w:t>
      </w:r>
      <w:r w:rsidRPr="000D223A">
        <w:rPr>
          <w:rFonts w:ascii="David" w:hAnsi="David" w:cs="David"/>
          <w:b/>
          <w:bCs/>
          <w:sz w:val="24"/>
          <w:szCs w:val="24"/>
          <w:rt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sidRPr="000D223A">
        <w:rPr>
          <w:rFonts w:ascii="David" w:hAnsi="David" w:cs="David"/>
          <w:sz w:val="24"/>
          <w:szCs w:val="24"/>
          <w:rtl/>
        </w:rPr>
        <w:t xml:space="preserve">" </w:t>
      </w:r>
    </w:p>
    <w:p w14:paraId="35787B76" w14:textId="77777777" w:rsidR="00BF4738" w:rsidRDefault="00BF4738" w:rsidP="00BF4738">
      <w:pPr>
        <w:pStyle w:val="a9"/>
        <w:spacing w:line="240" w:lineRule="auto"/>
        <w:ind w:left="1361" w:right="1134"/>
        <w:jc w:val="both"/>
        <w:rPr>
          <w:rFonts w:ascii="David" w:hAnsi="David" w:cs="David"/>
          <w:sz w:val="24"/>
          <w:szCs w:val="24"/>
          <w:rtl/>
        </w:rPr>
      </w:pPr>
      <w:r>
        <w:rPr>
          <w:rFonts w:ascii="David" w:hAnsi="David" w:cs="David" w:hint="cs"/>
          <w:sz w:val="24"/>
          <w:szCs w:val="24"/>
          <w:rtl/>
        </w:rPr>
        <w:t>(</w:t>
      </w:r>
      <w:hyperlink r:id="rId28" w:history="1">
        <w:r w:rsidR="00287F4C" w:rsidRPr="00287F4C">
          <w:rPr>
            <w:rFonts w:ascii="David" w:hAnsi="David" w:cs="David"/>
            <w:color w:val="0000FF"/>
            <w:sz w:val="24"/>
            <w:szCs w:val="24"/>
            <w:u w:val="single"/>
            <w:rtl/>
          </w:rPr>
          <w:t>ע"פ 1635/14</w:t>
        </w:r>
      </w:hyperlink>
      <w:r w:rsidRPr="000D223A">
        <w:rPr>
          <w:rFonts w:ascii="David" w:hAnsi="David" w:cs="David"/>
          <w:sz w:val="24"/>
          <w:szCs w:val="24"/>
          <w:rtl/>
        </w:rPr>
        <w:t xml:space="preserve"> </w:t>
      </w:r>
      <w:r w:rsidRPr="000D223A">
        <w:rPr>
          <w:rFonts w:ascii="David" w:hAnsi="David" w:cs="David"/>
          <w:b/>
          <w:bCs/>
          <w:sz w:val="24"/>
          <w:szCs w:val="24"/>
          <w:rtl/>
        </w:rPr>
        <w:t>שי יהודה נ' מדינת ישראל</w:t>
      </w:r>
      <w:r w:rsidRPr="000D223A">
        <w:rPr>
          <w:rFonts w:ascii="David" w:hAnsi="David" w:cs="David"/>
          <w:sz w:val="24"/>
          <w:szCs w:val="24"/>
          <w:rtl/>
        </w:rPr>
        <w:t>, פסקה 5 (21.8.2014)).</w:t>
      </w:r>
    </w:p>
    <w:p w14:paraId="6A251F81" w14:textId="77777777" w:rsidR="00BF4738" w:rsidRPr="000D223A" w:rsidRDefault="00BF4738" w:rsidP="00BF4738">
      <w:pPr>
        <w:pStyle w:val="a9"/>
        <w:spacing w:line="240" w:lineRule="auto"/>
        <w:ind w:left="1361" w:right="1134"/>
        <w:jc w:val="both"/>
        <w:rPr>
          <w:rFonts w:ascii="David" w:hAnsi="David" w:cs="David"/>
          <w:sz w:val="24"/>
          <w:szCs w:val="24"/>
          <w:rtl/>
        </w:rPr>
      </w:pPr>
    </w:p>
    <w:p w14:paraId="2D367633" w14:textId="77777777" w:rsidR="00BF4738" w:rsidRPr="000D223A" w:rsidRDefault="00BF4738" w:rsidP="00BF4738">
      <w:pPr>
        <w:pStyle w:val="a9"/>
        <w:spacing w:line="360" w:lineRule="auto"/>
        <w:jc w:val="both"/>
        <w:rPr>
          <w:rFonts w:ascii="David" w:hAnsi="David" w:cs="David"/>
          <w:sz w:val="24"/>
          <w:szCs w:val="24"/>
          <w:rtl/>
        </w:rPr>
      </w:pPr>
      <w:r w:rsidRPr="000D223A">
        <w:rPr>
          <w:rFonts w:ascii="David" w:hAnsi="David" w:cs="David"/>
          <w:sz w:val="24"/>
          <w:szCs w:val="24"/>
          <w:rtl/>
        </w:rPr>
        <w:t>כך, קבע המחוקק את העונש המירבי בגין עבי</w:t>
      </w:r>
      <w:r>
        <w:rPr>
          <w:rFonts w:ascii="David" w:hAnsi="David" w:cs="David" w:hint="cs"/>
          <w:sz w:val="24"/>
          <w:szCs w:val="24"/>
          <w:rtl/>
        </w:rPr>
        <w:t>ר</w:t>
      </w:r>
      <w:r w:rsidRPr="000D223A">
        <w:rPr>
          <w:rFonts w:ascii="David" w:hAnsi="David" w:cs="David"/>
          <w:sz w:val="24"/>
          <w:szCs w:val="24"/>
          <w:rtl/>
        </w:rPr>
        <w:t>ת החזקת סם שלא לצריכה עצמית כעומד על 20 שנות מאסר.</w:t>
      </w:r>
    </w:p>
    <w:p w14:paraId="1D61504E" w14:textId="77777777" w:rsidR="00BF4738" w:rsidRPr="000D223A" w:rsidRDefault="00BF4738" w:rsidP="00BF4738">
      <w:pPr>
        <w:pStyle w:val="a9"/>
        <w:spacing w:line="360" w:lineRule="auto"/>
        <w:jc w:val="both"/>
        <w:rPr>
          <w:rFonts w:ascii="David" w:hAnsi="David" w:cs="David"/>
          <w:sz w:val="24"/>
          <w:szCs w:val="24"/>
          <w:rtl/>
        </w:rPr>
      </w:pPr>
      <w:r w:rsidRPr="000D223A">
        <w:rPr>
          <w:rFonts w:ascii="David" w:hAnsi="David" w:cs="David"/>
          <w:sz w:val="24"/>
          <w:szCs w:val="24"/>
          <w:rtl/>
        </w:rPr>
        <w:t>הפסיקה אותה הציג ב"כ הנאשם התאפיינה בנתונים שונים, בין אם בסוג סם קל</w:t>
      </w:r>
      <w:r>
        <w:rPr>
          <w:rFonts w:ascii="David" w:hAnsi="David" w:cs="David" w:hint="cs"/>
          <w:sz w:val="24"/>
          <w:szCs w:val="24"/>
          <w:rtl/>
        </w:rPr>
        <w:t>,</w:t>
      </w:r>
      <w:r w:rsidRPr="000D223A">
        <w:rPr>
          <w:rFonts w:ascii="David" w:hAnsi="David" w:cs="David"/>
          <w:sz w:val="24"/>
          <w:szCs w:val="24"/>
          <w:rtl/>
        </w:rPr>
        <w:t xml:space="preserve"> בין אם בעבירות סחר בסם מסוכן אך במקרים בודדים בלבד אשר פוטנציאל הנזק בהם שונה מנסיבות המקרה הנדון</w:t>
      </w:r>
      <w:r>
        <w:rPr>
          <w:rFonts w:ascii="David" w:hAnsi="David" w:cs="David" w:hint="cs"/>
          <w:sz w:val="24"/>
          <w:szCs w:val="24"/>
          <w:rtl/>
        </w:rPr>
        <w:t xml:space="preserve">, ואף פסיקה בה </w:t>
      </w:r>
      <w:r w:rsidRPr="000D223A">
        <w:rPr>
          <w:rFonts w:ascii="David" w:hAnsi="David" w:cs="David"/>
          <w:sz w:val="24"/>
          <w:szCs w:val="24"/>
          <w:rtl/>
        </w:rPr>
        <w:t xml:space="preserve">צוין באופן מפורש כי </w:t>
      </w:r>
      <w:r>
        <w:rPr>
          <w:rFonts w:ascii="David" w:hAnsi="David" w:cs="David" w:hint="cs"/>
          <w:sz w:val="24"/>
          <w:szCs w:val="24"/>
          <w:rtl/>
        </w:rPr>
        <w:t xml:space="preserve">המקרה </w:t>
      </w:r>
      <w:r w:rsidRPr="000D223A">
        <w:rPr>
          <w:rFonts w:ascii="David" w:hAnsi="David" w:cs="David"/>
          <w:sz w:val="24"/>
          <w:szCs w:val="24"/>
          <w:rtl/>
        </w:rPr>
        <w:t>אינו עומד בתנאי הלכת כתב. לא מצאתי בהנמקות אותם פסקי דין ביסוס מספק לטיעון לפיו סוג העבירה, בנסיבות המקרה, מאפשר את סיום ההליך ללא הרשעת הנאשם.</w:t>
      </w:r>
    </w:p>
    <w:p w14:paraId="395288A4" w14:textId="77777777" w:rsidR="00BF4738" w:rsidRPr="000D223A" w:rsidRDefault="00BF4738" w:rsidP="00BF4738">
      <w:pPr>
        <w:pStyle w:val="a9"/>
        <w:spacing w:line="360" w:lineRule="auto"/>
        <w:jc w:val="both"/>
        <w:rPr>
          <w:rFonts w:ascii="David" w:hAnsi="David" w:cs="David"/>
          <w:sz w:val="24"/>
          <w:szCs w:val="24"/>
          <w:rtl/>
        </w:rPr>
      </w:pPr>
      <w:r w:rsidRPr="000D223A">
        <w:rPr>
          <w:rFonts w:ascii="David" w:hAnsi="David" w:cs="David"/>
          <w:sz w:val="24"/>
          <w:szCs w:val="24"/>
          <w:rtl/>
        </w:rPr>
        <w:t xml:space="preserve"> </w:t>
      </w:r>
      <w:r>
        <w:rPr>
          <w:rFonts w:ascii="David" w:hAnsi="David" w:cs="David" w:hint="cs"/>
          <w:sz w:val="24"/>
          <w:szCs w:val="24"/>
          <w:rtl/>
        </w:rPr>
        <w:t xml:space="preserve"> </w:t>
      </w:r>
    </w:p>
    <w:p w14:paraId="2E50E048" w14:textId="77777777" w:rsidR="00BF4738" w:rsidRPr="000D223A" w:rsidRDefault="00BF4738" w:rsidP="00BF4738">
      <w:pPr>
        <w:pStyle w:val="a9"/>
        <w:numPr>
          <w:ilvl w:val="0"/>
          <w:numId w:val="1"/>
        </w:numPr>
        <w:spacing w:after="0" w:line="360" w:lineRule="atLeast"/>
        <w:jc w:val="both"/>
        <w:rPr>
          <w:rFonts w:ascii="David" w:hAnsi="David" w:cs="David"/>
          <w:sz w:val="24"/>
          <w:szCs w:val="24"/>
        </w:rPr>
      </w:pPr>
      <w:r w:rsidRPr="000D223A">
        <w:rPr>
          <w:rFonts w:ascii="David" w:hAnsi="David" w:cs="David"/>
          <w:sz w:val="24"/>
          <w:szCs w:val="24"/>
          <w:rtl/>
        </w:rPr>
        <w:t>בבחינת למעלה מהצורך, אתייחס אף לבחינת מידת הפגיעה בנאשם מעצם הרשעתו. ב"כ הנאשם טען כי הרשעתו עלולה לפגוע בעיסוקו העתידי כעורך דין והגיש מסמך לפיו לשכת עורכי הדין אישרה לו לבצע התמחות, בכפוף לחתימתו על טופס אי-הסתמכות (</w:t>
      </w:r>
      <w:r w:rsidRPr="000D223A">
        <w:rPr>
          <w:rFonts w:ascii="David" w:hAnsi="David" w:cs="David"/>
          <w:b/>
          <w:bCs/>
          <w:sz w:val="24"/>
          <w:szCs w:val="24"/>
          <w:rtl/>
        </w:rPr>
        <w:t>טנ/1</w:t>
      </w:r>
      <w:r w:rsidRPr="000D223A">
        <w:rPr>
          <w:rFonts w:ascii="David" w:hAnsi="David" w:cs="David"/>
          <w:sz w:val="24"/>
          <w:szCs w:val="24"/>
          <w:rtl/>
        </w:rPr>
        <w:t>). סוגית קבלת מועמד ללשכת עורכי הדין לאחר שהורשע בעבירה פלילית, נתונה לשיקול דעת הלשכה (</w:t>
      </w:r>
      <w:hyperlink r:id="rId29" w:history="1">
        <w:r w:rsidR="007009B1" w:rsidRPr="007009B1">
          <w:rPr>
            <w:rStyle w:val="Hyperlink"/>
            <w:rFonts w:ascii="David" w:hAnsi="David" w:cs="David"/>
            <w:sz w:val="24"/>
            <w:szCs w:val="24"/>
            <w:rtl/>
          </w:rPr>
          <w:t>סעיף 44</w:t>
        </w:r>
      </w:hyperlink>
      <w:r w:rsidRPr="000D223A">
        <w:rPr>
          <w:rFonts w:ascii="David" w:hAnsi="David" w:cs="David"/>
          <w:sz w:val="24"/>
          <w:szCs w:val="24"/>
          <w:rtl/>
        </w:rPr>
        <w:t xml:space="preserve"> ל</w:t>
      </w:r>
      <w:hyperlink r:id="rId30" w:history="1">
        <w:r w:rsidR="00287F4C" w:rsidRPr="00287F4C">
          <w:rPr>
            <w:rFonts w:ascii="David" w:hAnsi="David" w:cs="David"/>
            <w:b/>
            <w:bCs/>
            <w:color w:val="0000FF"/>
            <w:sz w:val="24"/>
            <w:szCs w:val="24"/>
            <w:u w:val="single"/>
            <w:rtl/>
          </w:rPr>
          <w:t>חוק לשכת עורכי הדין</w:t>
        </w:r>
      </w:hyperlink>
      <w:r w:rsidRPr="000D223A">
        <w:rPr>
          <w:rFonts w:ascii="David" w:hAnsi="David" w:cs="David"/>
          <w:sz w:val="24"/>
          <w:szCs w:val="24"/>
          <w:rtl/>
        </w:rPr>
        <w:t>, תשכ"א- 1961, להלן: "</w:t>
      </w:r>
      <w:r w:rsidRPr="000D223A">
        <w:rPr>
          <w:rFonts w:ascii="David" w:hAnsi="David" w:cs="David"/>
          <w:b/>
          <w:bCs/>
          <w:sz w:val="24"/>
          <w:szCs w:val="24"/>
          <w:rtl/>
        </w:rPr>
        <w:t>חוק לשכת עורכי הדין</w:t>
      </w:r>
      <w:r w:rsidRPr="000D223A">
        <w:rPr>
          <w:rFonts w:ascii="David" w:hAnsi="David" w:cs="David"/>
          <w:sz w:val="24"/>
          <w:szCs w:val="24"/>
          <w:rtl/>
        </w:rPr>
        <w:t xml:space="preserve">"). אין מדובר בהחלטת פסילה גורפת המתקבלת באופן אוטומטי ושרירותי בכל מקרה של הרשעה פלילית, אלא כזו המחייבת הפעלת שיקול דעת: </w:t>
      </w:r>
      <w:hyperlink r:id="rId31" w:history="1">
        <w:r w:rsidR="007009B1" w:rsidRPr="007009B1">
          <w:rPr>
            <w:rStyle w:val="Hyperlink"/>
            <w:rFonts w:ascii="David" w:hAnsi="David" w:cs="David"/>
            <w:sz w:val="24"/>
            <w:szCs w:val="24"/>
            <w:rtl/>
          </w:rPr>
          <w:t>סעיף 44(א)(1)</w:t>
        </w:r>
      </w:hyperlink>
      <w:r w:rsidRPr="000D223A">
        <w:rPr>
          <w:rFonts w:ascii="David" w:hAnsi="David" w:cs="David"/>
          <w:sz w:val="24"/>
          <w:szCs w:val="24"/>
          <w:rtl/>
        </w:rPr>
        <w:t xml:space="preserve"> ל</w:t>
      </w:r>
      <w:hyperlink r:id="rId32" w:history="1">
        <w:r w:rsidR="00287F4C" w:rsidRPr="00287F4C">
          <w:rPr>
            <w:rFonts w:ascii="David" w:hAnsi="David" w:cs="David"/>
            <w:color w:val="0000FF"/>
            <w:sz w:val="24"/>
            <w:szCs w:val="24"/>
            <w:u w:val="single"/>
            <w:rtl/>
          </w:rPr>
          <w:t>חוק לשכת עורכי הדין</w:t>
        </w:r>
      </w:hyperlink>
      <w:r w:rsidRPr="000D223A">
        <w:rPr>
          <w:rFonts w:ascii="David" w:hAnsi="David" w:cs="David"/>
          <w:sz w:val="24"/>
          <w:szCs w:val="24"/>
          <w:rtl/>
        </w:rPr>
        <w:t xml:space="preserve"> מחייב כי מדובר יהיה בהרשעה בעבירה בה יש "</w:t>
      </w:r>
      <w:r w:rsidRPr="000D223A">
        <w:rPr>
          <w:rFonts w:ascii="David" w:hAnsi="David" w:cs="David"/>
          <w:b/>
          <w:bCs/>
          <w:sz w:val="24"/>
          <w:szCs w:val="24"/>
          <w:rtl/>
        </w:rPr>
        <w:t>משום קלון</w:t>
      </w:r>
      <w:r w:rsidRPr="000D223A">
        <w:rPr>
          <w:rFonts w:ascii="David" w:hAnsi="David" w:cs="David"/>
          <w:sz w:val="24"/>
          <w:szCs w:val="24"/>
          <w:rtl/>
        </w:rPr>
        <w:t>" וכן כי "</w:t>
      </w:r>
      <w:r w:rsidRPr="000D223A">
        <w:rPr>
          <w:rFonts w:ascii="David" w:hAnsi="David" w:cs="David"/>
          <w:b/>
          <w:bCs/>
          <w:sz w:val="24"/>
          <w:szCs w:val="24"/>
          <w:rtl/>
        </w:rPr>
        <w:t>הלשכה סבורה שלאור הרשעה זו אין הוא ראוי לשמש עורך דין</w:t>
      </w:r>
      <w:r w:rsidRPr="000D223A">
        <w:rPr>
          <w:rFonts w:ascii="David" w:hAnsi="David" w:cs="David"/>
          <w:sz w:val="24"/>
          <w:szCs w:val="24"/>
          <w:rtl/>
        </w:rPr>
        <w:t xml:space="preserve">". </w:t>
      </w:r>
    </w:p>
    <w:p w14:paraId="6FB908CA" w14:textId="77777777" w:rsidR="00BF4738" w:rsidRPr="000D223A" w:rsidRDefault="00BF4738" w:rsidP="00BF4738">
      <w:pPr>
        <w:pStyle w:val="a9"/>
        <w:spacing w:after="0" w:line="360" w:lineRule="atLeast"/>
        <w:jc w:val="both"/>
        <w:rPr>
          <w:rFonts w:ascii="David" w:hAnsi="David" w:cs="David"/>
          <w:sz w:val="24"/>
          <w:szCs w:val="24"/>
          <w:rtl/>
        </w:rPr>
      </w:pPr>
      <w:r w:rsidRPr="000D223A">
        <w:rPr>
          <w:rFonts w:ascii="David" w:hAnsi="David" w:cs="David"/>
          <w:sz w:val="24"/>
          <w:szCs w:val="24"/>
          <w:rtl/>
        </w:rPr>
        <w:t xml:space="preserve">בהתחשב בחשיבות שמצא המחוקק בעדכון הגורם המוסמך, </w:t>
      </w:r>
      <w:r>
        <w:rPr>
          <w:rFonts w:ascii="David" w:hAnsi="David" w:cs="David" w:hint="cs"/>
          <w:sz w:val="24"/>
          <w:szCs w:val="24"/>
          <w:rtl/>
        </w:rPr>
        <w:t xml:space="preserve">הוא </w:t>
      </w:r>
      <w:r w:rsidRPr="000D223A">
        <w:rPr>
          <w:rFonts w:ascii="David" w:hAnsi="David" w:cs="David"/>
          <w:sz w:val="24"/>
          <w:szCs w:val="24"/>
          <w:rtl/>
        </w:rPr>
        <w:t xml:space="preserve">לשכת עורכי הדין, לגבי רישום פלילי, </w:t>
      </w:r>
      <w:r>
        <w:rPr>
          <w:rFonts w:ascii="David" w:hAnsi="David" w:cs="David" w:hint="cs"/>
          <w:sz w:val="24"/>
          <w:szCs w:val="24"/>
          <w:rtl/>
        </w:rPr>
        <w:t xml:space="preserve">וזאת </w:t>
      </w:r>
      <w:r w:rsidRPr="000D223A">
        <w:rPr>
          <w:rFonts w:ascii="David" w:hAnsi="David" w:cs="David"/>
          <w:sz w:val="24"/>
          <w:szCs w:val="24"/>
          <w:rtl/>
        </w:rPr>
        <w:t xml:space="preserve">לשם הפעלת שיקול דעתו בהתאם לנסיבות כל מקרה ומקרה, אני מוצא כי אין לפעול בדרך שתימנע מאותו גורם מוסמך מידע זה. כשמדובר במקרים בהם נמצא כי הרשעה עלולה להשפיע על כשירות נאשם לעסוק במקצוע מסוים, נקבע שמן הראוי הוא </w:t>
      </w:r>
      <w:r>
        <w:rPr>
          <w:rFonts w:ascii="David" w:hAnsi="David" w:cs="David" w:hint="cs"/>
          <w:sz w:val="24"/>
          <w:szCs w:val="24"/>
          <w:rtl/>
        </w:rPr>
        <w:t>ש</w:t>
      </w:r>
      <w:r w:rsidRPr="000D223A">
        <w:rPr>
          <w:rFonts w:ascii="David" w:hAnsi="David" w:cs="David"/>
          <w:sz w:val="24"/>
          <w:szCs w:val="24"/>
          <w:rtl/>
        </w:rPr>
        <w:t>הדבר ייבחן על ידי הגורמים המוסמכים:</w:t>
      </w:r>
    </w:p>
    <w:p w14:paraId="28931709" w14:textId="77777777" w:rsidR="00BF4738" w:rsidRDefault="00BF4738" w:rsidP="00BF4738">
      <w:pPr>
        <w:pStyle w:val="a9"/>
        <w:spacing w:after="0"/>
        <w:ind w:left="1361" w:right="1134"/>
        <w:jc w:val="both"/>
        <w:rPr>
          <w:rFonts w:ascii="David" w:hAnsi="David" w:cs="David"/>
          <w:sz w:val="24"/>
          <w:szCs w:val="24"/>
          <w:rtl/>
        </w:rPr>
      </w:pPr>
    </w:p>
    <w:p w14:paraId="2DE76C3E" w14:textId="77777777" w:rsidR="00BF4738" w:rsidRPr="000D223A" w:rsidRDefault="00BF4738" w:rsidP="00BF4738">
      <w:pPr>
        <w:pStyle w:val="a9"/>
        <w:spacing w:after="0"/>
        <w:ind w:left="1361" w:right="1134"/>
        <w:jc w:val="both"/>
        <w:rPr>
          <w:rFonts w:ascii="David" w:hAnsi="David" w:cs="David"/>
          <w:sz w:val="24"/>
          <w:szCs w:val="24"/>
          <w:rtl/>
        </w:rPr>
      </w:pPr>
      <w:r w:rsidRPr="000D223A">
        <w:rPr>
          <w:rFonts w:ascii="David" w:hAnsi="David" w:cs="David"/>
          <w:sz w:val="24"/>
          <w:szCs w:val="24"/>
          <w:rtl/>
        </w:rPr>
        <w:t>"</w:t>
      </w:r>
      <w:r w:rsidRPr="000D223A">
        <w:rPr>
          <w:rFonts w:ascii="David" w:hAnsi="David" w:cs="David"/>
          <w:b/>
          <w:bCs/>
          <w:sz w:val="24"/>
          <w:szCs w:val="24"/>
          <w:rtl/>
        </w:rPr>
        <w:t>הדבר עולה בקנה אחד עם האינטרס הציבורי שכן משנמצא כי אדם ביצע עבירה פלילית שעלולה להשפיע על כשרותו לעסוק במקצוע מסוים מן הראוי כי הדבר יבחן על ידי הגורמים המתאימים</w:t>
      </w:r>
      <w:r w:rsidRPr="000D223A">
        <w:rPr>
          <w:rFonts w:ascii="David" w:hAnsi="David" w:cs="David"/>
          <w:sz w:val="24"/>
          <w:szCs w:val="24"/>
          <w:rtl/>
        </w:rPr>
        <w:t xml:space="preserve">" </w:t>
      </w:r>
    </w:p>
    <w:p w14:paraId="2230544D" w14:textId="77777777" w:rsidR="00BF4738" w:rsidRPr="000D223A" w:rsidRDefault="00BF4738" w:rsidP="00BF4738">
      <w:pPr>
        <w:pStyle w:val="a9"/>
        <w:spacing w:after="0"/>
        <w:ind w:left="1361" w:right="1134"/>
        <w:jc w:val="both"/>
        <w:rPr>
          <w:rFonts w:ascii="David" w:hAnsi="David" w:cs="David"/>
          <w:b/>
          <w:bCs/>
          <w:sz w:val="24"/>
          <w:szCs w:val="24"/>
          <w:rtl/>
        </w:rPr>
      </w:pPr>
      <w:r w:rsidRPr="000D223A">
        <w:rPr>
          <w:rFonts w:ascii="David" w:hAnsi="David" w:cs="David"/>
          <w:sz w:val="24"/>
          <w:szCs w:val="24"/>
          <w:rtl/>
        </w:rPr>
        <w:t>(</w:t>
      </w:r>
      <w:hyperlink r:id="rId33" w:history="1">
        <w:r w:rsidR="00287F4C" w:rsidRPr="00287F4C">
          <w:rPr>
            <w:rFonts w:ascii="David" w:hAnsi="David" w:cs="David"/>
            <w:color w:val="0000FF"/>
            <w:sz w:val="24"/>
            <w:szCs w:val="24"/>
            <w:u w:val="single"/>
            <w:rtl/>
          </w:rPr>
          <w:t>רע"פ 5018/18</w:t>
        </w:r>
      </w:hyperlink>
      <w:r w:rsidR="00287F4C">
        <w:rPr>
          <w:rFonts w:ascii="David" w:hAnsi="David" w:cs="David"/>
          <w:sz w:val="24"/>
          <w:szCs w:val="24"/>
          <w:rtl/>
        </w:rPr>
        <w:t xml:space="preserve"> </w:t>
      </w:r>
      <w:r w:rsidRPr="000D223A">
        <w:rPr>
          <w:rFonts w:ascii="David" w:hAnsi="David" w:cs="David"/>
          <w:b/>
          <w:bCs/>
          <w:sz w:val="24"/>
          <w:szCs w:val="24"/>
          <w:rtl/>
        </w:rPr>
        <w:t>בוזגלו נ' מדינת ישראל</w:t>
      </w:r>
      <w:r w:rsidR="00287F4C">
        <w:rPr>
          <w:rFonts w:ascii="David" w:hAnsi="David" w:cs="David"/>
          <w:sz w:val="24"/>
          <w:szCs w:val="24"/>
          <w:rtl/>
        </w:rPr>
        <w:t xml:space="preserve"> </w:t>
      </w:r>
      <w:r w:rsidRPr="000D223A">
        <w:rPr>
          <w:rFonts w:ascii="David" w:hAnsi="David" w:cs="David"/>
          <w:sz w:val="24"/>
          <w:szCs w:val="24"/>
          <w:rtl/>
        </w:rPr>
        <w:t xml:space="preserve">פסקה 9 (21.10.2018). ראו עוד לענין זה: </w:t>
      </w:r>
      <w:hyperlink r:id="rId34" w:history="1">
        <w:r w:rsidR="00287F4C" w:rsidRPr="00287F4C">
          <w:rPr>
            <w:rFonts w:ascii="David" w:hAnsi="David" w:cs="David"/>
            <w:color w:val="0000FF"/>
            <w:sz w:val="24"/>
            <w:szCs w:val="24"/>
            <w:u w:val="single"/>
            <w:rtl/>
          </w:rPr>
          <w:t>רע"פ 3224/19</w:t>
        </w:r>
      </w:hyperlink>
      <w:r w:rsidRPr="000D223A">
        <w:rPr>
          <w:rFonts w:ascii="David" w:hAnsi="David" w:cs="David"/>
          <w:sz w:val="24"/>
          <w:szCs w:val="24"/>
          <w:rtl/>
        </w:rPr>
        <w:t xml:space="preserve"> </w:t>
      </w:r>
      <w:r w:rsidRPr="000D223A">
        <w:rPr>
          <w:rFonts w:ascii="David" w:hAnsi="David" w:cs="David"/>
          <w:b/>
          <w:bCs/>
          <w:sz w:val="24"/>
          <w:szCs w:val="24"/>
          <w:rtl/>
        </w:rPr>
        <w:t>אביב נ' מדינת ישראל</w:t>
      </w:r>
      <w:r w:rsidRPr="000D223A">
        <w:rPr>
          <w:rFonts w:ascii="David" w:hAnsi="David" w:cs="David"/>
          <w:sz w:val="24"/>
          <w:szCs w:val="24"/>
          <w:rtl/>
        </w:rPr>
        <w:t xml:space="preserve"> (28.5.2019);</w:t>
      </w:r>
      <w:r w:rsidR="00287F4C">
        <w:rPr>
          <w:rFonts w:ascii="David" w:hAnsi="David" w:cs="David"/>
          <w:sz w:val="24"/>
          <w:szCs w:val="24"/>
          <w:rtl/>
        </w:rPr>
        <w:t xml:space="preserve"> </w:t>
      </w:r>
      <w:hyperlink r:id="rId35" w:history="1">
        <w:r w:rsidR="00287F4C" w:rsidRPr="00287F4C">
          <w:rPr>
            <w:rFonts w:ascii="David" w:hAnsi="David" w:cs="David"/>
            <w:color w:val="0000FF"/>
            <w:sz w:val="24"/>
            <w:szCs w:val="24"/>
            <w:u w:val="single"/>
            <w:rtl/>
          </w:rPr>
          <w:t>רע"פ 1746/18</w:t>
        </w:r>
      </w:hyperlink>
      <w:r w:rsidR="00287F4C">
        <w:rPr>
          <w:rFonts w:ascii="David" w:hAnsi="David" w:cs="David"/>
          <w:sz w:val="24"/>
          <w:szCs w:val="24"/>
          <w:rtl/>
        </w:rPr>
        <w:t xml:space="preserve"> </w:t>
      </w:r>
      <w:r w:rsidRPr="000D223A">
        <w:rPr>
          <w:rFonts w:ascii="David" w:hAnsi="David" w:cs="David"/>
          <w:b/>
          <w:bCs/>
          <w:sz w:val="24"/>
          <w:szCs w:val="24"/>
          <w:rtl/>
        </w:rPr>
        <w:t xml:space="preserve">פלהיימר נ' מדינת ישראל </w:t>
      </w:r>
      <w:r w:rsidRPr="000D223A">
        <w:rPr>
          <w:rFonts w:ascii="David" w:hAnsi="David" w:cs="David"/>
          <w:sz w:val="24"/>
          <w:szCs w:val="24"/>
          <w:rtl/>
        </w:rPr>
        <w:t>(26.4.2018);</w:t>
      </w:r>
      <w:r w:rsidRPr="000D223A">
        <w:rPr>
          <w:rFonts w:ascii="David" w:hAnsi="David" w:cs="David"/>
          <w:b/>
          <w:bCs/>
          <w:sz w:val="24"/>
          <w:szCs w:val="24"/>
          <w:rtl/>
        </w:rPr>
        <w:t xml:space="preserve">  ענין לוי</w:t>
      </w:r>
      <w:r w:rsidRPr="000D223A">
        <w:rPr>
          <w:rFonts w:ascii="David" w:hAnsi="David" w:cs="David"/>
          <w:sz w:val="24"/>
          <w:szCs w:val="24"/>
          <w:rtl/>
        </w:rPr>
        <w:t>, שם).</w:t>
      </w:r>
      <w:r w:rsidRPr="000D223A">
        <w:rPr>
          <w:rFonts w:ascii="David" w:hAnsi="David" w:cs="David"/>
          <w:b/>
          <w:bCs/>
          <w:sz w:val="24"/>
          <w:szCs w:val="24"/>
          <w:rtl/>
        </w:rPr>
        <w:t xml:space="preserve"> </w:t>
      </w:r>
    </w:p>
    <w:p w14:paraId="331ED648" w14:textId="77777777" w:rsidR="00BF4738" w:rsidRPr="000D223A" w:rsidRDefault="00BF4738" w:rsidP="00BF4738">
      <w:pPr>
        <w:ind w:right="851"/>
        <w:jc w:val="both"/>
        <w:rPr>
          <w:rFonts w:ascii="David" w:hAnsi="David"/>
          <w:rtl/>
        </w:rPr>
      </w:pPr>
      <w:r w:rsidRPr="000D223A">
        <w:rPr>
          <w:rFonts w:ascii="David" w:hAnsi="David"/>
          <w:rtl/>
        </w:rPr>
        <w:tab/>
      </w:r>
    </w:p>
    <w:p w14:paraId="410F467F" w14:textId="77777777" w:rsidR="00BF4738" w:rsidRPr="000D223A" w:rsidRDefault="00BF4738" w:rsidP="00BF4738">
      <w:pPr>
        <w:spacing w:line="360" w:lineRule="auto"/>
        <w:ind w:left="652" w:hanging="652"/>
        <w:jc w:val="both"/>
        <w:rPr>
          <w:rFonts w:ascii="David" w:hAnsi="David"/>
          <w:rtl/>
        </w:rPr>
      </w:pPr>
      <w:r w:rsidRPr="000D223A">
        <w:rPr>
          <w:rFonts w:ascii="David" w:hAnsi="David"/>
          <w:rtl/>
        </w:rPr>
        <w:tab/>
        <w:t>בבחינת למעלה מהצורך, ובלא שהדבר ישפיע על ההחלטה, אפנה לכך שהנאשם החל בלימודיו בסמוך לאחר ביצוע העבירה. בכך, נטל על עצמו הנאשם סיכון כי בסופו של יום עלולה לשכת עורכי הדין לבחון את סוגית עברו הפלילי</w:t>
      </w:r>
      <w:r>
        <w:rPr>
          <w:rFonts w:ascii="David" w:hAnsi="David" w:hint="cs"/>
          <w:rtl/>
        </w:rPr>
        <w:t>, כפי שנקבע בענין אחר</w:t>
      </w:r>
      <w:r w:rsidRPr="000D223A">
        <w:rPr>
          <w:rFonts w:ascii="David" w:hAnsi="David"/>
          <w:rtl/>
        </w:rPr>
        <w:t xml:space="preserve">: </w:t>
      </w:r>
    </w:p>
    <w:p w14:paraId="021054C6" w14:textId="77777777" w:rsidR="00BF4738" w:rsidRDefault="00BF4738" w:rsidP="00BF4738">
      <w:pPr>
        <w:ind w:left="1361" w:right="1134"/>
        <w:jc w:val="both"/>
        <w:rPr>
          <w:rFonts w:ascii="David" w:hAnsi="David"/>
          <w:rtl/>
        </w:rPr>
      </w:pPr>
      <w:r w:rsidRPr="000D223A">
        <w:rPr>
          <w:rFonts w:ascii="David" w:hAnsi="David"/>
          <w:rtl/>
        </w:rPr>
        <w:t>"</w:t>
      </w:r>
      <w:r w:rsidRPr="000D223A">
        <w:rPr>
          <w:rFonts w:ascii="David" w:hAnsi="David"/>
          <w:b/>
          <w:bCs/>
          <w:rtl/>
        </w:rPr>
        <w:t>גם אם המשיב 1 החל בלימודים לפני כן, את מרבית שנות הלימודים עשה ביודעו כי הוא עתיד לתת את הדין על האירוע הקשה שבפנינו. המשיב 1 נטל סיכון מסוים בכך שהמשיך בלימודיו במקצוע זה דווקא. צר לנו על כך שלא יוכל לקצור את הפירות מלימודיו בנקודת הזמן הנוכחית, אולם על כך היה עליו לחשוב בזמן הנכון</w:t>
      </w:r>
      <w:r w:rsidRPr="000D223A">
        <w:rPr>
          <w:rFonts w:ascii="David" w:hAnsi="David"/>
          <w:rtl/>
        </w:rPr>
        <w:t xml:space="preserve">" </w:t>
      </w:r>
    </w:p>
    <w:p w14:paraId="4790F337" w14:textId="77777777" w:rsidR="00BF4738" w:rsidRPr="000D223A" w:rsidRDefault="00BF4738" w:rsidP="00BF4738">
      <w:pPr>
        <w:ind w:left="1361" w:right="1134"/>
        <w:jc w:val="both"/>
        <w:rPr>
          <w:rFonts w:ascii="David" w:hAnsi="David"/>
          <w:rtl/>
        </w:rPr>
      </w:pPr>
      <w:r w:rsidRPr="000D223A">
        <w:rPr>
          <w:rFonts w:ascii="David" w:hAnsi="David"/>
          <w:rtl/>
        </w:rPr>
        <w:t>(</w:t>
      </w:r>
      <w:hyperlink r:id="rId36" w:history="1">
        <w:r w:rsidR="00287F4C" w:rsidRPr="00287F4C">
          <w:rPr>
            <w:rFonts w:ascii="David" w:hAnsi="David"/>
            <w:color w:val="0000FF"/>
            <w:u w:val="single"/>
            <w:rtl/>
          </w:rPr>
          <w:t>עפ"ג(ת"א) 36931-06-15</w:t>
        </w:r>
      </w:hyperlink>
      <w:r w:rsidRPr="000D223A">
        <w:rPr>
          <w:rFonts w:ascii="David" w:hAnsi="David"/>
          <w:rtl/>
        </w:rPr>
        <w:t xml:space="preserve"> </w:t>
      </w:r>
      <w:r w:rsidRPr="000D223A">
        <w:rPr>
          <w:rFonts w:ascii="David" w:hAnsi="David"/>
          <w:b/>
          <w:bCs/>
          <w:rtl/>
        </w:rPr>
        <w:t>מדינת ישראל נ' שחר חלפון</w:t>
      </w:r>
      <w:r w:rsidRPr="000D223A">
        <w:rPr>
          <w:rFonts w:ascii="David" w:hAnsi="David"/>
          <w:rtl/>
        </w:rPr>
        <w:t xml:space="preserve">, פסקה 13 (16.11.2015)). </w:t>
      </w:r>
    </w:p>
    <w:p w14:paraId="1ECF632C" w14:textId="77777777" w:rsidR="00BF4738" w:rsidRPr="000D223A" w:rsidRDefault="00BF4738" w:rsidP="00BF4738">
      <w:pPr>
        <w:ind w:left="652" w:right="851" w:hanging="652"/>
        <w:jc w:val="both"/>
        <w:rPr>
          <w:rFonts w:ascii="David" w:hAnsi="David"/>
          <w:rtl/>
        </w:rPr>
      </w:pPr>
      <w:r w:rsidRPr="000D223A">
        <w:rPr>
          <w:rFonts w:ascii="David" w:hAnsi="David"/>
          <w:rtl/>
        </w:rPr>
        <w:t xml:space="preserve"> </w:t>
      </w:r>
    </w:p>
    <w:p w14:paraId="151C3F77" w14:textId="77777777" w:rsidR="00BF4738" w:rsidRPr="000D223A" w:rsidRDefault="00BF4738" w:rsidP="00BF4738">
      <w:pPr>
        <w:ind w:left="652" w:right="142" w:hanging="652"/>
        <w:jc w:val="both"/>
        <w:rPr>
          <w:rFonts w:ascii="David" w:hAnsi="David"/>
          <w:rtl/>
        </w:rPr>
      </w:pPr>
    </w:p>
    <w:p w14:paraId="77BB7FB6" w14:textId="77777777" w:rsidR="00BF4738" w:rsidRDefault="00BF4738" w:rsidP="00BF4738">
      <w:pPr>
        <w:spacing w:line="360" w:lineRule="auto"/>
        <w:ind w:left="652" w:hanging="652"/>
        <w:jc w:val="both"/>
        <w:rPr>
          <w:rFonts w:ascii="David" w:hAnsi="David"/>
          <w:rtl/>
        </w:rPr>
      </w:pPr>
      <w:r w:rsidRPr="000D223A">
        <w:rPr>
          <w:rFonts w:ascii="David" w:hAnsi="David"/>
          <w:rtl/>
        </w:rPr>
        <w:tab/>
        <w:t xml:space="preserve">בנסיבות כוללות אלה, </w:t>
      </w:r>
      <w:r>
        <w:rPr>
          <w:rFonts w:ascii="David" w:hAnsi="David" w:hint="cs"/>
          <w:rtl/>
        </w:rPr>
        <w:t>המקרה אינו עומד בתנאים המצטברים הנדרשים לשם ביטול הרשעת הנאשם ו</w:t>
      </w:r>
      <w:r w:rsidRPr="000D223A">
        <w:rPr>
          <w:rFonts w:ascii="David" w:hAnsi="David"/>
          <w:rtl/>
        </w:rPr>
        <w:t xml:space="preserve">אין מדובר באחד המקרים החריגים בהם קיים פער קיצוני בין עוצמת הפגיעה בהרשעת הנאשם לבין התועלת כתוצאה מהרשעתו. </w:t>
      </w:r>
    </w:p>
    <w:p w14:paraId="6F1F4DE5" w14:textId="77777777" w:rsidR="00BF4738" w:rsidRPr="000D223A" w:rsidRDefault="00BF4738" w:rsidP="00BF4738">
      <w:pPr>
        <w:spacing w:line="360" w:lineRule="auto"/>
        <w:ind w:left="652"/>
        <w:jc w:val="both"/>
        <w:rPr>
          <w:rFonts w:ascii="David" w:hAnsi="David"/>
          <w:rtl/>
        </w:rPr>
      </w:pPr>
      <w:r w:rsidRPr="000D223A">
        <w:rPr>
          <w:rFonts w:ascii="David" w:hAnsi="David"/>
          <w:rtl/>
        </w:rPr>
        <w:t xml:space="preserve">לפיכך, הבקשה לביטול ההרשעה נדחית. </w:t>
      </w:r>
    </w:p>
    <w:p w14:paraId="1EFC2FDF" w14:textId="77777777" w:rsidR="00BF4738" w:rsidRPr="000D223A" w:rsidRDefault="00BF4738" w:rsidP="00BF4738">
      <w:pPr>
        <w:spacing w:line="360" w:lineRule="atLeast"/>
        <w:ind w:firstLine="360"/>
        <w:jc w:val="both"/>
        <w:rPr>
          <w:rFonts w:ascii="David" w:hAnsi="David"/>
          <w:b/>
          <w:bCs/>
          <w:u w:val="single"/>
          <w:rtl/>
        </w:rPr>
      </w:pPr>
      <w:r w:rsidRPr="000D223A">
        <w:rPr>
          <w:rFonts w:ascii="David" w:hAnsi="David"/>
          <w:b/>
          <w:bCs/>
          <w:u w:val="single"/>
          <w:rtl/>
        </w:rPr>
        <w:t>מתחם העונש ההולם</w:t>
      </w:r>
    </w:p>
    <w:p w14:paraId="4BC54438" w14:textId="77777777" w:rsidR="00BF4738" w:rsidRPr="000D223A" w:rsidRDefault="00BF4738" w:rsidP="00BF4738">
      <w:pPr>
        <w:pStyle w:val="a9"/>
        <w:numPr>
          <w:ilvl w:val="0"/>
          <w:numId w:val="1"/>
        </w:numPr>
        <w:spacing w:line="360" w:lineRule="atLeast"/>
        <w:jc w:val="both"/>
        <w:rPr>
          <w:rFonts w:ascii="David" w:hAnsi="David" w:cs="David"/>
          <w:sz w:val="24"/>
          <w:szCs w:val="24"/>
        </w:rPr>
      </w:pPr>
      <w:r w:rsidRPr="000D223A">
        <w:rPr>
          <w:rFonts w:ascii="David" w:hAnsi="David" w:cs="David"/>
          <w:sz w:val="24"/>
          <w:szCs w:val="24"/>
          <w:rtl/>
        </w:rPr>
        <w:t xml:space="preserve">נסיבות ביצוע העבירה וכן מידת הפגיעה בערכים החברתיים המוגנים פורטו בסעיף 8 לעיל. הפסיקה הנוהגת בעבירות דומות נעה החל </w:t>
      </w:r>
      <w:r>
        <w:rPr>
          <w:rFonts w:ascii="David" w:hAnsi="David" w:cs="David" w:hint="cs"/>
          <w:sz w:val="24"/>
          <w:szCs w:val="24"/>
          <w:rtl/>
        </w:rPr>
        <w:t>מ</w:t>
      </w:r>
      <w:r w:rsidRPr="000D223A">
        <w:rPr>
          <w:rFonts w:ascii="David" w:hAnsi="David" w:cs="David"/>
          <w:sz w:val="24"/>
          <w:szCs w:val="24"/>
          <w:rtl/>
        </w:rPr>
        <w:t xml:space="preserve">מאסר למספר חודשים </w:t>
      </w:r>
      <w:r>
        <w:rPr>
          <w:rFonts w:ascii="David" w:hAnsi="David" w:cs="David" w:hint="cs"/>
          <w:sz w:val="24"/>
          <w:szCs w:val="24"/>
          <w:rtl/>
        </w:rPr>
        <w:t xml:space="preserve">בדרך של עבודות שרות </w:t>
      </w:r>
      <w:r w:rsidRPr="000D223A">
        <w:rPr>
          <w:rFonts w:ascii="David" w:hAnsi="David" w:cs="David"/>
          <w:sz w:val="24"/>
          <w:szCs w:val="24"/>
          <w:rtl/>
        </w:rPr>
        <w:t>ועד למאסר בפועל, בהתאם לנסיבות, לסוג הסם ולכמותו (</w:t>
      </w:r>
      <w:hyperlink r:id="rId37" w:history="1">
        <w:r w:rsidR="00287F4C" w:rsidRPr="00287F4C">
          <w:rPr>
            <w:rFonts w:ascii="David" w:hAnsi="David" w:cs="David"/>
            <w:color w:val="0000FF"/>
            <w:sz w:val="24"/>
            <w:szCs w:val="24"/>
            <w:u w:val="single"/>
            <w:rtl/>
          </w:rPr>
          <w:t>רע"פ 3807/18</w:t>
        </w:r>
      </w:hyperlink>
      <w:r w:rsidRPr="000D223A">
        <w:rPr>
          <w:rFonts w:ascii="David" w:hAnsi="David" w:cs="David"/>
          <w:sz w:val="24"/>
          <w:szCs w:val="24"/>
          <w:rtl/>
        </w:rPr>
        <w:t xml:space="preserve"> </w:t>
      </w:r>
      <w:r w:rsidRPr="000D223A">
        <w:rPr>
          <w:rFonts w:ascii="David" w:hAnsi="David" w:cs="David"/>
          <w:b/>
          <w:bCs/>
          <w:sz w:val="24"/>
          <w:szCs w:val="24"/>
          <w:rtl/>
        </w:rPr>
        <w:t>דמיטרי טרטיאקוב נ' מדינת ישראל</w:t>
      </w:r>
      <w:r w:rsidRPr="000D223A">
        <w:rPr>
          <w:rFonts w:ascii="David" w:hAnsi="David" w:cs="David"/>
          <w:sz w:val="24"/>
          <w:szCs w:val="24"/>
          <w:rtl/>
        </w:rPr>
        <w:t xml:space="preserve"> (12.8.18); </w:t>
      </w:r>
      <w:hyperlink r:id="rId38" w:history="1">
        <w:r w:rsidR="00287F4C" w:rsidRPr="00287F4C">
          <w:rPr>
            <w:rFonts w:ascii="David" w:hAnsi="David" w:cs="David"/>
            <w:color w:val="0000FF"/>
            <w:sz w:val="24"/>
            <w:szCs w:val="24"/>
            <w:u w:val="single"/>
            <w:rtl/>
          </w:rPr>
          <w:t>רע"פ 1473/18</w:t>
        </w:r>
      </w:hyperlink>
      <w:r w:rsidRPr="000D223A">
        <w:rPr>
          <w:rFonts w:ascii="David" w:hAnsi="David" w:cs="David"/>
          <w:sz w:val="24"/>
          <w:szCs w:val="24"/>
          <w:rtl/>
        </w:rPr>
        <w:t xml:space="preserve"> </w:t>
      </w:r>
      <w:r w:rsidRPr="000D223A">
        <w:rPr>
          <w:rFonts w:ascii="David" w:hAnsi="David" w:cs="David"/>
          <w:b/>
          <w:bCs/>
          <w:sz w:val="24"/>
          <w:szCs w:val="24"/>
          <w:rtl/>
        </w:rPr>
        <w:t>שמואל אוחיון נ' מדינת ישראל</w:t>
      </w:r>
      <w:r w:rsidRPr="000D223A">
        <w:rPr>
          <w:rFonts w:ascii="David" w:hAnsi="David" w:cs="David"/>
          <w:sz w:val="24"/>
          <w:szCs w:val="24"/>
          <w:rtl/>
        </w:rPr>
        <w:t xml:space="preserve"> (22.4.2018); </w:t>
      </w:r>
      <w:hyperlink r:id="rId39" w:history="1">
        <w:r w:rsidR="00287F4C" w:rsidRPr="00287F4C">
          <w:rPr>
            <w:rFonts w:ascii="David" w:hAnsi="David" w:cs="David"/>
            <w:color w:val="0000FF"/>
            <w:sz w:val="24"/>
            <w:szCs w:val="24"/>
            <w:u w:val="single"/>
            <w:rtl/>
          </w:rPr>
          <w:t>רע"פ 1830/16</w:t>
        </w:r>
      </w:hyperlink>
      <w:r w:rsidRPr="000D223A">
        <w:rPr>
          <w:rFonts w:ascii="David" w:hAnsi="David" w:cs="David"/>
          <w:sz w:val="24"/>
          <w:szCs w:val="24"/>
          <w:rtl/>
        </w:rPr>
        <w:t xml:space="preserve"> </w:t>
      </w:r>
      <w:r w:rsidRPr="000D223A">
        <w:rPr>
          <w:rFonts w:ascii="David" w:hAnsi="David" w:cs="David"/>
          <w:b/>
          <w:bCs/>
          <w:sz w:val="24"/>
          <w:szCs w:val="24"/>
          <w:rtl/>
        </w:rPr>
        <w:t>סאלם רקיבי נ' מדינת ישראל</w:t>
      </w:r>
      <w:r w:rsidRPr="000D223A">
        <w:rPr>
          <w:rFonts w:ascii="David" w:hAnsi="David" w:cs="David"/>
          <w:sz w:val="24"/>
          <w:szCs w:val="24"/>
          <w:rtl/>
        </w:rPr>
        <w:t xml:space="preserve"> (11.4.2016)</w:t>
      </w:r>
      <w:r>
        <w:rPr>
          <w:rFonts w:ascii="David" w:hAnsi="David" w:cs="David" w:hint="cs"/>
          <w:sz w:val="24"/>
          <w:szCs w:val="24"/>
          <w:rtl/>
        </w:rPr>
        <w:t>;</w:t>
      </w:r>
      <w:r w:rsidRPr="000D223A">
        <w:rPr>
          <w:rFonts w:ascii="David" w:hAnsi="David" w:cs="David"/>
          <w:sz w:val="24"/>
          <w:szCs w:val="24"/>
          <w:rtl/>
        </w:rPr>
        <w:t xml:space="preserve"> </w:t>
      </w:r>
      <w:hyperlink r:id="rId40" w:history="1">
        <w:r w:rsidR="00287F4C" w:rsidRPr="00287F4C">
          <w:rPr>
            <w:rFonts w:ascii="David" w:hAnsi="David" w:cs="David"/>
            <w:color w:val="0000FF"/>
            <w:sz w:val="24"/>
            <w:szCs w:val="24"/>
            <w:u w:val="single"/>
            <w:rtl/>
          </w:rPr>
          <w:t>ע"פ (ב"ש) 11776-09-18</w:t>
        </w:r>
      </w:hyperlink>
      <w:r w:rsidRPr="000D223A">
        <w:rPr>
          <w:rFonts w:ascii="David" w:hAnsi="David" w:cs="David"/>
          <w:sz w:val="24"/>
          <w:szCs w:val="24"/>
          <w:rtl/>
        </w:rPr>
        <w:t xml:space="preserve"> </w:t>
      </w:r>
      <w:r w:rsidRPr="000D223A">
        <w:rPr>
          <w:rFonts w:ascii="David" w:hAnsi="David" w:cs="David"/>
          <w:b/>
          <w:bCs/>
          <w:sz w:val="24"/>
          <w:szCs w:val="24"/>
          <w:rtl/>
        </w:rPr>
        <w:t xml:space="preserve">מישאל אוחנה נ' מדינת ישראל </w:t>
      </w:r>
      <w:r w:rsidRPr="000D223A">
        <w:rPr>
          <w:rFonts w:ascii="David" w:hAnsi="David" w:cs="David"/>
          <w:sz w:val="24"/>
          <w:szCs w:val="24"/>
          <w:rtl/>
        </w:rPr>
        <w:t>(16.1.2019)).</w:t>
      </w:r>
      <w:r w:rsidRPr="000D223A">
        <w:rPr>
          <w:rFonts w:ascii="David" w:hAnsi="David" w:cs="David"/>
          <w:sz w:val="24"/>
          <w:szCs w:val="24"/>
        </w:rPr>
        <w:t xml:space="preserve"> </w:t>
      </w:r>
    </w:p>
    <w:p w14:paraId="69D6F9C0" w14:textId="77777777" w:rsidR="00BF4738" w:rsidRDefault="00BF4738" w:rsidP="00BF4738">
      <w:pPr>
        <w:spacing w:line="360" w:lineRule="atLeast"/>
        <w:ind w:left="720"/>
        <w:jc w:val="both"/>
        <w:rPr>
          <w:rFonts w:ascii="David" w:hAnsi="David"/>
          <w:rtl/>
        </w:rPr>
      </w:pPr>
      <w:r w:rsidRPr="000D223A">
        <w:rPr>
          <w:rFonts w:ascii="David" w:hAnsi="David"/>
          <w:rtl/>
        </w:rPr>
        <w:t>לאחר ששקלתי את נסיבות המקרה, מידת הפגיעה בערכים המוגנים וכן את הפסיקה הנוהגת, אני קובע כי מתחם הענישה נע בין מספר חודשי מאסר שיכול וירוצו בעבודות שרות ועד למאסר בפועל למשך 18 חודשים, זאת לצד ענישה נלווית.</w:t>
      </w:r>
    </w:p>
    <w:p w14:paraId="773819AE" w14:textId="77777777" w:rsidR="00BF4738" w:rsidRDefault="00BF4738" w:rsidP="00BF4738">
      <w:pPr>
        <w:spacing w:line="360" w:lineRule="atLeast"/>
        <w:jc w:val="both"/>
        <w:rPr>
          <w:rFonts w:ascii="David" w:hAnsi="David"/>
          <w:b/>
          <w:bCs/>
          <w:u w:val="single"/>
          <w:rtl/>
        </w:rPr>
      </w:pPr>
    </w:p>
    <w:p w14:paraId="3E3E2DBC" w14:textId="77777777" w:rsidR="00BF4738" w:rsidRPr="000D223A" w:rsidRDefault="00BF4738" w:rsidP="00BF4738">
      <w:pPr>
        <w:spacing w:line="360" w:lineRule="atLeast"/>
        <w:ind w:firstLine="360"/>
        <w:jc w:val="both"/>
        <w:rPr>
          <w:rFonts w:ascii="David" w:hAnsi="David"/>
          <w:b/>
          <w:bCs/>
          <w:u w:val="single"/>
          <w:rtl/>
        </w:rPr>
      </w:pPr>
      <w:r w:rsidRPr="000D223A">
        <w:rPr>
          <w:rFonts w:ascii="David" w:hAnsi="David"/>
          <w:b/>
          <w:bCs/>
          <w:u w:val="single"/>
          <w:rtl/>
        </w:rPr>
        <w:t>העונש המתאים</w:t>
      </w:r>
    </w:p>
    <w:p w14:paraId="726D5325" w14:textId="77777777" w:rsidR="00BF4738" w:rsidRDefault="00BF4738" w:rsidP="00BF4738">
      <w:pPr>
        <w:pStyle w:val="a9"/>
        <w:numPr>
          <w:ilvl w:val="0"/>
          <w:numId w:val="1"/>
        </w:numPr>
        <w:spacing w:line="360" w:lineRule="atLeast"/>
        <w:jc w:val="both"/>
        <w:rPr>
          <w:rFonts w:ascii="David" w:hAnsi="David" w:cs="David"/>
          <w:sz w:val="24"/>
          <w:szCs w:val="24"/>
        </w:rPr>
      </w:pPr>
      <w:r w:rsidRPr="000D223A">
        <w:rPr>
          <w:rFonts w:ascii="David" w:hAnsi="David" w:cs="David"/>
          <w:sz w:val="24"/>
          <w:szCs w:val="24"/>
          <w:rtl/>
        </w:rPr>
        <w:t xml:space="preserve">הנאשם </w:t>
      </w:r>
      <w:r>
        <w:rPr>
          <w:rFonts w:ascii="David" w:hAnsi="David" w:cs="David" w:hint="cs"/>
          <w:sz w:val="24"/>
          <w:szCs w:val="24"/>
          <w:rtl/>
        </w:rPr>
        <w:t xml:space="preserve">בן 50, ומדובר בעבירה היחידה שביצע לאורך חייו. הנאשם קיבל אחריות על ביצוע העבירה, הודה במיוחס לו ואף שרות המבחן ציין את התרשמותו מהאחריות שגילה הנאשם כלפי ביצוע העבירה. החל משנת 2017 ועד היום, ביצע הנאשם שינוי משמעותי במסלול חייו בכך שפסק משימוש מזדמן בסמים והחל בלימודי משפטים לשם הסבה מקצועית. הנאשם התמיד בדרך זו לאורך שנים מאז ביצוע העבירה, ונמצא בעת הנוכחית בשלבי התמחות במשפטים. יש עוד להדגיש את התרשמות שרות המבחן כיום, כי לנאשם אין דפוסים עברייניים והתמכרותיים וכן את מידת אחריותו כלפי משפחתו. מכלול נתונים אלה, הבאים לידי ביטוי לאורך תקופה כה ארוכה, משתלב היטב לכדי תמונה של נאשם הנחוש לצאת לדרך חדשה ונורמטיבית, לגביו קיים בהחלט סיכוי של ממש כי ישתקם.  </w:t>
      </w:r>
    </w:p>
    <w:p w14:paraId="671BA814" w14:textId="77777777" w:rsidR="00BF4738" w:rsidRDefault="00BF4738" w:rsidP="00BF4738">
      <w:pPr>
        <w:pStyle w:val="a9"/>
        <w:spacing w:line="360" w:lineRule="atLeast"/>
        <w:jc w:val="both"/>
        <w:rPr>
          <w:rFonts w:ascii="David" w:hAnsi="David" w:cs="David"/>
          <w:sz w:val="24"/>
          <w:szCs w:val="24"/>
        </w:rPr>
      </w:pPr>
      <w:r>
        <w:rPr>
          <w:rFonts w:ascii="David" w:hAnsi="David" w:cs="David" w:hint="cs"/>
          <w:sz w:val="24"/>
          <w:szCs w:val="24"/>
          <w:rtl/>
        </w:rPr>
        <w:t>לפיכך, אני מוצא כי במקרה זה יש לחרוג לקולא ממתחם הענישה, תוך הטלת רכיב ענישה ממשי.</w:t>
      </w:r>
    </w:p>
    <w:p w14:paraId="2B0BE800" w14:textId="77777777" w:rsidR="00BF4738" w:rsidRDefault="00BF4738" w:rsidP="00BF4738">
      <w:pPr>
        <w:pStyle w:val="a9"/>
        <w:spacing w:line="360" w:lineRule="atLeast"/>
        <w:jc w:val="both"/>
        <w:rPr>
          <w:rFonts w:ascii="David" w:hAnsi="David" w:cs="David"/>
          <w:sz w:val="24"/>
          <w:szCs w:val="24"/>
          <w:rtl/>
        </w:rPr>
      </w:pPr>
      <w:r>
        <w:rPr>
          <w:rFonts w:ascii="David" w:hAnsi="David" w:cs="David" w:hint="cs"/>
          <w:sz w:val="24"/>
          <w:szCs w:val="24"/>
          <w:rtl/>
        </w:rPr>
        <w:t xml:space="preserve"> אין ספק כי מכלול נתונים אלה יעמוד אף בפני לשכת עורכי הדין בעת הפעלת שיקול דעתה ביחס לקבלת הנאשם כחבר בלשכה. </w:t>
      </w:r>
    </w:p>
    <w:p w14:paraId="02D00E96" w14:textId="77777777" w:rsidR="00BF4738" w:rsidRDefault="00BF4738" w:rsidP="00BF4738">
      <w:pPr>
        <w:pStyle w:val="a9"/>
        <w:spacing w:line="360" w:lineRule="atLeast"/>
        <w:jc w:val="both"/>
        <w:rPr>
          <w:rFonts w:ascii="David" w:hAnsi="David" w:cs="David"/>
          <w:sz w:val="24"/>
          <w:szCs w:val="24"/>
        </w:rPr>
      </w:pPr>
    </w:p>
    <w:p w14:paraId="02CC4805" w14:textId="77777777" w:rsidR="00BF4738" w:rsidRDefault="00BF4738" w:rsidP="00BF4738">
      <w:pPr>
        <w:pStyle w:val="a9"/>
        <w:spacing w:line="360" w:lineRule="atLeast"/>
        <w:jc w:val="both"/>
        <w:rPr>
          <w:rFonts w:ascii="David" w:hAnsi="David" w:cs="David"/>
          <w:sz w:val="24"/>
          <w:szCs w:val="24"/>
          <w:rtl/>
        </w:rPr>
      </w:pPr>
      <w:r>
        <w:rPr>
          <w:rFonts w:ascii="David" w:hAnsi="David" w:cs="David" w:hint="cs"/>
          <w:sz w:val="24"/>
          <w:szCs w:val="24"/>
          <w:rtl/>
        </w:rPr>
        <w:t>לאור האמור לעיל החלטתי להטיל על הנאשם את העונשים הבאים:</w:t>
      </w:r>
    </w:p>
    <w:p w14:paraId="71F38BC8" w14:textId="77777777" w:rsidR="00BF4738" w:rsidRDefault="00BF4738" w:rsidP="00BF4738">
      <w:pPr>
        <w:pStyle w:val="a9"/>
        <w:spacing w:line="360" w:lineRule="atLeast"/>
        <w:jc w:val="both"/>
        <w:rPr>
          <w:rFonts w:ascii="David" w:hAnsi="David" w:cs="David"/>
          <w:sz w:val="24"/>
          <w:szCs w:val="24"/>
          <w:rtl/>
        </w:rPr>
      </w:pPr>
      <w:r>
        <w:rPr>
          <w:rFonts w:ascii="David" w:hAnsi="David" w:cs="David" w:hint="cs"/>
          <w:sz w:val="24"/>
          <w:szCs w:val="24"/>
          <w:rtl/>
        </w:rPr>
        <w:t xml:space="preserve"> </w:t>
      </w:r>
    </w:p>
    <w:p w14:paraId="27466FB0" w14:textId="77777777" w:rsidR="00BF4738" w:rsidRDefault="00BF4738" w:rsidP="00BF4738">
      <w:pPr>
        <w:pStyle w:val="a9"/>
        <w:numPr>
          <w:ilvl w:val="0"/>
          <w:numId w:val="2"/>
        </w:numPr>
        <w:spacing w:line="360" w:lineRule="atLeast"/>
        <w:jc w:val="both"/>
        <w:rPr>
          <w:rFonts w:ascii="David" w:hAnsi="David" w:cs="David"/>
          <w:sz w:val="24"/>
          <w:szCs w:val="24"/>
        </w:rPr>
      </w:pPr>
      <w:r>
        <w:rPr>
          <w:rFonts w:ascii="David" w:hAnsi="David" w:cs="David" w:hint="cs"/>
          <w:sz w:val="24"/>
          <w:szCs w:val="24"/>
          <w:rtl/>
        </w:rPr>
        <w:t xml:space="preserve">מאסר למשך 6 חודשים אותו לא ירצה אלא אם יעבור תוך 3 שנים עבירה מסוג פשע על </w:t>
      </w:r>
      <w:hyperlink r:id="rId41" w:history="1">
        <w:r w:rsidR="00287F4C" w:rsidRPr="00287F4C">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543784D5" w14:textId="77777777" w:rsidR="00BF4738" w:rsidRDefault="00BF4738" w:rsidP="00BF4738">
      <w:pPr>
        <w:pStyle w:val="a9"/>
        <w:spacing w:line="360" w:lineRule="atLeast"/>
        <w:ind w:left="1080"/>
        <w:jc w:val="both"/>
        <w:rPr>
          <w:rFonts w:ascii="David" w:hAnsi="David" w:cs="David"/>
          <w:sz w:val="24"/>
          <w:szCs w:val="24"/>
        </w:rPr>
      </w:pPr>
      <w:r>
        <w:rPr>
          <w:rFonts w:ascii="David" w:hAnsi="David" w:cs="David" w:hint="cs"/>
          <w:sz w:val="24"/>
          <w:szCs w:val="24"/>
          <w:rtl/>
        </w:rPr>
        <w:t xml:space="preserve"> </w:t>
      </w:r>
    </w:p>
    <w:p w14:paraId="70EFCDAC" w14:textId="77777777" w:rsidR="00BF4738" w:rsidRDefault="00BF4738" w:rsidP="00BF4738">
      <w:pPr>
        <w:pStyle w:val="a9"/>
        <w:numPr>
          <w:ilvl w:val="0"/>
          <w:numId w:val="2"/>
        </w:numPr>
        <w:spacing w:line="360" w:lineRule="atLeast"/>
        <w:jc w:val="both"/>
        <w:rPr>
          <w:rFonts w:ascii="David" w:hAnsi="David" w:cs="David"/>
          <w:sz w:val="24"/>
          <w:szCs w:val="24"/>
        </w:rPr>
      </w:pPr>
      <w:r>
        <w:rPr>
          <w:rFonts w:ascii="David" w:hAnsi="David" w:cs="David" w:hint="cs"/>
          <w:sz w:val="24"/>
          <w:szCs w:val="24"/>
          <w:rtl/>
        </w:rPr>
        <w:t xml:space="preserve">מאסר למשך 3 חודשים אותו לא ירצה אלא אם יעבור תוך 3 שנים עבירה מסוג עוון על </w:t>
      </w:r>
      <w:hyperlink r:id="rId42" w:history="1">
        <w:r w:rsidR="00287F4C" w:rsidRPr="00287F4C">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3AB227B6" w14:textId="77777777" w:rsidR="00BF4738" w:rsidRPr="005A17E4" w:rsidRDefault="00BF4738" w:rsidP="00BF4738">
      <w:pPr>
        <w:pStyle w:val="a9"/>
        <w:rPr>
          <w:rFonts w:ascii="David" w:hAnsi="David" w:cs="David"/>
          <w:sz w:val="24"/>
          <w:szCs w:val="24"/>
          <w:rtl/>
        </w:rPr>
      </w:pPr>
    </w:p>
    <w:p w14:paraId="5FAA3E11" w14:textId="77777777" w:rsidR="00BF4738" w:rsidRDefault="00BF4738" w:rsidP="00BF4738">
      <w:pPr>
        <w:pStyle w:val="a9"/>
        <w:numPr>
          <w:ilvl w:val="0"/>
          <w:numId w:val="2"/>
        </w:numPr>
        <w:spacing w:line="360" w:lineRule="atLeast"/>
        <w:jc w:val="both"/>
        <w:rPr>
          <w:rFonts w:ascii="David" w:hAnsi="David" w:cs="David"/>
          <w:sz w:val="24"/>
          <w:szCs w:val="24"/>
        </w:rPr>
      </w:pPr>
      <w:r>
        <w:rPr>
          <w:rFonts w:ascii="David" w:hAnsi="David" w:cs="David" w:hint="cs"/>
          <w:sz w:val="24"/>
          <w:szCs w:val="24"/>
          <w:rtl/>
        </w:rPr>
        <w:t>של"צ למשך 200 שעות, זאת בהתאם להמלצת שרות המבחן. בית המשפט הבהיר לנאשם את משמעות אי עמידה בתנאי צו השל"צ.</w:t>
      </w:r>
    </w:p>
    <w:p w14:paraId="211C00EC" w14:textId="77777777" w:rsidR="00BF4738" w:rsidRDefault="00BF4738" w:rsidP="00BF4738">
      <w:pPr>
        <w:pStyle w:val="a9"/>
        <w:spacing w:line="360" w:lineRule="atLeast"/>
        <w:ind w:left="1080"/>
        <w:jc w:val="both"/>
        <w:rPr>
          <w:rFonts w:ascii="David" w:hAnsi="David" w:cs="David"/>
          <w:sz w:val="24"/>
          <w:szCs w:val="24"/>
        </w:rPr>
      </w:pPr>
      <w:r>
        <w:rPr>
          <w:rFonts w:ascii="David" w:hAnsi="David" w:cs="David" w:hint="cs"/>
          <w:sz w:val="24"/>
          <w:szCs w:val="24"/>
          <w:rtl/>
        </w:rPr>
        <w:t xml:space="preserve"> </w:t>
      </w:r>
    </w:p>
    <w:p w14:paraId="4A5C230B" w14:textId="77777777" w:rsidR="00BF4738" w:rsidRDefault="00BF4738" w:rsidP="00BF4738">
      <w:pPr>
        <w:pStyle w:val="a9"/>
        <w:numPr>
          <w:ilvl w:val="0"/>
          <w:numId w:val="2"/>
        </w:numPr>
        <w:spacing w:line="360" w:lineRule="atLeast"/>
        <w:jc w:val="both"/>
        <w:rPr>
          <w:rFonts w:ascii="David" w:hAnsi="David" w:cs="David"/>
          <w:sz w:val="24"/>
          <w:szCs w:val="24"/>
        </w:rPr>
      </w:pPr>
      <w:r>
        <w:rPr>
          <w:rFonts w:ascii="David" w:hAnsi="David" w:cs="David" w:hint="cs"/>
          <w:sz w:val="24"/>
          <w:szCs w:val="24"/>
          <w:rtl/>
        </w:rPr>
        <w:t xml:space="preserve">קנס בסך 2,500 ₪ או מאסר למשך 7 ימים תמורתו. הקנס ישולם בחמישה תשלומים שווים החל מיום 1.11.21 ומידי חודש בחודשו. </w:t>
      </w:r>
    </w:p>
    <w:p w14:paraId="4BB93782" w14:textId="77777777" w:rsidR="00BF4738" w:rsidRDefault="00BF4738" w:rsidP="00BF4738">
      <w:pPr>
        <w:pStyle w:val="a9"/>
        <w:spacing w:line="360" w:lineRule="atLeast"/>
        <w:ind w:left="1080"/>
        <w:jc w:val="both"/>
        <w:rPr>
          <w:rFonts w:ascii="David" w:hAnsi="David" w:cs="David"/>
          <w:sz w:val="24"/>
          <w:szCs w:val="24"/>
          <w:rtl/>
        </w:rPr>
      </w:pPr>
    </w:p>
    <w:p w14:paraId="1B936041" w14:textId="77777777" w:rsidR="00BF4738" w:rsidRDefault="00BF4738" w:rsidP="00BF4738">
      <w:pPr>
        <w:pStyle w:val="a9"/>
        <w:spacing w:line="360" w:lineRule="atLeast"/>
        <w:ind w:left="1080"/>
        <w:jc w:val="both"/>
        <w:rPr>
          <w:rFonts w:ascii="David" w:hAnsi="David" w:cs="David"/>
          <w:sz w:val="24"/>
          <w:szCs w:val="24"/>
          <w:rtl/>
        </w:rPr>
      </w:pPr>
      <w:r>
        <w:rPr>
          <w:rFonts w:ascii="David" w:hAnsi="David" w:cs="David" w:hint="cs"/>
          <w:sz w:val="24"/>
          <w:szCs w:val="24"/>
          <w:rtl/>
        </w:rPr>
        <w:t>ניתן צו להשמדת הסמים.</w:t>
      </w:r>
    </w:p>
    <w:p w14:paraId="7FE051E9" w14:textId="77777777" w:rsidR="00BF4738" w:rsidRDefault="00BF4738" w:rsidP="00BF4738">
      <w:pPr>
        <w:pStyle w:val="a9"/>
        <w:spacing w:line="360" w:lineRule="atLeast"/>
        <w:ind w:left="1080"/>
        <w:jc w:val="both"/>
        <w:rPr>
          <w:rFonts w:ascii="David" w:hAnsi="David" w:cs="David"/>
          <w:sz w:val="24"/>
          <w:szCs w:val="24"/>
          <w:rtl/>
        </w:rPr>
      </w:pPr>
    </w:p>
    <w:p w14:paraId="5BB34F9A" w14:textId="77777777" w:rsidR="00BF4738" w:rsidRDefault="00BF4738" w:rsidP="00BF4738">
      <w:pPr>
        <w:pStyle w:val="a9"/>
        <w:spacing w:line="360" w:lineRule="atLeast"/>
        <w:ind w:left="1080"/>
        <w:jc w:val="both"/>
        <w:rPr>
          <w:rFonts w:ascii="David" w:hAnsi="David" w:cs="David"/>
          <w:sz w:val="24"/>
          <w:szCs w:val="24"/>
          <w:rtl/>
        </w:rPr>
      </w:pPr>
      <w:r>
        <w:rPr>
          <w:rFonts w:ascii="David" w:hAnsi="David" w:cs="David" w:hint="cs"/>
          <w:sz w:val="24"/>
          <w:szCs w:val="24"/>
          <w:rtl/>
        </w:rPr>
        <w:t xml:space="preserve">המזכירות תעביר עותק מגזר הדין לשרות המבחן. </w:t>
      </w:r>
    </w:p>
    <w:p w14:paraId="0901BFCF" w14:textId="77777777" w:rsidR="00BF4738" w:rsidRPr="005A17E4" w:rsidRDefault="00BF4738" w:rsidP="00BF4738">
      <w:pPr>
        <w:spacing w:line="360" w:lineRule="atLeast"/>
        <w:jc w:val="both"/>
        <w:rPr>
          <w:rFonts w:ascii="David" w:hAnsi="David"/>
          <w:rtl/>
        </w:rPr>
      </w:pPr>
      <w:r>
        <w:rPr>
          <w:rFonts w:ascii="David" w:hAnsi="David"/>
          <w:rtl/>
        </w:rPr>
        <w:tab/>
      </w:r>
      <w:r>
        <w:rPr>
          <w:rFonts w:ascii="David" w:hAnsi="David" w:hint="cs"/>
          <w:rtl/>
        </w:rPr>
        <w:t xml:space="preserve"> </w:t>
      </w:r>
      <w:r w:rsidRPr="005A17E4">
        <w:rPr>
          <w:rFonts w:ascii="David" w:hAnsi="David" w:hint="cs"/>
          <w:rtl/>
        </w:rPr>
        <w:t xml:space="preserve"> </w:t>
      </w:r>
    </w:p>
    <w:p w14:paraId="23281B27" w14:textId="77777777" w:rsidR="00BF4738" w:rsidRDefault="00BF4738" w:rsidP="00BF4738">
      <w:pPr>
        <w:spacing w:line="360" w:lineRule="atLeast"/>
        <w:jc w:val="both"/>
        <w:rPr>
          <w:rFonts w:ascii="David" w:hAnsi="David"/>
          <w:rtl/>
        </w:rPr>
      </w:pPr>
      <w:r>
        <w:rPr>
          <w:rFonts w:ascii="David" w:hAnsi="David"/>
          <w:rtl/>
        </w:rPr>
        <w:tab/>
      </w:r>
      <w:r>
        <w:rPr>
          <w:rFonts w:ascii="David" w:hAnsi="David" w:hint="cs"/>
          <w:rtl/>
        </w:rPr>
        <w:t>זכות ערעור לבית המשפט המחוזי תוך 45 יום מהיום.</w:t>
      </w:r>
    </w:p>
    <w:p w14:paraId="54A66E6D" w14:textId="77777777" w:rsidR="00BF4738" w:rsidRPr="005A17E4" w:rsidRDefault="00BF4738" w:rsidP="00BF4738">
      <w:pPr>
        <w:spacing w:line="360" w:lineRule="atLeast"/>
        <w:jc w:val="both"/>
        <w:rPr>
          <w:rFonts w:ascii="David" w:hAnsi="David"/>
          <w:rtl/>
        </w:rPr>
      </w:pPr>
      <w:r>
        <w:rPr>
          <w:rFonts w:ascii="David" w:hAnsi="David" w:hint="cs"/>
          <w:rtl/>
        </w:rPr>
        <w:t xml:space="preserve"> </w:t>
      </w:r>
    </w:p>
    <w:p w14:paraId="0FE71B79" w14:textId="77777777" w:rsidR="00BF4738" w:rsidRPr="00287F4C" w:rsidRDefault="00287F4C" w:rsidP="00BF4738">
      <w:pPr>
        <w:rPr>
          <w:rFonts w:ascii="David" w:hAnsi="David"/>
          <w:color w:val="FFFFFF"/>
          <w:sz w:val="2"/>
          <w:szCs w:val="2"/>
          <w:rtl/>
        </w:rPr>
      </w:pPr>
      <w:r w:rsidRPr="00287F4C">
        <w:rPr>
          <w:rFonts w:ascii="David" w:hAnsi="David"/>
          <w:color w:val="FFFFFF"/>
          <w:sz w:val="2"/>
          <w:szCs w:val="2"/>
          <w:rtl/>
        </w:rPr>
        <w:t>5129371</w:t>
      </w:r>
    </w:p>
    <w:p w14:paraId="3015BC90" w14:textId="77777777" w:rsidR="00BF4738" w:rsidRPr="000D223A" w:rsidRDefault="00287F4C" w:rsidP="00BF4738">
      <w:pPr>
        <w:rPr>
          <w:rFonts w:ascii="David" w:hAnsi="David"/>
          <w:rtl/>
        </w:rPr>
      </w:pPr>
      <w:bookmarkStart w:id="8" w:name="Nitan"/>
      <w:r w:rsidRPr="00287F4C">
        <w:rPr>
          <w:rFonts w:ascii="David" w:hAnsi="David"/>
          <w:color w:val="FFFFFF"/>
          <w:sz w:val="2"/>
          <w:szCs w:val="2"/>
          <w:rtl/>
        </w:rPr>
        <w:t>54678313</w:t>
      </w:r>
      <w:r>
        <w:rPr>
          <w:rFonts w:ascii="David" w:hAnsi="David"/>
          <w:rtl/>
        </w:rPr>
        <w:t xml:space="preserve">ניתן היום,  ה' חשוון תשפ"ב, 11 אוקטובר 2021, במעמד הצדדים. </w:t>
      </w:r>
      <w:bookmarkEnd w:id="8"/>
    </w:p>
    <w:p w14:paraId="4CEF9E5A" w14:textId="77777777" w:rsidR="00BF4738" w:rsidRPr="000D223A" w:rsidRDefault="00BF4738" w:rsidP="00287F4C">
      <w:pPr>
        <w:jc w:val="center"/>
      </w:pPr>
      <w:r w:rsidRPr="000D223A">
        <w:rPr>
          <w:rFonts w:ascii="David" w:hAnsi="David"/>
          <w:rtl/>
        </w:rPr>
        <w:t xml:space="preserve">   </w:t>
      </w:r>
      <w:r w:rsidRPr="000D223A">
        <w:rPr>
          <w:rFonts w:ascii="David" w:hAnsi="David"/>
          <w:rtl/>
        </w:rPr>
        <w:tab/>
      </w:r>
      <w:r w:rsidRPr="000D223A">
        <w:rPr>
          <w:rFonts w:ascii="David" w:hAnsi="David"/>
          <w:rtl/>
        </w:rPr>
        <w:tab/>
      </w:r>
      <w:r w:rsidRPr="000D223A">
        <w:rPr>
          <w:rFonts w:ascii="David" w:hAnsi="David"/>
          <w:rtl/>
        </w:rPr>
        <w:tab/>
      </w:r>
      <w:r w:rsidRPr="000D223A">
        <w:rPr>
          <w:rFonts w:ascii="David" w:hAnsi="David"/>
          <w:rtl/>
        </w:rPr>
        <w:tab/>
      </w:r>
      <w:r w:rsidRPr="000D223A">
        <w:rPr>
          <w:rFonts w:ascii="David" w:hAnsi="David"/>
          <w:rtl/>
        </w:rPr>
        <w:tab/>
      </w:r>
    </w:p>
    <w:p w14:paraId="1F9ACBD2" w14:textId="77777777" w:rsidR="00BF4738" w:rsidRPr="000D223A" w:rsidRDefault="00BF4738" w:rsidP="00BF4738">
      <w:pPr>
        <w:jc w:val="center"/>
        <w:rPr>
          <w:rFonts w:ascii="David" w:hAnsi="David"/>
          <w:rtl/>
        </w:rPr>
      </w:pPr>
    </w:p>
    <w:p w14:paraId="108A0B10" w14:textId="77777777" w:rsidR="00BF4738" w:rsidRPr="000D223A" w:rsidRDefault="00BF4738" w:rsidP="00BF4738">
      <w:pPr>
        <w:rPr>
          <w:rFonts w:ascii="David" w:hAnsi="David"/>
          <w:rtl/>
        </w:rPr>
      </w:pPr>
    </w:p>
    <w:p w14:paraId="1AD71B23" w14:textId="77777777" w:rsidR="00BF4738" w:rsidRPr="000D223A" w:rsidRDefault="00BF4738" w:rsidP="00BF4738">
      <w:pPr>
        <w:pStyle w:val="a3"/>
        <w:jc w:val="center"/>
        <w:rPr>
          <w:rFonts w:ascii="David" w:hAnsi="David"/>
          <w:rtl/>
        </w:rPr>
      </w:pPr>
    </w:p>
    <w:p w14:paraId="4938DBA4" w14:textId="77777777" w:rsidR="00695B03" w:rsidRPr="00287F4C" w:rsidRDefault="00695B03" w:rsidP="00287F4C">
      <w:pPr>
        <w:keepNext/>
        <w:rPr>
          <w:rFonts w:ascii="David" w:hAnsi="David"/>
          <w:color w:val="000000"/>
          <w:sz w:val="22"/>
          <w:szCs w:val="22"/>
          <w:rtl/>
        </w:rPr>
      </w:pPr>
    </w:p>
    <w:p w14:paraId="254EF8D3" w14:textId="77777777" w:rsidR="00287F4C" w:rsidRPr="00287F4C" w:rsidRDefault="00287F4C" w:rsidP="00287F4C">
      <w:pPr>
        <w:keepNext/>
        <w:rPr>
          <w:rFonts w:ascii="David" w:hAnsi="David"/>
          <w:color w:val="000000"/>
          <w:sz w:val="22"/>
          <w:szCs w:val="22"/>
          <w:rtl/>
        </w:rPr>
      </w:pPr>
      <w:r w:rsidRPr="00287F4C">
        <w:rPr>
          <w:rFonts w:ascii="David" w:hAnsi="David"/>
          <w:color w:val="000000"/>
          <w:sz w:val="22"/>
          <w:szCs w:val="22"/>
          <w:rtl/>
        </w:rPr>
        <w:t>איתן קורנהאוזר 54678313</w:t>
      </w:r>
    </w:p>
    <w:p w14:paraId="61AC6CC0" w14:textId="77777777" w:rsidR="00287F4C" w:rsidRDefault="00287F4C" w:rsidP="00287F4C">
      <w:r w:rsidRPr="00287F4C">
        <w:rPr>
          <w:color w:val="000000"/>
          <w:rtl/>
        </w:rPr>
        <w:t>נוסח מסמך זה כפוף לשינויי ניסוח ועריכה</w:t>
      </w:r>
    </w:p>
    <w:p w14:paraId="2ED4E123" w14:textId="77777777" w:rsidR="00287F4C" w:rsidRDefault="00287F4C" w:rsidP="00287F4C">
      <w:pPr>
        <w:rPr>
          <w:rtl/>
        </w:rPr>
      </w:pPr>
    </w:p>
    <w:p w14:paraId="37CDB7F5" w14:textId="77777777" w:rsidR="00287F4C" w:rsidRDefault="00287F4C" w:rsidP="00287F4C">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A170D57" w14:textId="77777777" w:rsidR="00287F4C" w:rsidRPr="00287F4C" w:rsidRDefault="00287F4C" w:rsidP="00287F4C">
      <w:pPr>
        <w:jc w:val="center"/>
        <w:rPr>
          <w:color w:val="0000FF"/>
          <w:u w:val="single"/>
        </w:rPr>
      </w:pPr>
    </w:p>
    <w:sectPr w:rsidR="00287F4C" w:rsidRPr="00287F4C" w:rsidSect="00287F4C">
      <w:headerReference w:type="even" r:id="rId44"/>
      <w:headerReference w:type="default" r:id="rId45"/>
      <w:footerReference w:type="even" r:id="rId46"/>
      <w:footerReference w:type="default" r:id="rId4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9B36E" w14:textId="77777777" w:rsidR="001C14D8" w:rsidRDefault="001C14D8" w:rsidP="0099007D">
      <w:r>
        <w:separator/>
      </w:r>
    </w:p>
  </w:endnote>
  <w:endnote w:type="continuationSeparator" w:id="0">
    <w:p w14:paraId="45E16B39" w14:textId="77777777" w:rsidR="001C14D8" w:rsidRDefault="001C14D8" w:rsidP="0099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4309" w14:textId="77777777" w:rsidR="00287F4C" w:rsidRDefault="00287F4C" w:rsidP="00287F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297F8B" w14:textId="77777777" w:rsidR="00801118" w:rsidRPr="00287F4C" w:rsidRDefault="00287F4C" w:rsidP="00287F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45659" w14:textId="77777777" w:rsidR="00287F4C" w:rsidRDefault="00287F4C" w:rsidP="00287F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74DC">
      <w:rPr>
        <w:rFonts w:ascii="FrankRuehl" w:hAnsi="FrankRuehl" w:cs="FrankRuehl"/>
        <w:noProof/>
        <w:rtl/>
      </w:rPr>
      <w:t>1</w:t>
    </w:r>
    <w:r>
      <w:rPr>
        <w:rFonts w:ascii="FrankRuehl" w:hAnsi="FrankRuehl" w:cs="FrankRuehl"/>
        <w:rtl/>
      </w:rPr>
      <w:fldChar w:fldCharType="end"/>
    </w:r>
  </w:p>
  <w:p w14:paraId="35F1816E" w14:textId="77777777" w:rsidR="00801118" w:rsidRPr="00287F4C" w:rsidRDefault="00287F4C" w:rsidP="00287F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D74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39748" w14:textId="77777777" w:rsidR="001C14D8" w:rsidRDefault="001C14D8" w:rsidP="0099007D">
      <w:r>
        <w:separator/>
      </w:r>
    </w:p>
  </w:footnote>
  <w:footnote w:type="continuationSeparator" w:id="0">
    <w:p w14:paraId="2E79B56C" w14:textId="77777777" w:rsidR="001C14D8" w:rsidRDefault="001C14D8" w:rsidP="00990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8228E" w14:textId="77777777" w:rsidR="00287F4C" w:rsidRPr="00287F4C" w:rsidRDefault="00287F4C" w:rsidP="00287F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62497-06-18</w:t>
    </w:r>
    <w:r>
      <w:rPr>
        <w:rFonts w:ascii="David" w:hAnsi="David"/>
        <w:color w:val="000000"/>
        <w:sz w:val="22"/>
        <w:szCs w:val="22"/>
        <w:rtl/>
      </w:rPr>
      <w:tab/>
      <w:t xml:space="preserve"> מדינת ישראל נ' דמיטרי דיקוי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5B0E9" w14:textId="77777777" w:rsidR="00287F4C" w:rsidRPr="00287F4C" w:rsidRDefault="00287F4C" w:rsidP="00287F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62497-06-18</w:t>
    </w:r>
    <w:r>
      <w:rPr>
        <w:rFonts w:ascii="David" w:hAnsi="David"/>
        <w:color w:val="000000"/>
        <w:sz w:val="22"/>
        <w:szCs w:val="22"/>
        <w:rtl/>
      </w:rPr>
      <w:tab/>
      <w:t xml:space="preserve"> מדינת ישראל נ' דמיטרי דיקוי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5751F"/>
    <w:multiLevelType w:val="hybridMultilevel"/>
    <w:tmpl w:val="6BC009B2"/>
    <w:lvl w:ilvl="0" w:tplc="5126840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4A4FED"/>
    <w:multiLevelType w:val="hybridMultilevel"/>
    <w:tmpl w:val="F32EE6BA"/>
    <w:lvl w:ilvl="0" w:tplc="5EBA97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1647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7208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4738"/>
    <w:rsid w:val="001B5A3B"/>
    <w:rsid w:val="001C14D8"/>
    <w:rsid w:val="00221D71"/>
    <w:rsid w:val="00287F4C"/>
    <w:rsid w:val="006341B1"/>
    <w:rsid w:val="00695B03"/>
    <w:rsid w:val="006E3B03"/>
    <w:rsid w:val="007009B1"/>
    <w:rsid w:val="00801118"/>
    <w:rsid w:val="009174DC"/>
    <w:rsid w:val="0099007D"/>
    <w:rsid w:val="009D0753"/>
    <w:rsid w:val="00B72810"/>
    <w:rsid w:val="00BF4738"/>
    <w:rsid w:val="00E52A14"/>
    <w:rsid w:val="00F00952"/>
    <w:rsid w:val="00FD4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586EB1"/>
  <w15:chartTrackingRefBased/>
  <w15:docId w15:val="{2EFAD9FC-1CE2-4C89-B73C-8D34F9CA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473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4738"/>
    <w:pPr>
      <w:tabs>
        <w:tab w:val="center" w:pos="4153"/>
        <w:tab w:val="right" w:pos="8306"/>
      </w:tabs>
    </w:pPr>
  </w:style>
  <w:style w:type="character" w:customStyle="1" w:styleId="a4">
    <w:name w:val="כותרת עליונה תו"/>
    <w:link w:val="a3"/>
    <w:rsid w:val="00BF4738"/>
    <w:rPr>
      <w:rFonts w:ascii="Times New Roman" w:eastAsia="Times New Roman" w:hAnsi="Times New Roman" w:cs="David"/>
      <w:sz w:val="24"/>
      <w:szCs w:val="24"/>
    </w:rPr>
  </w:style>
  <w:style w:type="paragraph" w:styleId="a5">
    <w:name w:val="footer"/>
    <w:basedOn w:val="a"/>
    <w:link w:val="a6"/>
    <w:rsid w:val="00BF4738"/>
    <w:pPr>
      <w:tabs>
        <w:tab w:val="center" w:pos="4153"/>
        <w:tab w:val="right" w:pos="8306"/>
      </w:tabs>
    </w:pPr>
  </w:style>
  <w:style w:type="character" w:customStyle="1" w:styleId="a6">
    <w:name w:val="כותרת תחתונה תו"/>
    <w:link w:val="a5"/>
    <w:rsid w:val="00BF4738"/>
    <w:rPr>
      <w:rFonts w:ascii="Times New Roman" w:eastAsia="Times New Roman" w:hAnsi="Times New Roman" w:cs="David"/>
      <w:sz w:val="24"/>
      <w:szCs w:val="24"/>
    </w:rPr>
  </w:style>
  <w:style w:type="table" w:styleId="a7">
    <w:name w:val="Table Grid"/>
    <w:basedOn w:val="a1"/>
    <w:rsid w:val="00BF473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4738"/>
  </w:style>
  <w:style w:type="paragraph" w:styleId="a9">
    <w:name w:val="List Paragraph"/>
    <w:basedOn w:val="a"/>
    <w:qFormat/>
    <w:rsid w:val="00BF4738"/>
    <w:pPr>
      <w:spacing w:after="160" w:line="256" w:lineRule="auto"/>
      <w:ind w:left="720"/>
      <w:contextualSpacing/>
    </w:pPr>
    <w:rPr>
      <w:rFonts w:ascii="Calibri" w:eastAsia="Calibri" w:hAnsi="Calibri" w:cs="Arial"/>
      <w:sz w:val="22"/>
      <w:szCs w:val="22"/>
    </w:rPr>
  </w:style>
  <w:style w:type="character" w:styleId="Hyperlink">
    <w:name w:val="Hyperlink"/>
    <w:rsid w:val="00BF47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393/44.a.1" TargetMode="External"/><Relationship Id="rId18" Type="http://schemas.openxmlformats.org/officeDocument/2006/relationships/hyperlink" Target="http://www.nevo.co.il/case/25585375" TargetMode="External"/><Relationship Id="rId26" Type="http://schemas.openxmlformats.org/officeDocument/2006/relationships/hyperlink" Target="http://www.nevo.co.il/case/20443128" TargetMode="External"/><Relationship Id="rId39" Type="http://schemas.openxmlformats.org/officeDocument/2006/relationships/hyperlink" Target="http://www.nevo.co.il/case/21017469" TargetMode="External"/><Relationship Id="rId21" Type="http://schemas.openxmlformats.org/officeDocument/2006/relationships/hyperlink" Target="http://www.nevo.co.il/case/5608134" TargetMode="External"/><Relationship Id="rId34" Type="http://schemas.openxmlformats.org/officeDocument/2006/relationships/hyperlink" Target="http://www.nevo.co.il/case/25690628"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4393/44" TargetMode="External"/><Relationship Id="rId11" Type="http://schemas.openxmlformats.org/officeDocument/2006/relationships/hyperlink" Target="http://www.nevo.co.il/law/4393" TargetMode="External"/><Relationship Id="rId24" Type="http://schemas.openxmlformats.org/officeDocument/2006/relationships/hyperlink" Target="http://www.nevo.co.il/case/26574841" TargetMode="External"/><Relationship Id="rId32" Type="http://schemas.openxmlformats.org/officeDocument/2006/relationships/hyperlink" Target="http://www.nevo.co.il/law/4393" TargetMode="External"/><Relationship Id="rId37" Type="http://schemas.openxmlformats.org/officeDocument/2006/relationships/hyperlink" Target="http://www.nevo.co.il/case/24263098" TargetMode="External"/><Relationship Id="rId40" Type="http://schemas.openxmlformats.org/officeDocument/2006/relationships/hyperlink" Target="http://www.nevo.co.il/case/2497199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611948" TargetMode="External"/><Relationship Id="rId28" Type="http://schemas.openxmlformats.org/officeDocument/2006/relationships/hyperlink" Target="http://www.nevo.co.il/case/13022249" TargetMode="External"/><Relationship Id="rId36" Type="http://schemas.openxmlformats.org/officeDocument/2006/relationships/hyperlink" Target="http://www.nevo.co.il/case/20361180"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810781" TargetMode="External"/><Relationship Id="rId31" Type="http://schemas.openxmlformats.org/officeDocument/2006/relationships/hyperlink" Target="http://www.nevo.co.il/law/4393/44.a.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19994809" TargetMode="External"/><Relationship Id="rId27" Type="http://schemas.openxmlformats.org/officeDocument/2006/relationships/hyperlink" Target="http://www.nevo.co.il/case/18178810" TargetMode="External"/><Relationship Id="rId30" Type="http://schemas.openxmlformats.org/officeDocument/2006/relationships/hyperlink" Target="http://www.nevo.co.il/law/4393" TargetMode="External"/><Relationship Id="rId35" Type="http://schemas.openxmlformats.org/officeDocument/2006/relationships/hyperlink" Target="http://www.nevo.co.il/case/2375165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393/4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8793705" TargetMode="External"/><Relationship Id="rId33" Type="http://schemas.openxmlformats.org/officeDocument/2006/relationships/hyperlink" Target="http://www.nevo.co.il/case/24345651" TargetMode="External"/><Relationship Id="rId38" Type="http://schemas.openxmlformats.org/officeDocument/2006/relationships/hyperlink" Target="http://www.nevo.co.il/case/23750765" TargetMode="External"/><Relationship Id="rId46" Type="http://schemas.openxmlformats.org/officeDocument/2006/relationships/footer" Target="footer1.xml"/><Relationship Id="rId20" Type="http://schemas.openxmlformats.org/officeDocument/2006/relationships/hyperlink" Target="http://www.nevo.co.il/case/25459220"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2234</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13378</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3342462</vt:i4>
      </vt:variant>
      <vt:variant>
        <vt:i4>99</vt:i4>
      </vt:variant>
      <vt:variant>
        <vt:i4>0</vt:i4>
      </vt:variant>
      <vt:variant>
        <vt:i4>5</vt:i4>
      </vt:variant>
      <vt:variant>
        <vt:lpwstr>http://www.nevo.co.il/case/24971990</vt:lpwstr>
      </vt:variant>
      <vt:variant>
        <vt:lpwstr/>
      </vt:variant>
      <vt:variant>
        <vt:i4>3342448</vt:i4>
      </vt:variant>
      <vt:variant>
        <vt:i4>96</vt:i4>
      </vt:variant>
      <vt:variant>
        <vt:i4>0</vt:i4>
      </vt:variant>
      <vt:variant>
        <vt:i4>5</vt:i4>
      </vt:variant>
      <vt:variant>
        <vt:lpwstr>http://www.nevo.co.il/case/21017469</vt:lpwstr>
      </vt:variant>
      <vt:variant>
        <vt:lpwstr/>
      </vt:variant>
      <vt:variant>
        <vt:i4>3342453</vt:i4>
      </vt:variant>
      <vt:variant>
        <vt:i4>93</vt:i4>
      </vt:variant>
      <vt:variant>
        <vt:i4>0</vt:i4>
      </vt:variant>
      <vt:variant>
        <vt:i4>5</vt:i4>
      </vt:variant>
      <vt:variant>
        <vt:lpwstr>http://www.nevo.co.il/case/23750765</vt:lpwstr>
      </vt:variant>
      <vt:variant>
        <vt:lpwstr/>
      </vt:variant>
      <vt:variant>
        <vt:i4>3801206</vt:i4>
      </vt:variant>
      <vt:variant>
        <vt:i4>90</vt:i4>
      </vt:variant>
      <vt:variant>
        <vt:i4>0</vt:i4>
      </vt:variant>
      <vt:variant>
        <vt:i4>5</vt:i4>
      </vt:variant>
      <vt:variant>
        <vt:lpwstr>http://www.nevo.co.il/case/24263098</vt:lpwstr>
      </vt:variant>
      <vt:variant>
        <vt:lpwstr/>
      </vt:variant>
      <vt:variant>
        <vt:i4>3670131</vt:i4>
      </vt:variant>
      <vt:variant>
        <vt:i4>87</vt:i4>
      </vt:variant>
      <vt:variant>
        <vt:i4>0</vt:i4>
      </vt:variant>
      <vt:variant>
        <vt:i4>5</vt:i4>
      </vt:variant>
      <vt:variant>
        <vt:lpwstr>http://www.nevo.co.il/case/20361180</vt:lpwstr>
      </vt:variant>
      <vt:variant>
        <vt:lpwstr/>
      </vt:variant>
      <vt:variant>
        <vt:i4>3211380</vt:i4>
      </vt:variant>
      <vt:variant>
        <vt:i4>84</vt:i4>
      </vt:variant>
      <vt:variant>
        <vt:i4>0</vt:i4>
      </vt:variant>
      <vt:variant>
        <vt:i4>5</vt:i4>
      </vt:variant>
      <vt:variant>
        <vt:lpwstr>http://www.nevo.co.il/case/23751652</vt:lpwstr>
      </vt:variant>
      <vt:variant>
        <vt:lpwstr/>
      </vt:variant>
      <vt:variant>
        <vt:i4>3539070</vt:i4>
      </vt:variant>
      <vt:variant>
        <vt:i4>81</vt:i4>
      </vt:variant>
      <vt:variant>
        <vt:i4>0</vt:i4>
      </vt:variant>
      <vt:variant>
        <vt:i4>5</vt:i4>
      </vt:variant>
      <vt:variant>
        <vt:lpwstr>http://www.nevo.co.il/case/25690628</vt:lpwstr>
      </vt:variant>
      <vt:variant>
        <vt:lpwstr/>
      </vt:variant>
      <vt:variant>
        <vt:i4>3211378</vt:i4>
      </vt:variant>
      <vt:variant>
        <vt:i4>78</vt:i4>
      </vt:variant>
      <vt:variant>
        <vt:i4>0</vt:i4>
      </vt:variant>
      <vt:variant>
        <vt:i4>5</vt:i4>
      </vt:variant>
      <vt:variant>
        <vt:lpwstr>http://www.nevo.co.il/case/24345651</vt:lpwstr>
      </vt:variant>
      <vt:variant>
        <vt:lpwstr/>
      </vt:variant>
      <vt:variant>
        <vt:i4>7995501</vt:i4>
      </vt:variant>
      <vt:variant>
        <vt:i4>75</vt:i4>
      </vt:variant>
      <vt:variant>
        <vt:i4>0</vt:i4>
      </vt:variant>
      <vt:variant>
        <vt:i4>5</vt:i4>
      </vt:variant>
      <vt:variant>
        <vt:lpwstr>http://www.nevo.co.il/law/4393</vt:lpwstr>
      </vt:variant>
      <vt:variant>
        <vt:lpwstr/>
      </vt:variant>
      <vt:variant>
        <vt:i4>5111831</vt:i4>
      </vt:variant>
      <vt:variant>
        <vt:i4>72</vt:i4>
      </vt:variant>
      <vt:variant>
        <vt:i4>0</vt:i4>
      </vt:variant>
      <vt:variant>
        <vt:i4>5</vt:i4>
      </vt:variant>
      <vt:variant>
        <vt:lpwstr>http://www.nevo.co.il/law/4393/44.a.1</vt:lpwstr>
      </vt:variant>
      <vt:variant>
        <vt:lpwstr/>
      </vt:variant>
      <vt:variant>
        <vt:i4>7995501</vt:i4>
      </vt:variant>
      <vt:variant>
        <vt:i4>69</vt:i4>
      </vt:variant>
      <vt:variant>
        <vt:i4>0</vt:i4>
      </vt:variant>
      <vt:variant>
        <vt:i4>5</vt:i4>
      </vt:variant>
      <vt:variant>
        <vt:lpwstr>http://www.nevo.co.il/law/4393</vt:lpwstr>
      </vt:variant>
      <vt:variant>
        <vt:lpwstr/>
      </vt:variant>
      <vt:variant>
        <vt:i4>5111874</vt:i4>
      </vt:variant>
      <vt:variant>
        <vt:i4>66</vt:i4>
      </vt:variant>
      <vt:variant>
        <vt:i4>0</vt:i4>
      </vt:variant>
      <vt:variant>
        <vt:i4>5</vt:i4>
      </vt:variant>
      <vt:variant>
        <vt:lpwstr>http://www.nevo.co.il/law/4393/44</vt:lpwstr>
      </vt:variant>
      <vt:variant>
        <vt:lpwstr/>
      </vt:variant>
      <vt:variant>
        <vt:i4>3604599</vt:i4>
      </vt:variant>
      <vt:variant>
        <vt:i4>63</vt:i4>
      </vt:variant>
      <vt:variant>
        <vt:i4>0</vt:i4>
      </vt:variant>
      <vt:variant>
        <vt:i4>5</vt:i4>
      </vt:variant>
      <vt:variant>
        <vt:lpwstr>http://www.nevo.co.il/case/13022249</vt:lpwstr>
      </vt:variant>
      <vt:variant>
        <vt:lpwstr/>
      </vt:variant>
      <vt:variant>
        <vt:i4>3735667</vt:i4>
      </vt:variant>
      <vt:variant>
        <vt:i4>60</vt:i4>
      </vt:variant>
      <vt:variant>
        <vt:i4>0</vt:i4>
      </vt:variant>
      <vt:variant>
        <vt:i4>5</vt:i4>
      </vt:variant>
      <vt:variant>
        <vt:lpwstr>http://www.nevo.co.il/case/18178810</vt:lpwstr>
      </vt:variant>
      <vt:variant>
        <vt:lpwstr/>
      </vt:variant>
      <vt:variant>
        <vt:i4>3604593</vt:i4>
      </vt:variant>
      <vt:variant>
        <vt:i4>57</vt:i4>
      </vt:variant>
      <vt:variant>
        <vt:i4>0</vt:i4>
      </vt:variant>
      <vt:variant>
        <vt:i4>5</vt:i4>
      </vt:variant>
      <vt:variant>
        <vt:lpwstr>http://www.nevo.co.il/case/20443128</vt:lpwstr>
      </vt:variant>
      <vt:variant>
        <vt:lpwstr/>
      </vt:variant>
      <vt:variant>
        <vt:i4>3473522</vt:i4>
      </vt:variant>
      <vt:variant>
        <vt:i4>54</vt:i4>
      </vt:variant>
      <vt:variant>
        <vt:i4>0</vt:i4>
      </vt:variant>
      <vt:variant>
        <vt:i4>5</vt:i4>
      </vt:variant>
      <vt:variant>
        <vt:lpwstr>http://www.nevo.co.il/case/18793705</vt:lpwstr>
      </vt:variant>
      <vt:variant>
        <vt:lpwstr/>
      </vt:variant>
      <vt:variant>
        <vt:i4>3604605</vt:i4>
      </vt:variant>
      <vt:variant>
        <vt:i4>51</vt:i4>
      </vt:variant>
      <vt:variant>
        <vt:i4>0</vt:i4>
      </vt:variant>
      <vt:variant>
        <vt:i4>5</vt:i4>
      </vt:variant>
      <vt:variant>
        <vt:lpwstr>http://www.nevo.co.il/case/26574841</vt:lpwstr>
      </vt:variant>
      <vt:variant>
        <vt:lpwstr/>
      </vt:variant>
      <vt:variant>
        <vt:i4>3473527</vt:i4>
      </vt:variant>
      <vt:variant>
        <vt:i4>48</vt:i4>
      </vt:variant>
      <vt:variant>
        <vt:i4>0</vt:i4>
      </vt:variant>
      <vt:variant>
        <vt:i4>5</vt:i4>
      </vt:variant>
      <vt:variant>
        <vt:lpwstr>http://www.nevo.co.il/case/5611948</vt:lpwstr>
      </vt:variant>
      <vt:variant>
        <vt:lpwstr/>
      </vt:variant>
      <vt:variant>
        <vt:i4>3932284</vt:i4>
      </vt:variant>
      <vt:variant>
        <vt:i4>45</vt:i4>
      </vt:variant>
      <vt:variant>
        <vt:i4>0</vt:i4>
      </vt:variant>
      <vt:variant>
        <vt:i4>5</vt:i4>
      </vt:variant>
      <vt:variant>
        <vt:lpwstr>http://www.nevo.co.il/case/19994809</vt:lpwstr>
      </vt:variant>
      <vt:variant>
        <vt:lpwstr/>
      </vt:variant>
      <vt:variant>
        <vt:i4>3145849</vt:i4>
      </vt:variant>
      <vt:variant>
        <vt:i4>42</vt:i4>
      </vt:variant>
      <vt:variant>
        <vt:i4>0</vt:i4>
      </vt:variant>
      <vt:variant>
        <vt:i4>5</vt:i4>
      </vt:variant>
      <vt:variant>
        <vt:lpwstr>http://www.nevo.co.il/case/5608134</vt:lpwstr>
      </vt:variant>
      <vt:variant>
        <vt:lpwstr/>
      </vt:variant>
      <vt:variant>
        <vt:i4>3997814</vt:i4>
      </vt:variant>
      <vt:variant>
        <vt:i4>39</vt:i4>
      </vt:variant>
      <vt:variant>
        <vt:i4>0</vt:i4>
      </vt:variant>
      <vt:variant>
        <vt:i4>5</vt:i4>
      </vt:variant>
      <vt:variant>
        <vt:lpwstr>http://www.nevo.co.il/case/25459220</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3473530</vt:i4>
      </vt:variant>
      <vt:variant>
        <vt:i4>33</vt:i4>
      </vt:variant>
      <vt:variant>
        <vt:i4>0</vt:i4>
      </vt:variant>
      <vt:variant>
        <vt:i4>5</vt:i4>
      </vt:variant>
      <vt:variant>
        <vt:lpwstr>http://www.nevo.co.il/case/25585375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5111831</vt:i4>
      </vt:variant>
      <vt:variant>
        <vt:i4>18</vt:i4>
      </vt:variant>
      <vt:variant>
        <vt:i4>0</vt:i4>
      </vt:variant>
      <vt:variant>
        <vt:i4>5</vt:i4>
      </vt:variant>
      <vt:variant>
        <vt:lpwstr>http://www.nevo.co.il/law/4393/44.a.1</vt:lpwstr>
      </vt:variant>
      <vt:variant>
        <vt:lpwstr/>
      </vt:variant>
      <vt:variant>
        <vt:i4>5111874</vt:i4>
      </vt:variant>
      <vt:variant>
        <vt:i4>15</vt:i4>
      </vt:variant>
      <vt:variant>
        <vt:i4>0</vt:i4>
      </vt:variant>
      <vt:variant>
        <vt:i4>5</vt:i4>
      </vt:variant>
      <vt:variant>
        <vt:lpwstr>http://www.nevo.co.il/law/4393/44</vt:lpwstr>
      </vt:variant>
      <vt:variant>
        <vt:lpwstr/>
      </vt:variant>
      <vt:variant>
        <vt:i4>7995501</vt:i4>
      </vt:variant>
      <vt:variant>
        <vt:i4>12</vt:i4>
      </vt:variant>
      <vt:variant>
        <vt:i4>0</vt:i4>
      </vt:variant>
      <vt:variant>
        <vt:i4>5</vt:i4>
      </vt:variant>
      <vt:variant>
        <vt:lpwstr>http://www.nevo.co.il/law/4393</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62497</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דמיטרי דיקוי</vt:lpwstr>
  </property>
  <property fmtid="{D5CDD505-2E9C-101B-9397-08002B2CF9AE}" pid="10" name="LAWYER">
    <vt:lpwstr>תמרה ולדן מימון;ניר אלפסה</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20211011</vt:lpwstr>
  </property>
  <property fmtid="{D5CDD505-2E9C-101B-9397-08002B2CF9AE}" pid="14" name="TYPE_N_DATE">
    <vt:lpwstr>38020211011</vt:lpwstr>
  </property>
  <property fmtid="{D5CDD505-2E9C-101B-9397-08002B2CF9AE}" pid="15" name="WORDNUMPAGES">
    <vt:lpwstr>6</vt:lpwstr>
  </property>
  <property fmtid="{D5CDD505-2E9C-101B-9397-08002B2CF9AE}" pid="16" name="TYPE_ABS_DATE">
    <vt:lpwstr>380020211011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25585375;5810781;25459220;5608134;19994809;5611948;26574841;18793705;20443128;18178810;13022249;24345651;25690628;23751652;20361180;24263098;23750765;21017469;24971990</vt:lpwstr>
  </property>
  <property fmtid="{D5CDD505-2E9C-101B-9397-08002B2CF9AE}" pid="36" name="LAWLISTTMP1">
    <vt:lpwstr>4216/007.a;007.c</vt:lpwstr>
  </property>
  <property fmtid="{D5CDD505-2E9C-101B-9397-08002B2CF9AE}" pid="37" name="LAWLISTTMP2">
    <vt:lpwstr>70301</vt:lpwstr>
  </property>
  <property fmtid="{D5CDD505-2E9C-101B-9397-08002B2CF9AE}" pid="38" name="LAWLISTTMP3">
    <vt:lpwstr>4393/044;044.a.1</vt:lpwstr>
  </property>
</Properties>
</file>