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0463F" w:rsidRPr="002663B1" w14:paraId="749390D0" w14:textId="77777777" w:rsidTr="00331238">
        <w:trPr>
          <w:trHeight w:hRule="exact" w:val="418"/>
          <w:jc w:val="center"/>
        </w:trPr>
        <w:tc>
          <w:tcPr>
            <w:tcW w:w="8721" w:type="dxa"/>
            <w:gridSpan w:val="2"/>
          </w:tcPr>
          <w:p w14:paraId="17856C2C" w14:textId="77777777" w:rsidR="00A0463F" w:rsidRPr="00305A5F" w:rsidRDefault="00A0463F" w:rsidP="00C86B6A">
            <w:pPr>
              <w:pStyle w:val="a3"/>
              <w:jc w:val="center"/>
              <w:rPr>
                <w:rFonts w:ascii="FrankRuehl" w:hAnsi="FrankRuehl" w:cs="FrankRuehl"/>
                <w:b/>
                <w:bCs/>
                <w:color w:val="000080"/>
                <w:sz w:val="28"/>
                <w:szCs w:val="28"/>
                <w:rtl/>
                <w:lang w:val="en-US" w:eastAsia="en-US"/>
              </w:rPr>
            </w:pPr>
            <w:bookmarkStart w:id="0" w:name="LastJudge"/>
            <w:r w:rsidRPr="00305A5F">
              <w:rPr>
                <w:rFonts w:ascii="FrankRuehl" w:hAnsi="FrankRuehl" w:cs="FrankRuehl"/>
                <w:b/>
                <w:bCs/>
                <w:color w:val="000080"/>
                <w:sz w:val="28"/>
                <w:szCs w:val="28"/>
                <w:rtl/>
                <w:lang w:val="en-US" w:eastAsia="en-US"/>
              </w:rPr>
              <w:t>בית משפט השלום בירושלים</w:t>
            </w:r>
          </w:p>
        </w:tc>
      </w:tr>
      <w:tr w:rsidR="00A0463F" w:rsidRPr="002663B1" w14:paraId="45482D35" w14:textId="77777777" w:rsidTr="00331238">
        <w:trPr>
          <w:trHeight w:val="337"/>
          <w:jc w:val="center"/>
        </w:trPr>
        <w:tc>
          <w:tcPr>
            <w:tcW w:w="5054" w:type="dxa"/>
          </w:tcPr>
          <w:p w14:paraId="5C277F66" w14:textId="77777777" w:rsidR="00A0463F" w:rsidRPr="002663B1" w:rsidRDefault="00A0463F" w:rsidP="00C86B6A">
            <w:pPr>
              <w:rPr>
                <w:rFonts w:ascii="FrankRuehl" w:hAnsi="FrankRuehl" w:cs="FrankRuehl"/>
                <w:b/>
                <w:bCs/>
                <w:sz w:val="28"/>
                <w:szCs w:val="28"/>
                <w:rtl/>
              </w:rPr>
            </w:pPr>
            <w:r w:rsidRPr="002663B1">
              <w:rPr>
                <w:rFonts w:ascii="FrankRuehl" w:hAnsi="FrankRuehl" w:cs="FrankRuehl"/>
                <w:b/>
                <w:bCs/>
                <w:sz w:val="28"/>
                <w:szCs w:val="28"/>
                <w:rtl/>
              </w:rPr>
              <w:t>ת"פ 23864-07-18 מדינת ישראל נ' חלוואני</w:t>
            </w:r>
          </w:p>
          <w:p w14:paraId="724F49A3" w14:textId="77777777" w:rsidR="00A0463F" w:rsidRPr="00305A5F" w:rsidRDefault="00A0463F" w:rsidP="00C86B6A">
            <w:pPr>
              <w:pStyle w:val="a3"/>
              <w:rPr>
                <w:rFonts w:ascii="FrankRuehl" w:hAnsi="FrankRuehl" w:cs="FrankRuehl"/>
                <w:b/>
                <w:bCs/>
                <w:sz w:val="28"/>
                <w:szCs w:val="28"/>
                <w:rtl/>
                <w:lang w:val="en-US" w:eastAsia="en-US"/>
              </w:rPr>
            </w:pPr>
          </w:p>
        </w:tc>
        <w:tc>
          <w:tcPr>
            <w:tcW w:w="3667" w:type="dxa"/>
          </w:tcPr>
          <w:p w14:paraId="66C8ED65" w14:textId="77777777" w:rsidR="00A0463F" w:rsidRPr="00305A5F" w:rsidRDefault="00A0463F" w:rsidP="00C86B6A">
            <w:pPr>
              <w:pStyle w:val="a3"/>
              <w:jc w:val="right"/>
              <w:rPr>
                <w:rFonts w:ascii="FrankRuehl" w:hAnsi="FrankRuehl" w:cs="FrankRuehl"/>
                <w:b/>
                <w:bCs/>
                <w:sz w:val="28"/>
                <w:szCs w:val="28"/>
                <w:rtl/>
                <w:lang w:val="en-US" w:eastAsia="en-US"/>
              </w:rPr>
            </w:pPr>
          </w:p>
        </w:tc>
      </w:tr>
    </w:tbl>
    <w:p w14:paraId="7CFB2B35" w14:textId="77777777" w:rsidR="00A0463F" w:rsidRPr="002663B1" w:rsidRDefault="00A0463F" w:rsidP="00A0463F">
      <w:pPr>
        <w:pStyle w:val="a3"/>
        <w:rPr>
          <w:rtl/>
        </w:rPr>
      </w:pPr>
      <w:r w:rsidRPr="002663B1">
        <w:rPr>
          <w:rFonts w:hint="cs"/>
          <w:rtl/>
        </w:rPr>
        <w:t xml:space="preserve"> </w:t>
      </w:r>
    </w:p>
    <w:p w14:paraId="4AB5921B" w14:textId="77777777" w:rsidR="00A0463F" w:rsidRPr="002663B1" w:rsidRDefault="00A0463F" w:rsidP="00A0463F">
      <w:pPr>
        <w:rPr>
          <w:rtl/>
        </w:rPr>
      </w:pPr>
    </w:p>
    <w:p w14:paraId="32B2E768" w14:textId="77777777" w:rsidR="00A0463F" w:rsidRPr="002663B1" w:rsidRDefault="00A0463F" w:rsidP="00A0463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0463F" w:rsidRPr="002663B1" w14:paraId="21E4F9FB" w14:textId="77777777" w:rsidTr="00A0463F">
        <w:trPr>
          <w:trHeight w:val="295"/>
          <w:jc w:val="center"/>
        </w:trPr>
        <w:tc>
          <w:tcPr>
            <w:tcW w:w="923" w:type="dxa"/>
            <w:tcBorders>
              <w:top w:val="nil"/>
              <w:left w:val="nil"/>
              <w:bottom w:val="nil"/>
              <w:right w:val="nil"/>
            </w:tcBorders>
            <w:shd w:val="clear" w:color="auto" w:fill="auto"/>
          </w:tcPr>
          <w:p w14:paraId="14645335" w14:textId="77777777" w:rsidR="00A0463F" w:rsidRPr="002663B1" w:rsidRDefault="00A0463F" w:rsidP="00A0463F">
            <w:pPr>
              <w:jc w:val="both"/>
              <w:rPr>
                <w:rFonts w:ascii="FrankRuehl" w:hAnsi="FrankRuehl" w:cs="FrankRuehl"/>
                <w:b/>
                <w:bCs/>
                <w:sz w:val="28"/>
                <w:szCs w:val="28"/>
                <w:rtl/>
              </w:rPr>
            </w:pPr>
            <w:r w:rsidRPr="002663B1">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67D8C43C" w14:textId="77777777" w:rsidR="00A0463F" w:rsidRPr="002663B1" w:rsidRDefault="00A0463F" w:rsidP="00C86B6A">
            <w:pPr>
              <w:rPr>
                <w:rFonts w:ascii="FrankRuehl" w:hAnsi="FrankRuehl" w:cs="FrankRuehl"/>
                <w:b/>
                <w:bCs/>
                <w:sz w:val="28"/>
                <w:szCs w:val="28"/>
                <w:rtl/>
              </w:rPr>
            </w:pPr>
            <w:r w:rsidRPr="002663B1">
              <w:rPr>
                <w:rFonts w:ascii="FrankRuehl" w:hAnsi="FrankRuehl" w:cs="FrankRuehl"/>
                <w:b/>
                <w:bCs/>
                <w:sz w:val="28"/>
                <w:szCs w:val="28"/>
                <w:rtl/>
              </w:rPr>
              <w:t>כבוד השופט  דוד שאול גבאי ריכטר</w:t>
            </w:r>
          </w:p>
          <w:p w14:paraId="01ED238B" w14:textId="77777777" w:rsidR="00A0463F" w:rsidRPr="002663B1" w:rsidRDefault="00A0463F" w:rsidP="00C86B6A">
            <w:pPr>
              <w:rPr>
                <w:rFonts w:ascii="FrankRuehl" w:hAnsi="FrankRuehl" w:cs="FrankRuehl"/>
                <w:b/>
                <w:bCs/>
                <w:sz w:val="28"/>
                <w:szCs w:val="28"/>
                <w:rtl/>
              </w:rPr>
            </w:pPr>
          </w:p>
          <w:p w14:paraId="017934A3" w14:textId="77777777" w:rsidR="00A0463F" w:rsidRPr="002663B1" w:rsidRDefault="00A0463F" w:rsidP="00A0463F">
            <w:pPr>
              <w:jc w:val="both"/>
              <w:rPr>
                <w:rFonts w:ascii="FrankRuehl" w:hAnsi="FrankRuehl" w:cs="FrankRuehl"/>
                <w:b/>
                <w:bCs/>
                <w:sz w:val="28"/>
                <w:szCs w:val="28"/>
              </w:rPr>
            </w:pPr>
          </w:p>
        </w:tc>
      </w:tr>
      <w:tr w:rsidR="00A0463F" w:rsidRPr="002663B1" w14:paraId="1C6053AB" w14:textId="77777777" w:rsidTr="00A0463F">
        <w:trPr>
          <w:trHeight w:val="355"/>
          <w:jc w:val="center"/>
        </w:trPr>
        <w:tc>
          <w:tcPr>
            <w:tcW w:w="923" w:type="dxa"/>
            <w:tcBorders>
              <w:top w:val="nil"/>
              <w:left w:val="nil"/>
              <w:bottom w:val="nil"/>
              <w:right w:val="nil"/>
            </w:tcBorders>
            <w:shd w:val="clear" w:color="auto" w:fill="auto"/>
          </w:tcPr>
          <w:p w14:paraId="6856D576" w14:textId="77777777" w:rsidR="00A0463F" w:rsidRPr="002663B1" w:rsidRDefault="00A0463F" w:rsidP="00A0463F">
            <w:pPr>
              <w:jc w:val="both"/>
              <w:rPr>
                <w:rFonts w:ascii="FrankRuehl" w:hAnsi="FrankRuehl" w:cs="FrankRuehl"/>
                <w:b/>
                <w:bCs/>
                <w:sz w:val="28"/>
                <w:szCs w:val="28"/>
              </w:rPr>
            </w:pPr>
            <w:bookmarkStart w:id="1" w:name="FirstAppellant"/>
            <w:r w:rsidRPr="002663B1">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66480145" w14:textId="77777777" w:rsidR="00A0463F" w:rsidRPr="002663B1" w:rsidRDefault="00A0463F" w:rsidP="00C86B6A">
            <w:pPr>
              <w:rPr>
                <w:rFonts w:ascii="FrankRuehl" w:hAnsi="FrankRuehl" w:cs="FrankRuehl"/>
                <w:b/>
                <w:bCs/>
                <w:sz w:val="28"/>
                <w:szCs w:val="28"/>
              </w:rPr>
            </w:pPr>
            <w:r w:rsidRPr="002663B1">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73659DB6" w14:textId="77777777" w:rsidR="00A0463F" w:rsidRPr="002663B1" w:rsidRDefault="00A0463F" w:rsidP="00A0463F">
            <w:pPr>
              <w:jc w:val="both"/>
              <w:rPr>
                <w:rFonts w:ascii="FrankRuehl" w:hAnsi="FrankRuehl" w:cs="FrankRuehl"/>
                <w:b/>
                <w:bCs/>
                <w:sz w:val="28"/>
                <w:szCs w:val="28"/>
              </w:rPr>
            </w:pPr>
          </w:p>
        </w:tc>
      </w:tr>
      <w:bookmarkEnd w:id="1"/>
      <w:tr w:rsidR="00A0463F" w:rsidRPr="002663B1" w14:paraId="51DC2A52" w14:textId="77777777" w:rsidTr="00A0463F">
        <w:trPr>
          <w:trHeight w:val="355"/>
          <w:jc w:val="center"/>
        </w:trPr>
        <w:tc>
          <w:tcPr>
            <w:tcW w:w="923" w:type="dxa"/>
            <w:tcBorders>
              <w:top w:val="nil"/>
              <w:left w:val="nil"/>
              <w:bottom w:val="nil"/>
              <w:right w:val="nil"/>
            </w:tcBorders>
            <w:shd w:val="clear" w:color="auto" w:fill="auto"/>
          </w:tcPr>
          <w:p w14:paraId="36768709" w14:textId="77777777" w:rsidR="00A0463F" w:rsidRPr="002663B1" w:rsidRDefault="00A0463F" w:rsidP="00A0463F">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7C273BC8" w14:textId="77777777" w:rsidR="00A0463F" w:rsidRPr="002663B1" w:rsidRDefault="00A0463F" w:rsidP="00A0463F">
            <w:pPr>
              <w:jc w:val="both"/>
              <w:rPr>
                <w:rFonts w:ascii="FrankRuehl" w:hAnsi="FrankRuehl" w:cs="FrankRuehl"/>
                <w:b/>
                <w:bCs/>
                <w:sz w:val="28"/>
                <w:szCs w:val="28"/>
                <w:rtl/>
              </w:rPr>
            </w:pPr>
            <w:r w:rsidRPr="002663B1">
              <w:rPr>
                <w:rFonts w:ascii="FrankRuehl" w:hAnsi="FrankRuehl" w:cs="FrankRuehl" w:hint="cs"/>
                <w:b/>
                <w:bCs/>
                <w:sz w:val="28"/>
                <w:szCs w:val="28"/>
                <w:rtl/>
              </w:rPr>
              <w:t>ע"י תביעות ירושלים</w:t>
            </w:r>
          </w:p>
        </w:tc>
        <w:tc>
          <w:tcPr>
            <w:tcW w:w="3771" w:type="dxa"/>
            <w:tcBorders>
              <w:top w:val="nil"/>
              <w:left w:val="nil"/>
              <w:bottom w:val="nil"/>
              <w:right w:val="nil"/>
            </w:tcBorders>
            <w:shd w:val="clear" w:color="auto" w:fill="auto"/>
          </w:tcPr>
          <w:p w14:paraId="082D6DDB" w14:textId="77777777" w:rsidR="00A0463F" w:rsidRPr="002663B1" w:rsidRDefault="00A0463F" w:rsidP="00A0463F">
            <w:pPr>
              <w:jc w:val="right"/>
              <w:rPr>
                <w:rFonts w:ascii="FrankRuehl" w:hAnsi="FrankRuehl" w:cs="FrankRuehl"/>
                <w:b/>
                <w:bCs/>
                <w:sz w:val="28"/>
                <w:szCs w:val="28"/>
                <w:rtl/>
              </w:rPr>
            </w:pPr>
            <w:r w:rsidRPr="002663B1">
              <w:rPr>
                <w:rFonts w:ascii="FrankRuehl" w:hAnsi="FrankRuehl" w:cs="FrankRuehl"/>
                <w:b/>
                <w:bCs/>
                <w:sz w:val="28"/>
                <w:szCs w:val="28"/>
                <w:rtl/>
              </w:rPr>
              <w:t>המאשימה</w:t>
            </w:r>
          </w:p>
        </w:tc>
      </w:tr>
      <w:tr w:rsidR="00A0463F" w:rsidRPr="002663B1" w14:paraId="60D33BFE" w14:textId="77777777" w:rsidTr="00A0463F">
        <w:trPr>
          <w:trHeight w:val="355"/>
          <w:jc w:val="center"/>
        </w:trPr>
        <w:tc>
          <w:tcPr>
            <w:tcW w:w="923" w:type="dxa"/>
            <w:tcBorders>
              <w:top w:val="nil"/>
              <w:left w:val="nil"/>
              <w:bottom w:val="nil"/>
              <w:right w:val="nil"/>
            </w:tcBorders>
            <w:shd w:val="clear" w:color="auto" w:fill="auto"/>
          </w:tcPr>
          <w:p w14:paraId="06507BBC" w14:textId="77777777" w:rsidR="00A0463F" w:rsidRPr="002663B1" w:rsidRDefault="00A0463F" w:rsidP="00A0463F">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58A79D02" w14:textId="77777777" w:rsidR="00A0463F" w:rsidRPr="002663B1" w:rsidRDefault="00A0463F" w:rsidP="00A0463F">
            <w:pPr>
              <w:jc w:val="center"/>
              <w:rPr>
                <w:rFonts w:ascii="FrankRuehl" w:hAnsi="FrankRuehl" w:cs="FrankRuehl"/>
                <w:b/>
                <w:bCs/>
                <w:sz w:val="28"/>
                <w:szCs w:val="28"/>
                <w:rtl/>
              </w:rPr>
            </w:pPr>
          </w:p>
          <w:p w14:paraId="313F3B08" w14:textId="77777777" w:rsidR="00A0463F" w:rsidRPr="002663B1" w:rsidRDefault="00A0463F" w:rsidP="00A0463F">
            <w:pPr>
              <w:jc w:val="center"/>
              <w:rPr>
                <w:rFonts w:ascii="FrankRuehl" w:hAnsi="FrankRuehl" w:cs="FrankRuehl"/>
                <w:b/>
                <w:bCs/>
                <w:sz w:val="28"/>
                <w:szCs w:val="28"/>
                <w:rtl/>
              </w:rPr>
            </w:pPr>
            <w:r w:rsidRPr="002663B1">
              <w:rPr>
                <w:rFonts w:ascii="FrankRuehl" w:hAnsi="FrankRuehl" w:cs="FrankRuehl"/>
                <w:b/>
                <w:bCs/>
                <w:sz w:val="28"/>
                <w:szCs w:val="28"/>
                <w:rtl/>
              </w:rPr>
              <w:t>נגד</w:t>
            </w:r>
          </w:p>
          <w:p w14:paraId="61C86B8F" w14:textId="77777777" w:rsidR="00A0463F" w:rsidRPr="002663B1" w:rsidRDefault="00A0463F" w:rsidP="00A0463F">
            <w:pPr>
              <w:jc w:val="both"/>
              <w:rPr>
                <w:rFonts w:ascii="FrankRuehl" w:hAnsi="FrankRuehl" w:cs="FrankRuehl"/>
                <w:b/>
                <w:bCs/>
                <w:sz w:val="28"/>
                <w:szCs w:val="28"/>
              </w:rPr>
            </w:pPr>
          </w:p>
        </w:tc>
      </w:tr>
      <w:tr w:rsidR="00A0463F" w:rsidRPr="002663B1" w14:paraId="2360550A" w14:textId="77777777" w:rsidTr="00A0463F">
        <w:trPr>
          <w:trHeight w:val="355"/>
          <w:jc w:val="center"/>
        </w:trPr>
        <w:tc>
          <w:tcPr>
            <w:tcW w:w="923" w:type="dxa"/>
            <w:tcBorders>
              <w:top w:val="nil"/>
              <w:left w:val="nil"/>
              <w:bottom w:val="nil"/>
              <w:right w:val="nil"/>
            </w:tcBorders>
            <w:shd w:val="clear" w:color="auto" w:fill="auto"/>
          </w:tcPr>
          <w:p w14:paraId="22B16075" w14:textId="77777777" w:rsidR="00A0463F" w:rsidRPr="002663B1" w:rsidRDefault="00A0463F" w:rsidP="00C86B6A">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9CE3289" w14:textId="77777777" w:rsidR="00A0463F" w:rsidRPr="002663B1" w:rsidRDefault="00A0463F" w:rsidP="00C86B6A">
            <w:pPr>
              <w:rPr>
                <w:rFonts w:ascii="FrankRuehl" w:hAnsi="FrankRuehl" w:cs="FrankRuehl"/>
                <w:b/>
                <w:bCs/>
                <w:sz w:val="28"/>
                <w:szCs w:val="28"/>
                <w:rtl/>
              </w:rPr>
            </w:pPr>
            <w:r w:rsidRPr="002663B1">
              <w:rPr>
                <w:rFonts w:ascii="FrankRuehl" w:hAnsi="FrankRuehl" w:cs="FrankRuehl"/>
                <w:b/>
                <w:bCs/>
                <w:sz w:val="28"/>
                <w:szCs w:val="28"/>
                <w:rtl/>
              </w:rPr>
              <w:t>חאלד חלוואני</w:t>
            </w:r>
          </w:p>
        </w:tc>
        <w:tc>
          <w:tcPr>
            <w:tcW w:w="3771" w:type="dxa"/>
            <w:tcBorders>
              <w:top w:val="nil"/>
              <w:left w:val="nil"/>
              <w:bottom w:val="nil"/>
              <w:right w:val="nil"/>
            </w:tcBorders>
            <w:shd w:val="clear" w:color="auto" w:fill="auto"/>
          </w:tcPr>
          <w:p w14:paraId="467576EE" w14:textId="77777777" w:rsidR="00A0463F" w:rsidRPr="002663B1" w:rsidRDefault="00A0463F" w:rsidP="00A0463F">
            <w:pPr>
              <w:jc w:val="right"/>
              <w:rPr>
                <w:rFonts w:ascii="FrankRuehl" w:hAnsi="FrankRuehl" w:cs="FrankRuehl"/>
                <w:b/>
                <w:bCs/>
                <w:sz w:val="28"/>
                <w:szCs w:val="28"/>
              </w:rPr>
            </w:pPr>
          </w:p>
        </w:tc>
      </w:tr>
      <w:tr w:rsidR="00A0463F" w:rsidRPr="002663B1" w14:paraId="5C7CA23F" w14:textId="77777777" w:rsidTr="00A0463F">
        <w:trPr>
          <w:trHeight w:val="355"/>
          <w:jc w:val="center"/>
        </w:trPr>
        <w:tc>
          <w:tcPr>
            <w:tcW w:w="923" w:type="dxa"/>
            <w:tcBorders>
              <w:top w:val="nil"/>
              <w:left w:val="nil"/>
              <w:bottom w:val="nil"/>
              <w:right w:val="nil"/>
            </w:tcBorders>
            <w:shd w:val="clear" w:color="auto" w:fill="auto"/>
          </w:tcPr>
          <w:p w14:paraId="41AB2C89" w14:textId="77777777" w:rsidR="00A0463F" w:rsidRPr="002663B1" w:rsidRDefault="00A0463F" w:rsidP="00A0463F">
            <w:pPr>
              <w:jc w:val="both"/>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5ED85DAF" w14:textId="77777777" w:rsidR="00A0463F" w:rsidRPr="002663B1" w:rsidRDefault="00A0463F" w:rsidP="00A0463F">
            <w:pPr>
              <w:jc w:val="both"/>
              <w:rPr>
                <w:rFonts w:ascii="FrankRuehl" w:hAnsi="FrankRuehl" w:cs="FrankRuehl"/>
                <w:b/>
                <w:bCs/>
                <w:sz w:val="28"/>
                <w:szCs w:val="28"/>
                <w:rtl/>
              </w:rPr>
            </w:pPr>
            <w:r w:rsidRPr="002663B1">
              <w:rPr>
                <w:rFonts w:ascii="FrankRuehl" w:hAnsi="FrankRuehl" w:cs="FrankRuehl" w:hint="cs"/>
                <w:b/>
                <w:bCs/>
                <w:sz w:val="28"/>
                <w:szCs w:val="28"/>
                <w:rtl/>
              </w:rPr>
              <w:t>ע"י ב"כ עו"ד מחמוד רבאח</w:t>
            </w:r>
          </w:p>
        </w:tc>
        <w:tc>
          <w:tcPr>
            <w:tcW w:w="3771" w:type="dxa"/>
            <w:tcBorders>
              <w:top w:val="nil"/>
              <w:left w:val="nil"/>
              <w:bottom w:val="nil"/>
              <w:right w:val="nil"/>
            </w:tcBorders>
            <w:shd w:val="clear" w:color="auto" w:fill="auto"/>
          </w:tcPr>
          <w:p w14:paraId="2D8EDB37" w14:textId="77777777" w:rsidR="00A0463F" w:rsidRPr="002663B1" w:rsidRDefault="00A0463F" w:rsidP="00A0463F">
            <w:pPr>
              <w:jc w:val="right"/>
              <w:rPr>
                <w:rFonts w:ascii="FrankRuehl" w:hAnsi="FrankRuehl" w:cs="FrankRuehl"/>
                <w:b/>
                <w:bCs/>
                <w:sz w:val="28"/>
                <w:szCs w:val="28"/>
              </w:rPr>
            </w:pPr>
            <w:r w:rsidRPr="002663B1">
              <w:rPr>
                <w:rFonts w:ascii="FrankRuehl" w:hAnsi="FrankRuehl" w:cs="FrankRuehl"/>
                <w:b/>
                <w:bCs/>
                <w:sz w:val="28"/>
                <w:szCs w:val="28"/>
                <w:rtl/>
              </w:rPr>
              <w:t>הנאשם</w:t>
            </w:r>
          </w:p>
        </w:tc>
      </w:tr>
      <w:bookmarkEnd w:id="2"/>
    </w:tbl>
    <w:p w14:paraId="34693FDA" w14:textId="77777777" w:rsidR="00331238" w:rsidRPr="00331238" w:rsidRDefault="00331238" w:rsidP="00331238">
      <w:pPr>
        <w:bidi w:val="0"/>
        <w:spacing w:before="120" w:after="120" w:line="240" w:lineRule="exact"/>
        <w:ind w:left="283" w:hanging="283"/>
        <w:jc w:val="both"/>
        <w:rPr>
          <w:rFonts w:ascii="FrankRuehl" w:hAnsi="FrankRuehl" w:cs="FrankRuehl"/>
          <w:rtl/>
        </w:rPr>
      </w:pPr>
    </w:p>
    <w:p w14:paraId="44C3566D" w14:textId="77777777" w:rsidR="00D8297A" w:rsidRDefault="00D8297A" w:rsidP="00D8297A">
      <w:pPr>
        <w:rPr>
          <w:rFonts w:ascii="FrankRuehl" w:hAnsi="FrankRuehl" w:cs="FrankRuehl"/>
          <w:sz w:val="28"/>
          <w:szCs w:val="28"/>
          <w:rtl/>
        </w:rPr>
      </w:pPr>
      <w:bookmarkStart w:id="3" w:name="LawTable"/>
      <w:bookmarkEnd w:id="3"/>
    </w:p>
    <w:p w14:paraId="14D77156" w14:textId="77777777" w:rsidR="00D8297A" w:rsidRPr="00D8297A" w:rsidRDefault="00D8297A" w:rsidP="00D8297A">
      <w:pPr>
        <w:spacing w:before="120" w:after="120" w:line="240" w:lineRule="exact"/>
        <w:ind w:left="283" w:hanging="283"/>
        <w:jc w:val="both"/>
        <w:rPr>
          <w:rFonts w:ascii="FrankRuehl" w:hAnsi="FrankRuehl" w:cs="FrankRuehl"/>
          <w:rtl/>
        </w:rPr>
      </w:pPr>
    </w:p>
    <w:p w14:paraId="2823ACA3" w14:textId="77777777" w:rsidR="00D8297A" w:rsidRPr="00D8297A" w:rsidRDefault="00D8297A" w:rsidP="00D8297A">
      <w:pPr>
        <w:spacing w:before="120" w:after="120" w:line="240" w:lineRule="exact"/>
        <w:ind w:left="283" w:hanging="283"/>
        <w:jc w:val="both"/>
        <w:rPr>
          <w:rFonts w:ascii="FrankRuehl" w:hAnsi="FrankRuehl" w:cs="FrankRuehl"/>
          <w:rtl/>
        </w:rPr>
      </w:pPr>
    </w:p>
    <w:p w14:paraId="7BA2AC1F" w14:textId="77777777" w:rsidR="00D8297A" w:rsidRPr="00D8297A" w:rsidRDefault="00D8297A" w:rsidP="00D8297A">
      <w:pPr>
        <w:spacing w:before="120" w:after="120" w:line="240" w:lineRule="exact"/>
        <w:ind w:left="283" w:hanging="283"/>
        <w:jc w:val="both"/>
        <w:rPr>
          <w:rFonts w:ascii="FrankRuehl" w:hAnsi="FrankRuehl" w:cs="FrankRuehl"/>
          <w:rtl/>
        </w:rPr>
      </w:pPr>
      <w:r w:rsidRPr="00D8297A">
        <w:rPr>
          <w:rFonts w:ascii="FrankRuehl" w:hAnsi="FrankRuehl" w:cs="FrankRuehl"/>
          <w:rtl/>
        </w:rPr>
        <w:t xml:space="preserve">חקיקה שאוזכרה: </w:t>
      </w:r>
    </w:p>
    <w:p w14:paraId="2AB22955" w14:textId="77777777" w:rsidR="00D8297A" w:rsidRPr="00D8297A" w:rsidRDefault="00D8297A" w:rsidP="00D8297A">
      <w:pPr>
        <w:spacing w:before="120" w:after="120" w:line="240" w:lineRule="exact"/>
        <w:ind w:left="283" w:hanging="283"/>
        <w:jc w:val="both"/>
        <w:rPr>
          <w:rFonts w:ascii="FrankRuehl" w:hAnsi="FrankRuehl" w:cs="FrankRuehl"/>
          <w:rtl/>
        </w:rPr>
      </w:pPr>
      <w:hyperlink r:id="rId6" w:history="1">
        <w:r w:rsidRPr="00D8297A">
          <w:rPr>
            <w:rFonts w:ascii="FrankRuehl" w:hAnsi="FrankRuehl" w:cs="FrankRuehl"/>
            <w:color w:val="0000FF"/>
            <w:rtl/>
          </w:rPr>
          <w:t>פקודת הסמים המסוכנים [נוסח חדש], תשל"ג-1973</w:t>
        </w:r>
      </w:hyperlink>
      <w:r w:rsidRPr="00D8297A">
        <w:rPr>
          <w:rFonts w:ascii="FrankRuehl" w:hAnsi="FrankRuehl" w:cs="FrankRuehl"/>
          <w:rtl/>
        </w:rPr>
        <w:t xml:space="preserve">: סע'  </w:t>
      </w:r>
      <w:hyperlink r:id="rId7" w:history="1">
        <w:r w:rsidRPr="00D8297A">
          <w:rPr>
            <w:rFonts w:ascii="FrankRuehl" w:hAnsi="FrankRuehl" w:cs="FrankRuehl"/>
            <w:color w:val="0000FF"/>
            <w:rtl/>
          </w:rPr>
          <w:t>13</w:t>
        </w:r>
      </w:hyperlink>
      <w:r w:rsidRPr="00D8297A">
        <w:rPr>
          <w:rFonts w:ascii="FrankRuehl" w:hAnsi="FrankRuehl" w:cs="FrankRuehl"/>
          <w:rtl/>
        </w:rPr>
        <w:t xml:space="preserve">, </w:t>
      </w:r>
      <w:hyperlink r:id="rId8" w:history="1">
        <w:r w:rsidRPr="00D8297A">
          <w:rPr>
            <w:rFonts w:ascii="FrankRuehl" w:hAnsi="FrankRuehl" w:cs="FrankRuehl"/>
            <w:color w:val="0000FF"/>
            <w:rtl/>
          </w:rPr>
          <w:t>19א</w:t>
        </w:r>
      </w:hyperlink>
    </w:p>
    <w:p w14:paraId="0FE87654" w14:textId="77777777" w:rsidR="00D8297A" w:rsidRPr="00D8297A" w:rsidRDefault="00D8297A" w:rsidP="00D8297A">
      <w:pPr>
        <w:spacing w:before="120" w:after="120" w:line="240" w:lineRule="exact"/>
        <w:ind w:left="283" w:hanging="283"/>
        <w:jc w:val="both"/>
        <w:rPr>
          <w:rFonts w:ascii="FrankRuehl" w:hAnsi="FrankRuehl" w:cs="FrankRuehl"/>
          <w:rtl/>
        </w:rPr>
      </w:pPr>
      <w:hyperlink r:id="rId9" w:history="1">
        <w:r w:rsidRPr="00D8297A">
          <w:rPr>
            <w:rFonts w:ascii="FrankRuehl" w:hAnsi="FrankRuehl" w:cs="FrankRuehl"/>
            <w:color w:val="0000FF"/>
            <w:rtl/>
          </w:rPr>
          <w:t>חוק העונשין, תשל"ז-1977</w:t>
        </w:r>
      </w:hyperlink>
      <w:r w:rsidRPr="00D8297A">
        <w:rPr>
          <w:rFonts w:ascii="FrankRuehl" w:hAnsi="FrankRuehl" w:cs="FrankRuehl"/>
          <w:rtl/>
        </w:rPr>
        <w:t xml:space="preserve">: סע'  </w:t>
      </w:r>
      <w:hyperlink r:id="rId10" w:history="1">
        <w:r w:rsidRPr="00D8297A">
          <w:rPr>
            <w:rFonts w:ascii="FrankRuehl" w:hAnsi="FrankRuehl" w:cs="FrankRuehl"/>
            <w:color w:val="0000FF"/>
            <w:rtl/>
          </w:rPr>
          <w:t>40ט'</w:t>
        </w:r>
      </w:hyperlink>
      <w:r w:rsidRPr="00D8297A">
        <w:rPr>
          <w:rFonts w:ascii="FrankRuehl" w:hAnsi="FrankRuehl" w:cs="FrankRuehl"/>
          <w:rtl/>
        </w:rPr>
        <w:t xml:space="preserve">, </w:t>
      </w:r>
      <w:hyperlink r:id="rId11" w:history="1">
        <w:r w:rsidRPr="00D8297A">
          <w:rPr>
            <w:rFonts w:ascii="FrankRuehl" w:hAnsi="FrankRuehl" w:cs="FrankRuehl"/>
            <w:color w:val="0000FF"/>
            <w:rtl/>
          </w:rPr>
          <w:t>40יא</w:t>
        </w:r>
      </w:hyperlink>
    </w:p>
    <w:p w14:paraId="64101CD3" w14:textId="77777777" w:rsidR="00D8297A" w:rsidRPr="00D8297A" w:rsidRDefault="00D8297A" w:rsidP="00D8297A">
      <w:pPr>
        <w:rPr>
          <w:rFonts w:ascii="FrankRuehl" w:hAnsi="FrankRuehl" w:cs="FrankRuehl"/>
          <w:sz w:val="28"/>
          <w:szCs w:val="28"/>
          <w:rtl/>
        </w:rPr>
      </w:pPr>
      <w:bookmarkStart w:id="4" w:name="LawTable_End"/>
      <w:bookmarkEnd w:id="4"/>
    </w:p>
    <w:p w14:paraId="592EC037" w14:textId="77777777" w:rsidR="00A0463F" w:rsidRPr="00331238" w:rsidRDefault="00A0463F" w:rsidP="00331238">
      <w:pPr>
        <w:rPr>
          <w:rFonts w:ascii="FrankRuehl" w:hAnsi="FrankRueh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0463F" w14:paraId="44BECD29" w14:textId="77777777" w:rsidTr="00A0463F">
        <w:trPr>
          <w:trHeight w:val="355"/>
          <w:jc w:val="center"/>
        </w:trPr>
        <w:tc>
          <w:tcPr>
            <w:tcW w:w="8820" w:type="dxa"/>
            <w:tcBorders>
              <w:top w:val="nil"/>
              <w:left w:val="nil"/>
              <w:bottom w:val="nil"/>
              <w:right w:val="nil"/>
            </w:tcBorders>
            <w:shd w:val="clear" w:color="auto" w:fill="auto"/>
          </w:tcPr>
          <w:p w14:paraId="7190D798" w14:textId="77777777" w:rsidR="002663B1" w:rsidRPr="002663B1" w:rsidRDefault="002663B1" w:rsidP="002663B1">
            <w:pPr>
              <w:jc w:val="center"/>
              <w:rPr>
                <w:rFonts w:ascii="Arial" w:hAnsi="Arial" w:cs="FrankRuehl"/>
                <w:b/>
                <w:bCs/>
                <w:sz w:val="32"/>
                <w:szCs w:val="32"/>
                <w:u w:val="single"/>
                <w:rtl/>
              </w:rPr>
            </w:pPr>
            <w:bookmarkStart w:id="5" w:name="PsakDin" w:colFirst="0" w:colLast="0"/>
            <w:bookmarkEnd w:id="0"/>
            <w:r w:rsidRPr="002663B1">
              <w:rPr>
                <w:rFonts w:ascii="Arial" w:hAnsi="Arial" w:cs="FrankRuehl"/>
                <w:b/>
                <w:bCs/>
                <w:sz w:val="32"/>
                <w:szCs w:val="32"/>
                <w:u w:val="single"/>
                <w:rtl/>
              </w:rPr>
              <w:t>גזר דין</w:t>
            </w:r>
          </w:p>
          <w:p w14:paraId="5CABC559" w14:textId="77777777" w:rsidR="00A0463F" w:rsidRPr="002663B1" w:rsidRDefault="00A0463F" w:rsidP="002663B1">
            <w:pPr>
              <w:jc w:val="center"/>
              <w:rPr>
                <w:rFonts w:ascii="Arial" w:hAnsi="Arial" w:cs="FrankRuehl"/>
                <w:bCs/>
                <w:sz w:val="32"/>
                <w:szCs w:val="32"/>
                <w:u w:val="single"/>
                <w:rtl/>
              </w:rPr>
            </w:pPr>
          </w:p>
        </w:tc>
      </w:tr>
      <w:bookmarkEnd w:id="5"/>
    </w:tbl>
    <w:p w14:paraId="66D171F6" w14:textId="77777777" w:rsidR="00A0463F" w:rsidRDefault="00A0463F" w:rsidP="00A0463F">
      <w:pPr>
        <w:rPr>
          <w:rFonts w:ascii="FrankRuehl" w:hAnsi="FrankRuehl" w:cs="FrankRuehl"/>
          <w:sz w:val="28"/>
          <w:szCs w:val="28"/>
        </w:rPr>
      </w:pPr>
    </w:p>
    <w:p w14:paraId="0C0DE2EE" w14:textId="77777777" w:rsidR="00A0463F" w:rsidRDefault="00A0463F" w:rsidP="00A0463F">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כתב האישום</w:t>
      </w:r>
    </w:p>
    <w:p w14:paraId="0BC781E8" w14:textId="77777777" w:rsidR="00A0463F" w:rsidRDefault="00A0463F" w:rsidP="00A0463F">
      <w:pPr>
        <w:spacing w:line="360" w:lineRule="auto"/>
        <w:jc w:val="both"/>
        <w:rPr>
          <w:rFonts w:ascii="FrankRuehl" w:hAnsi="FrankRuehl" w:cs="FrankRuehl"/>
          <w:sz w:val="28"/>
          <w:szCs w:val="28"/>
          <w:rtl/>
        </w:rPr>
      </w:pPr>
      <w:bookmarkStart w:id="6" w:name="ABSTRACT_START"/>
      <w:bookmarkEnd w:id="6"/>
      <w:r>
        <w:rPr>
          <w:rFonts w:ascii="FrankRuehl" w:hAnsi="FrankRuehl" w:cs="FrankRuehl"/>
          <w:sz w:val="28"/>
          <w:szCs w:val="28"/>
          <w:rtl/>
        </w:rPr>
        <w:t xml:space="preserve">הנאשם הורשע על פי הודאתו בביצוע עבירה של סחר בסם לפי </w:t>
      </w:r>
      <w:hyperlink r:id="rId12" w:history="1">
        <w:r w:rsidR="00331238" w:rsidRPr="00331238">
          <w:rPr>
            <w:rStyle w:val="Hyperlink"/>
            <w:rFonts w:ascii="FrankRuehl" w:hAnsi="FrankRuehl" w:cs="FrankRuehl"/>
            <w:sz w:val="28"/>
            <w:szCs w:val="28"/>
            <w:rtl/>
          </w:rPr>
          <w:t>סעיפים 13</w:t>
        </w:r>
      </w:hyperlink>
      <w:r>
        <w:rPr>
          <w:rFonts w:ascii="FrankRuehl" w:hAnsi="FrankRuehl" w:cs="FrankRuehl"/>
          <w:sz w:val="28"/>
          <w:szCs w:val="28"/>
          <w:rtl/>
        </w:rPr>
        <w:t xml:space="preserve"> ו-</w:t>
      </w:r>
      <w:hyperlink r:id="rId13" w:history="1">
        <w:r w:rsidR="00331238" w:rsidRPr="00331238">
          <w:rPr>
            <w:rStyle w:val="Hyperlink"/>
            <w:rFonts w:ascii="FrankRuehl" w:hAnsi="FrankRuehl" w:cs="FrankRuehl"/>
            <w:sz w:val="28"/>
            <w:szCs w:val="28"/>
            <w:rtl/>
          </w:rPr>
          <w:t>19א</w:t>
        </w:r>
      </w:hyperlink>
      <w:r>
        <w:rPr>
          <w:rFonts w:ascii="FrankRuehl" w:hAnsi="FrankRuehl" w:cs="FrankRuehl"/>
          <w:sz w:val="28"/>
          <w:szCs w:val="28"/>
          <w:rtl/>
        </w:rPr>
        <w:t xml:space="preserve"> ל</w:t>
      </w:r>
      <w:hyperlink r:id="rId14" w:history="1">
        <w:r w:rsidR="002663B1" w:rsidRPr="002663B1">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מדובר בסם מסוג קוקאין במשקל כחצי גרם, שנמכר לסוכן משטרתי, שלנאשם יש עמו היכרות מוקדמת, וזאת תמורת 800 ₪. מדובר בעסקה בודדת מיום 8.5.2016.</w:t>
      </w:r>
    </w:p>
    <w:p w14:paraId="7FCF52A8" w14:textId="77777777" w:rsidR="00A0463F" w:rsidRDefault="00A0463F" w:rsidP="00A0463F">
      <w:pPr>
        <w:spacing w:line="360" w:lineRule="auto"/>
        <w:jc w:val="both"/>
        <w:rPr>
          <w:rFonts w:ascii="FrankRuehl" w:hAnsi="FrankRuehl" w:cs="FrankRuehl"/>
          <w:sz w:val="28"/>
          <w:szCs w:val="28"/>
          <w:rtl/>
        </w:rPr>
      </w:pPr>
      <w:bookmarkStart w:id="7" w:name="ABSTRACT_END"/>
      <w:bookmarkEnd w:id="7"/>
    </w:p>
    <w:p w14:paraId="4FA2EBC5" w14:textId="77777777" w:rsidR="00A0463F" w:rsidRDefault="00A0463F" w:rsidP="00A0463F">
      <w:pPr>
        <w:jc w:val="both"/>
        <w:rPr>
          <w:rFonts w:ascii="FrankRuehl" w:hAnsi="FrankRuehl" w:cs="FrankRuehl"/>
          <w:b/>
          <w:bCs/>
          <w:sz w:val="28"/>
          <w:szCs w:val="28"/>
          <w:u w:val="single"/>
          <w:rtl/>
        </w:rPr>
      </w:pPr>
      <w:r>
        <w:rPr>
          <w:rFonts w:ascii="FrankRuehl" w:hAnsi="FrankRuehl" w:cs="FrankRuehl"/>
          <w:b/>
          <w:bCs/>
          <w:sz w:val="28"/>
          <w:szCs w:val="28"/>
          <w:u w:val="single"/>
          <w:rtl/>
        </w:rPr>
        <w:t>ההליך</w:t>
      </w:r>
    </w:p>
    <w:p w14:paraId="383BBE68"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כתב האישום הוגש כשנתיים וחודשיים לאחר ביצוע העבירה, בחודש יולי 2018. הצדדים לא הגיעו להסדר, והנאשם נשלח לשירות המבחן ולממונה על עבודות השירות.</w:t>
      </w:r>
    </w:p>
    <w:p w14:paraId="67046D73" w14:textId="77777777" w:rsidR="00A0463F" w:rsidRDefault="00A0463F" w:rsidP="00A0463F">
      <w:pPr>
        <w:spacing w:line="360" w:lineRule="auto"/>
        <w:jc w:val="both"/>
        <w:rPr>
          <w:rFonts w:ascii="FrankRuehl" w:hAnsi="FrankRuehl" w:cs="FrankRuehl"/>
          <w:sz w:val="28"/>
          <w:szCs w:val="28"/>
          <w:rtl/>
        </w:rPr>
      </w:pPr>
    </w:p>
    <w:p w14:paraId="2FE7D488" w14:textId="77777777" w:rsidR="00A0463F" w:rsidRDefault="00A0463F" w:rsidP="00A0463F">
      <w:pPr>
        <w:jc w:val="both"/>
        <w:rPr>
          <w:rFonts w:ascii="FrankRuehl" w:hAnsi="FrankRuehl" w:cs="FrankRuehl"/>
          <w:b/>
          <w:bCs/>
          <w:sz w:val="28"/>
          <w:szCs w:val="28"/>
          <w:u w:val="single"/>
          <w:rtl/>
        </w:rPr>
      </w:pPr>
      <w:r>
        <w:rPr>
          <w:rFonts w:ascii="FrankRuehl" w:hAnsi="FrankRuehl" w:cs="FrankRuehl"/>
          <w:b/>
          <w:bCs/>
          <w:sz w:val="28"/>
          <w:szCs w:val="28"/>
          <w:u w:val="single"/>
          <w:rtl/>
        </w:rPr>
        <w:lastRenderedPageBreak/>
        <w:t>תסקירי שירות המבחן</w:t>
      </w:r>
    </w:p>
    <w:p w14:paraId="6BD133A1"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בעניינו של הנאשם הוגשו שני תסקירים.</w:t>
      </w:r>
    </w:p>
    <w:p w14:paraId="53B6999A"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מהתסקיר שהוגש באוקטובר 2019 עולה, כי הנאשם כבן 29, רווק המתגורר עם משפחתו. הוא התייתם מאביו כשהיה פעוט. המשפחה חוותה קשיים כלכליים מרובים. הנאשם נשר מלימודים בהיותו כבן 12, ולמעשה יצא לעבוד בשווקים כדי לסייע בפרנסת המשפחה. הנאשם עבד בנערותו ובבגרותו באופן יציב, גם אם החליף מקומות עבודה. הוא החל להשתמש באלכוהול ובחשיש כשהיה כבן 14 והחל מגיל 20 החל לצרוך סמים באופן יומיומי, מסוג חשיש ואקסטזי. הוא מתקשה להפסיק להשתמש בסמים, כפי שגם עלה לאורך התנהלותו מול שירות המבחן בהליך שלפניי. בדיקת שתן העלתה כי הוא ממשיך להשתמש גם בקנביס וגם בקוקאין. הנאשם הביע התנגדות לתהליך טיפולי, בוודאי לתהליך אינטנסיבי בקהילה סגורה. ניסיון לשלבו בטיפול לא עלה יפה. הנאשם נטל אחריות למעשים וציין את היכרותו האישית עם הסוכן. נוכח היעדר שיתוף פעולה, שירות המבחן נמנע מהמלצה.</w:t>
      </w:r>
    </w:p>
    <w:p w14:paraId="1F2F9B5D"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לאחר שהבהרתי לנאשם את חומרת מצבו ואת הצפי למאסר בפועל, הוא שב ונשלח לשירות המבחן כדי לאפשר לו הזדמנות נוספת להוכיח את רצינותו. אלא, שמהתסקיר שהוגש בחודש ינואר 2020 עלתה תמונה דומה, ובהתאם לכך, גם הימנעות שירות המבחן מהמלצה.</w:t>
      </w:r>
    </w:p>
    <w:p w14:paraId="00680047" w14:textId="77777777" w:rsidR="00A0463F" w:rsidRDefault="00A0463F" w:rsidP="00A0463F">
      <w:pPr>
        <w:jc w:val="both"/>
        <w:rPr>
          <w:rFonts w:ascii="FrankRuehl" w:hAnsi="FrankRuehl" w:cs="FrankRuehl"/>
          <w:sz w:val="28"/>
          <w:szCs w:val="28"/>
          <w:rtl/>
        </w:rPr>
      </w:pPr>
    </w:p>
    <w:p w14:paraId="30DF4DD4" w14:textId="77777777" w:rsidR="00A0463F" w:rsidRDefault="00A0463F" w:rsidP="00A0463F">
      <w:pPr>
        <w:jc w:val="both"/>
        <w:rPr>
          <w:rFonts w:ascii="FrankRuehl" w:hAnsi="FrankRuehl" w:cs="FrankRuehl"/>
          <w:b/>
          <w:bCs/>
          <w:sz w:val="28"/>
          <w:szCs w:val="28"/>
          <w:u w:val="single"/>
          <w:rtl/>
        </w:rPr>
      </w:pPr>
      <w:r>
        <w:rPr>
          <w:rFonts w:ascii="FrankRuehl" w:hAnsi="FrankRuehl" w:cs="FrankRuehl"/>
          <w:b/>
          <w:bCs/>
          <w:sz w:val="28"/>
          <w:szCs w:val="28"/>
          <w:u w:val="single"/>
          <w:rtl/>
        </w:rPr>
        <w:t>חוות דעת של הממונה על עבודות השירות</w:t>
      </w:r>
    </w:p>
    <w:p w14:paraId="01B9940A"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 xml:space="preserve">הממונה הגיש חוות דעת על אודות כשירות הנאשם לבצע מאסר בעבודות שירות. מחוות הדעת עולה, כי הנאשם כשיר לבצע עבודות שירות ב"חברה קדישא" בירושלים. </w:t>
      </w:r>
    </w:p>
    <w:p w14:paraId="4770F336" w14:textId="77777777" w:rsidR="00A0463F" w:rsidRDefault="00A0463F" w:rsidP="00A0463F">
      <w:pPr>
        <w:jc w:val="both"/>
        <w:rPr>
          <w:rFonts w:ascii="FrankRuehl" w:hAnsi="FrankRuehl" w:cs="FrankRuehl"/>
          <w:sz w:val="28"/>
          <w:szCs w:val="28"/>
          <w:rtl/>
        </w:rPr>
      </w:pPr>
    </w:p>
    <w:p w14:paraId="532F4592" w14:textId="77777777" w:rsidR="00A0463F" w:rsidRDefault="00A0463F" w:rsidP="00A0463F">
      <w:pPr>
        <w:jc w:val="both"/>
        <w:rPr>
          <w:rFonts w:ascii="FrankRuehl" w:hAnsi="FrankRuehl" w:cs="FrankRuehl"/>
          <w:b/>
          <w:bCs/>
          <w:sz w:val="28"/>
          <w:szCs w:val="28"/>
          <w:u w:val="single"/>
          <w:rtl/>
        </w:rPr>
      </w:pPr>
      <w:r>
        <w:rPr>
          <w:rFonts w:ascii="FrankRuehl" w:hAnsi="FrankRuehl" w:cs="FrankRuehl"/>
          <w:b/>
          <w:bCs/>
          <w:sz w:val="28"/>
          <w:szCs w:val="28"/>
          <w:u w:val="single"/>
          <w:rtl/>
        </w:rPr>
        <w:t>רישום פלילי</w:t>
      </w:r>
    </w:p>
    <w:p w14:paraId="578CD28C"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לנאשם רישום פלילי בודד הכולל הרשעה בעבירה של היזק לרכוש במזיד.</w:t>
      </w:r>
    </w:p>
    <w:p w14:paraId="50761CE6" w14:textId="77777777" w:rsidR="00A0463F" w:rsidRDefault="00A0463F" w:rsidP="00A0463F">
      <w:pPr>
        <w:jc w:val="both"/>
        <w:rPr>
          <w:rFonts w:ascii="FrankRuehl" w:hAnsi="FrankRuehl" w:cs="FrankRuehl"/>
          <w:sz w:val="28"/>
          <w:szCs w:val="28"/>
          <w:rtl/>
        </w:rPr>
      </w:pPr>
    </w:p>
    <w:p w14:paraId="5E3F8DCD" w14:textId="77777777" w:rsidR="00A0463F" w:rsidRDefault="00A0463F" w:rsidP="00A0463F">
      <w:pPr>
        <w:jc w:val="both"/>
        <w:rPr>
          <w:rFonts w:ascii="FrankRuehl" w:hAnsi="FrankRuehl" w:cs="FrankRuehl"/>
          <w:b/>
          <w:bCs/>
          <w:sz w:val="28"/>
          <w:szCs w:val="28"/>
          <w:u w:val="single"/>
          <w:rtl/>
        </w:rPr>
      </w:pPr>
      <w:r>
        <w:rPr>
          <w:rFonts w:ascii="FrankRuehl" w:hAnsi="FrankRuehl" w:cs="FrankRuehl"/>
          <w:b/>
          <w:bCs/>
          <w:sz w:val="28"/>
          <w:szCs w:val="28"/>
          <w:u w:val="single"/>
          <w:rtl/>
        </w:rPr>
        <w:t>טיעונים לעונש</w:t>
      </w:r>
    </w:p>
    <w:p w14:paraId="472FE10A"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 xml:space="preserve">הצדדים לא הגיעו להסכמה עונשית. </w:t>
      </w:r>
    </w:p>
    <w:p w14:paraId="12D9283C"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 xml:space="preserve">מחד, ב"כ המאשימה טען למתחם ענישה שבין 8 ל-18 חודשי מאסר בהתאם לפסיקה שהציג, ועתר להטיל על הנאשם עונש בתחתית המתחם וענישה נלווית. </w:t>
      </w:r>
    </w:p>
    <w:p w14:paraId="2FE932FB"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 xml:space="preserve">מאידך, הסניגור עתר להימנע מהטלת מאסר בפועל או בעבודות שירות, תוך הסתפקות במאסר על תנאי. הסניגור היפנה לנסיבות חייו של הנאשם, להיעדר עבר פלילי מכבד בכלל ובסמים בפרט, ליציבות הנאשם בתעסוקה למרות נסיבות חייו, וכן לעובדה שהנאשם הכיר את הסוכן ולכן, לטעמו, מדובר במעשה הקרוב יותר לאספקה על רקע חברי. </w:t>
      </w:r>
    </w:p>
    <w:p w14:paraId="20558EF8" w14:textId="77777777" w:rsidR="00A0463F" w:rsidRDefault="00A0463F" w:rsidP="00A0463F">
      <w:pPr>
        <w:jc w:val="both"/>
        <w:rPr>
          <w:rFonts w:ascii="FrankRuehl" w:hAnsi="FrankRuehl" w:cs="FrankRuehl"/>
          <w:sz w:val="28"/>
          <w:szCs w:val="28"/>
          <w:rtl/>
        </w:rPr>
      </w:pPr>
    </w:p>
    <w:p w14:paraId="0D5A7406"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b/>
          <w:bCs/>
          <w:sz w:val="28"/>
          <w:szCs w:val="28"/>
          <w:u w:val="single"/>
          <w:rtl/>
        </w:rPr>
        <w:lastRenderedPageBreak/>
        <w:t>קביעת מתחם הענישה</w:t>
      </w:r>
      <w:r>
        <w:rPr>
          <w:rFonts w:ascii="FrankRuehl" w:hAnsi="FrankRuehl" w:cs="FrankRuehl"/>
          <w:sz w:val="28"/>
          <w:szCs w:val="28"/>
          <w:rtl/>
        </w:rPr>
        <w:t xml:space="preserve"> – מתחם הענישה צריך להתייחס לעקרון ההלימה, הנוגע ליחס לערך החברתי המוגן, מידת הפגיעה בו, מדיניות הענישה הנוהגת ונסיבות ביצוע העבירה. </w:t>
      </w:r>
    </w:p>
    <w:p w14:paraId="6221B8EF" w14:textId="77777777" w:rsidR="00A0463F" w:rsidRDefault="00A0463F" w:rsidP="00A0463F">
      <w:pPr>
        <w:jc w:val="both"/>
        <w:rPr>
          <w:rFonts w:ascii="FrankRuehl" w:hAnsi="FrankRuehl" w:cs="FrankRuehl"/>
          <w:sz w:val="28"/>
          <w:szCs w:val="28"/>
          <w:rtl/>
        </w:rPr>
      </w:pPr>
    </w:p>
    <w:p w14:paraId="42C08FDA"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לערך המוגן</w:t>
      </w:r>
      <w:r>
        <w:rPr>
          <w:rFonts w:ascii="FrankRuehl" w:hAnsi="FrankRuehl" w:cs="FrankRuehl"/>
          <w:sz w:val="28"/>
          <w:szCs w:val="28"/>
          <w:rtl/>
        </w:rPr>
        <w:t xml:space="preserve"> – העבירות אותן עבר הנאשם פוגעות בערך המוגן של שלום הציבור ובריאותו. קוקאין אינו סם קל, ונזקו רב ביותר. מכירת סם מסייעת בהפצתו ובהגדלת הנזק לבריאות הציבור ולמשאבי הציבור הנדרשים להילחם בתופעה. בעניינ</w:t>
      </w:r>
      <w:r>
        <w:rPr>
          <w:rFonts w:ascii="FrankRuehl" w:hAnsi="FrankRuehl" w:cs="FrankRuehl" w:hint="cs"/>
          <w:sz w:val="28"/>
          <w:szCs w:val="28"/>
          <w:rtl/>
        </w:rPr>
        <w:t>נ</w:t>
      </w:r>
      <w:r>
        <w:rPr>
          <w:rFonts w:ascii="FrankRuehl" w:hAnsi="FrankRuehl" w:cs="FrankRuehl"/>
          <w:sz w:val="28"/>
          <w:szCs w:val="28"/>
          <w:rtl/>
        </w:rPr>
        <w:t>ו מידת הפגיעה בערך המוגן נמוכה בשל המכירה לאדם שאינו זר ולנוכח כמות הסם.</w:t>
      </w:r>
    </w:p>
    <w:p w14:paraId="705B6EAA" w14:textId="77777777" w:rsidR="00A0463F" w:rsidRDefault="00A0463F" w:rsidP="00A0463F">
      <w:pPr>
        <w:spacing w:line="360" w:lineRule="auto"/>
        <w:jc w:val="both"/>
        <w:rPr>
          <w:rFonts w:ascii="FrankRuehl" w:hAnsi="FrankRuehl" w:cs="FrankRuehl"/>
          <w:b/>
          <w:bCs/>
          <w:sz w:val="28"/>
          <w:szCs w:val="28"/>
          <w:u w:val="single"/>
          <w:rtl/>
        </w:rPr>
      </w:pPr>
    </w:p>
    <w:p w14:paraId="7EB1731B"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b/>
          <w:bCs/>
          <w:sz w:val="28"/>
          <w:szCs w:val="28"/>
          <w:u w:val="single"/>
          <w:rtl/>
        </w:rPr>
        <w:t xml:space="preserve">נסיבות הקשורות בביצוע העבירה, לפי </w:t>
      </w:r>
      <w:hyperlink r:id="rId15" w:history="1">
        <w:r w:rsidR="00331238" w:rsidRPr="00331238">
          <w:rPr>
            <w:rStyle w:val="Hyperlink"/>
            <w:rFonts w:ascii="FrankRuehl" w:hAnsi="FrankRuehl" w:cs="FrankRuehl"/>
            <w:b/>
            <w:bCs/>
            <w:sz w:val="28"/>
            <w:szCs w:val="28"/>
            <w:rtl/>
          </w:rPr>
          <w:t>סעיף 40ט'</w:t>
        </w:r>
      </w:hyperlink>
      <w:r>
        <w:rPr>
          <w:rFonts w:ascii="FrankRuehl" w:hAnsi="FrankRuehl" w:cs="FrankRuehl"/>
          <w:b/>
          <w:bCs/>
          <w:sz w:val="28"/>
          <w:szCs w:val="28"/>
          <w:u w:val="single"/>
          <w:rtl/>
        </w:rPr>
        <w:t xml:space="preserve"> ל</w:t>
      </w:r>
      <w:hyperlink r:id="rId16" w:history="1">
        <w:r w:rsidR="002663B1" w:rsidRPr="002663B1">
          <w:rPr>
            <w:rFonts w:ascii="FrankRuehl" w:hAnsi="FrankRuehl" w:cs="FrankRuehl"/>
            <w:b/>
            <w:bCs/>
            <w:color w:val="0000FF"/>
            <w:sz w:val="28"/>
            <w:szCs w:val="28"/>
            <w:u w:val="single"/>
            <w:rtl/>
          </w:rPr>
          <w:t>חוק העונשין</w:t>
        </w:r>
      </w:hyperlink>
      <w:r>
        <w:rPr>
          <w:rFonts w:ascii="FrankRuehl" w:hAnsi="FrankRuehl" w:cs="FrankRuehl"/>
          <w:sz w:val="28"/>
          <w:szCs w:val="28"/>
          <w:rtl/>
        </w:rPr>
        <w:t xml:space="preserve"> – בין הנסיבות הקשורות בביצוע העבירה יש לשקול את אלה, לעניין קביעת המתחם: מדובר במכירה "מקצועית" של הסם מתוך תכנון בתיאום ולמען בצע כסף; כמות הסם אינה גדולה, אך סוג הסם הוא נסיבה לחומרא; היכרות מוקדמת וחברית בין צדדים לעסקת סמים הוכרה כנסיבה לקולא שיש לתת עליה את הדעת – ראו </w:t>
      </w:r>
      <w:hyperlink r:id="rId17" w:history="1">
        <w:r w:rsidR="002663B1" w:rsidRPr="002663B1">
          <w:rPr>
            <w:rFonts w:ascii="FrankRuehl" w:hAnsi="FrankRuehl" w:cs="FrankRuehl"/>
            <w:color w:val="0000FF"/>
            <w:sz w:val="28"/>
            <w:szCs w:val="28"/>
            <w:u w:val="single"/>
            <w:rtl/>
          </w:rPr>
          <w:t>עפ"ג (י-ם) 65233-03-17</w:t>
        </w:r>
      </w:hyperlink>
      <w:r>
        <w:rPr>
          <w:rFonts w:ascii="FrankRuehl" w:hAnsi="FrankRuehl" w:cs="FrankRuehl"/>
          <w:sz w:val="28"/>
          <w:szCs w:val="28"/>
          <w:rtl/>
        </w:rPr>
        <w:t xml:space="preserve"> </w:t>
      </w:r>
      <w:r>
        <w:rPr>
          <w:rFonts w:ascii="FrankRuehl" w:hAnsi="FrankRuehl" w:cs="FrankRuehl"/>
          <w:b/>
          <w:bCs/>
          <w:sz w:val="28"/>
          <w:szCs w:val="28"/>
          <w:u w:val="single"/>
          <w:rtl/>
        </w:rPr>
        <w:t>רוזנברג</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26.6.2017); הנאשם צריך היה להימנע מהמעשים; הנזק בפועל קטן בהיות הרוכש סוכן, אך הנזק הפוטנציאלי מסוג זה של סם הוא רב.</w:t>
      </w:r>
    </w:p>
    <w:p w14:paraId="7899BCAE" w14:textId="77777777" w:rsidR="00A0463F" w:rsidRDefault="00A0463F" w:rsidP="00A0463F">
      <w:pPr>
        <w:jc w:val="both"/>
        <w:rPr>
          <w:rFonts w:ascii="FrankRuehl" w:hAnsi="FrankRuehl" w:cs="FrankRuehl"/>
          <w:sz w:val="28"/>
          <w:szCs w:val="28"/>
          <w:rtl/>
        </w:rPr>
      </w:pPr>
    </w:p>
    <w:p w14:paraId="3CE85260" w14:textId="77777777" w:rsidR="00A0463F" w:rsidRDefault="00A0463F" w:rsidP="00A0463F">
      <w:pPr>
        <w:spacing w:line="360" w:lineRule="auto"/>
        <w:jc w:val="both"/>
        <w:rPr>
          <w:rFonts w:ascii="FrankRuehl" w:hAnsi="FrankRuehl" w:cs="FrankRuehl"/>
          <w:sz w:val="28"/>
          <w:szCs w:val="28"/>
        </w:rPr>
      </w:pPr>
      <w:r>
        <w:rPr>
          <w:rFonts w:ascii="FrankRuehl" w:hAnsi="FrankRuehl" w:cs="FrankRuehl"/>
          <w:b/>
          <w:bCs/>
          <w:sz w:val="28"/>
          <w:szCs w:val="28"/>
          <w:u w:val="single"/>
          <w:rtl/>
        </w:rPr>
        <w:t>מדיניות הענישה הנוהגת</w:t>
      </w:r>
      <w:r>
        <w:rPr>
          <w:rFonts w:ascii="FrankRuehl" w:hAnsi="FrankRuehl" w:cs="FrankRuehl"/>
          <w:sz w:val="28"/>
          <w:szCs w:val="28"/>
          <w:rtl/>
        </w:rPr>
        <w:t xml:space="preserve"> – מדיניות הענישה הנוהגת קובעת, כי בעבירות של סחר בקוקאין, יש להטיל מאסר בפועל מאחורי סורג ובריח. ב"כ המאשימה היפנה ל</w:t>
      </w:r>
      <w:hyperlink r:id="rId18" w:history="1">
        <w:r w:rsidR="002663B1" w:rsidRPr="002663B1">
          <w:rPr>
            <w:rFonts w:ascii="FrankRuehl" w:hAnsi="FrankRuehl" w:cs="FrankRuehl"/>
            <w:color w:val="0000FF"/>
            <w:sz w:val="28"/>
            <w:szCs w:val="28"/>
            <w:u w:val="single"/>
            <w:rtl/>
          </w:rPr>
          <w:t>רע"פ 126/15</w:t>
        </w:r>
      </w:hyperlink>
      <w:r>
        <w:rPr>
          <w:rFonts w:ascii="FrankRuehl" w:hAnsi="FrankRuehl" w:cs="FrankRuehl"/>
          <w:sz w:val="28"/>
          <w:szCs w:val="28"/>
          <w:rtl/>
        </w:rPr>
        <w:t xml:space="preserve"> </w:t>
      </w:r>
      <w:r>
        <w:rPr>
          <w:rFonts w:ascii="FrankRuehl" w:hAnsi="FrankRuehl" w:cs="FrankRuehl"/>
          <w:b/>
          <w:bCs/>
          <w:sz w:val="28"/>
          <w:szCs w:val="28"/>
          <w:u w:val="single"/>
          <w:rtl/>
        </w:rPr>
        <w:t>חביף</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13.1.2015) שם אושר מתחם שבין 6 ל-18 חודשי מאסר בנסיבות של מכירת פחות מחצי גרם קוקאין והוטל מאסר בפועל בגין מכלול עבירות. בדומה לכך, </w:t>
      </w:r>
      <w:hyperlink r:id="rId19" w:history="1">
        <w:r w:rsidR="003746C8" w:rsidRPr="003746C8">
          <w:rPr>
            <w:rStyle w:val="Hyperlink"/>
            <w:rFonts w:ascii="FrankRuehl" w:hAnsi="FrankRuehl" w:cs="FrankRuehl"/>
            <w:b/>
            <w:bCs/>
            <w:sz w:val="28"/>
            <w:szCs w:val="28"/>
            <w:rtl/>
          </w:rPr>
          <w:t xml:space="preserve">בעפ"ג (י-ם) מ"י נ' נסים </w:t>
        </w:r>
      </w:hyperlink>
      <w:r>
        <w:rPr>
          <w:rFonts w:ascii="FrankRuehl" w:hAnsi="FrankRuehl" w:cs="FrankRuehl"/>
          <w:sz w:val="28"/>
          <w:szCs w:val="28"/>
          <w:rtl/>
        </w:rPr>
        <w:t xml:space="preserve"> (מיום 13.3.2019) עמד בית המשפט המחוזי על הפסיקה הנוהגת, ואישר מתחם דומה המתחיל ב-8 חודשי מאסר, והחמיר בעונשו של הנאשם, מ-6 חודשי עבודות שירות, ל-8 חודשי מאסר בפועל, אם כי ציין כי בעבירה בודדת מסוג זה, ניתן לשקול גם הטלת עבודות שירות.</w:t>
      </w:r>
    </w:p>
    <w:p w14:paraId="37AD0DC2" w14:textId="77777777" w:rsidR="00A0463F" w:rsidRDefault="00A0463F" w:rsidP="00A0463F">
      <w:pPr>
        <w:jc w:val="both"/>
        <w:rPr>
          <w:rFonts w:ascii="FrankRuehl" w:hAnsi="FrankRuehl" w:cs="FrankRuehl"/>
          <w:sz w:val="28"/>
          <w:szCs w:val="28"/>
          <w:rtl/>
        </w:rPr>
      </w:pPr>
    </w:p>
    <w:p w14:paraId="04F5A000"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b/>
          <w:bCs/>
          <w:sz w:val="28"/>
          <w:szCs w:val="28"/>
          <w:u w:val="single"/>
          <w:rtl/>
        </w:rPr>
        <w:t>מתחם הענישה</w:t>
      </w:r>
      <w:r>
        <w:rPr>
          <w:rFonts w:ascii="FrankRuehl" w:hAnsi="FrankRuehl" w:cs="FrankRuehl"/>
          <w:sz w:val="28"/>
          <w:szCs w:val="28"/>
          <w:rtl/>
        </w:rPr>
        <w:t xml:space="preserve"> – לפיכך, בהתחשב בהיכרות שבין הצדדים ובכך שמדובר בעבירה בודדת, אני מעמיד את המתחם על 6 חודשים ועד 15 חודשים. </w:t>
      </w:r>
    </w:p>
    <w:p w14:paraId="5E07CF47" w14:textId="77777777" w:rsidR="00A0463F" w:rsidRDefault="00A0463F" w:rsidP="00A0463F">
      <w:pPr>
        <w:jc w:val="both"/>
        <w:rPr>
          <w:rFonts w:ascii="FrankRuehl" w:hAnsi="FrankRuehl" w:cs="FrankRuehl"/>
          <w:sz w:val="28"/>
          <w:szCs w:val="28"/>
          <w:rtl/>
        </w:rPr>
      </w:pPr>
    </w:p>
    <w:p w14:paraId="6CA7C83B"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b/>
          <w:bCs/>
          <w:sz w:val="28"/>
          <w:szCs w:val="28"/>
          <w:u w:val="single"/>
          <w:rtl/>
        </w:rPr>
        <w:t xml:space="preserve">נסיבות שאינן קשורות בביצוע העבירה לפי </w:t>
      </w:r>
      <w:hyperlink r:id="rId20" w:history="1">
        <w:r w:rsidR="00331238" w:rsidRPr="00331238">
          <w:rPr>
            <w:rStyle w:val="Hyperlink"/>
            <w:rFonts w:ascii="FrankRuehl" w:hAnsi="FrankRuehl" w:cs="FrankRuehl"/>
            <w:b/>
            <w:bCs/>
            <w:sz w:val="28"/>
            <w:szCs w:val="28"/>
            <w:rtl/>
          </w:rPr>
          <w:t>סעיף 40י"א</w:t>
        </w:r>
      </w:hyperlink>
      <w:r>
        <w:rPr>
          <w:rFonts w:ascii="FrankRuehl" w:hAnsi="FrankRuehl" w:cs="FrankRuehl"/>
          <w:b/>
          <w:bCs/>
          <w:sz w:val="28"/>
          <w:szCs w:val="28"/>
          <w:u w:val="single"/>
          <w:rtl/>
        </w:rPr>
        <w:t xml:space="preserve"> ל</w:t>
      </w:r>
      <w:hyperlink r:id="rId21" w:history="1">
        <w:r w:rsidR="002663B1" w:rsidRPr="002663B1">
          <w:rPr>
            <w:rFonts w:ascii="FrankRuehl" w:hAnsi="FrankRuehl" w:cs="FrankRuehl"/>
            <w:b/>
            <w:bCs/>
            <w:color w:val="0000FF"/>
            <w:sz w:val="28"/>
            <w:szCs w:val="28"/>
            <w:u w:val="single"/>
            <w:rtl/>
          </w:rPr>
          <w:t>חוק העונשין</w:t>
        </w:r>
      </w:hyperlink>
      <w:r>
        <w:rPr>
          <w:rFonts w:ascii="FrankRuehl" w:hAnsi="FrankRuehl" w:cs="FrankRuehl"/>
          <w:sz w:val="28"/>
          <w:szCs w:val="28"/>
          <w:rtl/>
        </w:rPr>
        <w:t xml:space="preserve"> – ניתן  לתת משקל לנסיבות הבאות שאינן קשורות בביצוע העבירה, במסגרת גזירת העונש בתוך המתחם: מדובר בנאשם כבן 29, שעברו הפלילי כולל הרשעה בעבירת רכוש ברף נמוך שאינה רלבנטית לענייננו; הנאשם הודה ונטל אחריות למעשים; יחד עם זאת, הנאשם לא הוכיח את עצמו אל מול שירות המבחן, למרות הזדמנויות שניתנו לו לעשות כן. אין לו כוונה להיגמל מסמים בהם הוא משתמש לרעה מזה כעשר שנים. נכון הוא, שהנאשם מגלה יציבות תעסוקתית בתנאי חיים לא פשוטים ועם קורות חיים לא פשוטים כלל. ואולם, אין לנאשם כל רצון לשנות את דרכיו, והדבר ייזקף לחובתו. לקחתי בחשבון את חלוף הזמן מאז ביצוע העבירה, ואת הגשת כתב האישום בשיהוי, לטעמי. </w:t>
      </w:r>
    </w:p>
    <w:p w14:paraId="7BB97FC8" w14:textId="77777777" w:rsidR="00A0463F" w:rsidRDefault="00A0463F" w:rsidP="00A0463F">
      <w:pPr>
        <w:jc w:val="both"/>
        <w:rPr>
          <w:rFonts w:ascii="FrankRuehl" w:hAnsi="FrankRuehl" w:cs="FrankRuehl"/>
          <w:sz w:val="28"/>
          <w:szCs w:val="28"/>
          <w:rtl/>
        </w:rPr>
      </w:pPr>
    </w:p>
    <w:p w14:paraId="166821B5"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b/>
          <w:bCs/>
          <w:sz w:val="28"/>
          <w:szCs w:val="28"/>
          <w:u w:val="single"/>
          <w:rtl/>
        </w:rPr>
        <w:t>המיקום במתחם</w:t>
      </w:r>
      <w:r>
        <w:rPr>
          <w:rFonts w:ascii="FrankRuehl" w:hAnsi="FrankRuehl" w:cs="FrankRuehl"/>
          <w:sz w:val="28"/>
          <w:szCs w:val="28"/>
          <w:rtl/>
        </w:rPr>
        <w:t xml:space="preserve"> – לפיכך, המיקום במתחם צריך להיות בתחתיתו, ולנוכח התנהלות הנאשם בהליך זה, הוא אינו זכאי להקלה הכרוכה בהטלת מאסר בעבודות שירות, ומכאן שיש להטיל עליו מאסר בפועל מאחורי סורג ובריח. אציין, כי בהחלט הייתי שוקל להטיל על הנאשם מאסר בעבודות שירות שכן נמצא מתאים לכך, אלא שהתנהלותו וחוסר נכונותו לשנות את דרכיו בתחום הסמים, אינם מאפשרים להגיע לתוצאה שכזו בנסיבות המקרה. </w:t>
      </w:r>
    </w:p>
    <w:p w14:paraId="33E1CE95" w14:textId="77777777" w:rsidR="00A0463F" w:rsidRDefault="00A0463F" w:rsidP="00A0463F">
      <w:pPr>
        <w:jc w:val="both"/>
        <w:rPr>
          <w:rFonts w:ascii="FrankRuehl" w:hAnsi="FrankRuehl" w:cs="FrankRuehl"/>
          <w:sz w:val="28"/>
          <w:szCs w:val="28"/>
          <w:rtl/>
        </w:rPr>
      </w:pPr>
    </w:p>
    <w:p w14:paraId="78BEFBF3" w14:textId="77777777" w:rsidR="00A0463F" w:rsidRDefault="00A0463F" w:rsidP="00A0463F">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גזירת הדין</w:t>
      </w:r>
    </w:p>
    <w:p w14:paraId="51D4809A"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לפיכך, אני מחליט לגזור על הנאשם את העונשים הבאים:</w:t>
      </w:r>
    </w:p>
    <w:p w14:paraId="6056805D" w14:textId="77777777" w:rsidR="00A0463F" w:rsidRDefault="00A0463F" w:rsidP="00A0463F">
      <w:pPr>
        <w:spacing w:line="360" w:lineRule="auto"/>
        <w:ind w:left="720" w:hanging="720"/>
        <w:jc w:val="both"/>
        <w:rPr>
          <w:rFonts w:ascii="FrankRuehl" w:hAnsi="FrankRuehl" w:cs="FrankRuehl"/>
          <w:sz w:val="28"/>
          <w:szCs w:val="28"/>
          <w:rtl/>
        </w:rPr>
      </w:pPr>
      <w:r>
        <w:rPr>
          <w:rFonts w:ascii="FrankRuehl" w:hAnsi="FrankRuehl" w:cs="FrankRuehl"/>
          <w:sz w:val="28"/>
          <w:szCs w:val="28"/>
          <w:rtl/>
        </w:rPr>
        <w:t>א.</w:t>
      </w:r>
      <w:r>
        <w:rPr>
          <w:rFonts w:ascii="FrankRuehl" w:hAnsi="FrankRuehl" w:cs="FrankRuehl"/>
          <w:sz w:val="28"/>
          <w:szCs w:val="28"/>
          <w:rtl/>
        </w:rPr>
        <w:tab/>
        <w:t>6 חודשי מאסר ויום בפועל לריצוי בניכוי ימי מעצרו ע"פ חישוב שב"ס ככל שהיה עצור בתיק זה ;</w:t>
      </w:r>
    </w:p>
    <w:p w14:paraId="7187699E" w14:textId="77777777" w:rsidR="00A0463F" w:rsidRDefault="00A0463F" w:rsidP="00A0463F">
      <w:pPr>
        <w:spacing w:line="360" w:lineRule="auto"/>
        <w:ind w:left="720" w:hanging="720"/>
        <w:jc w:val="both"/>
        <w:rPr>
          <w:rFonts w:ascii="FrankRuehl" w:hAnsi="FrankRuehl" w:cs="FrankRuehl"/>
          <w:sz w:val="28"/>
          <w:szCs w:val="28"/>
          <w:rtl/>
        </w:rPr>
      </w:pPr>
      <w:r>
        <w:rPr>
          <w:rFonts w:ascii="FrankRuehl" w:hAnsi="FrankRuehl" w:cs="FrankRuehl"/>
          <w:sz w:val="28"/>
          <w:szCs w:val="28"/>
          <w:rtl/>
        </w:rPr>
        <w:t>ב.</w:t>
      </w:r>
      <w:r>
        <w:rPr>
          <w:rFonts w:ascii="FrankRuehl" w:hAnsi="FrankRuehl" w:cs="FrankRuehl"/>
          <w:sz w:val="28"/>
          <w:szCs w:val="28"/>
          <w:rtl/>
        </w:rPr>
        <w:tab/>
        <w:t>8 חודשי מאסר, שלא ירוצו אלא אם יעבור הנאשם כל עבירת פשע לפי פקודת הסמים בתוך שנתיים משחרורו;</w:t>
      </w:r>
    </w:p>
    <w:p w14:paraId="72EBB992" w14:textId="77777777" w:rsidR="00A0463F" w:rsidRDefault="00A0463F" w:rsidP="00A0463F">
      <w:pPr>
        <w:spacing w:line="360" w:lineRule="auto"/>
        <w:ind w:left="720" w:hanging="720"/>
        <w:jc w:val="both"/>
        <w:rPr>
          <w:rFonts w:ascii="FrankRuehl" w:hAnsi="FrankRuehl" w:cs="FrankRuehl"/>
          <w:sz w:val="28"/>
          <w:szCs w:val="28"/>
          <w:rtl/>
        </w:rPr>
      </w:pPr>
      <w:r>
        <w:rPr>
          <w:rFonts w:ascii="FrankRuehl" w:hAnsi="FrankRuehl" w:cs="FrankRuehl"/>
          <w:sz w:val="28"/>
          <w:szCs w:val="28"/>
          <w:rtl/>
        </w:rPr>
        <w:t>ג.</w:t>
      </w:r>
      <w:r>
        <w:rPr>
          <w:rFonts w:ascii="FrankRuehl" w:hAnsi="FrankRuehl" w:cs="FrankRuehl"/>
          <w:sz w:val="28"/>
          <w:szCs w:val="28"/>
          <w:rtl/>
        </w:rPr>
        <w:tab/>
        <w:t>חודש מאסר שלא ירוצה, אלא אם יעבור הנאשם כל עבירת סמים מסוג עוון לפי פקודת הסמים בתוך שנתיים משחרור;</w:t>
      </w:r>
    </w:p>
    <w:p w14:paraId="583B1AE3" w14:textId="77777777" w:rsidR="00A0463F" w:rsidRDefault="00A0463F" w:rsidP="00A0463F">
      <w:pPr>
        <w:jc w:val="both"/>
        <w:rPr>
          <w:rFonts w:ascii="FrankRuehl" w:hAnsi="FrankRuehl" w:cs="FrankRuehl"/>
          <w:sz w:val="28"/>
          <w:szCs w:val="28"/>
          <w:rtl/>
        </w:rPr>
      </w:pPr>
    </w:p>
    <w:p w14:paraId="6E835240"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לא מצאתי להטיל רכיבי ענישה נוספים, נוכח העונש החמור שהטלתי על הנאשם, שהוא בגדר מאסר ראשון (ויש לקוות – מאסר יחיד).</w:t>
      </w:r>
    </w:p>
    <w:p w14:paraId="3EF74EA5" w14:textId="77777777" w:rsidR="00A0463F" w:rsidRDefault="00A0463F" w:rsidP="00A0463F">
      <w:pPr>
        <w:spacing w:line="360" w:lineRule="auto"/>
        <w:jc w:val="both"/>
        <w:rPr>
          <w:rFonts w:ascii="FrankRuehl" w:hAnsi="FrankRuehl" w:cs="FrankRuehl"/>
          <w:sz w:val="28"/>
          <w:szCs w:val="28"/>
          <w:rtl/>
        </w:rPr>
      </w:pPr>
    </w:p>
    <w:p w14:paraId="3090F146"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 xml:space="preserve">מורה על השמדת הסמים. </w:t>
      </w:r>
    </w:p>
    <w:p w14:paraId="4384E265" w14:textId="77777777" w:rsidR="00A0463F" w:rsidRDefault="00A0463F" w:rsidP="00A0463F">
      <w:pPr>
        <w:spacing w:line="360" w:lineRule="auto"/>
        <w:jc w:val="both"/>
        <w:rPr>
          <w:rFonts w:ascii="FrankRuehl" w:hAnsi="FrankRuehl" w:cs="FrankRuehl"/>
          <w:sz w:val="28"/>
          <w:szCs w:val="28"/>
          <w:rtl/>
        </w:rPr>
      </w:pPr>
    </w:p>
    <w:p w14:paraId="5BEE1FF8"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 xml:space="preserve">לבקשת הסניגור, מעכב את ביצוע העונש עד ליום </w:t>
      </w:r>
      <w:r>
        <w:rPr>
          <w:rFonts w:ascii="FrankRuehl" w:hAnsi="FrankRuehl" w:cs="FrankRuehl" w:hint="cs"/>
          <w:sz w:val="28"/>
          <w:szCs w:val="28"/>
          <w:rtl/>
        </w:rPr>
        <w:t>6.9.2020 בשעה 10:00</w:t>
      </w:r>
      <w:r>
        <w:rPr>
          <w:rFonts w:ascii="FrankRuehl" w:hAnsi="FrankRuehl" w:cs="FrankRuehl"/>
          <w:sz w:val="28"/>
          <w:szCs w:val="28"/>
          <w:rtl/>
        </w:rPr>
        <w:t>.</w:t>
      </w:r>
    </w:p>
    <w:p w14:paraId="594D60C8"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 xml:space="preserve">ערעור יוגש </w:t>
      </w:r>
      <w:r>
        <w:rPr>
          <w:rFonts w:ascii="FrankRuehl" w:hAnsi="FrankRuehl" w:cs="FrankRuehl" w:hint="cs"/>
          <w:sz w:val="28"/>
          <w:szCs w:val="28"/>
          <w:rtl/>
        </w:rPr>
        <w:t xml:space="preserve">במסגרת 45 הימים </w:t>
      </w:r>
      <w:r>
        <w:rPr>
          <w:rFonts w:ascii="FrankRuehl" w:hAnsi="FrankRuehl" w:cs="FrankRuehl"/>
          <w:sz w:val="28"/>
          <w:szCs w:val="28"/>
          <w:rtl/>
        </w:rPr>
        <w:t>לבית המשפט המחוזי בירושלים.</w:t>
      </w:r>
    </w:p>
    <w:p w14:paraId="0886C3E2"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לא יוגש ערעור במועד, יבוטל עיכוב הביצוע. היה ויוגש ערעור כאמור, עיכוב הביצוע יעמוד בתוקף עד להכרעה בערעור.</w:t>
      </w:r>
    </w:p>
    <w:p w14:paraId="351565CE"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יש לשלוח לשירות המבחן ולממונה על עבודות שירות.</w:t>
      </w:r>
    </w:p>
    <w:p w14:paraId="10EF6C3A" w14:textId="77777777" w:rsidR="00A0463F" w:rsidRDefault="002663B1" w:rsidP="00A0463F">
      <w:pPr>
        <w:spacing w:line="360" w:lineRule="auto"/>
        <w:jc w:val="both"/>
        <w:rPr>
          <w:rFonts w:ascii="FrankRuehl" w:hAnsi="FrankRuehl" w:cs="FrankRuehl"/>
          <w:sz w:val="28"/>
          <w:szCs w:val="28"/>
          <w:rtl/>
        </w:rPr>
      </w:pPr>
      <w:r w:rsidRPr="002663B1">
        <w:rPr>
          <w:rFonts w:ascii="FrankRuehl" w:hAnsi="FrankRuehl" w:cs="FrankRuehl"/>
          <w:color w:val="FFFFFF"/>
          <w:sz w:val="2"/>
          <w:szCs w:val="2"/>
          <w:rtl/>
        </w:rPr>
        <w:t>5129371</w:t>
      </w:r>
      <w:r w:rsidR="00A0463F">
        <w:rPr>
          <w:rFonts w:ascii="FrankRuehl" w:hAnsi="FrankRuehl" w:cs="FrankRuehl"/>
          <w:sz w:val="28"/>
          <w:szCs w:val="28"/>
          <w:rtl/>
        </w:rPr>
        <w:t xml:space="preserve">הנאשם  יתייצב למאסרו בבית סוהר "ניצן", ביום </w:t>
      </w:r>
      <w:r w:rsidR="00A0463F">
        <w:rPr>
          <w:rFonts w:ascii="FrankRuehl" w:hAnsi="FrankRuehl" w:cs="FrankRuehl" w:hint="cs"/>
          <w:sz w:val="28"/>
          <w:szCs w:val="28"/>
          <w:rtl/>
        </w:rPr>
        <w:t>4</w:t>
      </w:r>
      <w:r w:rsidR="00A0463F">
        <w:rPr>
          <w:rFonts w:ascii="FrankRuehl" w:hAnsi="FrankRuehl" w:cs="FrankRuehl"/>
          <w:sz w:val="28"/>
          <w:szCs w:val="28"/>
          <w:rtl/>
        </w:rPr>
        <w:t xml:space="preserve">.8.2020 עד השעה 10:00, כשברשותו תעודת זהות ופסק דין זה.   </w:t>
      </w:r>
    </w:p>
    <w:p w14:paraId="4C179F1F" w14:textId="77777777" w:rsidR="00A0463F" w:rsidRDefault="002663B1" w:rsidP="00A0463F">
      <w:pPr>
        <w:spacing w:line="360" w:lineRule="auto"/>
        <w:jc w:val="both"/>
        <w:rPr>
          <w:rFonts w:ascii="FrankRuehl" w:hAnsi="FrankRuehl" w:cs="FrankRuehl"/>
          <w:sz w:val="28"/>
          <w:szCs w:val="28"/>
          <w:rtl/>
        </w:rPr>
      </w:pPr>
      <w:r w:rsidRPr="002663B1">
        <w:rPr>
          <w:rFonts w:ascii="FrankRuehl" w:hAnsi="FrankRuehl" w:cs="FrankRuehl"/>
          <w:color w:val="FFFFFF"/>
          <w:sz w:val="2"/>
          <w:szCs w:val="2"/>
          <w:rtl/>
        </w:rPr>
        <w:t>54678313</w:t>
      </w:r>
      <w:r w:rsidR="00A0463F">
        <w:rPr>
          <w:rFonts w:ascii="FrankRuehl" w:hAnsi="FrankRuehl" w:cs="FrankRuehl"/>
          <w:sz w:val="28"/>
          <w:szCs w:val="28"/>
          <w:rtl/>
        </w:rPr>
        <w:t xml:space="preserve">על ב"כ הנאשם לתאם את הכניסה למאסר, כולל האפשרות למיון מוקדם, עם ענף אבחון ומיון של שב"ס, טלפונים: 08-9787377, 08-9787336. </w:t>
      </w:r>
    </w:p>
    <w:p w14:paraId="41404EFD" w14:textId="77777777" w:rsidR="00A0463F" w:rsidRDefault="00A0463F" w:rsidP="00A0463F">
      <w:pPr>
        <w:jc w:val="both"/>
        <w:rPr>
          <w:rFonts w:ascii="FrankRuehl" w:hAnsi="FrankRuehl" w:cs="FrankRuehl"/>
          <w:sz w:val="28"/>
          <w:szCs w:val="28"/>
          <w:rtl/>
        </w:rPr>
      </w:pPr>
    </w:p>
    <w:p w14:paraId="5B231ADF" w14:textId="77777777" w:rsidR="00A0463F" w:rsidRDefault="00A0463F" w:rsidP="00A0463F">
      <w:pPr>
        <w:spacing w:line="360" w:lineRule="auto"/>
        <w:jc w:val="both"/>
        <w:rPr>
          <w:rFonts w:ascii="FrankRuehl" w:hAnsi="FrankRuehl" w:cs="FrankRuehl"/>
          <w:sz w:val="28"/>
          <w:szCs w:val="28"/>
          <w:rtl/>
        </w:rPr>
      </w:pPr>
      <w:r>
        <w:rPr>
          <w:rFonts w:ascii="FrankRuehl" w:hAnsi="FrankRuehl" w:cs="FrankRuehl"/>
          <w:sz w:val="28"/>
          <w:szCs w:val="28"/>
          <w:rtl/>
        </w:rPr>
        <w:t>זכות ערעור כחוק לבית המשפט המחוזי בירושלים בתוך 45 יום מהיום.</w:t>
      </w:r>
    </w:p>
    <w:p w14:paraId="6CCACA7B" w14:textId="77777777" w:rsidR="00A0463F" w:rsidRDefault="002663B1" w:rsidP="002663B1">
      <w:pPr>
        <w:jc w:val="center"/>
      </w:pPr>
      <w:bookmarkStart w:id="8" w:name="Nitan"/>
      <w:r>
        <w:rPr>
          <w:rFonts w:ascii="Arial" w:hAnsi="Arial"/>
          <w:rtl/>
        </w:rPr>
        <w:t xml:space="preserve">ניתן היום,  י"ח סיוון תש"פ, 10 יוני 2020, במעמד הצדדים. </w:t>
      </w:r>
      <w:bookmarkEnd w:id="8"/>
      <w:r w:rsidR="00A0463F">
        <w:rPr>
          <w:rFonts w:hint="cs"/>
          <w:rtl/>
        </w:rPr>
        <w:t xml:space="preserve">  </w:t>
      </w:r>
      <w:r w:rsidR="00A0463F">
        <w:rPr>
          <w:rFonts w:hint="cs"/>
          <w:rtl/>
        </w:rPr>
        <w:tab/>
      </w:r>
      <w:r w:rsidR="00A0463F">
        <w:rPr>
          <w:rFonts w:hint="cs"/>
          <w:rtl/>
        </w:rPr>
        <w:tab/>
      </w:r>
      <w:r w:rsidR="00A0463F">
        <w:rPr>
          <w:rFonts w:hint="cs"/>
          <w:rtl/>
        </w:rPr>
        <w:tab/>
      </w:r>
      <w:r w:rsidR="00A0463F">
        <w:rPr>
          <w:rFonts w:hint="cs"/>
          <w:rtl/>
        </w:rPr>
        <w:tab/>
      </w:r>
      <w:r w:rsidR="00A0463F">
        <w:rPr>
          <w:rFonts w:hint="cs"/>
          <w:rtl/>
        </w:rPr>
        <w:tab/>
      </w:r>
    </w:p>
    <w:p w14:paraId="3AC6B8FC" w14:textId="77777777" w:rsidR="00A0463F" w:rsidRDefault="00A0463F" w:rsidP="00A0463F">
      <w:pPr>
        <w:jc w:val="center"/>
        <w:rPr>
          <w:rFonts w:ascii="Arial" w:hAnsi="Arial" w:cs="FrankRuehl"/>
          <w:sz w:val="28"/>
          <w:szCs w:val="28"/>
          <w:rtl/>
        </w:rPr>
      </w:pPr>
    </w:p>
    <w:p w14:paraId="74B36F64" w14:textId="77777777" w:rsidR="00051AA7" w:rsidRPr="002663B1" w:rsidRDefault="00051AA7" w:rsidP="002663B1">
      <w:pPr>
        <w:keepNext/>
        <w:rPr>
          <w:rFonts w:ascii="David" w:hAnsi="David"/>
          <w:color w:val="000000"/>
          <w:sz w:val="22"/>
          <w:szCs w:val="22"/>
          <w:rtl/>
        </w:rPr>
      </w:pPr>
    </w:p>
    <w:p w14:paraId="22C532FC" w14:textId="77777777" w:rsidR="002663B1" w:rsidRPr="002663B1" w:rsidRDefault="002663B1" w:rsidP="002663B1">
      <w:pPr>
        <w:keepNext/>
        <w:rPr>
          <w:rFonts w:ascii="David" w:hAnsi="David"/>
          <w:color w:val="000000"/>
          <w:sz w:val="22"/>
          <w:szCs w:val="22"/>
          <w:rtl/>
        </w:rPr>
      </w:pPr>
      <w:r w:rsidRPr="002663B1">
        <w:rPr>
          <w:rFonts w:ascii="David" w:hAnsi="David"/>
          <w:color w:val="000000"/>
          <w:sz w:val="22"/>
          <w:szCs w:val="22"/>
          <w:rtl/>
        </w:rPr>
        <w:t>דוד שאול גבאי ריכטר 54678313</w:t>
      </w:r>
    </w:p>
    <w:p w14:paraId="0241B781" w14:textId="77777777" w:rsidR="002663B1" w:rsidRDefault="002663B1" w:rsidP="002663B1">
      <w:r w:rsidRPr="002663B1">
        <w:rPr>
          <w:color w:val="000000"/>
          <w:rtl/>
        </w:rPr>
        <w:t>נוסח מסמך זה כפוף לשינויי ניסוח ועריכה</w:t>
      </w:r>
    </w:p>
    <w:p w14:paraId="2E298E0E" w14:textId="77777777" w:rsidR="002663B1" w:rsidRDefault="002663B1" w:rsidP="002663B1">
      <w:pPr>
        <w:rPr>
          <w:rtl/>
        </w:rPr>
      </w:pPr>
    </w:p>
    <w:p w14:paraId="0B3B7FCA" w14:textId="77777777" w:rsidR="002663B1" w:rsidRDefault="002663B1" w:rsidP="002663B1">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4A2248E" w14:textId="77777777" w:rsidR="002663B1" w:rsidRPr="002663B1" w:rsidRDefault="002663B1" w:rsidP="002663B1">
      <w:pPr>
        <w:jc w:val="center"/>
        <w:rPr>
          <w:color w:val="0000FF"/>
          <w:u w:val="single"/>
        </w:rPr>
      </w:pPr>
    </w:p>
    <w:sectPr w:rsidR="002663B1" w:rsidRPr="002663B1" w:rsidSect="002663B1">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D92A5" w14:textId="77777777" w:rsidR="00444BBF" w:rsidRDefault="00444BBF" w:rsidP="002F0850">
      <w:r>
        <w:separator/>
      </w:r>
    </w:p>
  </w:endnote>
  <w:endnote w:type="continuationSeparator" w:id="0">
    <w:p w14:paraId="7D140A54" w14:textId="77777777" w:rsidR="00444BBF" w:rsidRDefault="00444BBF" w:rsidP="002F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911B7" w14:textId="77777777" w:rsidR="002663B1" w:rsidRDefault="002663B1" w:rsidP="002663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E95040" w14:textId="77777777" w:rsidR="00C86B6A" w:rsidRPr="002663B1" w:rsidRDefault="002663B1" w:rsidP="002663B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80D6D" w14:textId="77777777" w:rsidR="002663B1" w:rsidRDefault="002663B1" w:rsidP="002663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151F">
      <w:rPr>
        <w:rFonts w:ascii="FrankRuehl" w:hAnsi="FrankRuehl" w:cs="FrankRuehl"/>
        <w:noProof/>
        <w:rtl/>
      </w:rPr>
      <w:t>1</w:t>
    </w:r>
    <w:r>
      <w:rPr>
        <w:rFonts w:ascii="FrankRuehl" w:hAnsi="FrankRuehl" w:cs="FrankRuehl"/>
        <w:rtl/>
      </w:rPr>
      <w:fldChar w:fldCharType="end"/>
    </w:r>
  </w:p>
  <w:p w14:paraId="79E7ED61" w14:textId="77777777" w:rsidR="00C86B6A" w:rsidRPr="002663B1" w:rsidRDefault="002663B1" w:rsidP="002663B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348F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9D3ED" w14:textId="77777777" w:rsidR="00444BBF" w:rsidRDefault="00444BBF" w:rsidP="002F0850">
      <w:r>
        <w:separator/>
      </w:r>
    </w:p>
  </w:footnote>
  <w:footnote w:type="continuationSeparator" w:id="0">
    <w:p w14:paraId="2C44281D" w14:textId="77777777" w:rsidR="00444BBF" w:rsidRDefault="00444BBF" w:rsidP="002F0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9C0BB" w14:textId="77777777" w:rsidR="002663B1" w:rsidRPr="002663B1" w:rsidRDefault="002663B1" w:rsidP="002663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23864-07-18</w:t>
    </w:r>
    <w:r>
      <w:rPr>
        <w:rFonts w:ascii="David" w:hAnsi="David"/>
        <w:color w:val="000000"/>
        <w:sz w:val="22"/>
        <w:szCs w:val="22"/>
        <w:rtl/>
      </w:rPr>
      <w:tab/>
      <w:t xml:space="preserve"> מדינת ישראל נ' חאלד חלוואני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37A99" w14:textId="77777777" w:rsidR="002663B1" w:rsidRPr="002663B1" w:rsidRDefault="002663B1" w:rsidP="002663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23864-07-18</w:t>
    </w:r>
    <w:r>
      <w:rPr>
        <w:rFonts w:ascii="David" w:hAnsi="David"/>
        <w:color w:val="000000"/>
        <w:sz w:val="22"/>
        <w:szCs w:val="22"/>
        <w:rtl/>
      </w:rPr>
      <w:tab/>
      <w:t xml:space="preserve"> מדינת ישראל נ' חאלד חלוואני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463F"/>
    <w:rsid w:val="00051AA7"/>
    <w:rsid w:val="00250687"/>
    <w:rsid w:val="002663B1"/>
    <w:rsid w:val="002F0850"/>
    <w:rsid w:val="00305A5F"/>
    <w:rsid w:val="00331238"/>
    <w:rsid w:val="003746C8"/>
    <w:rsid w:val="00444BBF"/>
    <w:rsid w:val="00A0151F"/>
    <w:rsid w:val="00A0463F"/>
    <w:rsid w:val="00B30258"/>
    <w:rsid w:val="00BB6A69"/>
    <w:rsid w:val="00C501AB"/>
    <w:rsid w:val="00C86B6A"/>
    <w:rsid w:val="00D8297A"/>
    <w:rsid w:val="00DE0290"/>
    <w:rsid w:val="00E10A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3DA485"/>
  <w15:chartTrackingRefBased/>
  <w15:docId w15:val="{9CB2899E-E4DC-4CC2-99EB-A3A2299A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463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0463F"/>
    <w:pPr>
      <w:tabs>
        <w:tab w:val="center" w:pos="4153"/>
        <w:tab w:val="right" w:pos="8306"/>
      </w:tabs>
    </w:pPr>
    <w:rPr>
      <w:rFonts w:cs="Times New Roman"/>
      <w:lang w:val="x-none" w:eastAsia="x-none"/>
    </w:rPr>
  </w:style>
  <w:style w:type="character" w:customStyle="1" w:styleId="a4">
    <w:name w:val="כותרת עליונה תו"/>
    <w:link w:val="a3"/>
    <w:rsid w:val="00A0463F"/>
    <w:rPr>
      <w:rFonts w:ascii="Times New Roman" w:eastAsia="Times New Roman" w:hAnsi="Times New Roman" w:cs="David"/>
      <w:sz w:val="24"/>
      <w:szCs w:val="24"/>
    </w:rPr>
  </w:style>
  <w:style w:type="paragraph" w:styleId="a5">
    <w:name w:val="footer"/>
    <w:basedOn w:val="a"/>
    <w:link w:val="a6"/>
    <w:rsid w:val="00A0463F"/>
    <w:pPr>
      <w:tabs>
        <w:tab w:val="center" w:pos="4153"/>
        <w:tab w:val="right" w:pos="8306"/>
      </w:tabs>
    </w:pPr>
    <w:rPr>
      <w:rFonts w:cs="Times New Roman"/>
      <w:lang w:val="x-none" w:eastAsia="x-none"/>
    </w:rPr>
  </w:style>
  <w:style w:type="character" w:customStyle="1" w:styleId="a6">
    <w:name w:val="כותרת תחתונה תו"/>
    <w:link w:val="a5"/>
    <w:rsid w:val="00A0463F"/>
    <w:rPr>
      <w:rFonts w:ascii="Times New Roman" w:eastAsia="Times New Roman" w:hAnsi="Times New Roman" w:cs="David"/>
      <w:sz w:val="24"/>
      <w:szCs w:val="24"/>
    </w:rPr>
  </w:style>
  <w:style w:type="table" w:styleId="a7">
    <w:name w:val="Table Grid"/>
    <w:basedOn w:val="a1"/>
    <w:rsid w:val="00A0463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0463F"/>
  </w:style>
  <w:style w:type="character" w:styleId="Hyperlink">
    <w:name w:val="Hyperlink"/>
    <w:rsid w:val="002663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19a" TargetMode="External"/><Relationship Id="rId18" Type="http://schemas.openxmlformats.org/officeDocument/2006/relationships/hyperlink" Target="http://www.nevo.co.il/case/18793360"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2368098"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40ja"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a"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40i" TargetMode="External"/><Relationship Id="rId19" Type="http://schemas.openxmlformats.org/officeDocument/2006/relationships/hyperlink" Target="http://www.nevo.co.il/case/25193405"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1217</Words>
  <Characters>6088</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7291</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7995492</vt:i4>
      </vt:variant>
      <vt:variant>
        <vt:i4>45</vt:i4>
      </vt:variant>
      <vt:variant>
        <vt:i4>0</vt:i4>
      </vt:variant>
      <vt:variant>
        <vt:i4>5</vt:i4>
      </vt:variant>
      <vt:variant>
        <vt:lpwstr>http://www.nevo.co.il/law/70301</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3145852</vt:i4>
      </vt:variant>
      <vt:variant>
        <vt:i4>39</vt:i4>
      </vt:variant>
      <vt:variant>
        <vt:i4>0</vt:i4>
      </vt:variant>
      <vt:variant>
        <vt:i4>5</vt:i4>
      </vt:variant>
      <vt:variant>
        <vt:lpwstr>http://www.nevo.co.il/case/25193405</vt:lpwstr>
      </vt:variant>
      <vt:variant>
        <vt:lpwstr/>
      </vt:variant>
      <vt:variant>
        <vt:i4>3342454</vt:i4>
      </vt:variant>
      <vt:variant>
        <vt:i4>36</vt:i4>
      </vt:variant>
      <vt:variant>
        <vt:i4>0</vt:i4>
      </vt:variant>
      <vt:variant>
        <vt:i4>5</vt:i4>
      </vt:variant>
      <vt:variant>
        <vt:lpwstr>http://www.nevo.co.il/case/18793360</vt:lpwstr>
      </vt:variant>
      <vt:variant>
        <vt:lpwstr/>
      </vt:variant>
      <vt:variant>
        <vt:i4>3145840</vt:i4>
      </vt:variant>
      <vt:variant>
        <vt:i4>33</vt:i4>
      </vt:variant>
      <vt:variant>
        <vt:i4>0</vt:i4>
      </vt:variant>
      <vt:variant>
        <vt:i4>5</vt:i4>
      </vt:variant>
      <vt:variant>
        <vt:lpwstr>http://www.nevo.co.il/case/22368098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2025-04-22T23:50:00Z</dcterms:created>
  <dcterms:modified xsi:type="dcterms:W3CDTF">2025-04-22T23:50:00Z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23864</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חאלד חלוואני</vt:lpwstr>
  </property>
  <property fmtid="{D5CDD505-2E9C-101B-9397-08002B2CF9AE}" pid="10" name="LAWYER">
    <vt:lpwstr>מחמוד רבאח</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20200610</vt:lpwstr>
  </property>
  <property fmtid="{D5CDD505-2E9C-101B-9397-08002B2CF9AE}" pid="14" name="TYPE_N_DATE">
    <vt:lpwstr>38020200610</vt:lpwstr>
  </property>
  <property fmtid="{D5CDD505-2E9C-101B-9397-08002B2CF9AE}" pid="15" name="WORDNUMPAGES">
    <vt:lpwstr>5</vt:lpwstr>
  </property>
  <property fmtid="{D5CDD505-2E9C-101B-9397-08002B2CF9AE}" pid="16" name="TYPE_ABS_DATE">
    <vt:lpwstr>380020200610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22368098;18793360;25193405</vt:lpwstr>
  </property>
  <property fmtid="{D5CDD505-2E9C-101B-9397-08002B2CF9AE}" pid="36" name="LAWLISTTMP1">
    <vt:lpwstr>4216/013;019a</vt:lpwstr>
  </property>
  <property fmtid="{D5CDD505-2E9C-101B-9397-08002B2CF9AE}" pid="37" name="LAWLISTTMP2">
    <vt:lpwstr>70301/040i;40ja</vt:lpwstr>
  </property>
</Properties>
</file>