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893B7B" w:rsidRPr="00FC0299" w14:paraId="1BF0445F" w14:textId="77777777" w:rsidTr="0033178D">
        <w:trPr>
          <w:trHeight w:hRule="exact" w:val="418"/>
          <w:jc w:val="center"/>
        </w:trPr>
        <w:tc>
          <w:tcPr>
            <w:tcW w:w="8721" w:type="dxa"/>
            <w:gridSpan w:val="2"/>
          </w:tcPr>
          <w:p w14:paraId="701620AB" w14:textId="77777777" w:rsidR="00893B7B" w:rsidRPr="00FC0299" w:rsidRDefault="00893B7B" w:rsidP="00B75F39">
            <w:pPr>
              <w:pStyle w:val="a3"/>
              <w:jc w:val="center"/>
              <w:rPr>
                <w:rFonts w:ascii="Tahoma" w:hAnsi="Tahoma" w:cs="Tahoma"/>
                <w:color w:val="000080"/>
                <w:rtl/>
              </w:rPr>
            </w:pPr>
            <w:bookmarkStart w:id="0" w:name="LastJudge"/>
            <w:r w:rsidRPr="00FC0299">
              <w:rPr>
                <w:rFonts w:ascii="Tahoma" w:hAnsi="Tahoma" w:cs="Tahoma"/>
                <w:b/>
                <w:bCs/>
                <w:color w:val="000080"/>
                <w:rtl/>
              </w:rPr>
              <w:t>בית משפט השלום ברחובות</w:t>
            </w:r>
          </w:p>
        </w:tc>
      </w:tr>
      <w:tr w:rsidR="00893B7B" w:rsidRPr="00FC0299" w14:paraId="7E73F596" w14:textId="77777777" w:rsidTr="0033178D">
        <w:trPr>
          <w:trHeight w:val="337"/>
          <w:jc w:val="center"/>
        </w:trPr>
        <w:tc>
          <w:tcPr>
            <w:tcW w:w="5054" w:type="dxa"/>
          </w:tcPr>
          <w:p w14:paraId="6B7BBAEA" w14:textId="77777777" w:rsidR="00893B7B" w:rsidRPr="00FC0299" w:rsidRDefault="00893B7B" w:rsidP="00B75F39">
            <w:pPr>
              <w:rPr>
                <w:rFonts w:cs="FrankRuehl"/>
                <w:sz w:val="28"/>
                <w:szCs w:val="28"/>
                <w:rtl/>
              </w:rPr>
            </w:pPr>
            <w:r w:rsidRPr="00FC0299">
              <w:rPr>
                <w:rFonts w:cs="FrankRuehl"/>
                <w:sz w:val="28"/>
                <w:szCs w:val="28"/>
                <w:rtl/>
              </w:rPr>
              <w:t>ת"פ</w:t>
            </w:r>
            <w:r w:rsidRPr="00FC0299">
              <w:rPr>
                <w:rFonts w:cs="FrankRuehl" w:hint="cs"/>
                <w:sz w:val="28"/>
                <w:szCs w:val="28"/>
                <w:rtl/>
              </w:rPr>
              <w:t xml:space="preserve"> </w:t>
            </w:r>
            <w:r w:rsidRPr="00FC0299">
              <w:rPr>
                <w:rFonts w:cs="FrankRuehl"/>
                <w:sz w:val="28"/>
                <w:szCs w:val="28"/>
                <w:rtl/>
              </w:rPr>
              <w:t>25254-07-18</w:t>
            </w:r>
            <w:r w:rsidRPr="00FC0299">
              <w:rPr>
                <w:rFonts w:cs="FrankRuehl" w:hint="cs"/>
                <w:sz w:val="28"/>
                <w:szCs w:val="28"/>
                <w:rtl/>
              </w:rPr>
              <w:t xml:space="preserve"> </w:t>
            </w:r>
            <w:r w:rsidRPr="00FC0299">
              <w:rPr>
                <w:rFonts w:cs="FrankRuehl"/>
                <w:sz w:val="28"/>
                <w:szCs w:val="28"/>
                <w:rtl/>
              </w:rPr>
              <w:t>מדינת ישראל נ' לוי</w:t>
            </w:r>
          </w:p>
          <w:p w14:paraId="04BE8B03" w14:textId="77777777" w:rsidR="00893B7B" w:rsidRPr="00FC0299" w:rsidRDefault="00893B7B" w:rsidP="00B75F39">
            <w:pPr>
              <w:pStyle w:val="a3"/>
              <w:rPr>
                <w:rFonts w:cs="FrankRuehl"/>
                <w:sz w:val="28"/>
                <w:szCs w:val="28"/>
                <w:rtl/>
              </w:rPr>
            </w:pPr>
          </w:p>
        </w:tc>
        <w:tc>
          <w:tcPr>
            <w:tcW w:w="3667" w:type="dxa"/>
          </w:tcPr>
          <w:p w14:paraId="1CE7AA10" w14:textId="77777777" w:rsidR="00893B7B" w:rsidRPr="00FC0299" w:rsidRDefault="00893B7B" w:rsidP="00B75F39">
            <w:pPr>
              <w:pStyle w:val="a3"/>
              <w:jc w:val="right"/>
              <w:rPr>
                <w:rFonts w:cs="FrankRuehl"/>
                <w:sz w:val="28"/>
                <w:szCs w:val="28"/>
                <w:rtl/>
              </w:rPr>
            </w:pPr>
          </w:p>
        </w:tc>
      </w:tr>
    </w:tbl>
    <w:p w14:paraId="41A16A29" w14:textId="77777777" w:rsidR="00893B7B" w:rsidRPr="00FC0299" w:rsidRDefault="00893B7B" w:rsidP="00893B7B">
      <w:pPr>
        <w:pStyle w:val="a3"/>
        <w:rPr>
          <w:rtl/>
        </w:rPr>
      </w:pPr>
      <w:r w:rsidRPr="00FC0299">
        <w:rPr>
          <w:rFonts w:hint="cs"/>
          <w:rtl/>
        </w:rPr>
        <w:t xml:space="preserve"> </w:t>
      </w:r>
    </w:p>
    <w:p w14:paraId="68728BAC" w14:textId="77777777" w:rsidR="00893B7B" w:rsidRPr="00FC0299" w:rsidRDefault="00893B7B" w:rsidP="00893B7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893B7B" w:rsidRPr="00FC0299" w14:paraId="2C071B22" w14:textId="77777777" w:rsidTr="00893B7B">
        <w:trPr>
          <w:trHeight w:val="295"/>
          <w:jc w:val="center"/>
        </w:trPr>
        <w:tc>
          <w:tcPr>
            <w:tcW w:w="923" w:type="dxa"/>
            <w:tcBorders>
              <w:top w:val="nil"/>
              <w:left w:val="nil"/>
              <w:bottom w:val="nil"/>
              <w:right w:val="nil"/>
            </w:tcBorders>
            <w:shd w:val="clear" w:color="auto" w:fill="auto"/>
          </w:tcPr>
          <w:p w14:paraId="0D652B17" w14:textId="77777777" w:rsidR="00893B7B" w:rsidRPr="00FC0299" w:rsidRDefault="00893B7B" w:rsidP="00893B7B">
            <w:pPr>
              <w:jc w:val="both"/>
              <w:rPr>
                <w:rFonts w:ascii="Arial" w:hAnsi="Arial" w:cs="FrankRuehl"/>
                <w:sz w:val="28"/>
                <w:szCs w:val="28"/>
              </w:rPr>
            </w:pPr>
            <w:r w:rsidRPr="00FC0299">
              <w:rPr>
                <w:rFonts w:ascii="Arial" w:hAnsi="Arial" w:cs="FrankRuehl" w:hint="cs"/>
                <w:sz w:val="28"/>
                <w:szCs w:val="28"/>
                <w:rtl/>
              </w:rPr>
              <w:t>ב</w:t>
            </w:r>
            <w:r w:rsidRPr="00FC0299">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D32D084" w14:textId="77777777" w:rsidR="00893B7B" w:rsidRPr="00FC0299" w:rsidRDefault="00893B7B" w:rsidP="00B75F39">
            <w:pPr>
              <w:rPr>
                <w:rFonts w:ascii="Arial" w:hAnsi="Arial"/>
                <w:b/>
                <w:bCs/>
                <w:rtl/>
              </w:rPr>
            </w:pPr>
            <w:r w:rsidRPr="00FC0299">
              <w:rPr>
                <w:rFonts w:ascii="Arial" w:hAnsi="Arial" w:hint="cs"/>
                <w:b/>
                <w:bCs/>
                <w:rtl/>
              </w:rPr>
              <w:t>כבוד ה</w:t>
            </w:r>
            <w:r w:rsidRPr="00FC0299">
              <w:rPr>
                <w:rFonts w:ascii="Arial" w:hAnsi="Arial"/>
                <w:b/>
                <w:bCs/>
                <w:rtl/>
              </w:rPr>
              <w:t>שופטת</w:t>
            </w:r>
            <w:r w:rsidRPr="00FC0299">
              <w:rPr>
                <w:rFonts w:ascii="Arial" w:hAnsi="Arial" w:hint="cs"/>
                <w:b/>
                <w:bCs/>
                <w:rtl/>
              </w:rPr>
              <w:t xml:space="preserve">  </w:t>
            </w:r>
            <w:r w:rsidRPr="00FC0299">
              <w:rPr>
                <w:rFonts w:ascii="Arial" w:hAnsi="Arial"/>
                <w:b/>
                <w:bCs/>
                <w:rtl/>
              </w:rPr>
              <w:t>אושרית הובר היימן</w:t>
            </w:r>
          </w:p>
          <w:p w14:paraId="21765CE1" w14:textId="77777777" w:rsidR="00893B7B" w:rsidRPr="00FC0299" w:rsidRDefault="00893B7B" w:rsidP="00B75F39">
            <w:pPr>
              <w:rPr>
                <w:rtl/>
              </w:rPr>
            </w:pPr>
          </w:p>
          <w:p w14:paraId="54D5E034" w14:textId="77777777" w:rsidR="00893B7B" w:rsidRPr="00FC0299" w:rsidRDefault="00893B7B" w:rsidP="00893B7B">
            <w:pPr>
              <w:jc w:val="both"/>
              <w:rPr>
                <w:rFonts w:ascii="Arial" w:hAnsi="Arial" w:cs="FrankRuehl"/>
                <w:sz w:val="28"/>
                <w:szCs w:val="28"/>
              </w:rPr>
            </w:pPr>
          </w:p>
        </w:tc>
      </w:tr>
      <w:tr w:rsidR="00893B7B" w:rsidRPr="00FC0299" w14:paraId="1FB1F3B3" w14:textId="77777777" w:rsidTr="00893B7B">
        <w:trPr>
          <w:trHeight w:val="355"/>
          <w:jc w:val="center"/>
        </w:trPr>
        <w:tc>
          <w:tcPr>
            <w:tcW w:w="923" w:type="dxa"/>
            <w:tcBorders>
              <w:top w:val="nil"/>
              <w:left w:val="nil"/>
              <w:bottom w:val="nil"/>
              <w:right w:val="nil"/>
            </w:tcBorders>
            <w:shd w:val="clear" w:color="auto" w:fill="auto"/>
          </w:tcPr>
          <w:p w14:paraId="27A8C4F0" w14:textId="77777777" w:rsidR="00893B7B" w:rsidRPr="00FC0299" w:rsidRDefault="00893B7B" w:rsidP="00893B7B">
            <w:pPr>
              <w:jc w:val="both"/>
              <w:rPr>
                <w:rFonts w:ascii="Arial" w:hAnsi="Arial" w:cs="FrankRuehl"/>
                <w:b/>
                <w:bCs/>
                <w:sz w:val="30"/>
                <w:szCs w:val="30"/>
              </w:rPr>
            </w:pPr>
            <w:bookmarkStart w:id="1" w:name="FirstAppellant"/>
            <w:r w:rsidRPr="00FC0299">
              <w:rPr>
                <w:rFonts w:ascii="Arial" w:hAnsi="Arial" w:cs="FrankRuehl" w:hint="cs"/>
                <w:b/>
                <w:bCs/>
                <w:sz w:val="30"/>
                <w:szCs w:val="30"/>
                <w:rtl/>
              </w:rPr>
              <w:t>בעניין:</w:t>
            </w:r>
          </w:p>
        </w:tc>
        <w:tc>
          <w:tcPr>
            <w:tcW w:w="4126" w:type="dxa"/>
            <w:tcBorders>
              <w:top w:val="nil"/>
              <w:left w:val="nil"/>
              <w:bottom w:val="nil"/>
              <w:right w:val="nil"/>
            </w:tcBorders>
            <w:shd w:val="clear" w:color="auto" w:fill="auto"/>
          </w:tcPr>
          <w:p w14:paraId="10980002" w14:textId="77777777" w:rsidR="00893B7B" w:rsidRPr="00FC0299" w:rsidRDefault="00893B7B" w:rsidP="00B75F39">
            <w:pPr>
              <w:rPr>
                <w:b/>
                <w:bCs/>
                <w:sz w:val="30"/>
                <w:szCs w:val="30"/>
              </w:rPr>
            </w:pPr>
            <w:r w:rsidRPr="00FC0299">
              <w:rPr>
                <w:rFonts w:ascii="Arial" w:hAnsi="Arial" w:cs="FrankRuehl"/>
                <w:b/>
                <w:bCs/>
                <w:sz w:val="30"/>
                <w:szCs w:val="30"/>
                <w:rtl/>
              </w:rPr>
              <w:t>מדינת ישראל</w:t>
            </w:r>
          </w:p>
        </w:tc>
        <w:tc>
          <w:tcPr>
            <w:tcW w:w="3771" w:type="dxa"/>
            <w:tcBorders>
              <w:top w:val="nil"/>
              <w:left w:val="nil"/>
              <w:bottom w:val="nil"/>
              <w:right w:val="nil"/>
            </w:tcBorders>
            <w:shd w:val="clear" w:color="auto" w:fill="auto"/>
          </w:tcPr>
          <w:p w14:paraId="324517E1" w14:textId="77777777" w:rsidR="00893B7B" w:rsidRPr="00FC0299" w:rsidRDefault="00893B7B" w:rsidP="00893B7B">
            <w:pPr>
              <w:jc w:val="both"/>
              <w:rPr>
                <w:rFonts w:ascii="Arial" w:hAnsi="Arial" w:cs="FrankRuehl"/>
                <w:b/>
                <w:bCs/>
                <w:sz w:val="30"/>
                <w:szCs w:val="30"/>
              </w:rPr>
            </w:pPr>
          </w:p>
        </w:tc>
      </w:tr>
      <w:bookmarkEnd w:id="1"/>
      <w:tr w:rsidR="00893B7B" w:rsidRPr="00FC0299" w14:paraId="48F5EB95" w14:textId="77777777" w:rsidTr="00893B7B">
        <w:trPr>
          <w:trHeight w:val="355"/>
          <w:jc w:val="center"/>
        </w:trPr>
        <w:tc>
          <w:tcPr>
            <w:tcW w:w="923" w:type="dxa"/>
            <w:tcBorders>
              <w:top w:val="nil"/>
              <w:left w:val="nil"/>
              <w:bottom w:val="nil"/>
              <w:right w:val="nil"/>
            </w:tcBorders>
            <w:shd w:val="clear" w:color="auto" w:fill="auto"/>
          </w:tcPr>
          <w:p w14:paraId="08DECF28" w14:textId="77777777" w:rsidR="00893B7B" w:rsidRPr="00FC0299" w:rsidRDefault="00893B7B" w:rsidP="00893B7B">
            <w:pPr>
              <w:jc w:val="both"/>
              <w:rPr>
                <w:rFonts w:ascii="Arial" w:hAnsi="Arial" w:cs="FrankRuehl"/>
                <w:b/>
                <w:bCs/>
                <w:sz w:val="30"/>
                <w:szCs w:val="30"/>
                <w:rtl/>
              </w:rPr>
            </w:pPr>
          </w:p>
        </w:tc>
        <w:tc>
          <w:tcPr>
            <w:tcW w:w="4126" w:type="dxa"/>
            <w:tcBorders>
              <w:top w:val="nil"/>
              <w:left w:val="nil"/>
              <w:bottom w:val="nil"/>
              <w:right w:val="nil"/>
            </w:tcBorders>
            <w:shd w:val="clear" w:color="auto" w:fill="auto"/>
          </w:tcPr>
          <w:p w14:paraId="66BDDCB0" w14:textId="77777777" w:rsidR="00893B7B" w:rsidRPr="00FC0299" w:rsidRDefault="00893B7B" w:rsidP="00893B7B">
            <w:pPr>
              <w:jc w:val="both"/>
              <w:rPr>
                <w:b/>
                <w:bCs/>
                <w:sz w:val="30"/>
                <w:szCs w:val="30"/>
                <w:rtl/>
              </w:rPr>
            </w:pPr>
          </w:p>
        </w:tc>
        <w:tc>
          <w:tcPr>
            <w:tcW w:w="3771" w:type="dxa"/>
            <w:tcBorders>
              <w:top w:val="nil"/>
              <w:left w:val="nil"/>
              <w:bottom w:val="nil"/>
              <w:right w:val="nil"/>
            </w:tcBorders>
            <w:shd w:val="clear" w:color="auto" w:fill="auto"/>
          </w:tcPr>
          <w:p w14:paraId="1CC83DC2" w14:textId="77777777" w:rsidR="00893B7B" w:rsidRPr="00FC0299" w:rsidRDefault="00893B7B" w:rsidP="00893B7B">
            <w:pPr>
              <w:jc w:val="right"/>
              <w:rPr>
                <w:rFonts w:ascii="Arial" w:hAnsi="Arial" w:cs="FrankRuehl"/>
                <w:b/>
                <w:bCs/>
                <w:sz w:val="30"/>
                <w:szCs w:val="30"/>
                <w:rtl/>
              </w:rPr>
            </w:pPr>
            <w:r w:rsidRPr="00FC0299">
              <w:rPr>
                <w:rFonts w:ascii="Arial" w:hAnsi="Arial" w:cs="FrankRuehl" w:hint="cs"/>
                <w:b/>
                <w:bCs/>
                <w:sz w:val="30"/>
                <w:szCs w:val="30"/>
                <w:rtl/>
              </w:rPr>
              <w:t>ה</w:t>
            </w:r>
            <w:r w:rsidRPr="00FC0299">
              <w:rPr>
                <w:rFonts w:ascii="Arial" w:hAnsi="Arial" w:cs="FrankRuehl"/>
                <w:b/>
                <w:bCs/>
                <w:sz w:val="30"/>
                <w:szCs w:val="30"/>
                <w:rtl/>
              </w:rPr>
              <w:t>מאשימה</w:t>
            </w:r>
          </w:p>
        </w:tc>
      </w:tr>
      <w:tr w:rsidR="00893B7B" w:rsidRPr="00FC0299" w14:paraId="28639A1B" w14:textId="77777777" w:rsidTr="00893B7B">
        <w:trPr>
          <w:trHeight w:val="355"/>
          <w:jc w:val="center"/>
        </w:trPr>
        <w:tc>
          <w:tcPr>
            <w:tcW w:w="923" w:type="dxa"/>
            <w:tcBorders>
              <w:top w:val="nil"/>
              <w:left w:val="nil"/>
              <w:bottom w:val="nil"/>
              <w:right w:val="nil"/>
            </w:tcBorders>
            <w:shd w:val="clear" w:color="auto" w:fill="auto"/>
          </w:tcPr>
          <w:p w14:paraId="1D5B7E22" w14:textId="77777777" w:rsidR="00893B7B" w:rsidRPr="00FC0299" w:rsidRDefault="00893B7B" w:rsidP="00893B7B">
            <w:pPr>
              <w:jc w:val="both"/>
              <w:rPr>
                <w:rFonts w:ascii="Arial" w:hAnsi="Arial" w:cs="FrankRuehl"/>
                <w:b/>
                <w:bCs/>
                <w:sz w:val="30"/>
                <w:szCs w:val="30"/>
                <w:rtl/>
              </w:rPr>
            </w:pPr>
          </w:p>
        </w:tc>
        <w:tc>
          <w:tcPr>
            <w:tcW w:w="7897" w:type="dxa"/>
            <w:gridSpan w:val="2"/>
            <w:tcBorders>
              <w:top w:val="nil"/>
              <w:left w:val="nil"/>
              <w:bottom w:val="nil"/>
              <w:right w:val="nil"/>
            </w:tcBorders>
            <w:shd w:val="clear" w:color="auto" w:fill="auto"/>
          </w:tcPr>
          <w:p w14:paraId="5A02B15F" w14:textId="77777777" w:rsidR="00893B7B" w:rsidRPr="00FC0299" w:rsidRDefault="00893B7B" w:rsidP="00893B7B">
            <w:pPr>
              <w:jc w:val="center"/>
              <w:rPr>
                <w:rFonts w:ascii="Arial" w:hAnsi="Arial" w:cs="FrankRuehl"/>
                <w:b/>
                <w:bCs/>
                <w:sz w:val="30"/>
                <w:szCs w:val="30"/>
                <w:rtl/>
              </w:rPr>
            </w:pPr>
          </w:p>
          <w:p w14:paraId="345B6D3E" w14:textId="77777777" w:rsidR="00893B7B" w:rsidRPr="00FC0299" w:rsidRDefault="00893B7B" w:rsidP="00893B7B">
            <w:pPr>
              <w:jc w:val="center"/>
              <w:rPr>
                <w:rFonts w:ascii="Arial" w:hAnsi="Arial" w:cs="FrankRuehl"/>
                <w:b/>
                <w:bCs/>
                <w:sz w:val="30"/>
                <w:szCs w:val="30"/>
                <w:rtl/>
              </w:rPr>
            </w:pPr>
            <w:r w:rsidRPr="00FC0299">
              <w:rPr>
                <w:rFonts w:ascii="Arial" w:hAnsi="Arial" w:cs="FrankRuehl"/>
                <w:b/>
                <w:bCs/>
                <w:sz w:val="30"/>
                <w:szCs w:val="30"/>
                <w:rtl/>
              </w:rPr>
              <w:t>נגד</w:t>
            </w:r>
          </w:p>
          <w:p w14:paraId="327AB44C" w14:textId="77777777" w:rsidR="00893B7B" w:rsidRPr="00FC0299" w:rsidRDefault="00893B7B" w:rsidP="00893B7B">
            <w:pPr>
              <w:jc w:val="both"/>
              <w:rPr>
                <w:rFonts w:ascii="Arial" w:hAnsi="Arial" w:cs="FrankRuehl"/>
                <w:b/>
                <w:bCs/>
                <w:sz w:val="30"/>
                <w:szCs w:val="30"/>
              </w:rPr>
            </w:pPr>
          </w:p>
        </w:tc>
      </w:tr>
      <w:tr w:rsidR="00893B7B" w:rsidRPr="00FC0299" w14:paraId="55EDF06C" w14:textId="77777777" w:rsidTr="00893B7B">
        <w:trPr>
          <w:trHeight w:val="355"/>
          <w:jc w:val="center"/>
        </w:trPr>
        <w:tc>
          <w:tcPr>
            <w:tcW w:w="923" w:type="dxa"/>
            <w:tcBorders>
              <w:top w:val="nil"/>
              <w:left w:val="nil"/>
              <w:bottom w:val="nil"/>
              <w:right w:val="nil"/>
            </w:tcBorders>
            <w:shd w:val="clear" w:color="auto" w:fill="auto"/>
          </w:tcPr>
          <w:p w14:paraId="101BD720" w14:textId="77777777" w:rsidR="00893B7B" w:rsidRPr="00FC0299" w:rsidRDefault="00893B7B" w:rsidP="00B75F39">
            <w:pPr>
              <w:rPr>
                <w:rFonts w:ascii="Arial" w:hAnsi="Arial" w:cs="FrankRuehl"/>
                <w:b/>
                <w:bCs/>
                <w:sz w:val="30"/>
                <w:szCs w:val="30"/>
                <w:rtl/>
              </w:rPr>
            </w:pPr>
          </w:p>
        </w:tc>
        <w:tc>
          <w:tcPr>
            <w:tcW w:w="4126" w:type="dxa"/>
            <w:tcBorders>
              <w:top w:val="nil"/>
              <w:left w:val="nil"/>
              <w:bottom w:val="nil"/>
              <w:right w:val="nil"/>
            </w:tcBorders>
            <w:shd w:val="clear" w:color="auto" w:fill="auto"/>
          </w:tcPr>
          <w:p w14:paraId="1718ADE2" w14:textId="77777777" w:rsidR="00893B7B" w:rsidRPr="00FC0299" w:rsidRDefault="00893B7B" w:rsidP="00B75F39">
            <w:pPr>
              <w:rPr>
                <w:b/>
                <w:bCs/>
                <w:sz w:val="30"/>
                <w:szCs w:val="30"/>
                <w:rtl/>
              </w:rPr>
            </w:pPr>
            <w:r w:rsidRPr="00FC0299">
              <w:rPr>
                <w:rFonts w:ascii="Arial" w:hAnsi="Arial" w:cs="FrankRuehl"/>
                <w:b/>
                <w:bCs/>
                <w:sz w:val="30"/>
                <w:szCs w:val="30"/>
                <w:rtl/>
              </w:rPr>
              <w:t>שגב לוי</w:t>
            </w:r>
          </w:p>
        </w:tc>
        <w:tc>
          <w:tcPr>
            <w:tcW w:w="3771" w:type="dxa"/>
            <w:tcBorders>
              <w:top w:val="nil"/>
              <w:left w:val="nil"/>
              <w:bottom w:val="nil"/>
              <w:right w:val="nil"/>
            </w:tcBorders>
            <w:shd w:val="clear" w:color="auto" w:fill="auto"/>
          </w:tcPr>
          <w:p w14:paraId="28D386FA" w14:textId="77777777" w:rsidR="00893B7B" w:rsidRPr="00FC0299" w:rsidRDefault="00893B7B" w:rsidP="00893B7B">
            <w:pPr>
              <w:jc w:val="right"/>
              <w:rPr>
                <w:rFonts w:ascii="Arial" w:hAnsi="Arial" w:cs="FrankRuehl"/>
                <w:b/>
                <w:bCs/>
                <w:sz w:val="30"/>
                <w:szCs w:val="30"/>
              </w:rPr>
            </w:pPr>
          </w:p>
        </w:tc>
      </w:tr>
      <w:tr w:rsidR="00893B7B" w:rsidRPr="00FC0299" w14:paraId="1F575DB7" w14:textId="77777777" w:rsidTr="00893B7B">
        <w:trPr>
          <w:trHeight w:val="355"/>
          <w:jc w:val="center"/>
        </w:trPr>
        <w:tc>
          <w:tcPr>
            <w:tcW w:w="923" w:type="dxa"/>
            <w:tcBorders>
              <w:top w:val="nil"/>
              <w:left w:val="nil"/>
              <w:bottom w:val="nil"/>
              <w:right w:val="nil"/>
            </w:tcBorders>
            <w:shd w:val="clear" w:color="auto" w:fill="auto"/>
          </w:tcPr>
          <w:p w14:paraId="242D43A4" w14:textId="77777777" w:rsidR="00893B7B" w:rsidRPr="00FC0299" w:rsidRDefault="00893B7B" w:rsidP="00893B7B">
            <w:pPr>
              <w:jc w:val="both"/>
              <w:rPr>
                <w:rFonts w:ascii="Arial" w:hAnsi="Arial" w:cs="FrankRuehl"/>
                <w:b/>
                <w:bCs/>
                <w:sz w:val="30"/>
                <w:szCs w:val="30"/>
                <w:rtl/>
              </w:rPr>
            </w:pPr>
          </w:p>
        </w:tc>
        <w:tc>
          <w:tcPr>
            <w:tcW w:w="4126" w:type="dxa"/>
            <w:tcBorders>
              <w:top w:val="nil"/>
              <w:left w:val="nil"/>
              <w:bottom w:val="nil"/>
              <w:right w:val="nil"/>
            </w:tcBorders>
            <w:shd w:val="clear" w:color="auto" w:fill="auto"/>
          </w:tcPr>
          <w:p w14:paraId="7788AD56" w14:textId="77777777" w:rsidR="00893B7B" w:rsidRPr="00FC0299" w:rsidRDefault="00893B7B" w:rsidP="00893B7B">
            <w:pPr>
              <w:jc w:val="both"/>
              <w:rPr>
                <w:b/>
                <w:bCs/>
                <w:sz w:val="30"/>
                <w:szCs w:val="30"/>
                <w:rtl/>
              </w:rPr>
            </w:pPr>
          </w:p>
        </w:tc>
        <w:tc>
          <w:tcPr>
            <w:tcW w:w="3771" w:type="dxa"/>
            <w:tcBorders>
              <w:top w:val="nil"/>
              <w:left w:val="nil"/>
              <w:bottom w:val="nil"/>
              <w:right w:val="nil"/>
            </w:tcBorders>
            <w:shd w:val="clear" w:color="auto" w:fill="auto"/>
          </w:tcPr>
          <w:p w14:paraId="516EB660" w14:textId="77777777" w:rsidR="00893B7B" w:rsidRPr="00FC0299" w:rsidRDefault="00893B7B" w:rsidP="00893B7B">
            <w:pPr>
              <w:jc w:val="right"/>
              <w:rPr>
                <w:rFonts w:ascii="Arial" w:hAnsi="Arial" w:cs="FrankRuehl"/>
                <w:b/>
                <w:bCs/>
                <w:sz w:val="30"/>
                <w:szCs w:val="30"/>
              </w:rPr>
            </w:pPr>
            <w:r w:rsidRPr="00FC0299">
              <w:rPr>
                <w:rFonts w:ascii="Arial" w:hAnsi="Arial" w:cs="FrankRuehl" w:hint="cs"/>
                <w:b/>
                <w:bCs/>
                <w:sz w:val="30"/>
                <w:szCs w:val="30"/>
                <w:rtl/>
              </w:rPr>
              <w:t>ה</w:t>
            </w:r>
            <w:r w:rsidRPr="00FC0299">
              <w:rPr>
                <w:rFonts w:ascii="Arial" w:hAnsi="Arial" w:cs="FrankRuehl"/>
                <w:b/>
                <w:bCs/>
                <w:sz w:val="30"/>
                <w:szCs w:val="30"/>
                <w:rtl/>
              </w:rPr>
              <w:t>נאשם</w:t>
            </w:r>
          </w:p>
        </w:tc>
      </w:tr>
    </w:tbl>
    <w:p w14:paraId="75B2EAFA" w14:textId="77777777" w:rsidR="0033178D" w:rsidRDefault="0033178D" w:rsidP="00893B7B">
      <w:pPr>
        <w:rPr>
          <w:rtl/>
        </w:rPr>
      </w:pPr>
    </w:p>
    <w:p w14:paraId="6BED6D2E" w14:textId="77777777" w:rsidR="0033178D" w:rsidRPr="0033178D" w:rsidRDefault="0033178D" w:rsidP="0033178D">
      <w:pPr>
        <w:spacing w:after="120" w:line="240" w:lineRule="exact"/>
        <w:ind w:left="283" w:hanging="283"/>
        <w:jc w:val="both"/>
        <w:rPr>
          <w:rFonts w:ascii="FrankRuehl" w:hAnsi="FrankRuehl" w:cs="FrankRuehl"/>
          <w:rtl/>
        </w:rPr>
      </w:pPr>
    </w:p>
    <w:p w14:paraId="0E82815D" w14:textId="77777777" w:rsidR="00691F69" w:rsidRPr="00691F69" w:rsidRDefault="00691F69" w:rsidP="00691F69">
      <w:pPr>
        <w:spacing w:before="120" w:after="120" w:line="240" w:lineRule="exact"/>
        <w:ind w:left="283" w:hanging="283"/>
        <w:jc w:val="both"/>
        <w:rPr>
          <w:rFonts w:ascii="FrankRuehl" w:hAnsi="FrankRuehl" w:cs="FrankRuehl"/>
          <w:rtl/>
        </w:rPr>
      </w:pPr>
      <w:bookmarkStart w:id="2" w:name="LawTable"/>
      <w:bookmarkEnd w:id="2"/>
    </w:p>
    <w:p w14:paraId="3FA985CE" w14:textId="77777777" w:rsidR="00691F69" w:rsidRPr="00691F69" w:rsidRDefault="00691F69" w:rsidP="00691F69">
      <w:pPr>
        <w:spacing w:before="120" w:after="120" w:line="240" w:lineRule="exact"/>
        <w:ind w:left="283" w:hanging="283"/>
        <w:jc w:val="both"/>
        <w:rPr>
          <w:rFonts w:ascii="FrankRuehl" w:hAnsi="FrankRuehl" w:cs="FrankRuehl"/>
          <w:rtl/>
        </w:rPr>
      </w:pPr>
    </w:p>
    <w:p w14:paraId="657F1271" w14:textId="77777777" w:rsidR="00691F69" w:rsidRPr="00691F69" w:rsidRDefault="00691F69" w:rsidP="00691F69">
      <w:pPr>
        <w:spacing w:before="120" w:after="120" w:line="240" w:lineRule="exact"/>
        <w:ind w:left="283" w:hanging="283"/>
        <w:jc w:val="both"/>
        <w:rPr>
          <w:rFonts w:ascii="FrankRuehl" w:hAnsi="FrankRuehl" w:cs="FrankRuehl"/>
          <w:rtl/>
        </w:rPr>
      </w:pPr>
      <w:r w:rsidRPr="00691F69">
        <w:rPr>
          <w:rFonts w:ascii="FrankRuehl" w:hAnsi="FrankRuehl" w:cs="FrankRuehl"/>
          <w:rtl/>
        </w:rPr>
        <w:t xml:space="preserve">חקיקה שאוזכרה: </w:t>
      </w:r>
    </w:p>
    <w:p w14:paraId="56F35463" w14:textId="77777777" w:rsidR="00691F69" w:rsidRPr="00691F69" w:rsidRDefault="00691F69" w:rsidP="00691F69">
      <w:pPr>
        <w:spacing w:before="120" w:after="120" w:line="240" w:lineRule="exact"/>
        <w:ind w:left="283" w:hanging="283"/>
        <w:jc w:val="both"/>
        <w:rPr>
          <w:rFonts w:ascii="FrankRuehl" w:hAnsi="FrankRuehl" w:cs="FrankRuehl"/>
          <w:color w:val="0000FF"/>
          <w:u w:val="single"/>
          <w:rtl/>
        </w:rPr>
      </w:pPr>
      <w:hyperlink r:id="rId7" w:history="1">
        <w:r w:rsidRPr="00691F69">
          <w:rPr>
            <w:rStyle w:val="Hyperlink"/>
            <w:rFonts w:ascii="FrankRuehl" w:hAnsi="FrankRuehl" w:cs="FrankRuehl"/>
            <w:rtl/>
          </w:rPr>
          <w:t>פקודת הסמים המסוכנים [נוסח חדש], תשל"ג-1973</w:t>
        </w:r>
      </w:hyperlink>
      <w:r w:rsidRPr="00691F69">
        <w:rPr>
          <w:rFonts w:ascii="FrankRuehl" w:hAnsi="FrankRuehl" w:cs="FrankRuehl"/>
          <w:color w:val="0000FF"/>
          <w:u w:val="single"/>
          <w:rtl/>
        </w:rPr>
        <w:t xml:space="preserve">: סע'  </w:t>
      </w:r>
      <w:hyperlink r:id="rId8" w:history="1">
        <w:r w:rsidRPr="00691F69">
          <w:rPr>
            <w:rStyle w:val="Hyperlink"/>
            <w:rFonts w:ascii="FrankRuehl" w:hAnsi="FrankRuehl" w:cs="FrankRuehl"/>
          </w:rPr>
          <w:t>7.</w:t>
        </w:r>
        <w:r w:rsidRPr="00691F69">
          <w:rPr>
            <w:rStyle w:val="Hyperlink"/>
            <w:rFonts w:ascii="FrankRuehl" w:hAnsi="FrankRuehl" w:cs="FrankRuehl"/>
            <w:rtl/>
          </w:rPr>
          <w:t>א</w:t>
        </w:r>
        <w:r w:rsidRPr="00691F69">
          <w:rPr>
            <w:rStyle w:val="Hyperlink"/>
            <w:rFonts w:ascii="FrankRuehl" w:hAnsi="FrankRuehl" w:cs="FrankRuehl"/>
          </w:rPr>
          <w:t>.</w:t>
        </w:r>
      </w:hyperlink>
      <w:r w:rsidRPr="00691F69">
        <w:rPr>
          <w:rFonts w:ascii="FrankRuehl" w:hAnsi="FrankRuehl" w:cs="FrankRuehl"/>
          <w:color w:val="0000FF"/>
          <w:u w:val="single"/>
          <w:rtl/>
        </w:rPr>
        <w:t xml:space="preserve">, </w:t>
      </w:r>
      <w:hyperlink r:id="rId9" w:history="1">
        <w:r w:rsidRPr="00691F69">
          <w:rPr>
            <w:rStyle w:val="Hyperlink"/>
            <w:rFonts w:ascii="FrankRuehl" w:hAnsi="FrankRuehl" w:cs="FrankRuehl"/>
          </w:rPr>
          <w:t>7.</w:t>
        </w:r>
        <w:r w:rsidRPr="00691F69">
          <w:rPr>
            <w:rStyle w:val="Hyperlink"/>
            <w:rFonts w:ascii="FrankRuehl" w:hAnsi="FrankRuehl" w:cs="FrankRuehl"/>
            <w:rtl/>
          </w:rPr>
          <w:t>ג</w:t>
        </w:r>
      </w:hyperlink>
    </w:p>
    <w:p w14:paraId="4FF943EA" w14:textId="77777777" w:rsidR="00691F69" w:rsidRPr="00691F69" w:rsidRDefault="00691F69" w:rsidP="00691F69">
      <w:pPr>
        <w:spacing w:before="120" w:after="120" w:line="240" w:lineRule="exact"/>
        <w:ind w:left="283" w:hanging="283"/>
        <w:jc w:val="both"/>
        <w:rPr>
          <w:rFonts w:ascii="FrankRuehl" w:hAnsi="FrankRuehl" w:cs="FrankRuehl"/>
          <w:color w:val="0000FF"/>
          <w:rtl/>
        </w:rPr>
      </w:pPr>
      <w:hyperlink r:id="rId10" w:history="1">
        <w:r w:rsidRPr="00691F69">
          <w:rPr>
            <w:rStyle w:val="Hyperlink"/>
            <w:rFonts w:ascii="FrankRuehl" w:hAnsi="FrankRuehl" w:cs="FrankRuehl"/>
            <w:rtl/>
          </w:rPr>
          <w:t>חוק העונשין, תשל"ז-1977</w:t>
        </w:r>
      </w:hyperlink>
      <w:r w:rsidRPr="00691F69">
        <w:rPr>
          <w:rFonts w:ascii="FrankRuehl" w:hAnsi="FrankRuehl" w:cs="FrankRuehl"/>
          <w:color w:val="0000FF"/>
          <w:u w:val="single"/>
          <w:rtl/>
        </w:rPr>
        <w:t xml:space="preserve">: סע'  </w:t>
      </w:r>
      <w:hyperlink r:id="rId11" w:history="1">
        <w:r w:rsidRPr="00691F69">
          <w:rPr>
            <w:rStyle w:val="Hyperlink"/>
            <w:rFonts w:ascii="FrankRuehl" w:hAnsi="FrankRuehl" w:cs="FrankRuehl"/>
          </w:rPr>
          <w:t>40</w:t>
        </w:r>
        <w:r w:rsidRPr="00691F69">
          <w:rPr>
            <w:rStyle w:val="Hyperlink"/>
            <w:rFonts w:ascii="FrankRuehl" w:hAnsi="FrankRuehl" w:cs="FrankRuehl"/>
            <w:rtl/>
          </w:rPr>
          <w:t>ד</w:t>
        </w:r>
      </w:hyperlink>
      <w:r w:rsidRPr="00691F69">
        <w:rPr>
          <w:rFonts w:ascii="FrankRuehl" w:hAnsi="FrankRuehl" w:cs="FrankRuehl"/>
          <w:color w:val="0000FF"/>
          <w:rtl/>
        </w:rPr>
        <w:t>(א)</w:t>
      </w:r>
    </w:p>
    <w:p w14:paraId="28AF3BB4" w14:textId="77777777" w:rsidR="00691F69" w:rsidRPr="00691F69" w:rsidRDefault="00691F69" w:rsidP="00691F69">
      <w:pPr>
        <w:spacing w:before="120" w:after="120" w:line="240" w:lineRule="exact"/>
        <w:ind w:left="283" w:hanging="283"/>
        <w:jc w:val="both"/>
        <w:rPr>
          <w:rFonts w:ascii="FrankRuehl" w:hAnsi="FrankRuehl" w:cs="FrankRuehl"/>
          <w:color w:val="0000FF"/>
          <w:u w:val="single"/>
          <w:rtl/>
        </w:rPr>
      </w:pPr>
      <w:hyperlink r:id="rId12" w:history="1">
        <w:r w:rsidRPr="00691F69">
          <w:rPr>
            <w:rStyle w:val="Hyperlink"/>
            <w:rFonts w:ascii="FrankRuehl" w:hAnsi="FrankRuehl" w:cs="FrankRuehl"/>
            <w:rtl/>
          </w:rPr>
          <w:t>פקודת המבחן [נוסח חדש], תשכ"ט-1969</w:t>
        </w:r>
      </w:hyperlink>
    </w:p>
    <w:p w14:paraId="65923E1B" w14:textId="77777777" w:rsidR="00893B7B" w:rsidRPr="00691F69" w:rsidRDefault="00893B7B" w:rsidP="00691F69">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893B7B" w:rsidRPr="00127515" w14:paraId="3B02639A" w14:textId="77777777" w:rsidTr="00893B7B">
        <w:trPr>
          <w:trHeight w:val="355"/>
          <w:jc w:val="center"/>
        </w:trPr>
        <w:tc>
          <w:tcPr>
            <w:tcW w:w="8820" w:type="dxa"/>
            <w:tcBorders>
              <w:top w:val="nil"/>
              <w:left w:val="nil"/>
              <w:bottom w:val="nil"/>
              <w:right w:val="nil"/>
            </w:tcBorders>
            <w:shd w:val="clear" w:color="auto" w:fill="auto"/>
          </w:tcPr>
          <w:p w14:paraId="36658A38" w14:textId="77777777" w:rsidR="00FC0299" w:rsidRPr="00FC0299" w:rsidRDefault="00FC0299" w:rsidP="00FC0299">
            <w:pPr>
              <w:jc w:val="center"/>
              <w:rPr>
                <w:rFonts w:ascii="Arial" w:hAnsi="Arial" w:cs="FrankRuehl"/>
                <w:bCs/>
                <w:sz w:val="36"/>
                <w:szCs w:val="36"/>
                <w:u w:val="single"/>
                <w:rtl/>
              </w:rPr>
            </w:pPr>
            <w:bookmarkStart w:id="4" w:name="PsakDin" w:colFirst="0" w:colLast="0"/>
            <w:bookmarkEnd w:id="0"/>
            <w:r w:rsidRPr="00FC0299">
              <w:rPr>
                <w:rFonts w:ascii="Arial" w:hAnsi="Arial" w:cs="FrankRuehl"/>
                <w:bCs/>
                <w:sz w:val="36"/>
                <w:szCs w:val="36"/>
                <w:u w:val="single"/>
                <w:rtl/>
              </w:rPr>
              <w:t>גזר דין</w:t>
            </w:r>
          </w:p>
          <w:p w14:paraId="70745C35" w14:textId="77777777" w:rsidR="00893B7B" w:rsidRPr="00FC0299" w:rsidRDefault="00893B7B" w:rsidP="00FC0299">
            <w:pPr>
              <w:jc w:val="center"/>
              <w:rPr>
                <w:rFonts w:ascii="Arial" w:hAnsi="Arial" w:cs="FrankRuehl"/>
                <w:bCs/>
                <w:sz w:val="36"/>
                <w:szCs w:val="36"/>
                <w:u w:val="single"/>
                <w:rtl/>
              </w:rPr>
            </w:pPr>
          </w:p>
        </w:tc>
      </w:tr>
      <w:bookmarkEnd w:id="4"/>
    </w:tbl>
    <w:p w14:paraId="65B3D8A5" w14:textId="77777777" w:rsidR="00893B7B" w:rsidRPr="00127515" w:rsidRDefault="00893B7B" w:rsidP="00893B7B">
      <w:pPr>
        <w:rPr>
          <w:rFonts w:ascii="Arial" w:hAnsi="Arial"/>
          <w:sz w:val="28"/>
          <w:szCs w:val="28"/>
          <w:rtl/>
        </w:rPr>
      </w:pPr>
    </w:p>
    <w:p w14:paraId="3F8B19A4" w14:textId="77777777" w:rsidR="00893B7B" w:rsidRPr="00B05847" w:rsidRDefault="00893B7B" w:rsidP="00893B7B">
      <w:pPr>
        <w:rPr>
          <w:rtl/>
        </w:rPr>
      </w:pPr>
    </w:p>
    <w:p w14:paraId="56639167" w14:textId="77777777" w:rsidR="00893B7B" w:rsidRDefault="00893B7B" w:rsidP="00893B7B">
      <w:pPr>
        <w:pStyle w:val="aa"/>
        <w:numPr>
          <w:ilvl w:val="0"/>
          <w:numId w:val="1"/>
        </w:numPr>
        <w:spacing w:line="360" w:lineRule="auto"/>
        <w:jc w:val="both"/>
        <w:rPr>
          <w:rFonts w:cs="David"/>
          <w:sz w:val="24"/>
          <w:szCs w:val="24"/>
        </w:rPr>
      </w:pPr>
      <w:bookmarkStart w:id="5" w:name="ABSTRACT_START"/>
      <w:bookmarkEnd w:id="5"/>
      <w:r>
        <w:rPr>
          <w:rFonts w:cs="David" w:hint="cs"/>
          <w:sz w:val="24"/>
          <w:szCs w:val="24"/>
          <w:rtl/>
        </w:rPr>
        <w:t xml:space="preserve">הנאשם הורשע, עפ"י הודאתו ובמסגרת הסדר טיעון, בעבירה של החזקת סמים שלא לצריכה עצמית, לפי סעיפים </w:t>
      </w:r>
      <w:hyperlink r:id="rId13" w:history="1">
        <w:r w:rsidR="0033178D" w:rsidRPr="0033178D">
          <w:rPr>
            <w:rFonts w:cs="David"/>
            <w:color w:val="0000FF"/>
            <w:sz w:val="24"/>
            <w:szCs w:val="24"/>
            <w:u w:val="single"/>
            <w:rtl/>
          </w:rPr>
          <w:t>7(</w:t>
        </w:r>
        <w:r w:rsidR="0033178D" w:rsidRPr="0033178D">
          <w:rPr>
            <w:rFonts w:cs="David" w:hint="cs"/>
            <w:color w:val="0000FF"/>
            <w:sz w:val="24"/>
            <w:szCs w:val="24"/>
            <w:u w:val="single"/>
            <w:rtl/>
          </w:rPr>
          <w:t>א</w:t>
        </w:r>
        <w:r w:rsidR="0033178D" w:rsidRPr="0033178D">
          <w:rPr>
            <w:rFonts w:cs="David"/>
            <w:color w:val="0000FF"/>
            <w:sz w:val="24"/>
            <w:szCs w:val="24"/>
            <w:u w:val="single"/>
            <w:rtl/>
          </w:rPr>
          <w:t>) + 7(</w:t>
        </w:r>
        <w:r w:rsidR="0033178D" w:rsidRPr="0033178D">
          <w:rPr>
            <w:rFonts w:cs="David" w:hint="cs"/>
            <w:color w:val="0000FF"/>
            <w:sz w:val="24"/>
            <w:szCs w:val="24"/>
            <w:u w:val="single"/>
            <w:rtl/>
          </w:rPr>
          <w:t>ג</w:t>
        </w:r>
        <w:r w:rsidR="0033178D" w:rsidRPr="0033178D">
          <w:rPr>
            <w:rFonts w:cs="David"/>
            <w:color w:val="0000FF"/>
            <w:sz w:val="24"/>
            <w:szCs w:val="24"/>
            <w:u w:val="single"/>
            <w:rtl/>
          </w:rPr>
          <w:t>)</w:t>
        </w:r>
      </w:hyperlink>
      <w:r>
        <w:rPr>
          <w:rFonts w:cs="David" w:hint="cs"/>
          <w:sz w:val="24"/>
          <w:szCs w:val="24"/>
          <w:rtl/>
        </w:rPr>
        <w:t xml:space="preserve"> רישא, ל</w:t>
      </w:r>
      <w:hyperlink r:id="rId14" w:history="1">
        <w:r w:rsidR="00FC0299" w:rsidRPr="00FC0299">
          <w:rPr>
            <w:rFonts w:cs="David" w:hint="cs"/>
            <w:color w:val="0000FF"/>
            <w:sz w:val="24"/>
            <w:szCs w:val="24"/>
            <w:u w:val="single"/>
            <w:rtl/>
          </w:rPr>
          <w:t>פקודת</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הסמים</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המסוכנים</w:t>
        </w:r>
      </w:hyperlink>
      <w:r>
        <w:rPr>
          <w:rFonts w:cs="David" w:hint="cs"/>
          <w:sz w:val="24"/>
          <w:szCs w:val="24"/>
          <w:rtl/>
        </w:rPr>
        <w:t xml:space="preserve"> (נוסח חדש), תשל"ג 1973.</w:t>
      </w:r>
    </w:p>
    <w:p w14:paraId="44CDFAAE" w14:textId="77777777" w:rsidR="00893B7B" w:rsidRDefault="00893B7B" w:rsidP="00893B7B">
      <w:pPr>
        <w:pStyle w:val="aa"/>
        <w:spacing w:line="360" w:lineRule="auto"/>
        <w:jc w:val="both"/>
        <w:rPr>
          <w:rFonts w:cs="David"/>
          <w:sz w:val="24"/>
          <w:szCs w:val="24"/>
          <w:rtl/>
        </w:rPr>
      </w:pPr>
    </w:p>
    <w:p w14:paraId="2D16AC05" w14:textId="77777777" w:rsidR="00893B7B" w:rsidRDefault="00893B7B" w:rsidP="00893B7B">
      <w:pPr>
        <w:pStyle w:val="aa"/>
        <w:numPr>
          <w:ilvl w:val="0"/>
          <w:numId w:val="1"/>
        </w:numPr>
        <w:spacing w:line="360" w:lineRule="auto"/>
        <w:jc w:val="both"/>
        <w:rPr>
          <w:rFonts w:cs="David"/>
          <w:sz w:val="24"/>
          <w:szCs w:val="24"/>
        </w:rPr>
      </w:pPr>
      <w:r>
        <w:rPr>
          <w:rFonts w:cs="David" w:hint="cs"/>
          <w:sz w:val="24"/>
          <w:szCs w:val="24"/>
          <w:rtl/>
        </w:rPr>
        <w:t>עפ"י עובדות כתב האישום המתוקן, ביום 26.10.16, במסגרת צו חיפוש שניתן ע"י ביהמ"ש, נתפס בביתו וברשותו סם מסוכן מסוג חשיש, במשקל 92.69 ג' נטו. הסם נתפס במקרר הבית יחד עם 2 סכינים יפניות. בנוסף, במגירה בחדר האמבטיה נתפסו 2 משקלים אלקטרוניים.</w:t>
      </w:r>
    </w:p>
    <w:p w14:paraId="59D2083E" w14:textId="77777777" w:rsidR="00893B7B" w:rsidRDefault="00893B7B" w:rsidP="00893B7B">
      <w:pPr>
        <w:pStyle w:val="aa"/>
        <w:spacing w:line="360" w:lineRule="auto"/>
        <w:jc w:val="both"/>
        <w:rPr>
          <w:rFonts w:cs="David"/>
          <w:sz w:val="24"/>
          <w:szCs w:val="24"/>
          <w:rtl/>
        </w:rPr>
      </w:pPr>
      <w:bookmarkStart w:id="6" w:name="ABSTRACT_END"/>
      <w:bookmarkEnd w:id="6"/>
    </w:p>
    <w:p w14:paraId="699316DA" w14:textId="77777777" w:rsidR="00893B7B" w:rsidRDefault="00893B7B" w:rsidP="00893B7B">
      <w:pPr>
        <w:pStyle w:val="aa"/>
        <w:numPr>
          <w:ilvl w:val="0"/>
          <w:numId w:val="1"/>
        </w:numPr>
        <w:spacing w:line="360" w:lineRule="auto"/>
        <w:jc w:val="both"/>
        <w:rPr>
          <w:rFonts w:cs="David"/>
          <w:sz w:val="24"/>
          <w:szCs w:val="24"/>
        </w:rPr>
      </w:pPr>
      <w:r>
        <w:rPr>
          <w:rFonts w:cs="David" w:hint="cs"/>
          <w:sz w:val="24"/>
          <w:szCs w:val="24"/>
          <w:rtl/>
        </w:rPr>
        <w:lastRenderedPageBreak/>
        <w:t>במסגרת הסדר הטיעון, תוקן כתב האישום לקולא, באופן שנמחק ממנו סעיף האישום של החזקת כלים. הנאשם הודה והורשע ונשלח לתסקיר שירות המבחן, כאשר הוסכם שבהינתן תסקיר חיובי, תגביל עצמה המאשימה לטעון לעונש של עבודות שירות, בעוד ב"כ הנאשם תוכל לטעון טיעון פתוח לעונש.</w:t>
      </w:r>
    </w:p>
    <w:p w14:paraId="4AE08B5A" w14:textId="77777777" w:rsidR="00893B7B" w:rsidRDefault="00893B7B" w:rsidP="00893B7B">
      <w:pPr>
        <w:spacing w:line="360" w:lineRule="auto"/>
        <w:jc w:val="both"/>
        <w:rPr>
          <w:rtl/>
        </w:rPr>
      </w:pPr>
    </w:p>
    <w:p w14:paraId="234ED397" w14:textId="77777777" w:rsidR="00893B7B" w:rsidRDefault="00893B7B" w:rsidP="00893B7B">
      <w:pPr>
        <w:spacing w:line="360" w:lineRule="auto"/>
        <w:jc w:val="both"/>
        <w:rPr>
          <w:b/>
          <w:bCs/>
          <w:u w:val="single"/>
          <w:rtl/>
        </w:rPr>
      </w:pPr>
      <w:r>
        <w:rPr>
          <w:rFonts w:hint="cs"/>
          <w:b/>
          <w:bCs/>
          <w:u w:val="single"/>
          <w:rtl/>
        </w:rPr>
        <w:t>תסקיר שירות המבחן:</w:t>
      </w:r>
    </w:p>
    <w:p w14:paraId="2217FDCE" w14:textId="77777777" w:rsidR="00893B7B" w:rsidRDefault="00893B7B" w:rsidP="00893B7B">
      <w:pPr>
        <w:spacing w:line="360" w:lineRule="auto"/>
        <w:jc w:val="both"/>
        <w:rPr>
          <w:b/>
          <w:bCs/>
          <w:u w:val="single"/>
          <w:rtl/>
        </w:rPr>
      </w:pPr>
    </w:p>
    <w:p w14:paraId="0D709949" w14:textId="77777777" w:rsidR="00893B7B" w:rsidRDefault="00893B7B" w:rsidP="00893B7B">
      <w:pPr>
        <w:pStyle w:val="aa"/>
        <w:numPr>
          <w:ilvl w:val="0"/>
          <w:numId w:val="1"/>
        </w:numPr>
        <w:spacing w:line="360" w:lineRule="auto"/>
        <w:jc w:val="both"/>
        <w:rPr>
          <w:rFonts w:cs="David"/>
          <w:sz w:val="24"/>
          <w:szCs w:val="24"/>
        </w:rPr>
      </w:pPr>
      <w:r w:rsidRPr="00127515">
        <w:rPr>
          <w:rFonts w:cs="David" w:hint="cs"/>
          <w:sz w:val="24"/>
          <w:szCs w:val="24"/>
          <w:rtl/>
        </w:rPr>
        <w:t xml:space="preserve">כפי העולה מהתסקיר, הנאשם הינו רווק, כבן 25, בעל רקע של התמכרות לסמים. </w:t>
      </w:r>
    </w:p>
    <w:p w14:paraId="33B54A01" w14:textId="77777777" w:rsidR="00893B7B" w:rsidRPr="00127515" w:rsidRDefault="00893B7B" w:rsidP="00893B7B">
      <w:pPr>
        <w:pStyle w:val="aa"/>
        <w:spacing w:line="360" w:lineRule="auto"/>
        <w:jc w:val="both"/>
        <w:rPr>
          <w:rFonts w:cs="David"/>
          <w:sz w:val="24"/>
          <w:szCs w:val="24"/>
        </w:rPr>
      </w:pPr>
    </w:p>
    <w:p w14:paraId="4CE4E2F3" w14:textId="77777777" w:rsidR="00893B7B" w:rsidRPr="00127515" w:rsidRDefault="00893B7B" w:rsidP="00893B7B">
      <w:pPr>
        <w:pStyle w:val="aa"/>
        <w:numPr>
          <w:ilvl w:val="0"/>
          <w:numId w:val="1"/>
        </w:numPr>
        <w:spacing w:line="360" w:lineRule="auto"/>
        <w:jc w:val="both"/>
        <w:rPr>
          <w:rFonts w:cs="David"/>
          <w:sz w:val="24"/>
          <w:szCs w:val="24"/>
          <w:rtl/>
        </w:rPr>
      </w:pPr>
      <w:r w:rsidRPr="00127515">
        <w:rPr>
          <w:rFonts w:cs="David" w:hint="cs"/>
          <w:sz w:val="24"/>
          <w:szCs w:val="24"/>
          <w:rtl/>
        </w:rPr>
        <w:t>הנאשם סיים 12 שנות לימוד ובעל בגרות חלקית. לדברי הנאשם, הצורך לסייע כלכלית למשפחתו, במקביל ללימודיו, הקשה עליו לעמוד במטלות הלימודים ולקדם הישגיו בתחום זה.</w:t>
      </w:r>
    </w:p>
    <w:p w14:paraId="03E37546" w14:textId="77777777" w:rsidR="00893B7B" w:rsidRDefault="00893B7B" w:rsidP="00893B7B">
      <w:pPr>
        <w:spacing w:line="360" w:lineRule="auto"/>
        <w:jc w:val="both"/>
        <w:rPr>
          <w:rtl/>
        </w:rPr>
      </w:pPr>
    </w:p>
    <w:p w14:paraId="4816AE9C"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 xml:space="preserve">הנאשם ביצע שירות צבאי מלא, אף שתחילתו הייתה רצופה משברים, ולאחר שהועבר לבסיס צבאי קרוב לבית, שאז התאפשר לו לעבוד ולסייע בפרנסת משפחתו במקביל לשירות הצבאי. </w:t>
      </w:r>
    </w:p>
    <w:p w14:paraId="293568A5" w14:textId="77777777" w:rsidR="00893B7B" w:rsidRDefault="00893B7B" w:rsidP="00893B7B">
      <w:pPr>
        <w:spacing w:line="360" w:lineRule="auto"/>
        <w:jc w:val="both"/>
        <w:rPr>
          <w:rtl/>
        </w:rPr>
      </w:pPr>
    </w:p>
    <w:p w14:paraId="00FC50D8"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הנאשם שמר על רצף תעסוקתי במהלך השנים, ובמחצית השנה האחרונה עובד כנהג חלוקת מזון בגני ילדים.</w:t>
      </w:r>
    </w:p>
    <w:p w14:paraId="6AB62C35" w14:textId="77777777" w:rsidR="00893B7B" w:rsidRDefault="00893B7B" w:rsidP="00893B7B">
      <w:pPr>
        <w:pStyle w:val="aa"/>
        <w:rPr>
          <w:rFonts w:cs="David"/>
          <w:sz w:val="24"/>
          <w:szCs w:val="24"/>
          <w:rtl/>
        </w:rPr>
      </w:pPr>
    </w:p>
    <w:p w14:paraId="69CAE0DE"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הנאשם הציג לשירות המבחן (ובהמשך גם לבית המשפט) מכתבי המלצה הן ממפקדו הצבאי והן ממעסיקו, מהם עולה כי הינו אחרי, מסור וממלא את התחייבויותיו באופן משביע רצון ולמעלה מכך.</w:t>
      </w:r>
    </w:p>
    <w:p w14:paraId="2721945E" w14:textId="77777777" w:rsidR="00893B7B" w:rsidRDefault="00893B7B" w:rsidP="00893B7B">
      <w:pPr>
        <w:pStyle w:val="aa"/>
        <w:rPr>
          <w:rFonts w:cs="David"/>
          <w:sz w:val="24"/>
          <w:szCs w:val="24"/>
        </w:rPr>
      </w:pPr>
    </w:p>
    <w:p w14:paraId="4E45AD51"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 xml:space="preserve">הנאשם מנהל זוגיות, מזה כשנתיים עם בת זוגו המבצעת שירות לאומי, ולאחרונה אף התארס. </w:t>
      </w:r>
    </w:p>
    <w:p w14:paraId="6216EE17" w14:textId="77777777" w:rsidR="00893B7B" w:rsidRDefault="00893B7B" w:rsidP="00893B7B">
      <w:pPr>
        <w:pStyle w:val="aa"/>
        <w:rPr>
          <w:rFonts w:cs="David"/>
          <w:sz w:val="24"/>
          <w:szCs w:val="24"/>
        </w:rPr>
      </w:pPr>
    </w:p>
    <w:p w14:paraId="24B8D740"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ביחס להיסטוריה המשפחתית של הנאשם, עולה מן התסקיר, כי הוריו התגרשו כאשר היה פעוט והוא גדל בחזקת אמו. אביו ניתק עמו כל קשר. הנאשם תיאר קשר משמעותי והדוק עם אמו עם אחותו הגדולה. לדברי הנאשם, מצבה הכלכלי של משפחתו היה לאורך השנים ירוד.</w:t>
      </w:r>
    </w:p>
    <w:p w14:paraId="6226857E" w14:textId="77777777" w:rsidR="00893B7B" w:rsidRDefault="00893B7B" w:rsidP="00893B7B">
      <w:pPr>
        <w:pStyle w:val="aa"/>
        <w:rPr>
          <w:rFonts w:cs="David"/>
          <w:sz w:val="24"/>
          <w:szCs w:val="24"/>
        </w:rPr>
      </w:pPr>
    </w:p>
    <w:p w14:paraId="7ADC2B68"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lastRenderedPageBreak/>
        <w:t>אביו של הנאשם, נפטר בחודש דצמבר 2018. עד לפני כ – 3 שנים הקשר עם האב היה מנותק, אך חודש בשנים האחרונות לחייו מיוזמתו של האב, על רקע מחלת ריאות קשה ממנה סבל. הנאשם תיאר בפני שירות המבחן חסך רב עקב היעדרותו של אביו בילדותו, ועל אף הנסיבות המורכבות בהן בחר האב לחדש את הקשר, ראה בכך הזדמנות לשקם את יחסיהם.</w:t>
      </w:r>
      <w:r w:rsidR="00FC0299">
        <w:rPr>
          <w:rFonts w:cs="David" w:hint="cs"/>
          <w:sz w:val="24"/>
          <w:szCs w:val="24"/>
          <w:rtl/>
        </w:rPr>
        <w:t xml:space="preserve"> </w:t>
      </w:r>
      <w:r>
        <w:rPr>
          <w:rFonts w:cs="David" w:hint="cs"/>
          <w:sz w:val="24"/>
          <w:szCs w:val="24"/>
          <w:rtl/>
        </w:rPr>
        <w:t xml:space="preserve"> לדברי הנאשם, בתקופת מחלתו סייע לאביו בטיפולו השוטף, ליווי ואף תמיכה כלכלית. הנאשם תיאר תחושת אובדן ושכול עקב מותו של האב, לצד תחושת החמצה על פרק הזמן בו נעדר מחייו.</w:t>
      </w:r>
    </w:p>
    <w:p w14:paraId="6B7A1F8D" w14:textId="77777777" w:rsidR="00893B7B" w:rsidRDefault="00893B7B" w:rsidP="00893B7B">
      <w:pPr>
        <w:pStyle w:val="aa"/>
        <w:rPr>
          <w:rFonts w:cs="David"/>
          <w:sz w:val="24"/>
          <w:szCs w:val="24"/>
        </w:rPr>
      </w:pPr>
    </w:p>
    <w:p w14:paraId="47195E48"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ביחס להיסטוריה עבריינית, נכתב בתסקיר, כי הנאשם נעדר עבר פלילי, אך מוכר לשירות משנת 2013, אז הופנה בגין ביצוע עבירות רכוש ונדון לפיצויים, צו מבחן וצו של"צ בהיקף של 220 שעות. הרשעתו אז בוטלה.</w:t>
      </w:r>
    </w:p>
    <w:p w14:paraId="3342C5F3" w14:textId="77777777" w:rsidR="00893B7B" w:rsidRDefault="00893B7B" w:rsidP="00893B7B">
      <w:pPr>
        <w:pStyle w:val="aa"/>
        <w:rPr>
          <w:rFonts w:cs="David"/>
          <w:sz w:val="24"/>
          <w:szCs w:val="24"/>
        </w:rPr>
      </w:pPr>
    </w:p>
    <w:p w14:paraId="23B0D44B"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במהלך תקופת המבחן, הנאשם השתלב בטיפול פרטני, אך זה הסתיים לאחר תקופה קצרה עקב מחויבויותיו לשירות הצבאי והקושי להתייצב עקב כך למפגשים באופן סדיר. יחד עם זאת, בתקופה בה השתתף בטיפול, הגיע באופן קבוע ויצר קשר ראשוני חיובי, וכן בצע את צו השל"צ במלואו וסיים אותו בהצלחה.</w:t>
      </w:r>
    </w:p>
    <w:p w14:paraId="51CD12FE" w14:textId="77777777" w:rsidR="00893B7B" w:rsidRDefault="00893B7B" w:rsidP="00893B7B">
      <w:pPr>
        <w:pStyle w:val="aa"/>
        <w:spacing w:line="360" w:lineRule="auto"/>
        <w:jc w:val="both"/>
        <w:rPr>
          <w:rFonts w:cs="David"/>
          <w:sz w:val="24"/>
          <w:szCs w:val="24"/>
        </w:rPr>
      </w:pPr>
    </w:p>
    <w:p w14:paraId="435E7AA2"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בהתייחסותו לעבירה הנוכחית, הנאשם מסר שברקע התמכרותו לסמים מסוג קנאביס. בבסיס ההתמכרות, תחושותיו הקשות, של כאב וחוסר אונים, בעקבות הטיפול השוטף באביו והאובדן הצפוי שלו. הנאשם ביטא חרטה, ומסר כי כיום הוא מצר על כך ומבין את הפסול שבהתנהלותו.</w:t>
      </w:r>
    </w:p>
    <w:p w14:paraId="1A9362F5" w14:textId="77777777" w:rsidR="00893B7B" w:rsidRDefault="00893B7B" w:rsidP="00893B7B">
      <w:pPr>
        <w:spacing w:line="360" w:lineRule="auto"/>
        <w:jc w:val="both"/>
        <w:rPr>
          <w:rtl/>
        </w:rPr>
      </w:pPr>
    </w:p>
    <w:p w14:paraId="23481D22"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הנאשם מסר, כי הורתע וזועזע בעקבות ניהול ההליך הפלילי כנגדו, עד כדי כך שהדבר הוביל אותו לערוך שינוי בחייו ולהיגמל בכוחות עצמו מסמים. לפיכך, פנה ביוזמתו, בחודש ינואר 2019, לטיפול במרכז להתמכרויות "חוסן", ומאז השתלב בטיפול פרטני חד שבועי. ואכן, עפ"י מידע שנמסר לשירות המבחן ממרכז "חוסן", עולה שהנאשם השתלב בטיפול, הכולל שיחות פרטניות ומתן בדיקות שתן נקיות.</w:t>
      </w:r>
      <w:r w:rsidR="00FC0299">
        <w:rPr>
          <w:rFonts w:cs="David" w:hint="cs"/>
          <w:sz w:val="24"/>
          <w:szCs w:val="24"/>
          <w:rtl/>
        </w:rPr>
        <w:t xml:space="preserve"> </w:t>
      </w:r>
      <w:r>
        <w:rPr>
          <w:rFonts w:cs="David" w:hint="cs"/>
          <w:sz w:val="24"/>
          <w:szCs w:val="24"/>
          <w:rtl/>
        </w:rPr>
        <w:t xml:space="preserve"> דווח, כי הנאשם מגיע לטיפול באופן יציב ומשתף פעולה. התרשמותם היא, כי הנאשם הינו בעל מוטיבציה גבוהה לשינוי ובעל יכולת טובה להפיק תועלת מן הטיפול. </w:t>
      </w:r>
    </w:p>
    <w:p w14:paraId="209269CF" w14:textId="77777777" w:rsidR="00893B7B" w:rsidRDefault="00893B7B" w:rsidP="00893B7B">
      <w:pPr>
        <w:spacing w:line="360" w:lineRule="auto"/>
        <w:jc w:val="both"/>
        <w:rPr>
          <w:rtl/>
        </w:rPr>
      </w:pPr>
    </w:p>
    <w:p w14:paraId="2BF1F67A"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שירות המבחן ציין, כי הנאשם הביע שביעות רצון מן הטיפול וניכר שהטיפול משמעותי עבורו ומהווה מסגרת תומכת ומכילה המסייעת לו בהתמודדות עם מצבו.</w:t>
      </w:r>
    </w:p>
    <w:p w14:paraId="7C897CB6" w14:textId="77777777" w:rsidR="00893B7B" w:rsidRDefault="00893B7B" w:rsidP="00893B7B">
      <w:pPr>
        <w:spacing w:line="360" w:lineRule="auto"/>
        <w:jc w:val="both"/>
        <w:rPr>
          <w:rtl/>
        </w:rPr>
      </w:pPr>
    </w:p>
    <w:p w14:paraId="41823C84"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ביחס לגורמי בסיכון, ציין שירות המבחן את הרקע המשפחתי של הנאשם, אשר הוביל אותו לתחושות תסכול, בדידות וחסכים רגשיים, כך שהשימוש בסמים היווה עבורו אמצעי לפריקת מתחים.</w:t>
      </w:r>
    </w:p>
    <w:p w14:paraId="3C586B18" w14:textId="77777777" w:rsidR="00893B7B" w:rsidRDefault="00893B7B" w:rsidP="00893B7B">
      <w:pPr>
        <w:spacing w:line="360" w:lineRule="auto"/>
        <w:jc w:val="both"/>
        <w:rPr>
          <w:rtl/>
        </w:rPr>
      </w:pPr>
    </w:p>
    <w:p w14:paraId="27115B13"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בבחינת גורמי סיכוי, צוין גילו של הנאשם, העובדה שלמרות הקשיים אותם חווה לאורך השנים, הצליח להשלים משימות אישיות מחייבות – לימודים, שירות צבאי והנו עובד באופן סדיר. התרשמות שירות המבחן הינה כי הנאשם הינו בעל יכולות ושאיפות לנהל אורח חיים נורמטיבי ומגלה מחויבות כלפי התא המשפחתי. פרט לכך, הנאשם יזם הליך טיפולי, אשר מסייע לו בשיקום ובקידום מטרותיו האישיות. בנוסף, הנאשם הורתע מעצם ניהול ההליך הפלילי כנגדו, באופן שדרבן אותו לקחת אחריות על חייו.</w:t>
      </w:r>
    </w:p>
    <w:p w14:paraId="5FDFBC32" w14:textId="77777777" w:rsidR="00893B7B" w:rsidRDefault="00893B7B" w:rsidP="00893B7B">
      <w:pPr>
        <w:spacing w:line="360" w:lineRule="auto"/>
        <w:jc w:val="both"/>
        <w:rPr>
          <w:rtl/>
        </w:rPr>
      </w:pPr>
    </w:p>
    <w:p w14:paraId="2543B144"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נוכח כל האמור ונוכח התרשמות שירות המבחן, כי הנאשם הינו בעל כוחות אישיים חיוביים ונכונות לערוך שינוי עצמי, ממליץ שירות המבחן על ענישה בעלת אפיק שיקומי, במסגרתה יינתן צו מבחן לשנה בעניינו של הנאשם, במהלכו ימשיך הנאשם את הטיפול בו החל במרכז "חוסן". בנוסף, רואה שירות המבחן חשיבות בשמירה על תפקודו התעסוקתי של</w:t>
      </w:r>
      <w:r w:rsidR="00FC0299">
        <w:rPr>
          <w:rFonts w:cs="David" w:hint="cs"/>
          <w:sz w:val="24"/>
          <w:szCs w:val="24"/>
          <w:rtl/>
        </w:rPr>
        <w:t xml:space="preserve"> </w:t>
      </w:r>
      <w:r>
        <w:rPr>
          <w:rFonts w:cs="David" w:hint="cs"/>
          <w:sz w:val="24"/>
          <w:szCs w:val="24"/>
          <w:rtl/>
        </w:rPr>
        <w:t xml:space="preserve"> הנאשם, כגורם שתורם ליציבות בחייו, ועל כן להערכת שירות המבחן, הטלת עונש של עבודות שירות תחבל במאמצים שמשקיע הנאשם בשיקום ובשיפור מצבו הכלכלי. לפיכך, ממליץ השירות על הטלת ענישה קונקרטית ומציבת גבול, מסוג של"צ בהיקף של 200 שעות. </w:t>
      </w:r>
    </w:p>
    <w:p w14:paraId="30F45525" w14:textId="77777777" w:rsidR="00893B7B" w:rsidRDefault="00893B7B" w:rsidP="00893B7B">
      <w:pPr>
        <w:spacing w:line="360" w:lineRule="auto"/>
        <w:jc w:val="both"/>
        <w:rPr>
          <w:rtl/>
        </w:rPr>
      </w:pPr>
    </w:p>
    <w:p w14:paraId="2873454F"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נוסף לאמור, ממליץ שירות המבחן על ביטול הרשעתו של הנאשם, נוכח העובדה שמדובר באדם צעיר, הנושא אחריות על התנהגותו ומכיר בתוצאות מעשיו, מבטא מוטיבציה ורצון לשקם את חייו. הערכת שירות המבחן היא, כי הרשעתו בדין עלולה לפגוע בהתפתחותו המקצועית והאפשרות להתפתח מבחינה תעסוקתית בעתיד.</w:t>
      </w:r>
    </w:p>
    <w:p w14:paraId="6936AB82" w14:textId="77777777" w:rsidR="00893B7B" w:rsidRDefault="00893B7B" w:rsidP="00893B7B">
      <w:pPr>
        <w:spacing w:line="360" w:lineRule="auto"/>
        <w:jc w:val="both"/>
        <w:rPr>
          <w:u w:val="single"/>
          <w:rtl/>
        </w:rPr>
      </w:pPr>
    </w:p>
    <w:p w14:paraId="715E82D3" w14:textId="77777777" w:rsidR="00893B7B" w:rsidRDefault="00893B7B" w:rsidP="00893B7B">
      <w:pPr>
        <w:spacing w:line="360" w:lineRule="auto"/>
        <w:jc w:val="both"/>
        <w:rPr>
          <w:b/>
          <w:bCs/>
          <w:u w:val="single"/>
          <w:rtl/>
        </w:rPr>
      </w:pPr>
      <w:r>
        <w:rPr>
          <w:rFonts w:hint="cs"/>
          <w:b/>
          <w:bCs/>
          <w:u w:val="single"/>
          <w:rtl/>
        </w:rPr>
        <w:t>טיעוני הצדדים לעונש:</w:t>
      </w:r>
    </w:p>
    <w:p w14:paraId="51CDC85F" w14:textId="77777777" w:rsidR="00893B7B" w:rsidRDefault="00893B7B" w:rsidP="00893B7B">
      <w:pPr>
        <w:pStyle w:val="aa"/>
        <w:spacing w:line="360" w:lineRule="auto"/>
        <w:jc w:val="both"/>
        <w:rPr>
          <w:rFonts w:cs="David"/>
          <w:sz w:val="24"/>
          <w:szCs w:val="24"/>
          <w:rtl/>
        </w:rPr>
      </w:pPr>
    </w:p>
    <w:p w14:paraId="5E8CB7C1"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 xml:space="preserve">ב"כ המאשימה, ציינה בטיעוניה את הפגיעה בערכים המוגנים של הגנה על שלום הציבור ובריאותו, שנפגעו מביצוע העבירה ע"י הנאשם וטענה למתחם ענישה הנע בין מאסר בעבודות שירות ועד מס' חודשים בפועל. לטענת המאשימה, בית המשפט כבר העדיף בעבר את שיקומו של הנאשם, כאשר גזר עליו בהליך קודם, בשנת 2013, צו של"צ וצו מבחן תוך ביטול הרשעתו. עוד נטען, לענין הרשעה, כי שירות מבחן לא הצביע על כל נזק קונקרטי שעשוי להיגרם לנאשם כתוצאה מהרשעתו ולכן עניינו לא שונה מנאשמים אחרים. לפיכך, התבקש בית המשפט שלא לאמץ את המלצת שירות המבחן, להותיר את ההרשעה על כנה ולהשית על הנאשם עונש של מס' חודשי מאסר שיכול וירוצו בעבודות שירות, מע"ת, קנס, פסילת רישיון בפועל ועל תנאי. </w:t>
      </w:r>
    </w:p>
    <w:p w14:paraId="57725FBF" w14:textId="77777777" w:rsidR="00893B7B" w:rsidRDefault="00893B7B" w:rsidP="00893B7B">
      <w:pPr>
        <w:pStyle w:val="aa"/>
        <w:spacing w:line="360" w:lineRule="auto"/>
        <w:jc w:val="both"/>
        <w:rPr>
          <w:rFonts w:cs="David"/>
          <w:sz w:val="24"/>
          <w:szCs w:val="24"/>
          <w:rtl/>
        </w:rPr>
      </w:pPr>
    </w:p>
    <w:p w14:paraId="59D00D29"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מנגד, עתרה סניגורית כי בית המשפט יאמץ את המלצות שירות המבחן, הן לשאלת ההרשעה והן לעניין העונש.</w:t>
      </w:r>
    </w:p>
    <w:p w14:paraId="1D95B184" w14:textId="77777777" w:rsidR="00893B7B" w:rsidRDefault="00893B7B" w:rsidP="00893B7B">
      <w:pPr>
        <w:pStyle w:val="aa"/>
        <w:rPr>
          <w:rFonts w:cs="David"/>
          <w:sz w:val="24"/>
          <w:szCs w:val="24"/>
          <w:rtl/>
        </w:rPr>
      </w:pPr>
    </w:p>
    <w:p w14:paraId="12C7E3B5" w14:textId="77777777" w:rsidR="00893B7B" w:rsidRDefault="00893B7B" w:rsidP="00893B7B">
      <w:pPr>
        <w:pStyle w:val="aa"/>
        <w:spacing w:line="360" w:lineRule="auto"/>
        <w:jc w:val="both"/>
        <w:rPr>
          <w:rFonts w:cs="David"/>
          <w:sz w:val="24"/>
          <w:szCs w:val="24"/>
          <w:rtl/>
        </w:rPr>
      </w:pPr>
    </w:p>
    <w:p w14:paraId="19774690" w14:textId="77777777" w:rsidR="00893B7B" w:rsidRDefault="00893B7B" w:rsidP="00893B7B">
      <w:pPr>
        <w:pStyle w:val="aa"/>
        <w:numPr>
          <w:ilvl w:val="0"/>
          <w:numId w:val="1"/>
        </w:numPr>
        <w:spacing w:line="360" w:lineRule="auto"/>
        <w:jc w:val="both"/>
        <w:rPr>
          <w:rFonts w:cs="David"/>
          <w:sz w:val="24"/>
          <w:szCs w:val="24"/>
        </w:rPr>
      </w:pPr>
      <w:r>
        <w:rPr>
          <w:rFonts w:cs="David" w:hint="cs"/>
          <w:sz w:val="24"/>
          <w:szCs w:val="24"/>
          <w:rtl/>
        </w:rPr>
        <w:t>ב"כ הנאשם הזכירה את נסיבותיו האישיות של הנאשם המפורטות בתסקיר ואשר בעטיין, הנאשם ראה מפלט בסמים ועשה בהם שימוש. בטיעוניה, הזכירה את מכתבי ההמלצה שקיבל הנאשם ממפקדו וממעסיקו.</w:t>
      </w:r>
    </w:p>
    <w:p w14:paraId="0FDAB172" w14:textId="77777777" w:rsidR="00893B7B" w:rsidRDefault="00893B7B" w:rsidP="00893B7B">
      <w:pPr>
        <w:pStyle w:val="aa"/>
        <w:spacing w:line="360" w:lineRule="auto"/>
        <w:jc w:val="both"/>
        <w:rPr>
          <w:rFonts w:cs="David"/>
          <w:sz w:val="24"/>
          <w:szCs w:val="24"/>
          <w:rtl/>
        </w:rPr>
      </w:pPr>
    </w:p>
    <w:p w14:paraId="53D61F8E"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כמו כן, הדגישה הסניגורית את העובדה שהנאשם הודה בעבירה, נטל אחריות וחסך זמן שיפוטי, את העובדה שהנאשם פנה מיוזמתו להליך טיפולי והינו מתמיד בו וכן את התרשמות שירות המבחן כי ההליך הפלילי כנגדו הנאשם מהווה עבורו גורם מרתיע בפני עצמו.</w:t>
      </w:r>
      <w:r w:rsidR="00FC0299">
        <w:rPr>
          <w:rFonts w:cs="David" w:hint="cs"/>
          <w:sz w:val="24"/>
          <w:szCs w:val="24"/>
          <w:rtl/>
        </w:rPr>
        <w:t xml:space="preserve"> </w:t>
      </w:r>
      <w:r>
        <w:rPr>
          <w:rFonts w:cs="David" w:hint="cs"/>
          <w:sz w:val="24"/>
          <w:szCs w:val="24"/>
          <w:rtl/>
        </w:rPr>
        <w:t xml:space="preserve"> </w:t>
      </w:r>
    </w:p>
    <w:p w14:paraId="58856CD1" w14:textId="77777777" w:rsidR="00893B7B" w:rsidRDefault="00893B7B" w:rsidP="00893B7B">
      <w:pPr>
        <w:pStyle w:val="aa"/>
        <w:spacing w:line="360" w:lineRule="auto"/>
        <w:jc w:val="both"/>
        <w:rPr>
          <w:rFonts w:cs="David"/>
          <w:sz w:val="24"/>
          <w:szCs w:val="24"/>
        </w:rPr>
      </w:pPr>
    </w:p>
    <w:p w14:paraId="11AC6CCA"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לטענת ב"כ הנאשם, בנסיבות העניין ברור שעוצמת הפגיעה שתגרם מהותרת ההרשעה גבוהה בהרבה מהפגיעה שתגרם לאינטרס הציבורי. בטיעוניה, הפנתה לפסיקה (</w:t>
      </w:r>
      <w:hyperlink r:id="rId15" w:history="1">
        <w:r w:rsidR="00FC0299" w:rsidRPr="00FC0299">
          <w:rPr>
            <w:rFonts w:cs="David" w:hint="cs"/>
            <w:color w:val="0000FF"/>
            <w:sz w:val="24"/>
            <w:szCs w:val="24"/>
            <w:u w:val="single"/>
            <w:rtl/>
          </w:rPr>
          <w:t>ת</w:t>
        </w:r>
        <w:r w:rsidR="00FC0299" w:rsidRPr="00FC0299">
          <w:rPr>
            <w:rFonts w:cs="David"/>
            <w:color w:val="0000FF"/>
            <w:sz w:val="24"/>
            <w:szCs w:val="24"/>
            <w:u w:val="single"/>
            <w:rtl/>
          </w:rPr>
          <w:t>"</w:t>
        </w:r>
        <w:r w:rsidR="00FC0299" w:rsidRPr="00FC0299">
          <w:rPr>
            <w:rFonts w:cs="David" w:hint="cs"/>
            <w:color w:val="0000FF"/>
            <w:sz w:val="24"/>
            <w:szCs w:val="24"/>
            <w:u w:val="single"/>
            <w:rtl/>
          </w:rPr>
          <w:t>פ</w:t>
        </w:r>
        <w:r w:rsidR="00FC0299" w:rsidRPr="00FC0299">
          <w:rPr>
            <w:rFonts w:cs="David"/>
            <w:color w:val="0000FF"/>
            <w:sz w:val="24"/>
            <w:szCs w:val="24"/>
            <w:u w:val="single"/>
            <w:rtl/>
          </w:rPr>
          <w:t xml:space="preserve"> 70627-11-17</w:t>
        </w:r>
      </w:hyperlink>
      <w:r>
        <w:rPr>
          <w:rFonts w:cs="David" w:hint="cs"/>
          <w:sz w:val="24"/>
          <w:szCs w:val="24"/>
          <w:rtl/>
        </w:rPr>
        <w:t xml:space="preserve">, </w:t>
      </w:r>
      <w:hyperlink r:id="rId16" w:history="1">
        <w:r w:rsidR="00FC0299" w:rsidRPr="00FC0299">
          <w:rPr>
            <w:rFonts w:cs="David" w:hint="cs"/>
            <w:color w:val="0000FF"/>
            <w:sz w:val="24"/>
            <w:szCs w:val="24"/>
            <w:u w:val="single"/>
            <w:rtl/>
          </w:rPr>
          <w:t>ת</w:t>
        </w:r>
        <w:r w:rsidR="00FC0299" w:rsidRPr="00FC0299">
          <w:rPr>
            <w:rFonts w:cs="David"/>
            <w:color w:val="0000FF"/>
            <w:sz w:val="24"/>
            <w:szCs w:val="24"/>
            <w:u w:val="single"/>
            <w:rtl/>
          </w:rPr>
          <w:t>"</w:t>
        </w:r>
        <w:r w:rsidR="00FC0299" w:rsidRPr="00FC0299">
          <w:rPr>
            <w:rFonts w:cs="David" w:hint="cs"/>
            <w:color w:val="0000FF"/>
            <w:sz w:val="24"/>
            <w:szCs w:val="24"/>
            <w:u w:val="single"/>
            <w:rtl/>
          </w:rPr>
          <w:t>פ</w:t>
        </w:r>
        <w:r w:rsidR="00FC0299" w:rsidRPr="00FC0299">
          <w:rPr>
            <w:rFonts w:cs="David"/>
            <w:color w:val="0000FF"/>
            <w:sz w:val="24"/>
            <w:szCs w:val="24"/>
            <w:u w:val="single"/>
            <w:rtl/>
          </w:rPr>
          <w:t xml:space="preserve"> 9369-01-13</w:t>
        </w:r>
      </w:hyperlink>
      <w:r>
        <w:rPr>
          <w:rFonts w:cs="David" w:hint="cs"/>
          <w:sz w:val="24"/>
          <w:szCs w:val="24"/>
          <w:rtl/>
        </w:rPr>
        <w:t xml:space="preserve">, </w:t>
      </w:r>
      <w:hyperlink r:id="rId17" w:history="1">
        <w:r w:rsidR="00FC0299" w:rsidRPr="00FC0299">
          <w:rPr>
            <w:rFonts w:cs="David" w:hint="cs"/>
            <w:color w:val="0000FF"/>
            <w:sz w:val="24"/>
            <w:szCs w:val="24"/>
            <w:u w:val="single"/>
            <w:rtl/>
          </w:rPr>
          <w:t>ת</w:t>
        </w:r>
        <w:r w:rsidR="00FC0299" w:rsidRPr="00FC0299">
          <w:rPr>
            <w:rFonts w:cs="David"/>
            <w:color w:val="0000FF"/>
            <w:sz w:val="24"/>
            <w:szCs w:val="24"/>
            <w:u w:val="single"/>
            <w:rtl/>
          </w:rPr>
          <w:t>"</w:t>
        </w:r>
        <w:r w:rsidR="00FC0299" w:rsidRPr="00FC0299">
          <w:rPr>
            <w:rFonts w:cs="David" w:hint="cs"/>
            <w:color w:val="0000FF"/>
            <w:sz w:val="24"/>
            <w:szCs w:val="24"/>
            <w:u w:val="single"/>
            <w:rtl/>
          </w:rPr>
          <w:t>פ</w:t>
        </w:r>
        <w:r w:rsidR="00FC0299" w:rsidRPr="00FC0299">
          <w:rPr>
            <w:rFonts w:cs="David"/>
            <w:color w:val="0000FF"/>
            <w:sz w:val="24"/>
            <w:szCs w:val="24"/>
            <w:u w:val="single"/>
            <w:rtl/>
          </w:rPr>
          <w:t xml:space="preserve"> 31016-09-15</w:t>
        </w:r>
      </w:hyperlink>
      <w:r>
        <w:rPr>
          <w:rFonts w:cs="David" w:hint="cs"/>
          <w:sz w:val="24"/>
          <w:szCs w:val="24"/>
          <w:rtl/>
        </w:rPr>
        <w:t xml:space="preserve">, </w:t>
      </w:r>
      <w:hyperlink r:id="rId18" w:history="1">
        <w:r w:rsidR="00FC0299" w:rsidRPr="00FC0299">
          <w:rPr>
            <w:rFonts w:cs="David" w:hint="cs"/>
            <w:color w:val="0000FF"/>
            <w:sz w:val="24"/>
            <w:szCs w:val="24"/>
            <w:u w:val="single"/>
            <w:rtl/>
          </w:rPr>
          <w:t>ת</w:t>
        </w:r>
        <w:r w:rsidR="00FC0299" w:rsidRPr="00FC0299">
          <w:rPr>
            <w:rFonts w:cs="David"/>
            <w:color w:val="0000FF"/>
            <w:sz w:val="24"/>
            <w:szCs w:val="24"/>
            <w:u w:val="single"/>
            <w:rtl/>
          </w:rPr>
          <w:t>"</w:t>
        </w:r>
        <w:r w:rsidR="00FC0299" w:rsidRPr="00FC0299">
          <w:rPr>
            <w:rFonts w:cs="David" w:hint="cs"/>
            <w:color w:val="0000FF"/>
            <w:sz w:val="24"/>
            <w:szCs w:val="24"/>
            <w:u w:val="single"/>
            <w:rtl/>
          </w:rPr>
          <w:t>פ</w:t>
        </w:r>
        <w:r w:rsidR="00FC0299" w:rsidRPr="00FC0299">
          <w:rPr>
            <w:rFonts w:cs="David"/>
            <w:color w:val="0000FF"/>
            <w:sz w:val="24"/>
            <w:szCs w:val="24"/>
            <w:u w:val="single"/>
            <w:rtl/>
          </w:rPr>
          <w:t xml:space="preserve"> 16876-10-16</w:t>
        </w:r>
      </w:hyperlink>
      <w:r>
        <w:rPr>
          <w:rFonts w:cs="David" w:hint="cs"/>
          <w:sz w:val="24"/>
          <w:szCs w:val="24"/>
          <w:rtl/>
        </w:rPr>
        <w:t>).</w:t>
      </w:r>
    </w:p>
    <w:p w14:paraId="1ED63336" w14:textId="77777777" w:rsidR="00893B7B" w:rsidRDefault="00893B7B" w:rsidP="00893B7B">
      <w:pPr>
        <w:pStyle w:val="aa"/>
        <w:spacing w:line="360" w:lineRule="auto"/>
        <w:jc w:val="both"/>
        <w:rPr>
          <w:rFonts w:cs="David"/>
          <w:sz w:val="24"/>
          <w:szCs w:val="24"/>
          <w:rtl/>
        </w:rPr>
      </w:pPr>
    </w:p>
    <w:p w14:paraId="1A777071"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ב"כ הנאשם עתרה, כי בית המשפט יתן לנאשם הזדמנות להמשיך את חייו הבוגרים ללא הרשעה היות וכיום הוא נמצא במקום אחר בחייו כשלראשונה עובר הליך טיפולי והוא עתיד להתחתן.</w:t>
      </w:r>
    </w:p>
    <w:p w14:paraId="73216003" w14:textId="77777777" w:rsidR="00893B7B" w:rsidRDefault="00893B7B" w:rsidP="00893B7B">
      <w:pPr>
        <w:pStyle w:val="aa"/>
        <w:spacing w:line="360" w:lineRule="auto"/>
        <w:jc w:val="both"/>
        <w:rPr>
          <w:rFonts w:cs="David"/>
          <w:sz w:val="24"/>
          <w:szCs w:val="24"/>
          <w:rtl/>
        </w:rPr>
      </w:pPr>
    </w:p>
    <w:p w14:paraId="626D3F6F"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מטעם הנאשם העידה דודתו, גב' מרים מדיוני, אשר תיארה קשר חם ואמיץ בינה לבין הנאשם ואימו. גב' מדיוני סיפרה אודות נסיבותיו האישיות והמשפחתיות של הנאשם, ואת ההשפעה שהייתה להיעדרותו של האב מחייו של הנאשם, ואת חזרתו לקשר בעת שהיה חולה מאוד, עובדה אשר השפיע מאוד על הנאשם, ולמרות הכל בחר הנאשם לתמוך באביו וטיפל בו עד יום מותו. לאחרונה, הנאשם</w:t>
      </w:r>
      <w:r w:rsidR="00FC0299">
        <w:rPr>
          <w:rFonts w:cs="David" w:hint="cs"/>
          <w:sz w:val="24"/>
          <w:szCs w:val="24"/>
          <w:rtl/>
        </w:rPr>
        <w:t xml:space="preserve"> </w:t>
      </w:r>
      <w:r>
        <w:rPr>
          <w:rFonts w:cs="David" w:hint="cs"/>
          <w:sz w:val="24"/>
          <w:szCs w:val="24"/>
          <w:rtl/>
        </w:rPr>
        <w:t xml:space="preserve"> לקח אחריות על מעשיו, נכנס לתלם, התנקה מהסמים, התחיל לעבוד, התארס והוא עוזר בפרנסת הבית. לדברי הדודה, היא " שומרת עליו כל הזמן". גב' מדיוני פנתה לרחמי בית המשפט וביקשה, שיגלה התחשבות, שלא יוציא את הנאשם מן התלם, "שלא יפול עוד". </w:t>
      </w:r>
    </w:p>
    <w:p w14:paraId="14277858" w14:textId="77777777" w:rsidR="00893B7B" w:rsidRDefault="00893B7B" w:rsidP="00893B7B">
      <w:pPr>
        <w:pStyle w:val="aa"/>
        <w:spacing w:line="360" w:lineRule="auto"/>
        <w:jc w:val="both"/>
        <w:rPr>
          <w:rFonts w:cs="David"/>
          <w:sz w:val="24"/>
          <w:szCs w:val="24"/>
          <w:rtl/>
        </w:rPr>
      </w:pPr>
    </w:p>
    <w:p w14:paraId="4940747A"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בדברו האחרון, הנאשם הביע חרטה על מעשיו, וציין כי לקח אחריות מלאה וכי הוא מבקש לתקן את חייו, החל טיפול והינו עובד בעבודה מסודרת.</w:t>
      </w:r>
    </w:p>
    <w:p w14:paraId="48C1421D" w14:textId="77777777" w:rsidR="00893B7B" w:rsidRDefault="00893B7B" w:rsidP="00893B7B">
      <w:pPr>
        <w:pStyle w:val="aa"/>
        <w:spacing w:line="360" w:lineRule="auto"/>
        <w:jc w:val="both"/>
        <w:rPr>
          <w:rFonts w:cs="David"/>
          <w:sz w:val="24"/>
          <w:szCs w:val="24"/>
          <w:rtl/>
        </w:rPr>
      </w:pPr>
    </w:p>
    <w:p w14:paraId="39122B8D" w14:textId="77777777" w:rsidR="00893B7B" w:rsidRDefault="00893B7B" w:rsidP="00893B7B">
      <w:pPr>
        <w:spacing w:line="360" w:lineRule="auto"/>
        <w:jc w:val="both"/>
        <w:rPr>
          <w:b/>
          <w:bCs/>
          <w:u w:val="single"/>
          <w:rtl/>
        </w:rPr>
      </w:pPr>
      <w:r>
        <w:rPr>
          <w:rFonts w:hint="cs"/>
          <w:b/>
          <w:bCs/>
          <w:u w:val="single"/>
          <w:rtl/>
        </w:rPr>
        <w:t>קביעת מתחם העונש ההולם:</w:t>
      </w:r>
    </w:p>
    <w:p w14:paraId="091D91F9" w14:textId="77777777" w:rsidR="00893B7B" w:rsidRDefault="00893B7B" w:rsidP="00893B7B">
      <w:pPr>
        <w:spacing w:line="360" w:lineRule="auto"/>
        <w:jc w:val="both"/>
        <w:rPr>
          <w:b/>
          <w:bCs/>
          <w:u w:val="single"/>
        </w:rPr>
      </w:pPr>
    </w:p>
    <w:p w14:paraId="4E75B773"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בקביעת מתחם העונש ההולם את מעשה העבירה אותו ביצע הנאשם יתחשב בית המשפט בערך החברתי הנפגע מביצוע העבירות, במידת הפגיעה בו, במדיניות הענישה הנהוגה ובנסיבות הקשורות בביצוע העבירה.</w:t>
      </w:r>
    </w:p>
    <w:p w14:paraId="150BA73F" w14:textId="77777777" w:rsidR="00893B7B" w:rsidRDefault="00893B7B" w:rsidP="00893B7B">
      <w:pPr>
        <w:pStyle w:val="aa"/>
        <w:spacing w:line="360" w:lineRule="auto"/>
        <w:jc w:val="both"/>
        <w:rPr>
          <w:rFonts w:cs="David"/>
          <w:sz w:val="24"/>
          <w:szCs w:val="24"/>
          <w:rtl/>
        </w:rPr>
      </w:pPr>
    </w:p>
    <w:p w14:paraId="7B1BE803"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פקודת הסמים נועדה בכללותה להגן על ערכים חברתיים של שמירה על בריאותו ושלומו הפיזי והנפשי של הציבור מפני הנזקים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hyperlink r:id="rId19" w:history="1">
        <w:r w:rsidR="00FC0299" w:rsidRPr="00FC0299">
          <w:rPr>
            <w:rFonts w:cs="David" w:hint="cs"/>
            <w:color w:val="0000FF"/>
            <w:sz w:val="24"/>
            <w:szCs w:val="24"/>
            <w:u w:val="single"/>
            <w:rtl/>
          </w:rPr>
          <w:t>ע</w:t>
        </w:r>
        <w:r w:rsidR="00FC0299" w:rsidRPr="00FC0299">
          <w:rPr>
            <w:rFonts w:cs="David"/>
            <w:color w:val="0000FF"/>
            <w:sz w:val="24"/>
            <w:szCs w:val="24"/>
            <w:u w:val="single"/>
            <w:rtl/>
          </w:rPr>
          <w:t>"</w:t>
        </w:r>
        <w:r w:rsidR="00FC0299" w:rsidRPr="00FC0299">
          <w:rPr>
            <w:rFonts w:cs="David" w:hint="cs"/>
            <w:color w:val="0000FF"/>
            <w:sz w:val="24"/>
            <w:szCs w:val="24"/>
            <w:u w:val="single"/>
            <w:rtl/>
          </w:rPr>
          <w:t>פ</w:t>
        </w:r>
        <w:r w:rsidR="00FC0299" w:rsidRPr="00FC0299">
          <w:rPr>
            <w:rFonts w:cs="David"/>
            <w:color w:val="0000FF"/>
            <w:sz w:val="24"/>
            <w:szCs w:val="24"/>
            <w:u w:val="single"/>
            <w:rtl/>
          </w:rPr>
          <w:t xml:space="preserve"> 972/11</w:t>
        </w:r>
      </w:hyperlink>
      <w:r>
        <w:rPr>
          <w:rFonts w:cs="David" w:hint="cs"/>
          <w:sz w:val="24"/>
          <w:szCs w:val="24"/>
          <w:rtl/>
        </w:rPr>
        <w:t xml:space="preserve"> </w:t>
      </w:r>
      <w:r>
        <w:rPr>
          <w:rFonts w:cs="David" w:hint="cs"/>
          <w:b/>
          <w:bCs/>
          <w:sz w:val="24"/>
          <w:szCs w:val="24"/>
          <w:rtl/>
        </w:rPr>
        <w:t>מדינת ישראל נ' יונה</w:t>
      </w:r>
      <w:r>
        <w:rPr>
          <w:rFonts w:cs="David" w:hint="cs"/>
          <w:sz w:val="24"/>
          <w:szCs w:val="24"/>
          <w:rtl/>
        </w:rPr>
        <w:t xml:space="preserve"> (4.7.12); </w:t>
      </w:r>
      <w:hyperlink r:id="rId20" w:history="1">
        <w:r w:rsidR="00FC0299" w:rsidRPr="00FC0299">
          <w:rPr>
            <w:rFonts w:cs="David" w:hint="cs"/>
            <w:color w:val="0000FF"/>
            <w:sz w:val="24"/>
            <w:szCs w:val="24"/>
            <w:u w:val="single"/>
            <w:rtl/>
          </w:rPr>
          <w:t>ע</w:t>
        </w:r>
        <w:r w:rsidR="00FC0299" w:rsidRPr="00FC0299">
          <w:rPr>
            <w:rFonts w:cs="David"/>
            <w:color w:val="0000FF"/>
            <w:sz w:val="24"/>
            <w:szCs w:val="24"/>
            <w:u w:val="single"/>
            <w:rtl/>
          </w:rPr>
          <w:t>"</w:t>
        </w:r>
        <w:r w:rsidR="00FC0299" w:rsidRPr="00FC0299">
          <w:rPr>
            <w:rFonts w:cs="David" w:hint="cs"/>
            <w:color w:val="0000FF"/>
            <w:sz w:val="24"/>
            <w:szCs w:val="24"/>
            <w:u w:val="single"/>
            <w:rtl/>
          </w:rPr>
          <w:t>פ</w:t>
        </w:r>
        <w:r w:rsidR="00FC0299" w:rsidRPr="00FC0299">
          <w:rPr>
            <w:rFonts w:cs="David"/>
            <w:color w:val="0000FF"/>
            <w:sz w:val="24"/>
            <w:szCs w:val="24"/>
            <w:u w:val="single"/>
            <w:rtl/>
          </w:rPr>
          <w:t xml:space="preserve"> 6029/03 </w:t>
        </w:r>
        <w:r w:rsidR="00FC0299" w:rsidRPr="00FC0299">
          <w:rPr>
            <w:rFonts w:cs="David" w:hint="cs"/>
            <w:color w:val="0000FF"/>
            <w:sz w:val="24"/>
            <w:szCs w:val="24"/>
            <w:u w:val="single"/>
            <w:rtl/>
          </w:rPr>
          <w:t>מדינת</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ישראל</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נ</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שמאי</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פ</w:t>
        </w:r>
        <w:r w:rsidR="00FC0299" w:rsidRPr="00FC0299">
          <w:rPr>
            <w:rFonts w:cs="David"/>
            <w:color w:val="0000FF"/>
            <w:sz w:val="24"/>
            <w:szCs w:val="24"/>
            <w:u w:val="single"/>
            <w:rtl/>
          </w:rPr>
          <w:t>"</w:t>
        </w:r>
        <w:r w:rsidR="00FC0299" w:rsidRPr="00FC0299">
          <w:rPr>
            <w:rFonts w:cs="David" w:hint="cs"/>
            <w:color w:val="0000FF"/>
            <w:sz w:val="24"/>
            <w:szCs w:val="24"/>
            <w:u w:val="single"/>
            <w:rtl/>
          </w:rPr>
          <w:t>ד</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נח</w:t>
        </w:r>
      </w:hyperlink>
      <w:r>
        <w:rPr>
          <w:rFonts w:cs="David" w:hint="cs"/>
          <w:sz w:val="24"/>
          <w:szCs w:val="24"/>
          <w:rtl/>
        </w:rPr>
        <w:t xml:space="preserve"> (2) 734 (9.2.04); </w:t>
      </w:r>
      <w:hyperlink r:id="rId21" w:history="1">
        <w:r w:rsidR="00FC0299" w:rsidRPr="00FC0299">
          <w:rPr>
            <w:rFonts w:cs="David" w:hint="cs"/>
            <w:color w:val="0000FF"/>
            <w:sz w:val="24"/>
            <w:szCs w:val="24"/>
            <w:u w:val="single"/>
            <w:rtl/>
          </w:rPr>
          <w:t>ע</w:t>
        </w:r>
        <w:r w:rsidR="00FC0299" w:rsidRPr="00FC0299">
          <w:rPr>
            <w:rFonts w:cs="David"/>
            <w:color w:val="0000FF"/>
            <w:sz w:val="24"/>
            <w:szCs w:val="24"/>
            <w:u w:val="single"/>
            <w:rtl/>
          </w:rPr>
          <w:t>"</w:t>
        </w:r>
        <w:r w:rsidR="00FC0299" w:rsidRPr="00FC0299">
          <w:rPr>
            <w:rFonts w:cs="David" w:hint="cs"/>
            <w:color w:val="0000FF"/>
            <w:sz w:val="24"/>
            <w:szCs w:val="24"/>
            <w:u w:val="single"/>
            <w:rtl/>
          </w:rPr>
          <w:t>פ</w:t>
        </w:r>
        <w:r w:rsidR="00FC0299" w:rsidRPr="00FC0299">
          <w:rPr>
            <w:rFonts w:cs="David"/>
            <w:color w:val="0000FF"/>
            <w:sz w:val="24"/>
            <w:szCs w:val="24"/>
            <w:u w:val="single"/>
            <w:rtl/>
          </w:rPr>
          <w:t xml:space="preserve"> 6021/95</w:t>
        </w:r>
      </w:hyperlink>
      <w:r>
        <w:rPr>
          <w:rFonts w:cs="David" w:hint="cs"/>
          <w:sz w:val="24"/>
          <w:szCs w:val="24"/>
          <w:rtl/>
        </w:rPr>
        <w:t xml:space="preserve">, 4998/95, 5267/95, 5313/95 </w:t>
      </w:r>
      <w:r>
        <w:rPr>
          <w:rFonts w:cs="David" w:hint="cs"/>
          <w:b/>
          <w:bCs/>
          <w:sz w:val="24"/>
          <w:szCs w:val="24"/>
          <w:rtl/>
        </w:rPr>
        <w:t>מדינת ישראל נ' גומז</w:t>
      </w:r>
      <w:r>
        <w:rPr>
          <w:rFonts w:cs="David" w:hint="cs"/>
          <w:sz w:val="24"/>
          <w:szCs w:val="24"/>
          <w:rtl/>
        </w:rPr>
        <w:t xml:space="preserve"> (31.7.97); </w:t>
      </w:r>
      <w:hyperlink r:id="rId22" w:history="1">
        <w:r w:rsidR="00FC0299" w:rsidRPr="00FC0299">
          <w:rPr>
            <w:rFonts w:cs="David" w:hint="cs"/>
            <w:color w:val="0000FF"/>
            <w:sz w:val="24"/>
            <w:szCs w:val="24"/>
            <w:u w:val="single"/>
            <w:rtl/>
          </w:rPr>
          <w:t>ע</w:t>
        </w:r>
        <w:r w:rsidR="00FC0299" w:rsidRPr="00FC0299">
          <w:rPr>
            <w:rFonts w:cs="David"/>
            <w:color w:val="0000FF"/>
            <w:sz w:val="24"/>
            <w:szCs w:val="24"/>
            <w:u w:val="single"/>
            <w:rtl/>
          </w:rPr>
          <w:t>"</w:t>
        </w:r>
        <w:r w:rsidR="00FC0299" w:rsidRPr="00FC0299">
          <w:rPr>
            <w:rFonts w:cs="David" w:hint="cs"/>
            <w:color w:val="0000FF"/>
            <w:sz w:val="24"/>
            <w:szCs w:val="24"/>
            <w:u w:val="single"/>
            <w:rtl/>
          </w:rPr>
          <w:t>פ</w:t>
        </w:r>
        <w:r w:rsidR="00FC0299" w:rsidRPr="00FC0299">
          <w:rPr>
            <w:rFonts w:cs="David"/>
            <w:color w:val="0000FF"/>
            <w:sz w:val="24"/>
            <w:szCs w:val="24"/>
            <w:u w:val="single"/>
            <w:rtl/>
          </w:rPr>
          <w:t xml:space="preserve"> 575/88 </w:t>
        </w:r>
        <w:r w:rsidR="00FC0299" w:rsidRPr="00FC0299">
          <w:rPr>
            <w:rFonts w:cs="David" w:hint="cs"/>
            <w:color w:val="0000FF"/>
            <w:sz w:val="24"/>
            <w:szCs w:val="24"/>
            <w:u w:val="single"/>
            <w:rtl/>
          </w:rPr>
          <w:t>עודה</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נ</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מדינת</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ישראל</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פ</w:t>
        </w:r>
        <w:r w:rsidR="00FC0299" w:rsidRPr="00FC0299">
          <w:rPr>
            <w:rFonts w:cs="David"/>
            <w:color w:val="0000FF"/>
            <w:sz w:val="24"/>
            <w:szCs w:val="24"/>
            <w:u w:val="single"/>
            <w:rtl/>
          </w:rPr>
          <w:t>"</w:t>
        </w:r>
        <w:r w:rsidR="00FC0299" w:rsidRPr="00FC0299">
          <w:rPr>
            <w:rFonts w:cs="David" w:hint="cs"/>
            <w:color w:val="0000FF"/>
            <w:sz w:val="24"/>
            <w:szCs w:val="24"/>
            <w:u w:val="single"/>
            <w:rtl/>
          </w:rPr>
          <w:t>ד</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מב</w:t>
        </w:r>
      </w:hyperlink>
      <w:r>
        <w:rPr>
          <w:rFonts w:cs="David" w:hint="cs"/>
          <w:sz w:val="24"/>
          <w:szCs w:val="24"/>
          <w:rtl/>
        </w:rPr>
        <w:t xml:space="preserve"> (4) 242 (11.12.88)).</w:t>
      </w:r>
    </w:p>
    <w:p w14:paraId="78A0A9E8" w14:textId="77777777" w:rsidR="00893B7B" w:rsidRDefault="00893B7B" w:rsidP="00893B7B">
      <w:pPr>
        <w:pStyle w:val="aa"/>
        <w:rPr>
          <w:rFonts w:cs="David"/>
          <w:sz w:val="24"/>
          <w:szCs w:val="24"/>
          <w:rtl/>
        </w:rPr>
      </w:pPr>
    </w:p>
    <w:p w14:paraId="46A31BFF" w14:textId="77777777" w:rsidR="00893B7B" w:rsidRDefault="00893B7B" w:rsidP="00893B7B">
      <w:pPr>
        <w:pStyle w:val="aa"/>
        <w:numPr>
          <w:ilvl w:val="0"/>
          <w:numId w:val="1"/>
        </w:numPr>
        <w:spacing w:line="360" w:lineRule="auto"/>
        <w:jc w:val="both"/>
        <w:rPr>
          <w:rFonts w:cs="David"/>
          <w:sz w:val="24"/>
          <w:szCs w:val="24"/>
        </w:rPr>
      </w:pPr>
      <w:r>
        <w:rPr>
          <w:rFonts w:cs="David" w:hint="cs"/>
          <w:sz w:val="24"/>
          <w:szCs w:val="24"/>
          <w:rtl/>
        </w:rPr>
        <w:t>במקרה זה, מדובר בהחזקת סם מסוג קנאביס, במשקל 92.69 ג' נטו, כלומר סם מסוכן שנחשב סם "קל", בכמות לא מאוד גדולה, ועל כן מידת הפגיעה בערכים המוגנים אינה במידה גבוהה.</w:t>
      </w:r>
    </w:p>
    <w:p w14:paraId="7A75E312" w14:textId="77777777" w:rsidR="00893B7B" w:rsidRDefault="00893B7B" w:rsidP="00893B7B">
      <w:pPr>
        <w:pStyle w:val="aa"/>
        <w:spacing w:line="360" w:lineRule="auto"/>
        <w:jc w:val="both"/>
        <w:rPr>
          <w:rFonts w:cs="David"/>
          <w:sz w:val="24"/>
          <w:szCs w:val="24"/>
        </w:rPr>
      </w:pPr>
    </w:p>
    <w:p w14:paraId="179516CA"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 xml:space="preserve">במסגרת הנסיבות הקשורות בביצוע העבירה, יש לשקול את הנסיבות שהובילו את הנאשם לביצוע העבירה – בתקופה הרלוונטית לכתב האישום, פיתח הנאשם תלות והתמכרות לסמים מסוג קנאביס, על רקע מצוקתו ותחושותיו הקשות כתוצאה מחזרתו של אביו לחייו, מחלתו הקשה, תחושת האחריות שלו כלפי האב והתמיכה בו והצפי למותו, וכן הלחץ שהיה כרוך בצורך לתמוך כלכלית בו וביתר משפחתו. כן, ראוי לציין את העובדה שאף שעבירת החזקת הכלים נמחקה מכתב האישום, עפ"י נסיבות העבירה מפורטות בן, נמצאו הסמים יחד עם סכינים יפניות ושני משקלים אלקטרוניים. </w:t>
      </w:r>
    </w:p>
    <w:p w14:paraId="4D97F090" w14:textId="77777777" w:rsidR="00893B7B" w:rsidRDefault="00893B7B" w:rsidP="00893B7B">
      <w:pPr>
        <w:pStyle w:val="aa"/>
        <w:rPr>
          <w:rFonts w:cs="David"/>
          <w:sz w:val="24"/>
          <w:szCs w:val="24"/>
        </w:rPr>
      </w:pPr>
    </w:p>
    <w:p w14:paraId="58F4B275" w14:textId="77777777" w:rsidR="00893B7B" w:rsidRDefault="00893B7B" w:rsidP="00893B7B">
      <w:pPr>
        <w:pStyle w:val="aa"/>
        <w:rPr>
          <w:rFonts w:cs="David"/>
          <w:sz w:val="24"/>
          <w:szCs w:val="24"/>
          <w:rtl/>
        </w:rPr>
      </w:pPr>
    </w:p>
    <w:p w14:paraId="3E6F0CCB" w14:textId="77777777" w:rsidR="00893B7B" w:rsidRDefault="00893B7B" w:rsidP="00893B7B">
      <w:pPr>
        <w:pStyle w:val="aa"/>
        <w:numPr>
          <w:ilvl w:val="0"/>
          <w:numId w:val="1"/>
        </w:numPr>
        <w:spacing w:line="360" w:lineRule="auto"/>
        <w:jc w:val="both"/>
        <w:rPr>
          <w:rFonts w:cs="David"/>
          <w:sz w:val="24"/>
          <w:szCs w:val="24"/>
        </w:rPr>
      </w:pPr>
      <w:r>
        <w:rPr>
          <w:rFonts w:cs="David" w:hint="cs"/>
          <w:sz w:val="24"/>
          <w:szCs w:val="24"/>
          <w:rtl/>
        </w:rPr>
        <w:t xml:space="preserve">בעבירה של החזקת סמים שלא לצריכה עצמית, מבדיקת מדיניות הענישה באשר לסמים "קלים" ובהיקפי החזקה דומים של כעשרות גרמים, עולה כי מתחם הענישה ההולם נע בין מאסר על תנאי לבין מאסר בפועל לתקופה קצרה, שיכול וירוצה בדרך של עבודות שירות וענישה נלווית (ר' למשל, </w:t>
      </w:r>
      <w:hyperlink r:id="rId23" w:history="1">
        <w:r w:rsidR="00FC0299" w:rsidRPr="00FC0299">
          <w:rPr>
            <w:rFonts w:cs="David" w:hint="cs"/>
            <w:color w:val="0000FF"/>
            <w:sz w:val="24"/>
            <w:szCs w:val="24"/>
            <w:u w:val="single"/>
            <w:rtl/>
          </w:rPr>
          <w:t>ת</w:t>
        </w:r>
        <w:r w:rsidR="00FC0299" w:rsidRPr="00FC0299">
          <w:rPr>
            <w:rFonts w:cs="David"/>
            <w:color w:val="0000FF"/>
            <w:sz w:val="24"/>
            <w:szCs w:val="24"/>
            <w:u w:val="single"/>
            <w:rtl/>
          </w:rPr>
          <w:t>"</w:t>
        </w:r>
        <w:r w:rsidR="00FC0299" w:rsidRPr="00FC0299">
          <w:rPr>
            <w:rFonts w:cs="David" w:hint="cs"/>
            <w:color w:val="0000FF"/>
            <w:sz w:val="24"/>
            <w:szCs w:val="24"/>
            <w:u w:val="single"/>
            <w:rtl/>
          </w:rPr>
          <w:t>פ</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שלום</w:t>
        </w:r>
        <w:r w:rsidR="00FC0299" w:rsidRPr="00FC0299">
          <w:rPr>
            <w:rFonts w:cs="David"/>
            <w:color w:val="0000FF"/>
            <w:sz w:val="24"/>
            <w:szCs w:val="24"/>
            <w:u w:val="single"/>
            <w:rtl/>
          </w:rPr>
          <w:t xml:space="preserve"> – </w:t>
        </w:r>
        <w:r w:rsidR="00FC0299" w:rsidRPr="00FC0299">
          <w:rPr>
            <w:rFonts w:cs="David" w:hint="cs"/>
            <w:color w:val="0000FF"/>
            <w:sz w:val="24"/>
            <w:szCs w:val="24"/>
            <w:u w:val="single"/>
            <w:rtl/>
          </w:rPr>
          <w:t>ב</w:t>
        </w:r>
        <w:r w:rsidR="00FC0299" w:rsidRPr="00FC0299">
          <w:rPr>
            <w:rFonts w:cs="David"/>
            <w:color w:val="0000FF"/>
            <w:sz w:val="24"/>
            <w:szCs w:val="24"/>
            <w:u w:val="single"/>
            <w:rtl/>
          </w:rPr>
          <w:t>"</w:t>
        </w:r>
        <w:r w:rsidR="00FC0299" w:rsidRPr="00FC0299">
          <w:rPr>
            <w:rFonts w:cs="David" w:hint="cs"/>
            <w:color w:val="0000FF"/>
            <w:sz w:val="24"/>
            <w:szCs w:val="24"/>
            <w:u w:val="single"/>
            <w:rtl/>
          </w:rPr>
          <w:t>ש</w:t>
        </w:r>
        <w:r w:rsidR="00FC0299" w:rsidRPr="00FC0299">
          <w:rPr>
            <w:rFonts w:cs="David"/>
            <w:color w:val="0000FF"/>
            <w:sz w:val="24"/>
            <w:szCs w:val="24"/>
            <w:u w:val="single"/>
            <w:rtl/>
          </w:rPr>
          <w:t>) 16006-05-14</w:t>
        </w:r>
      </w:hyperlink>
      <w:r>
        <w:rPr>
          <w:rFonts w:cs="David" w:hint="cs"/>
          <w:sz w:val="24"/>
          <w:szCs w:val="24"/>
          <w:rtl/>
        </w:rPr>
        <w:t xml:space="preserve"> </w:t>
      </w:r>
      <w:r>
        <w:rPr>
          <w:rFonts w:cs="David" w:hint="cs"/>
          <w:b/>
          <w:bCs/>
          <w:sz w:val="24"/>
          <w:szCs w:val="24"/>
          <w:rtl/>
        </w:rPr>
        <w:t xml:space="preserve">מדינת ישראל נ' אבו צהיבאן </w:t>
      </w:r>
      <w:r>
        <w:rPr>
          <w:rFonts w:cs="David" w:hint="cs"/>
          <w:sz w:val="24"/>
          <w:szCs w:val="24"/>
          <w:rtl/>
        </w:rPr>
        <w:t xml:space="preserve">(26.6.14); </w:t>
      </w:r>
      <w:hyperlink r:id="rId24" w:history="1">
        <w:r w:rsidR="00FC0299" w:rsidRPr="00FC0299">
          <w:rPr>
            <w:rFonts w:cs="David" w:hint="cs"/>
            <w:color w:val="0000FF"/>
            <w:sz w:val="24"/>
            <w:szCs w:val="24"/>
            <w:u w:val="single"/>
            <w:rtl/>
          </w:rPr>
          <w:t>ת</w:t>
        </w:r>
        <w:r w:rsidR="00FC0299" w:rsidRPr="00FC0299">
          <w:rPr>
            <w:rFonts w:cs="David"/>
            <w:color w:val="0000FF"/>
            <w:sz w:val="24"/>
            <w:szCs w:val="24"/>
            <w:u w:val="single"/>
            <w:rtl/>
          </w:rPr>
          <w:t>"</w:t>
        </w:r>
        <w:r w:rsidR="00FC0299" w:rsidRPr="00FC0299">
          <w:rPr>
            <w:rFonts w:cs="David" w:hint="cs"/>
            <w:color w:val="0000FF"/>
            <w:sz w:val="24"/>
            <w:szCs w:val="24"/>
            <w:u w:val="single"/>
            <w:rtl/>
          </w:rPr>
          <w:t>פ</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שלום</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פ</w:t>
        </w:r>
        <w:r w:rsidR="00FC0299" w:rsidRPr="00FC0299">
          <w:rPr>
            <w:rFonts w:cs="David"/>
            <w:color w:val="0000FF"/>
            <w:sz w:val="24"/>
            <w:szCs w:val="24"/>
            <w:u w:val="single"/>
            <w:rtl/>
          </w:rPr>
          <w:t>"</w:t>
        </w:r>
        <w:r w:rsidR="00FC0299" w:rsidRPr="00FC0299">
          <w:rPr>
            <w:rFonts w:cs="David" w:hint="cs"/>
            <w:color w:val="0000FF"/>
            <w:sz w:val="24"/>
            <w:szCs w:val="24"/>
            <w:u w:val="single"/>
            <w:rtl/>
          </w:rPr>
          <w:t>ת</w:t>
        </w:r>
        <w:r w:rsidR="00FC0299" w:rsidRPr="00FC0299">
          <w:rPr>
            <w:rFonts w:cs="David"/>
            <w:color w:val="0000FF"/>
            <w:sz w:val="24"/>
            <w:szCs w:val="24"/>
            <w:u w:val="single"/>
            <w:rtl/>
          </w:rPr>
          <w:t>) 51123-01-12</w:t>
        </w:r>
      </w:hyperlink>
      <w:r>
        <w:rPr>
          <w:rFonts w:cs="David" w:hint="cs"/>
          <w:sz w:val="24"/>
          <w:szCs w:val="24"/>
          <w:rtl/>
        </w:rPr>
        <w:t xml:space="preserve"> </w:t>
      </w:r>
      <w:r>
        <w:rPr>
          <w:rFonts w:cs="David" w:hint="cs"/>
          <w:b/>
          <w:bCs/>
          <w:sz w:val="24"/>
          <w:szCs w:val="24"/>
          <w:rtl/>
        </w:rPr>
        <w:t xml:space="preserve">מדינת ישראל נ' חוטוריאנסקי </w:t>
      </w:r>
      <w:r>
        <w:rPr>
          <w:rFonts w:cs="David" w:hint="cs"/>
          <w:sz w:val="24"/>
          <w:szCs w:val="24"/>
          <w:rtl/>
        </w:rPr>
        <w:t>(23.03.14) והפסיקה המפורטת שם). עם זאת, ראוי לציין כי ניתן למצוא בפסיקה, ענישה במנעד רחב מאוד, לרבות ענישה מקילה שכללה הטלת מאסר על תנאי ושל"צ בלבד, והכל בכפוף לנסיבותיו האישיות של הנאשם.</w:t>
      </w:r>
    </w:p>
    <w:p w14:paraId="454A9CDD" w14:textId="77777777" w:rsidR="00893B7B" w:rsidRDefault="00893B7B" w:rsidP="00893B7B">
      <w:pPr>
        <w:pStyle w:val="aa"/>
        <w:rPr>
          <w:rFonts w:cs="David"/>
          <w:sz w:val="24"/>
          <w:szCs w:val="24"/>
          <w:rtl/>
        </w:rPr>
      </w:pPr>
    </w:p>
    <w:p w14:paraId="5A70B14F" w14:textId="77777777" w:rsidR="00893B7B" w:rsidRDefault="00893B7B" w:rsidP="00893B7B">
      <w:pPr>
        <w:ind w:left="360"/>
        <w:rPr>
          <w:u w:val="single"/>
          <w:rtl/>
        </w:rPr>
      </w:pPr>
      <w:r>
        <w:rPr>
          <w:rFonts w:hint="cs"/>
          <w:u w:val="single"/>
          <w:rtl/>
        </w:rPr>
        <w:t>גזירת העונש המתאים לנאשם – האם יש מקום לסטות לקולא ממתחם הענישה?</w:t>
      </w:r>
    </w:p>
    <w:p w14:paraId="304F1A89" w14:textId="77777777" w:rsidR="00893B7B" w:rsidRDefault="00893B7B" w:rsidP="00893B7B">
      <w:pPr>
        <w:ind w:left="360"/>
        <w:rPr>
          <w:u w:val="single"/>
        </w:rPr>
      </w:pPr>
    </w:p>
    <w:p w14:paraId="65B9D6C1" w14:textId="77777777" w:rsidR="00893B7B" w:rsidRDefault="00893B7B" w:rsidP="00893B7B">
      <w:pPr>
        <w:ind w:left="360"/>
        <w:rPr>
          <w:u w:val="single"/>
          <w:rtl/>
        </w:rPr>
      </w:pPr>
    </w:p>
    <w:p w14:paraId="257093EA" w14:textId="77777777" w:rsidR="00893B7B" w:rsidRDefault="0033178D" w:rsidP="00893B7B">
      <w:pPr>
        <w:pStyle w:val="aa"/>
        <w:numPr>
          <w:ilvl w:val="0"/>
          <w:numId w:val="1"/>
        </w:numPr>
        <w:spacing w:line="360" w:lineRule="auto"/>
        <w:jc w:val="both"/>
        <w:rPr>
          <w:rFonts w:cs="David"/>
          <w:sz w:val="24"/>
          <w:szCs w:val="24"/>
          <w:rtl/>
        </w:rPr>
      </w:pPr>
      <w:hyperlink r:id="rId25" w:history="1">
        <w:r w:rsidRPr="0033178D">
          <w:rPr>
            <w:rFonts w:cs="David" w:hint="cs"/>
            <w:color w:val="0000FF"/>
            <w:sz w:val="24"/>
            <w:szCs w:val="24"/>
            <w:u w:val="single"/>
            <w:rtl/>
          </w:rPr>
          <w:t>סעיף</w:t>
        </w:r>
        <w:r w:rsidRPr="0033178D">
          <w:rPr>
            <w:rFonts w:cs="David"/>
            <w:color w:val="0000FF"/>
            <w:sz w:val="24"/>
            <w:szCs w:val="24"/>
            <w:u w:val="single"/>
            <w:rtl/>
          </w:rPr>
          <w:t xml:space="preserve"> 40</w:t>
        </w:r>
        <w:r w:rsidRPr="0033178D">
          <w:rPr>
            <w:rFonts w:cs="David" w:hint="cs"/>
            <w:color w:val="0000FF"/>
            <w:sz w:val="24"/>
            <w:szCs w:val="24"/>
            <w:u w:val="single"/>
            <w:rtl/>
          </w:rPr>
          <w:t>ד</w:t>
        </w:r>
        <w:r w:rsidRPr="0033178D">
          <w:rPr>
            <w:rFonts w:cs="David"/>
            <w:color w:val="0000FF"/>
            <w:sz w:val="24"/>
            <w:szCs w:val="24"/>
            <w:u w:val="single"/>
            <w:rtl/>
          </w:rPr>
          <w:t>(</w:t>
        </w:r>
        <w:r w:rsidRPr="0033178D">
          <w:rPr>
            <w:rFonts w:cs="David" w:hint="cs"/>
            <w:color w:val="0000FF"/>
            <w:sz w:val="24"/>
            <w:szCs w:val="24"/>
            <w:u w:val="single"/>
            <w:rtl/>
          </w:rPr>
          <w:t>א</w:t>
        </w:r>
        <w:r w:rsidRPr="0033178D">
          <w:rPr>
            <w:rFonts w:cs="David"/>
            <w:color w:val="0000FF"/>
            <w:sz w:val="24"/>
            <w:szCs w:val="24"/>
            <w:u w:val="single"/>
            <w:rtl/>
          </w:rPr>
          <w:t>)</w:t>
        </w:r>
      </w:hyperlink>
      <w:r w:rsidR="00893B7B">
        <w:rPr>
          <w:rFonts w:cs="David" w:hint="cs"/>
          <w:sz w:val="24"/>
          <w:szCs w:val="24"/>
          <w:rtl/>
        </w:rPr>
        <w:t xml:space="preserve"> לחוק קובע כדלקמן:</w:t>
      </w:r>
    </w:p>
    <w:p w14:paraId="6AE73DC4" w14:textId="77777777" w:rsidR="00893B7B" w:rsidRDefault="00893B7B" w:rsidP="00893B7B">
      <w:pPr>
        <w:pStyle w:val="David"/>
        <w:ind w:left="1440"/>
        <w:rPr>
          <w:rFonts w:cs="David"/>
          <w:b/>
          <w:bCs/>
          <w:rtl/>
        </w:rPr>
      </w:pPr>
      <w:r>
        <w:rPr>
          <w:rFonts w:cs="David" w:hint="cs"/>
          <w:b/>
          <w:bCs/>
          <w:rtl/>
        </w:rPr>
        <w:t xml:space="preserve">"קבע בית המשפט את מתחם העונש ההולם בהתאם לעיקרון המנחה ומצא כי הנאשם השתקם או כי יש סיכוי של ממש שישתקם, רשאי הוא לחרוג ממתחם העונש ההולם ולקבוע את עונשו של הנאשם לפי שיקולי שיקומו, וכן להורות על נקיטת אמצעי שיקומי כלפי הנאשם, לרבות העמדתו במבחן לפי סעיפים 82 או 86 או לפי </w:t>
      </w:r>
      <w:hyperlink r:id="rId26" w:history="1">
        <w:r w:rsidR="00FC0299" w:rsidRPr="00FC0299">
          <w:rPr>
            <w:rFonts w:cs="David"/>
            <w:b/>
            <w:bCs/>
            <w:color w:val="0000FF"/>
            <w:u w:val="single"/>
            <w:rtl/>
          </w:rPr>
          <w:t>פקודת המבחן</w:t>
        </w:r>
      </w:hyperlink>
      <w:r>
        <w:rPr>
          <w:rFonts w:cs="David" w:hint="cs"/>
          <w:b/>
          <w:bCs/>
          <w:rtl/>
        </w:rPr>
        <w:t xml:space="preserve"> [נוסח חדש] התשכ"ט-1969."</w:t>
      </w:r>
    </w:p>
    <w:p w14:paraId="4439662A" w14:textId="77777777" w:rsidR="00893B7B" w:rsidRDefault="00893B7B" w:rsidP="00893B7B">
      <w:pPr>
        <w:pStyle w:val="David"/>
        <w:ind w:left="1440"/>
        <w:rPr>
          <w:rFonts w:cs="David"/>
          <w:b/>
          <w:bCs/>
          <w:rtl/>
        </w:rPr>
      </w:pPr>
    </w:p>
    <w:p w14:paraId="69112AB4" w14:textId="77777777" w:rsidR="00893B7B" w:rsidRDefault="00893B7B" w:rsidP="00893B7B">
      <w:pPr>
        <w:pStyle w:val="aa"/>
        <w:numPr>
          <w:ilvl w:val="0"/>
          <w:numId w:val="1"/>
        </w:numPr>
        <w:spacing w:line="360" w:lineRule="auto"/>
        <w:jc w:val="both"/>
        <w:rPr>
          <w:rFonts w:cs="David"/>
          <w:sz w:val="24"/>
          <w:szCs w:val="24"/>
        </w:rPr>
      </w:pPr>
      <w:r>
        <w:rPr>
          <w:rFonts w:cs="David" w:hint="cs"/>
          <w:sz w:val="24"/>
          <w:szCs w:val="24"/>
          <w:rtl/>
        </w:rPr>
        <w:t>כזכור, עתרה ב"כ הנאשם כי בית המשפט יאמץ את המלצות שירות המבחן, כאשר משמעות הדבר היא סטייה לקולא ממתחם הענישה.</w:t>
      </w:r>
    </w:p>
    <w:p w14:paraId="52A0263D" w14:textId="77777777" w:rsidR="00893B7B" w:rsidRDefault="00893B7B" w:rsidP="00893B7B">
      <w:pPr>
        <w:pStyle w:val="aa"/>
        <w:spacing w:line="360" w:lineRule="auto"/>
        <w:jc w:val="both"/>
        <w:rPr>
          <w:rFonts w:cs="David"/>
          <w:sz w:val="24"/>
          <w:szCs w:val="24"/>
          <w:rtl/>
        </w:rPr>
      </w:pPr>
    </w:p>
    <w:p w14:paraId="64E7CCBF" w14:textId="77777777" w:rsidR="00893B7B" w:rsidRDefault="00893B7B" w:rsidP="00893B7B">
      <w:pPr>
        <w:pStyle w:val="aa"/>
        <w:numPr>
          <w:ilvl w:val="0"/>
          <w:numId w:val="1"/>
        </w:numPr>
        <w:spacing w:line="360" w:lineRule="auto"/>
        <w:jc w:val="both"/>
        <w:rPr>
          <w:rFonts w:cs="David"/>
          <w:sz w:val="24"/>
          <w:szCs w:val="24"/>
        </w:rPr>
      </w:pPr>
      <w:r>
        <w:rPr>
          <w:rFonts w:cs="David" w:hint="cs"/>
          <w:sz w:val="24"/>
          <w:szCs w:val="24"/>
          <w:rtl/>
        </w:rPr>
        <w:t>לאחר שקראתי את תסקיר שירות המבחן, את מכתבי ההמלצה שהציג הנאשם, שמעתי את טיעוני הצדדים, את דברי דודתו של הנאשם ובעיקר את דברי הנאשם עצמו, מצאתי שעמדת הסניגורית לפיה יש לחרוג במקרה זה ממתחם העונש ההולם הינה ראויה ואף מתבקשת.</w:t>
      </w:r>
    </w:p>
    <w:p w14:paraId="2BA6AC61" w14:textId="77777777" w:rsidR="00893B7B" w:rsidRDefault="00893B7B" w:rsidP="00893B7B">
      <w:pPr>
        <w:pStyle w:val="aa"/>
        <w:spacing w:line="360" w:lineRule="auto"/>
        <w:jc w:val="both"/>
        <w:rPr>
          <w:rFonts w:cs="David"/>
          <w:sz w:val="24"/>
          <w:szCs w:val="24"/>
        </w:rPr>
      </w:pPr>
    </w:p>
    <w:p w14:paraId="342FDBC8" w14:textId="77777777" w:rsidR="00893B7B" w:rsidRDefault="00893B7B" w:rsidP="00893B7B">
      <w:pPr>
        <w:pStyle w:val="aa"/>
        <w:numPr>
          <w:ilvl w:val="0"/>
          <w:numId w:val="1"/>
        </w:numPr>
        <w:spacing w:line="360" w:lineRule="auto"/>
        <w:jc w:val="both"/>
        <w:rPr>
          <w:rFonts w:cs="David"/>
          <w:sz w:val="24"/>
          <w:szCs w:val="24"/>
        </w:rPr>
      </w:pPr>
      <w:r>
        <w:rPr>
          <w:rFonts w:cs="David" w:hint="cs"/>
          <w:sz w:val="24"/>
          <w:szCs w:val="24"/>
          <w:rtl/>
        </w:rPr>
        <w:t>הנאשם הודה במיוחס לו ונטל אחריות באופן כן ומלא על מעשיו.</w:t>
      </w:r>
    </w:p>
    <w:p w14:paraId="2B0F59A1" w14:textId="77777777" w:rsidR="00893B7B" w:rsidRDefault="00893B7B" w:rsidP="00893B7B">
      <w:pPr>
        <w:pStyle w:val="aa"/>
        <w:rPr>
          <w:rFonts w:cs="David"/>
          <w:sz w:val="24"/>
          <w:szCs w:val="24"/>
        </w:rPr>
      </w:pPr>
    </w:p>
    <w:p w14:paraId="06EE4464"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ברקע ביצוע העבירה נסיבות חיים מורכבות, והתמודדויות קשות שהיה על הנאשם לעבור.</w:t>
      </w:r>
    </w:p>
    <w:p w14:paraId="7DC26E11" w14:textId="77777777" w:rsidR="00893B7B" w:rsidRDefault="00893B7B" w:rsidP="00893B7B">
      <w:pPr>
        <w:pStyle w:val="aa"/>
        <w:rPr>
          <w:rFonts w:cs="David"/>
          <w:sz w:val="24"/>
          <w:szCs w:val="24"/>
        </w:rPr>
      </w:pPr>
    </w:p>
    <w:p w14:paraId="270575CB"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התרשמותי היא, כי למרות האתגרים שפקדו אותו, הנאשם בעל כוחות רצון ומוטיבציה גבוהה לנהל אורח חיים פרודוקטיבי ונורמטיבי. כך, למרות שמאז גיל צעיר נדרש לעבוד ולסייע בפרנסת משפחתו, סיים לימודיו התיכוניים, סיים שירות צבאי מלא והינו שומר על יציבות תעסוקתית. ממכתבי ההמלצה שניתנו לו על ידי מפקדו ומעסיקו, ניתן ללמוד כי הנאשם מבצע את תפקידיו באופן משביע רצון, באחריות ובמסירות.</w:t>
      </w:r>
    </w:p>
    <w:p w14:paraId="1784AAB7" w14:textId="77777777" w:rsidR="00893B7B" w:rsidRDefault="00893B7B" w:rsidP="00893B7B">
      <w:pPr>
        <w:pStyle w:val="aa"/>
        <w:rPr>
          <w:rFonts w:cs="David"/>
          <w:sz w:val="24"/>
          <w:szCs w:val="24"/>
        </w:rPr>
      </w:pPr>
    </w:p>
    <w:p w14:paraId="5795EA46"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 xml:space="preserve">את אותה מסירות גילה הנאשם גם כלפיו אביו, אשר שב להיות עימו בקשר רק בשנים האחרונות לחייו. הנאשם בחר לתמוך באביו, לסעוד אותו, לטפל בו במסירות ואף לתמוך בו כלכלית, חלף דחייתו על רקע הנטישה שחש הנאשם שחווה מאביו כילד צעיר. </w:t>
      </w:r>
    </w:p>
    <w:p w14:paraId="2D495752" w14:textId="77777777" w:rsidR="00893B7B" w:rsidRDefault="00893B7B" w:rsidP="00893B7B">
      <w:pPr>
        <w:pStyle w:val="aa"/>
        <w:rPr>
          <w:rFonts w:cs="David"/>
          <w:sz w:val="24"/>
          <w:szCs w:val="24"/>
        </w:rPr>
      </w:pPr>
    </w:p>
    <w:p w14:paraId="71A7C119"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לפני מספר חודשים נפטר אביו של הנאשם, ועפ"י התסקיר הנאשם תיאר תחושות קשות של אבל, אובדן ותסכול על השנים האבודות. הנאשם יכול היה לשוב ולמצוא מפלט בסם, אולם בחר – מיוזמתו – להתחיל בהליך טיפולי במרכז "חוסן" ומן הדיווחים שהתקבלו מן הגורמים המטפלים, הנאשם קיבל על עצמו במחויבות מלאה את הנדרש ממנו בטיפול, מתייצב לפגישות באופן עקבי ובדיקות השתן שניטלו ממנו הינן חיוביות. עובדות אלו תומכות במסקנת שירות המבחן, שעצם ניהול ההליך המשפטי כנגד הנאשם, מהווה עבורו גורם מרתיע.</w:t>
      </w:r>
    </w:p>
    <w:p w14:paraId="4BA7D3E4" w14:textId="77777777" w:rsidR="00893B7B" w:rsidRDefault="00893B7B" w:rsidP="00893B7B">
      <w:pPr>
        <w:pStyle w:val="aa"/>
        <w:rPr>
          <w:rFonts w:cs="David"/>
          <w:sz w:val="24"/>
          <w:szCs w:val="24"/>
        </w:rPr>
      </w:pPr>
    </w:p>
    <w:p w14:paraId="0078BCC1"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פרט לכך, נראה כי הנאשם עומד לפני פתיחת דף חדש גם בחייו הזוגיים, שעה שהתארס לבת זוגו והוא צפוי להינשא.</w:t>
      </w:r>
    </w:p>
    <w:p w14:paraId="32EDF34F" w14:textId="77777777" w:rsidR="00893B7B" w:rsidRDefault="00893B7B" w:rsidP="00893B7B">
      <w:pPr>
        <w:pStyle w:val="aa"/>
        <w:rPr>
          <w:rFonts w:cs="David"/>
          <w:sz w:val="24"/>
          <w:szCs w:val="24"/>
        </w:rPr>
      </w:pPr>
    </w:p>
    <w:p w14:paraId="6D9BE435"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נראה, כי לנאשם גם מערכת משפחתית תומכת</w:t>
      </w:r>
      <w:r w:rsidR="00FC0299">
        <w:rPr>
          <w:rFonts w:cs="David" w:hint="cs"/>
          <w:sz w:val="24"/>
          <w:szCs w:val="24"/>
          <w:rtl/>
        </w:rPr>
        <w:t xml:space="preserve"> </w:t>
      </w:r>
      <w:r>
        <w:rPr>
          <w:rFonts w:cs="David" w:hint="cs"/>
          <w:sz w:val="24"/>
          <w:szCs w:val="24"/>
          <w:rtl/>
        </w:rPr>
        <w:t xml:space="preserve"> - כך, מן התסקיר עולה כי אמו מהווה עבורו גורם תומך, יש לו מערכת יחסים קרובה עם אחותו הגדולה, דודתו שהעידה בבית המשפט וכן בת זוגו, שכפי הנראה מנהלת גם היא אורח חיים נורמטיבי ומשרתת כיום בשירות לאומי.</w:t>
      </w:r>
    </w:p>
    <w:p w14:paraId="108EA7AD" w14:textId="77777777" w:rsidR="00893B7B" w:rsidRDefault="00893B7B" w:rsidP="00893B7B">
      <w:pPr>
        <w:pStyle w:val="aa"/>
        <w:rPr>
          <w:rFonts w:cs="David"/>
          <w:sz w:val="24"/>
          <w:szCs w:val="24"/>
        </w:rPr>
      </w:pPr>
    </w:p>
    <w:p w14:paraId="4BC34E9F"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אכן, אין להתעלם מן העובדה שהנאשם כבר עבר הליך פלילי, שאף הסתיים ללא הרשעה, וכן יש לזכור כי צו המבחן שניתן בעניינו</w:t>
      </w:r>
      <w:r w:rsidR="00FC0299">
        <w:rPr>
          <w:rFonts w:cs="David" w:hint="cs"/>
          <w:sz w:val="24"/>
          <w:szCs w:val="24"/>
          <w:rtl/>
        </w:rPr>
        <w:t xml:space="preserve"> </w:t>
      </w:r>
      <w:r>
        <w:rPr>
          <w:rFonts w:cs="David" w:hint="cs"/>
          <w:sz w:val="24"/>
          <w:szCs w:val="24"/>
          <w:rtl/>
        </w:rPr>
        <w:t xml:space="preserve"> לא הושלם, אך את צו השל"צ שניתן בהיקף לא מבוטל של 220 שעות, סיים הנאשם בהצלחה.</w:t>
      </w:r>
    </w:p>
    <w:p w14:paraId="1EABFB23" w14:textId="77777777" w:rsidR="00893B7B" w:rsidRDefault="00893B7B" w:rsidP="00893B7B">
      <w:pPr>
        <w:pStyle w:val="aa"/>
        <w:rPr>
          <w:rFonts w:cs="David"/>
          <w:sz w:val="24"/>
          <w:szCs w:val="24"/>
        </w:rPr>
      </w:pPr>
    </w:p>
    <w:p w14:paraId="46CE2B3B"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עם כן, דומה כי עפ"י התרשמות כל הגורמים הטיפוליים, בחר הנאשם לעלות על נתיב חדש וחיובי בחייו, והוא רותם את כל מרצו ורצונו, על מנת להצליח בכך. על כך יש לברך, ובנסיבות אלו סבורני כי יש לבכר את האינטרס השיקומי של הנאשם על פני אינטרסים ציבוריים של גמול והרתעה, ובל נשכח כי שימורו של הנאשם כפרט מועיל בחברה, שמירתו בתלם ועידודו להשלים את ההליך הטיפולי והגמילה מן הסם, כל אלו עולים בקנה אחד גם עם האינטרס הציבורי.</w:t>
      </w:r>
    </w:p>
    <w:p w14:paraId="6E5D5524" w14:textId="77777777" w:rsidR="00893B7B" w:rsidRDefault="00893B7B" w:rsidP="00893B7B">
      <w:pPr>
        <w:pStyle w:val="aa"/>
        <w:rPr>
          <w:rFonts w:cs="David"/>
          <w:sz w:val="24"/>
          <w:szCs w:val="24"/>
        </w:rPr>
      </w:pPr>
    </w:p>
    <w:p w14:paraId="0D9836B3"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לפיכך, הגעתי לכלל מסקנה, שנסיבותיו של הנאשם מצדיקות סטייה לקולא ממתחם הענישה, משיקולי שיקום.</w:t>
      </w:r>
    </w:p>
    <w:p w14:paraId="237724CE" w14:textId="77777777" w:rsidR="00893B7B" w:rsidRDefault="00893B7B" w:rsidP="00893B7B">
      <w:pPr>
        <w:pStyle w:val="aa"/>
        <w:rPr>
          <w:rFonts w:cs="David"/>
          <w:sz w:val="24"/>
          <w:szCs w:val="24"/>
        </w:rPr>
      </w:pPr>
    </w:p>
    <w:p w14:paraId="2CCBBA05" w14:textId="77777777" w:rsidR="00893B7B" w:rsidRDefault="00893B7B" w:rsidP="00893B7B">
      <w:pPr>
        <w:spacing w:line="360" w:lineRule="auto"/>
        <w:jc w:val="both"/>
        <w:rPr>
          <w:b/>
          <w:bCs/>
          <w:u w:val="single"/>
          <w:rtl/>
        </w:rPr>
      </w:pPr>
      <w:r>
        <w:rPr>
          <w:rFonts w:hint="cs"/>
          <w:b/>
          <w:bCs/>
          <w:u w:val="single"/>
          <w:rtl/>
        </w:rPr>
        <w:t>האם יש מקום לבטל את הרשעתו של הנאשם?</w:t>
      </w:r>
    </w:p>
    <w:p w14:paraId="1EAC1AB9" w14:textId="77777777" w:rsidR="00893B7B" w:rsidRDefault="00893B7B" w:rsidP="00893B7B">
      <w:pPr>
        <w:pStyle w:val="aa"/>
        <w:rPr>
          <w:rFonts w:cs="David"/>
          <w:sz w:val="24"/>
          <w:szCs w:val="24"/>
        </w:rPr>
      </w:pPr>
    </w:p>
    <w:p w14:paraId="4B89FAEE"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על פי ההלכה הפסוקה, משהוכח ביצועה של עבירה - יש להרשיע את הנאשם, וסיום ההליך המשפטי ללא הרשעה ייעשה רק במקרים חריגים, בהם היחס שבין חומרת העבירה לבין הנזק הצפוי לנאשם מן ההרשעה, אינו סביר.</w:t>
      </w:r>
    </w:p>
    <w:p w14:paraId="076C607E" w14:textId="77777777" w:rsidR="00893B7B" w:rsidRDefault="00893B7B" w:rsidP="00893B7B">
      <w:pPr>
        <w:pStyle w:val="aa"/>
        <w:spacing w:line="360" w:lineRule="auto"/>
        <w:jc w:val="both"/>
        <w:rPr>
          <w:rFonts w:cs="David"/>
          <w:sz w:val="24"/>
          <w:szCs w:val="24"/>
        </w:rPr>
      </w:pPr>
    </w:p>
    <w:p w14:paraId="63BE880E"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u w:val="single"/>
          <w:rtl/>
        </w:rPr>
        <w:t>ב</w:t>
      </w:r>
      <w:hyperlink r:id="rId27" w:history="1">
        <w:r w:rsidR="00FC0299" w:rsidRPr="00FC0299">
          <w:rPr>
            <w:rFonts w:cs="David" w:hint="cs"/>
            <w:color w:val="0000FF"/>
            <w:sz w:val="24"/>
            <w:szCs w:val="24"/>
            <w:u w:val="single"/>
            <w:rtl/>
          </w:rPr>
          <w:t>רע</w:t>
        </w:r>
        <w:r w:rsidR="00FC0299" w:rsidRPr="00FC0299">
          <w:rPr>
            <w:rFonts w:cs="David"/>
            <w:color w:val="0000FF"/>
            <w:sz w:val="24"/>
            <w:szCs w:val="24"/>
            <w:u w:val="single"/>
            <w:rtl/>
          </w:rPr>
          <w:t>"</w:t>
        </w:r>
        <w:r w:rsidR="00FC0299" w:rsidRPr="00FC0299">
          <w:rPr>
            <w:rFonts w:cs="David" w:hint="cs"/>
            <w:color w:val="0000FF"/>
            <w:sz w:val="24"/>
            <w:szCs w:val="24"/>
            <w:u w:val="single"/>
            <w:rtl/>
          </w:rPr>
          <w:t>פ</w:t>
        </w:r>
        <w:r w:rsidR="00FC0299" w:rsidRPr="00FC0299">
          <w:rPr>
            <w:rFonts w:cs="David"/>
            <w:color w:val="0000FF"/>
            <w:sz w:val="24"/>
            <w:szCs w:val="24"/>
            <w:u w:val="single"/>
            <w:rtl/>
          </w:rPr>
          <w:t xml:space="preserve"> 11476/04</w:t>
        </w:r>
      </w:hyperlink>
      <w:r>
        <w:rPr>
          <w:rFonts w:cs="David" w:hint="cs"/>
          <w:sz w:val="24"/>
          <w:szCs w:val="24"/>
          <w:rtl/>
        </w:rPr>
        <w:t xml:space="preserve"> </w:t>
      </w:r>
      <w:r>
        <w:rPr>
          <w:rFonts w:cs="David" w:hint="cs"/>
          <w:b/>
          <w:bCs/>
          <w:sz w:val="24"/>
          <w:szCs w:val="24"/>
          <w:rtl/>
        </w:rPr>
        <w:t>מדינת ישראל נ' חברת השקעות דיסקונט בע"מ</w:t>
      </w:r>
      <w:r>
        <w:rPr>
          <w:rFonts w:cs="David" w:hint="cs"/>
          <w:sz w:val="24"/>
          <w:szCs w:val="24"/>
          <w:rtl/>
        </w:rPr>
        <w:t>, הדגיש בית המשפט העליון כי:</w:t>
      </w:r>
      <w:r w:rsidR="00FC0299">
        <w:rPr>
          <w:rFonts w:cs="David" w:hint="cs"/>
          <w:sz w:val="24"/>
          <w:szCs w:val="24"/>
          <w:rtl/>
        </w:rPr>
        <w:t xml:space="preserve"> </w:t>
      </w:r>
      <w:r>
        <w:rPr>
          <w:rFonts w:cs="David" w:hint="cs"/>
          <w:sz w:val="24"/>
          <w:szCs w:val="24"/>
          <w:rtl/>
        </w:rPr>
        <w:t xml:space="preserve"> </w:t>
      </w:r>
    </w:p>
    <w:p w14:paraId="1F766977" w14:textId="77777777" w:rsidR="00893B7B" w:rsidRDefault="00893B7B" w:rsidP="00893B7B">
      <w:pPr>
        <w:pStyle w:val="aa"/>
        <w:spacing w:line="360" w:lineRule="auto"/>
        <w:jc w:val="both"/>
        <w:rPr>
          <w:rFonts w:cs="David"/>
          <w:sz w:val="24"/>
          <w:szCs w:val="24"/>
        </w:rPr>
      </w:pPr>
    </w:p>
    <w:p w14:paraId="1CB8AEAF" w14:textId="77777777" w:rsidR="00893B7B" w:rsidRDefault="00893B7B" w:rsidP="00893B7B">
      <w:pPr>
        <w:pStyle w:val="aa"/>
        <w:spacing w:line="360" w:lineRule="auto"/>
        <w:ind w:left="1440"/>
        <w:jc w:val="both"/>
        <w:rPr>
          <w:rFonts w:cs="David"/>
          <w:b/>
          <w:bCs/>
          <w:sz w:val="24"/>
          <w:szCs w:val="24"/>
          <w:rtl/>
        </w:rPr>
      </w:pPr>
      <w:r>
        <w:rPr>
          <w:rFonts w:cs="David" w:hint="cs"/>
          <w:b/>
          <w:bCs/>
          <w:sz w:val="24"/>
          <w:szCs w:val="24"/>
          <w:rtl/>
        </w:rPr>
        <w:t>"ככלל, ביטולה של הרשעה במערך הענישה בפלילים הוא עניין חריג שבחריג, המתאפשר בנסיבות מיוחדות... על פי העיקרון המשפטי הרווח, קיומה של אחריות בפלילים לביצוע עבירות על החוק מחייב הרשעה וענישה כחלק מאכיפת הדין, כנגזר ממטרות הענישה, וכנדרש מיישום עקרון השוויון של הכול בפני החוק. בהתקיים אחריות פלילית, סטייה מחובת הרשעה וענישה היא, על כן, עניין חריג ביותר. ניתן לנקוט בה אך במצבים נדירים שבהם, באיזון שבין הצורך במימוש האינטרס הציבורי באכיפה מלאה של הדין, לבין המשקל הראוי שיש לתת לנסיבות האינדיבידואליות של הנאשם, גובר בבירור האינטרס האחרון".</w:t>
      </w:r>
      <w:r w:rsidR="00FC0299">
        <w:rPr>
          <w:rFonts w:cs="David" w:hint="cs"/>
          <w:b/>
          <w:bCs/>
          <w:sz w:val="24"/>
          <w:szCs w:val="24"/>
          <w:rtl/>
        </w:rPr>
        <w:t xml:space="preserve"> </w:t>
      </w:r>
      <w:r>
        <w:rPr>
          <w:rFonts w:cs="David" w:hint="cs"/>
          <w:b/>
          <w:bCs/>
          <w:sz w:val="24"/>
          <w:szCs w:val="24"/>
          <w:rtl/>
        </w:rPr>
        <w:t xml:space="preserve"> </w:t>
      </w:r>
    </w:p>
    <w:p w14:paraId="741228BE" w14:textId="77777777" w:rsidR="00893B7B" w:rsidRDefault="00893B7B" w:rsidP="00893B7B">
      <w:pPr>
        <w:pStyle w:val="aa"/>
        <w:spacing w:line="360" w:lineRule="auto"/>
        <w:jc w:val="both"/>
        <w:rPr>
          <w:rFonts w:cs="David"/>
          <w:sz w:val="24"/>
          <w:szCs w:val="24"/>
          <w:rtl/>
        </w:rPr>
      </w:pPr>
    </w:p>
    <w:p w14:paraId="77B1F190"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 xml:space="preserve">בפסיקה נקבע, כי בשאלת ביטול ההרשעה יבחן בית המשפט קיומם של שני גורמים: האחד, על ההרשעה לפגוע פגיעה חמורה בשיקום הנאשם והשני, סוג העבירה מאפשר ביטול ההרשעה מבלי לפגוע באופן מהותי בשיקולי ענישה אחרים (לעניין זה ראו: </w:t>
      </w:r>
      <w:hyperlink r:id="rId28" w:history="1">
        <w:r w:rsidR="00FC0299" w:rsidRPr="00FC0299">
          <w:rPr>
            <w:rFonts w:cs="David" w:hint="cs"/>
            <w:color w:val="0000FF"/>
            <w:sz w:val="24"/>
            <w:szCs w:val="24"/>
            <w:u w:val="single"/>
            <w:rtl/>
          </w:rPr>
          <w:t>ע</w:t>
        </w:r>
        <w:r w:rsidR="00FC0299" w:rsidRPr="00FC0299">
          <w:rPr>
            <w:rFonts w:cs="David"/>
            <w:color w:val="0000FF"/>
            <w:sz w:val="24"/>
            <w:szCs w:val="24"/>
            <w:u w:val="single"/>
            <w:rtl/>
          </w:rPr>
          <w:t>"</w:t>
        </w:r>
        <w:r w:rsidR="00FC0299" w:rsidRPr="00FC0299">
          <w:rPr>
            <w:rFonts w:cs="David" w:hint="cs"/>
            <w:color w:val="0000FF"/>
            <w:sz w:val="24"/>
            <w:szCs w:val="24"/>
            <w:u w:val="single"/>
            <w:rtl/>
          </w:rPr>
          <w:t>פ</w:t>
        </w:r>
        <w:r w:rsidR="00FC0299" w:rsidRPr="00FC0299">
          <w:rPr>
            <w:rFonts w:cs="David"/>
            <w:color w:val="0000FF"/>
            <w:sz w:val="24"/>
            <w:szCs w:val="24"/>
            <w:u w:val="single"/>
            <w:rtl/>
          </w:rPr>
          <w:t xml:space="preserve"> 2083/96</w:t>
        </w:r>
      </w:hyperlink>
      <w:r>
        <w:rPr>
          <w:rFonts w:cs="David" w:hint="cs"/>
          <w:sz w:val="24"/>
          <w:szCs w:val="24"/>
          <w:rtl/>
        </w:rPr>
        <w:t xml:space="preserve"> </w:t>
      </w:r>
      <w:r>
        <w:rPr>
          <w:rFonts w:cs="David" w:hint="cs"/>
          <w:b/>
          <w:bCs/>
          <w:sz w:val="24"/>
          <w:szCs w:val="24"/>
          <w:rtl/>
        </w:rPr>
        <w:t>תמר כתב נ' מדינת ישראל</w:t>
      </w:r>
      <w:r>
        <w:rPr>
          <w:rFonts w:cs="David" w:hint="cs"/>
          <w:sz w:val="24"/>
          <w:szCs w:val="24"/>
          <w:rtl/>
        </w:rPr>
        <w:t xml:space="preserve"> </w:t>
      </w:r>
      <w:r>
        <w:rPr>
          <w:rFonts w:cs="David" w:hint="cs"/>
          <w:sz w:val="24"/>
          <w:szCs w:val="24"/>
          <w:u w:val="single"/>
          <w:rtl/>
        </w:rPr>
        <w:t>ו</w:t>
      </w:r>
      <w:hyperlink r:id="rId29" w:history="1">
        <w:r w:rsidR="00FC0299" w:rsidRPr="00FC0299">
          <w:rPr>
            <w:rFonts w:cs="David" w:hint="cs"/>
            <w:color w:val="0000FF"/>
            <w:sz w:val="24"/>
            <w:szCs w:val="24"/>
            <w:u w:val="single"/>
            <w:rtl/>
          </w:rPr>
          <w:t>ע</w:t>
        </w:r>
        <w:r w:rsidR="00FC0299" w:rsidRPr="00FC0299">
          <w:rPr>
            <w:rFonts w:cs="David"/>
            <w:color w:val="0000FF"/>
            <w:sz w:val="24"/>
            <w:szCs w:val="24"/>
            <w:u w:val="single"/>
            <w:rtl/>
          </w:rPr>
          <w:t>"</w:t>
        </w:r>
        <w:r w:rsidR="00FC0299" w:rsidRPr="00FC0299">
          <w:rPr>
            <w:rFonts w:cs="David" w:hint="cs"/>
            <w:color w:val="0000FF"/>
            <w:sz w:val="24"/>
            <w:szCs w:val="24"/>
            <w:u w:val="single"/>
            <w:rtl/>
          </w:rPr>
          <w:t>פ</w:t>
        </w:r>
        <w:r w:rsidR="00FC0299" w:rsidRPr="00FC0299">
          <w:rPr>
            <w:rFonts w:cs="David"/>
            <w:color w:val="0000FF"/>
            <w:sz w:val="24"/>
            <w:szCs w:val="24"/>
            <w:u w:val="single"/>
            <w:rtl/>
          </w:rPr>
          <w:t xml:space="preserve"> 2513/96</w:t>
        </w:r>
      </w:hyperlink>
      <w:r>
        <w:rPr>
          <w:rFonts w:cs="David" w:hint="cs"/>
          <w:sz w:val="24"/>
          <w:szCs w:val="24"/>
          <w:rtl/>
        </w:rPr>
        <w:t xml:space="preserve"> </w:t>
      </w:r>
      <w:r>
        <w:rPr>
          <w:rFonts w:cs="David" w:hint="cs"/>
          <w:b/>
          <w:bCs/>
          <w:sz w:val="24"/>
          <w:szCs w:val="24"/>
          <w:rtl/>
        </w:rPr>
        <w:t>מדינת ישראל נ' ויקטור שמש</w:t>
      </w:r>
      <w:r>
        <w:rPr>
          <w:rFonts w:cs="David" w:hint="cs"/>
          <w:sz w:val="24"/>
          <w:szCs w:val="24"/>
          <w:rtl/>
        </w:rPr>
        <w:t xml:space="preserve"> (פורסמו במאגרים המשפטיים)). </w:t>
      </w:r>
    </w:p>
    <w:p w14:paraId="008D1AED" w14:textId="77777777" w:rsidR="00893B7B" w:rsidRDefault="00893B7B" w:rsidP="00893B7B">
      <w:pPr>
        <w:pStyle w:val="aa"/>
        <w:spacing w:line="360" w:lineRule="auto"/>
        <w:jc w:val="both"/>
        <w:rPr>
          <w:rFonts w:cs="David"/>
          <w:sz w:val="24"/>
          <w:szCs w:val="24"/>
          <w:rtl/>
        </w:rPr>
      </w:pPr>
      <w:r>
        <w:rPr>
          <w:rFonts w:cs="David" w:hint="cs"/>
          <w:sz w:val="24"/>
          <w:szCs w:val="24"/>
          <w:rtl/>
        </w:rPr>
        <w:t xml:space="preserve">(ראו גם: </w:t>
      </w:r>
      <w:hyperlink r:id="rId30" w:history="1">
        <w:r w:rsidR="00FC0299" w:rsidRPr="00FC0299">
          <w:rPr>
            <w:rFonts w:cs="David" w:hint="cs"/>
            <w:color w:val="0000FF"/>
            <w:sz w:val="24"/>
            <w:szCs w:val="24"/>
            <w:u w:val="single"/>
            <w:rtl/>
          </w:rPr>
          <w:t>ע</w:t>
        </w:r>
        <w:r w:rsidR="00FC0299" w:rsidRPr="00FC0299">
          <w:rPr>
            <w:rFonts w:cs="David"/>
            <w:color w:val="0000FF"/>
            <w:sz w:val="24"/>
            <w:szCs w:val="24"/>
            <w:u w:val="single"/>
            <w:rtl/>
          </w:rPr>
          <w:t>"</w:t>
        </w:r>
        <w:r w:rsidR="00FC0299" w:rsidRPr="00FC0299">
          <w:rPr>
            <w:rFonts w:cs="David" w:hint="cs"/>
            <w:color w:val="0000FF"/>
            <w:sz w:val="24"/>
            <w:szCs w:val="24"/>
            <w:u w:val="single"/>
            <w:rtl/>
          </w:rPr>
          <w:t>פ</w:t>
        </w:r>
        <w:r w:rsidR="00FC0299" w:rsidRPr="00FC0299">
          <w:rPr>
            <w:rFonts w:cs="David"/>
            <w:color w:val="0000FF"/>
            <w:sz w:val="24"/>
            <w:szCs w:val="24"/>
            <w:u w:val="single"/>
            <w:rtl/>
          </w:rPr>
          <w:t xml:space="preserve"> 8528/12</w:t>
        </w:r>
      </w:hyperlink>
      <w:r>
        <w:rPr>
          <w:rFonts w:cs="David" w:hint="cs"/>
          <w:sz w:val="24"/>
          <w:szCs w:val="24"/>
          <w:rtl/>
        </w:rPr>
        <w:t xml:space="preserve"> </w:t>
      </w:r>
      <w:r>
        <w:rPr>
          <w:rFonts w:cs="David" w:hint="cs"/>
          <w:b/>
          <w:bCs/>
          <w:sz w:val="24"/>
          <w:szCs w:val="24"/>
          <w:rtl/>
        </w:rPr>
        <w:t>צפורה נ' מדינת ישראל</w:t>
      </w:r>
      <w:r w:rsidR="00FC0299">
        <w:rPr>
          <w:rFonts w:cs="David" w:hint="cs"/>
          <w:sz w:val="24"/>
          <w:szCs w:val="24"/>
          <w:rtl/>
        </w:rPr>
        <w:t xml:space="preserve"> </w:t>
      </w:r>
      <w:r>
        <w:rPr>
          <w:rFonts w:cs="David" w:hint="cs"/>
          <w:sz w:val="24"/>
          <w:szCs w:val="24"/>
          <w:rtl/>
        </w:rPr>
        <w:t xml:space="preserve"> (3.3.13); </w:t>
      </w:r>
      <w:hyperlink r:id="rId31" w:history="1">
        <w:r w:rsidR="00FC0299" w:rsidRPr="00FC0299">
          <w:rPr>
            <w:rFonts w:cs="David" w:hint="cs"/>
            <w:color w:val="0000FF"/>
            <w:sz w:val="24"/>
            <w:szCs w:val="24"/>
            <w:u w:val="single"/>
            <w:rtl/>
          </w:rPr>
          <w:t>רע</w:t>
        </w:r>
        <w:r w:rsidR="00FC0299" w:rsidRPr="00FC0299">
          <w:rPr>
            <w:rFonts w:cs="David"/>
            <w:color w:val="0000FF"/>
            <w:sz w:val="24"/>
            <w:szCs w:val="24"/>
            <w:u w:val="single"/>
            <w:rtl/>
          </w:rPr>
          <w:t>"</w:t>
        </w:r>
        <w:r w:rsidR="00FC0299" w:rsidRPr="00FC0299">
          <w:rPr>
            <w:rFonts w:cs="David" w:hint="cs"/>
            <w:color w:val="0000FF"/>
            <w:sz w:val="24"/>
            <w:szCs w:val="24"/>
            <w:u w:val="single"/>
            <w:rtl/>
          </w:rPr>
          <w:t>פ</w:t>
        </w:r>
        <w:r w:rsidR="00FC0299" w:rsidRPr="00FC0299">
          <w:rPr>
            <w:rFonts w:cs="David"/>
            <w:color w:val="0000FF"/>
            <w:sz w:val="24"/>
            <w:szCs w:val="24"/>
            <w:u w:val="single"/>
            <w:rtl/>
          </w:rPr>
          <w:t xml:space="preserve"> 9118/12</w:t>
        </w:r>
      </w:hyperlink>
      <w:r>
        <w:rPr>
          <w:rFonts w:cs="David" w:hint="cs"/>
          <w:sz w:val="24"/>
          <w:szCs w:val="24"/>
          <w:rtl/>
        </w:rPr>
        <w:t xml:space="preserve"> </w:t>
      </w:r>
      <w:r>
        <w:rPr>
          <w:rFonts w:cs="David" w:hint="cs"/>
          <w:b/>
          <w:bCs/>
          <w:sz w:val="24"/>
          <w:szCs w:val="24"/>
          <w:rtl/>
        </w:rPr>
        <w:t>פריגין נ' מדינת ישראל</w:t>
      </w:r>
      <w:r w:rsidR="00FC0299">
        <w:rPr>
          <w:rFonts w:cs="David" w:hint="cs"/>
          <w:sz w:val="24"/>
          <w:szCs w:val="24"/>
          <w:rtl/>
        </w:rPr>
        <w:t xml:space="preserve"> </w:t>
      </w:r>
      <w:r>
        <w:rPr>
          <w:rFonts w:cs="David" w:hint="cs"/>
          <w:sz w:val="24"/>
          <w:szCs w:val="24"/>
          <w:rtl/>
        </w:rPr>
        <w:t xml:space="preserve"> (1.1.13); </w:t>
      </w:r>
      <w:hyperlink r:id="rId32" w:history="1">
        <w:r w:rsidR="00FC0299" w:rsidRPr="00FC0299">
          <w:rPr>
            <w:rFonts w:cs="David" w:hint="cs"/>
            <w:color w:val="0000FF"/>
            <w:sz w:val="24"/>
            <w:szCs w:val="24"/>
            <w:u w:val="single"/>
            <w:rtl/>
          </w:rPr>
          <w:t>ע</w:t>
        </w:r>
        <w:r w:rsidR="00FC0299" w:rsidRPr="00FC0299">
          <w:rPr>
            <w:rFonts w:cs="David"/>
            <w:color w:val="0000FF"/>
            <w:sz w:val="24"/>
            <w:szCs w:val="24"/>
            <w:u w:val="single"/>
            <w:rtl/>
          </w:rPr>
          <w:t>"</w:t>
        </w:r>
        <w:r w:rsidR="00FC0299" w:rsidRPr="00FC0299">
          <w:rPr>
            <w:rFonts w:cs="David" w:hint="cs"/>
            <w:color w:val="0000FF"/>
            <w:sz w:val="24"/>
            <w:szCs w:val="24"/>
            <w:u w:val="single"/>
            <w:rtl/>
          </w:rPr>
          <w:t>פ</w:t>
        </w:r>
        <w:r w:rsidR="00FC0299" w:rsidRPr="00FC0299">
          <w:rPr>
            <w:rFonts w:cs="David"/>
            <w:color w:val="0000FF"/>
            <w:sz w:val="24"/>
            <w:szCs w:val="24"/>
            <w:u w:val="single"/>
            <w:rtl/>
          </w:rPr>
          <w:t xml:space="preserve"> 5102/03</w:t>
        </w:r>
      </w:hyperlink>
      <w:r>
        <w:rPr>
          <w:rFonts w:cs="David" w:hint="cs"/>
          <w:sz w:val="24"/>
          <w:szCs w:val="24"/>
          <w:rtl/>
        </w:rPr>
        <w:t xml:space="preserve"> </w:t>
      </w:r>
      <w:r>
        <w:rPr>
          <w:rFonts w:cs="David" w:hint="cs"/>
          <w:b/>
          <w:bCs/>
          <w:sz w:val="24"/>
          <w:szCs w:val="24"/>
          <w:rtl/>
        </w:rPr>
        <w:t>מדינת ישראל נ' קליין</w:t>
      </w:r>
      <w:r>
        <w:rPr>
          <w:rFonts w:cs="David" w:hint="cs"/>
          <w:sz w:val="24"/>
          <w:szCs w:val="24"/>
          <w:rtl/>
        </w:rPr>
        <w:t xml:space="preserve"> (4.9.09); </w:t>
      </w:r>
      <w:hyperlink r:id="rId33" w:history="1">
        <w:r w:rsidR="00FC0299" w:rsidRPr="00FC0299">
          <w:rPr>
            <w:rFonts w:cs="David" w:hint="cs"/>
            <w:color w:val="0000FF"/>
            <w:sz w:val="24"/>
            <w:szCs w:val="24"/>
            <w:u w:val="single"/>
            <w:rtl/>
          </w:rPr>
          <w:t>ע</w:t>
        </w:r>
        <w:r w:rsidR="00FC0299" w:rsidRPr="00FC0299">
          <w:rPr>
            <w:rFonts w:cs="David"/>
            <w:color w:val="0000FF"/>
            <w:sz w:val="24"/>
            <w:szCs w:val="24"/>
            <w:u w:val="single"/>
            <w:rtl/>
          </w:rPr>
          <w:t>"</w:t>
        </w:r>
        <w:r w:rsidR="00FC0299" w:rsidRPr="00FC0299">
          <w:rPr>
            <w:rFonts w:cs="David" w:hint="cs"/>
            <w:color w:val="0000FF"/>
            <w:sz w:val="24"/>
            <w:szCs w:val="24"/>
            <w:u w:val="single"/>
            <w:rtl/>
          </w:rPr>
          <w:t>פ</w:t>
        </w:r>
        <w:r w:rsidR="00FC0299" w:rsidRPr="00FC0299">
          <w:rPr>
            <w:rFonts w:cs="David"/>
            <w:color w:val="0000FF"/>
            <w:sz w:val="24"/>
            <w:szCs w:val="24"/>
            <w:u w:val="single"/>
            <w:rtl/>
          </w:rPr>
          <w:t xml:space="preserve"> 9893/06</w:t>
        </w:r>
      </w:hyperlink>
      <w:r>
        <w:rPr>
          <w:rFonts w:cs="David" w:hint="cs"/>
          <w:sz w:val="24"/>
          <w:szCs w:val="24"/>
          <w:rtl/>
        </w:rPr>
        <w:t xml:space="preserve"> </w:t>
      </w:r>
      <w:r>
        <w:rPr>
          <w:rFonts w:cs="David" w:hint="cs"/>
          <w:b/>
          <w:bCs/>
          <w:sz w:val="24"/>
          <w:szCs w:val="24"/>
          <w:rtl/>
        </w:rPr>
        <w:t>לאופר נ' מדינת ישראל</w:t>
      </w:r>
      <w:r>
        <w:rPr>
          <w:rFonts w:cs="David" w:hint="cs"/>
          <w:sz w:val="24"/>
          <w:szCs w:val="24"/>
          <w:rtl/>
        </w:rPr>
        <w:t xml:space="preserve"> (31.12.07)).</w:t>
      </w:r>
    </w:p>
    <w:p w14:paraId="404EA215" w14:textId="77777777" w:rsidR="00893B7B" w:rsidRDefault="00893B7B" w:rsidP="00893B7B">
      <w:pPr>
        <w:spacing w:line="360" w:lineRule="auto"/>
        <w:jc w:val="both"/>
        <w:rPr>
          <w:rtl/>
        </w:rPr>
      </w:pPr>
    </w:p>
    <w:p w14:paraId="23ACCB03" w14:textId="77777777" w:rsidR="00893B7B" w:rsidRDefault="00893B7B" w:rsidP="00893B7B">
      <w:pPr>
        <w:pStyle w:val="aa"/>
        <w:numPr>
          <w:ilvl w:val="0"/>
          <w:numId w:val="1"/>
        </w:numPr>
        <w:spacing w:line="360" w:lineRule="auto"/>
        <w:jc w:val="both"/>
        <w:rPr>
          <w:rFonts w:cs="David"/>
          <w:b/>
          <w:bCs/>
          <w:sz w:val="24"/>
          <w:szCs w:val="24"/>
          <w:rtl/>
        </w:rPr>
      </w:pPr>
      <w:r>
        <w:rPr>
          <w:rFonts w:cs="David" w:hint="cs"/>
          <w:sz w:val="24"/>
          <w:szCs w:val="24"/>
          <w:u w:val="single"/>
          <w:rtl/>
        </w:rPr>
        <w:t>ב</w:t>
      </w:r>
      <w:hyperlink r:id="rId34" w:history="1">
        <w:r w:rsidR="00FC0299" w:rsidRPr="00FC0299">
          <w:rPr>
            <w:rFonts w:cs="David" w:hint="cs"/>
            <w:color w:val="0000FF"/>
            <w:sz w:val="24"/>
            <w:szCs w:val="24"/>
            <w:u w:val="single"/>
            <w:rtl/>
          </w:rPr>
          <w:t>ע</w:t>
        </w:r>
        <w:r w:rsidR="00FC0299" w:rsidRPr="00FC0299">
          <w:rPr>
            <w:rFonts w:cs="David"/>
            <w:color w:val="0000FF"/>
            <w:sz w:val="24"/>
            <w:szCs w:val="24"/>
            <w:u w:val="single"/>
            <w:rtl/>
          </w:rPr>
          <w:t>"</w:t>
        </w:r>
        <w:r w:rsidR="00FC0299" w:rsidRPr="00FC0299">
          <w:rPr>
            <w:rFonts w:cs="David" w:hint="cs"/>
            <w:color w:val="0000FF"/>
            <w:sz w:val="24"/>
            <w:szCs w:val="24"/>
            <w:u w:val="single"/>
            <w:rtl/>
          </w:rPr>
          <w:t>פ</w:t>
        </w:r>
        <w:r w:rsidR="00FC0299" w:rsidRPr="00FC0299">
          <w:rPr>
            <w:rFonts w:cs="David"/>
            <w:color w:val="0000FF"/>
            <w:sz w:val="24"/>
            <w:szCs w:val="24"/>
            <w:u w:val="single"/>
            <w:rtl/>
          </w:rPr>
          <w:t xml:space="preserve"> 2083/96</w:t>
        </w:r>
      </w:hyperlink>
      <w:r>
        <w:rPr>
          <w:rFonts w:cs="David" w:hint="cs"/>
          <w:sz w:val="24"/>
          <w:szCs w:val="24"/>
          <w:rtl/>
        </w:rPr>
        <w:t xml:space="preserve"> הנ"ל ציין כבוד השופט לוין כי אי הרשעה תבוא במקום בו בית המשפט ישוכנע כי שיקולי השיקום של הנאשם המסוים שבפניו, גוברים על האינטרס הציבורי הנובע מחומרת העבירה והאפקט הציבורי של ההרשעה, כאשר על בית המשפט לבחון שיקולים שונים, כגון האם מדובר בעבירה ראשונה, מהי חומרת העבירה ונסיבותיה, מידת הפגיעה של העברה באחרים, יחסו של הנאשם לעבירה, השפעת ההרשעה על הנאשם ועוד.</w:t>
      </w:r>
    </w:p>
    <w:p w14:paraId="36F4E6B1" w14:textId="77777777" w:rsidR="00893B7B" w:rsidRDefault="00893B7B" w:rsidP="00893B7B">
      <w:pPr>
        <w:pStyle w:val="aa"/>
        <w:spacing w:line="360" w:lineRule="auto"/>
        <w:jc w:val="both"/>
        <w:rPr>
          <w:rFonts w:cs="David"/>
          <w:b/>
          <w:bCs/>
          <w:sz w:val="24"/>
          <w:szCs w:val="24"/>
          <w:rtl/>
        </w:rPr>
      </w:pPr>
    </w:p>
    <w:p w14:paraId="6C42DB68" w14:textId="77777777" w:rsidR="00893B7B" w:rsidRDefault="00FC0299" w:rsidP="00893B7B">
      <w:pPr>
        <w:pStyle w:val="aa"/>
        <w:numPr>
          <w:ilvl w:val="0"/>
          <w:numId w:val="1"/>
        </w:numPr>
        <w:spacing w:line="360" w:lineRule="auto"/>
        <w:jc w:val="both"/>
        <w:rPr>
          <w:rFonts w:cs="David"/>
          <w:sz w:val="24"/>
          <w:szCs w:val="24"/>
          <w:rtl/>
        </w:rPr>
      </w:pPr>
      <w:r>
        <w:rPr>
          <w:rFonts w:cs="David" w:hint="cs"/>
          <w:sz w:val="24"/>
          <w:szCs w:val="24"/>
          <w:rtl/>
        </w:rPr>
        <w:t xml:space="preserve"> </w:t>
      </w:r>
      <w:r w:rsidR="00893B7B">
        <w:rPr>
          <w:rFonts w:cs="David" w:hint="cs"/>
          <w:sz w:val="24"/>
          <w:szCs w:val="24"/>
          <w:rtl/>
        </w:rPr>
        <w:t xml:space="preserve">כעולה מתסקיר שרות המבחן, עסקינן בנאשם שהינו אדם צעיר בעל נסיבות חיים מורכבות, שחרף הקשיים שחווה במהלך חייו - ובכלל זה גדילתו בהעדר דמות אב, קשיים כלכליים, ומתן תמיכה פיזית, נפשית וכלכלית לאביו בשנותיו האחרונות עד מותו, וכן אובדנו - השכיל לגייס כוחות, להשתלב במסגרות ולהתמיד בהן, תוך שגילה יכולות ושאיפות רבות לממש הפוטנציאל הגלום בו, להתקדם ולהצליח. הנאשם סיים 12 שנות לימוד ושירות צבאי מלא, אף שנדרש לעבוד במקביל ולסייע בפרנסת משפחתו. הנאשם שמר לאורך שנים וממשיך לשמור על רצף תעסוקתי, יזם בעצמו הליך טיפולי במטרה להתנקות מהתמכרותו לסמים, וניכר כי הוא משקיע מאמצים רבים לייצב את חייו, להתפתח ולהתקדם. </w:t>
      </w:r>
    </w:p>
    <w:p w14:paraId="5BE80D14" w14:textId="77777777" w:rsidR="00893B7B" w:rsidRDefault="00893B7B" w:rsidP="00893B7B">
      <w:pPr>
        <w:pStyle w:val="aa"/>
        <w:spacing w:line="360" w:lineRule="auto"/>
        <w:jc w:val="both"/>
        <w:rPr>
          <w:rFonts w:cs="David"/>
          <w:sz w:val="24"/>
          <w:szCs w:val="24"/>
        </w:rPr>
      </w:pPr>
    </w:p>
    <w:p w14:paraId="704AB279"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 xml:space="preserve">כאמור לעיל, ממידע שהגיע לשירות המבחן ממרכז "חוסן" עלה, כי הנאשם מגיע לפגישות הטיפוליות באופן קבוע, משתף פעולה באופן מלא עם הגורמים הטיפולים, מוסר דגימות שתן נקיות וכי סיכויי שיקומו הינם טובים. </w:t>
      </w:r>
    </w:p>
    <w:p w14:paraId="7CADAF9C"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 xml:space="preserve">לא התעלמתי מגורמי הסיכון אותם מנה שירות המבחן בתסקירו, אך נראה כי שיעור הסיכוי לשיקום עולה עליהם באופן משמעותי וניכר לכל עין. </w:t>
      </w:r>
    </w:p>
    <w:p w14:paraId="2E36E3FE" w14:textId="77777777" w:rsidR="00893B7B" w:rsidRDefault="00893B7B" w:rsidP="00893B7B">
      <w:pPr>
        <w:pStyle w:val="aa"/>
        <w:rPr>
          <w:rFonts w:cs="David"/>
          <w:sz w:val="24"/>
          <w:szCs w:val="24"/>
          <w:rtl/>
        </w:rPr>
      </w:pPr>
    </w:p>
    <w:p w14:paraId="0AD5458B"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התרשמתי כי הנאשם עושה כברת דרך לעבר שיקומו ובכלל זה, עובד במקום עבודה מסודר, עובר הליך טיפולי ואף צפוי להתחתן ולהקים משפחה בעתיד הקרוב. לדידי, המוטיבציה הגבוהה שמביע הנאשם לניהול אורח חיים תקין מהווים פריצת דרך בחייו ועוגן להליך שיקומו.</w:t>
      </w:r>
    </w:p>
    <w:p w14:paraId="32D996CD" w14:textId="77777777" w:rsidR="00893B7B" w:rsidRDefault="00893B7B" w:rsidP="00893B7B">
      <w:pPr>
        <w:pStyle w:val="aa"/>
        <w:spacing w:line="360" w:lineRule="auto"/>
        <w:jc w:val="both"/>
        <w:rPr>
          <w:rFonts w:cs="David"/>
          <w:sz w:val="24"/>
          <w:szCs w:val="24"/>
        </w:rPr>
      </w:pPr>
    </w:p>
    <w:p w14:paraId="607AFDE1" w14:textId="77777777" w:rsidR="00893B7B" w:rsidRPr="004F3778" w:rsidRDefault="00893B7B" w:rsidP="00893B7B">
      <w:pPr>
        <w:pStyle w:val="aa"/>
        <w:numPr>
          <w:ilvl w:val="0"/>
          <w:numId w:val="1"/>
        </w:numPr>
        <w:spacing w:line="360" w:lineRule="auto"/>
        <w:jc w:val="both"/>
        <w:rPr>
          <w:rFonts w:cs="David"/>
          <w:sz w:val="24"/>
          <w:szCs w:val="24"/>
          <w:rtl/>
        </w:rPr>
      </w:pPr>
      <w:r w:rsidRPr="00433689">
        <w:rPr>
          <w:rFonts w:cs="David" w:hint="cs"/>
          <w:sz w:val="24"/>
          <w:szCs w:val="24"/>
          <w:rtl/>
        </w:rPr>
        <w:t>זאת ועוד, לא התעלמתי מכך שלנאשם הליך קודם שהסתיים ללא הרשעה בגין עבירות רכוש,</w:t>
      </w:r>
      <w:r>
        <w:rPr>
          <w:rFonts w:cs="David" w:hint="cs"/>
          <w:sz w:val="24"/>
          <w:szCs w:val="24"/>
          <w:rtl/>
        </w:rPr>
        <w:t xml:space="preserve"> ו</w:t>
      </w:r>
      <w:r w:rsidRPr="004F3778">
        <w:rPr>
          <w:rFonts w:cs="David" w:hint="cs"/>
          <w:sz w:val="24"/>
          <w:szCs w:val="24"/>
          <w:rtl/>
        </w:rPr>
        <w:t xml:space="preserve">אכן, על דרך הכלל, אין מקום לשקול הימנעות מהרשעה בעניינו של נאשם אשר בית המשפט נמנע מהרשעתו בעבר. ואולם, לכלל זה יכול ויהיו חריגים, במקרים המתאימים, ולא ניתן לשלול אפשרות זו מניה וביה. התנאים להימנעות מהרשעה הותוו לראשונה באופן מסודר בהלכת כתב כאשר אחד התנאים הינו, כי הנאשם לא הסתבך בביצוע עבירות פליליות בעבר. ואולם, עיון בפסק הדין מגלה, כי עסקינן באחד מן השיקולים ששוקל בית המשפט מתוך רשימת שיקולים, שאיננה בגדר רשימה סגורה. </w:t>
      </w:r>
    </w:p>
    <w:p w14:paraId="696A7E8C" w14:textId="77777777" w:rsidR="00893B7B" w:rsidRDefault="00893B7B" w:rsidP="00893B7B">
      <w:pPr>
        <w:pStyle w:val="aa"/>
        <w:spacing w:line="360" w:lineRule="auto"/>
        <w:jc w:val="both"/>
        <w:rPr>
          <w:rFonts w:cs="David"/>
          <w:sz w:val="24"/>
          <w:szCs w:val="24"/>
          <w:rtl/>
        </w:rPr>
      </w:pPr>
    </w:p>
    <w:p w14:paraId="3585AA96" w14:textId="77777777" w:rsidR="00893B7B" w:rsidRDefault="00893B7B" w:rsidP="00893B7B">
      <w:pPr>
        <w:pStyle w:val="aa"/>
        <w:numPr>
          <w:ilvl w:val="0"/>
          <w:numId w:val="1"/>
        </w:numPr>
        <w:spacing w:line="360" w:lineRule="auto"/>
        <w:jc w:val="both"/>
        <w:rPr>
          <w:rFonts w:cs="David"/>
          <w:sz w:val="24"/>
          <w:szCs w:val="24"/>
        </w:rPr>
      </w:pPr>
      <w:r>
        <w:rPr>
          <w:rFonts w:cs="David" w:hint="cs"/>
          <w:sz w:val="24"/>
          <w:szCs w:val="24"/>
          <w:rtl/>
        </w:rPr>
        <w:t>זאת ועוד, אין כל ביסוס חוקי הנוטל מבית המשפט את סמכותו להימנע מהרשעת נאשם אשר בית המשפט נמנע מהרשעתו בעבר , אם כי ברור שעניין זה יעשה בזהירות יתרה, תוך התחשבות בכל מקרה ומקרה על פי נסיבותיו ולאורו של תיקון 113 ל</w:t>
      </w:r>
      <w:hyperlink r:id="rId35" w:history="1">
        <w:r w:rsidR="00FC0299" w:rsidRPr="00FC0299">
          <w:rPr>
            <w:rFonts w:cs="David" w:hint="cs"/>
            <w:color w:val="0000FF"/>
            <w:sz w:val="24"/>
            <w:szCs w:val="24"/>
            <w:u w:val="single"/>
            <w:rtl/>
          </w:rPr>
          <w:t>חוק</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העונשין</w:t>
        </w:r>
      </w:hyperlink>
      <w:r>
        <w:rPr>
          <w:rFonts w:cs="David" w:hint="cs"/>
          <w:sz w:val="24"/>
          <w:szCs w:val="24"/>
          <w:rtl/>
        </w:rPr>
        <w:t xml:space="preserve"> (ר' למשל, </w:t>
      </w:r>
      <w:hyperlink r:id="rId36" w:history="1">
        <w:r w:rsidR="00FC0299" w:rsidRPr="00FC0299">
          <w:rPr>
            <w:rFonts w:cs="David" w:hint="cs"/>
            <w:color w:val="0000FF"/>
            <w:sz w:val="24"/>
            <w:szCs w:val="24"/>
            <w:u w:val="single"/>
            <w:rtl/>
          </w:rPr>
          <w:t>ת</w:t>
        </w:r>
        <w:r w:rsidR="00FC0299" w:rsidRPr="00FC0299">
          <w:rPr>
            <w:rFonts w:cs="David"/>
            <w:color w:val="0000FF"/>
            <w:sz w:val="24"/>
            <w:szCs w:val="24"/>
            <w:u w:val="single"/>
            <w:rtl/>
          </w:rPr>
          <w:t>"</w:t>
        </w:r>
        <w:r w:rsidR="00FC0299" w:rsidRPr="00FC0299">
          <w:rPr>
            <w:rFonts w:cs="David" w:hint="cs"/>
            <w:color w:val="0000FF"/>
            <w:sz w:val="24"/>
            <w:szCs w:val="24"/>
            <w:u w:val="single"/>
            <w:rtl/>
          </w:rPr>
          <w:t>פ</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שלום</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קרית</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גת</w:t>
        </w:r>
        <w:r w:rsidR="00FC0299" w:rsidRPr="00FC0299">
          <w:rPr>
            <w:rFonts w:cs="David"/>
            <w:color w:val="0000FF"/>
            <w:sz w:val="24"/>
            <w:szCs w:val="24"/>
            <w:u w:val="single"/>
            <w:rtl/>
          </w:rPr>
          <w:t>) 58296-02-13</w:t>
        </w:r>
      </w:hyperlink>
      <w:r w:rsidRPr="004F3778">
        <w:rPr>
          <w:rFonts w:cs="David" w:hint="cs"/>
          <w:sz w:val="24"/>
          <w:szCs w:val="24"/>
          <w:rtl/>
        </w:rPr>
        <w:t xml:space="preserve"> </w:t>
      </w:r>
      <w:r w:rsidRPr="004F3778">
        <w:rPr>
          <w:rFonts w:cs="David" w:hint="cs"/>
          <w:b/>
          <w:bCs/>
          <w:sz w:val="24"/>
          <w:szCs w:val="24"/>
          <w:rtl/>
        </w:rPr>
        <w:t>מ"י נ' אטנילוב</w:t>
      </w:r>
      <w:r w:rsidRPr="004F3778">
        <w:rPr>
          <w:rFonts w:cs="David" w:hint="cs"/>
          <w:sz w:val="24"/>
          <w:szCs w:val="24"/>
          <w:rtl/>
        </w:rPr>
        <w:t xml:space="preserve"> ( 29.9.14)) ו</w:t>
      </w:r>
      <w:hyperlink r:id="rId37" w:history="1">
        <w:r w:rsidR="00FC0299" w:rsidRPr="00FC0299">
          <w:rPr>
            <w:rFonts w:cs="David" w:hint="cs"/>
            <w:color w:val="0000FF"/>
            <w:sz w:val="24"/>
            <w:szCs w:val="24"/>
            <w:u w:val="single"/>
            <w:rtl/>
          </w:rPr>
          <w:t>ת</w:t>
        </w:r>
        <w:r w:rsidR="00FC0299" w:rsidRPr="00FC0299">
          <w:rPr>
            <w:rFonts w:cs="David"/>
            <w:color w:val="0000FF"/>
            <w:sz w:val="24"/>
            <w:szCs w:val="24"/>
            <w:u w:val="single"/>
            <w:rtl/>
          </w:rPr>
          <w:t>"</w:t>
        </w:r>
        <w:r w:rsidR="00FC0299" w:rsidRPr="00FC0299">
          <w:rPr>
            <w:rFonts w:cs="David" w:hint="cs"/>
            <w:color w:val="0000FF"/>
            <w:sz w:val="24"/>
            <w:szCs w:val="24"/>
            <w:u w:val="single"/>
            <w:rtl/>
          </w:rPr>
          <w:t>פ</w:t>
        </w:r>
        <w:r w:rsidR="00FC0299" w:rsidRPr="00FC0299">
          <w:rPr>
            <w:rFonts w:cs="David"/>
            <w:color w:val="0000FF"/>
            <w:sz w:val="24"/>
            <w:szCs w:val="24"/>
            <w:u w:val="single"/>
            <w:rtl/>
          </w:rPr>
          <w:t xml:space="preserve"> ( </w:t>
        </w:r>
        <w:r w:rsidR="00FC0299" w:rsidRPr="00FC0299">
          <w:rPr>
            <w:rFonts w:cs="David" w:hint="cs"/>
            <w:color w:val="0000FF"/>
            <w:sz w:val="24"/>
            <w:szCs w:val="24"/>
            <w:u w:val="single"/>
            <w:rtl/>
          </w:rPr>
          <w:t>שלום</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קרית</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גת</w:t>
        </w:r>
        <w:r w:rsidR="00FC0299" w:rsidRPr="00FC0299">
          <w:rPr>
            <w:rFonts w:cs="David"/>
            <w:color w:val="0000FF"/>
            <w:sz w:val="24"/>
            <w:szCs w:val="24"/>
            <w:u w:val="single"/>
            <w:rtl/>
          </w:rPr>
          <w:t>) 31963-02-13</w:t>
        </w:r>
      </w:hyperlink>
      <w:r w:rsidRPr="004F3778">
        <w:rPr>
          <w:rFonts w:cs="David" w:hint="cs"/>
          <w:sz w:val="24"/>
          <w:szCs w:val="24"/>
          <w:rtl/>
        </w:rPr>
        <w:t xml:space="preserve"> </w:t>
      </w:r>
      <w:r w:rsidRPr="004F3778">
        <w:rPr>
          <w:rFonts w:cs="David" w:hint="cs"/>
          <w:b/>
          <w:bCs/>
          <w:sz w:val="24"/>
          <w:szCs w:val="24"/>
          <w:rtl/>
        </w:rPr>
        <w:t>מ"י נ' בוקובזה</w:t>
      </w:r>
      <w:r w:rsidRPr="004F3778">
        <w:rPr>
          <w:rFonts w:cs="David" w:hint="cs"/>
          <w:sz w:val="24"/>
          <w:szCs w:val="24"/>
          <w:rtl/>
        </w:rPr>
        <w:t xml:space="preserve"> ( 5.10.14).</w:t>
      </w:r>
      <w:r w:rsidR="00FC0299">
        <w:rPr>
          <w:rFonts w:cs="David" w:hint="cs"/>
          <w:sz w:val="24"/>
          <w:szCs w:val="24"/>
          <w:rtl/>
        </w:rPr>
        <w:t xml:space="preserve"> </w:t>
      </w:r>
      <w:r w:rsidRPr="004F3778">
        <w:rPr>
          <w:rFonts w:cs="David" w:hint="cs"/>
          <w:sz w:val="24"/>
          <w:szCs w:val="24"/>
          <w:rtl/>
        </w:rPr>
        <w:t xml:space="preserve"> </w:t>
      </w:r>
    </w:p>
    <w:p w14:paraId="63EDFB48" w14:textId="77777777" w:rsidR="00893B7B" w:rsidRPr="004F3778" w:rsidRDefault="00893B7B" w:rsidP="00893B7B">
      <w:pPr>
        <w:pStyle w:val="aa"/>
        <w:spacing w:line="360" w:lineRule="auto"/>
        <w:jc w:val="both"/>
        <w:rPr>
          <w:rFonts w:cs="David"/>
          <w:sz w:val="24"/>
          <w:szCs w:val="24"/>
          <w:rtl/>
        </w:rPr>
      </w:pPr>
    </w:p>
    <w:p w14:paraId="3BCDDB3D"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 xml:space="preserve">לצד האינטרס הציבורי הדורש ענישה מוחשית ומרתיעה בעבירה אותה עבר הנאשם אשר זכה כבר בעבר להתחשבות במצבו, יש לזכור ולהזכיר כי הענישה גם לאחר תיקון 113 היא לעולם אינדיווידואלית. </w:t>
      </w:r>
    </w:p>
    <w:p w14:paraId="63608415" w14:textId="77777777" w:rsidR="00893B7B" w:rsidRDefault="00893B7B" w:rsidP="00893B7B">
      <w:pPr>
        <w:pStyle w:val="aa"/>
        <w:spacing w:line="360" w:lineRule="auto"/>
        <w:jc w:val="both"/>
        <w:rPr>
          <w:rFonts w:cs="David"/>
          <w:sz w:val="24"/>
          <w:szCs w:val="24"/>
          <w:rtl/>
        </w:rPr>
      </w:pPr>
    </w:p>
    <w:p w14:paraId="08B7FA11" w14:textId="77777777" w:rsidR="00893B7B" w:rsidRPr="004F3778" w:rsidRDefault="00893B7B" w:rsidP="00893B7B">
      <w:pPr>
        <w:pStyle w:val="aa"/>
        <w:numPr>
          <w:ilvl w:val="0"/>
          <w:numId w:val="1"/>
        </w:numPr>
        <w:spacing w:line="360" w:lineRule="auto"/>
        <w:jc w:val="both"/>
        <w:rPr>
          <w:rFonts w:cs="David"/>
          <w:sz w:val="24"/>
          <w:szCs w:val="24"/>
          <w:rtl/>
        </w:rPr>
      </w:pPr>
      <w:r>
        <w:rPr>
          <w:rFonts w:cs="David" w:hint="cs"/>
          <w:sz w:val="24"/>
          <w:szCs w:val="24"/>
          <w:rtl/>
        </w:rPr>
        <w:t xml:space="preserve">סבורני, כי </w:t>
      </w:r>
      <w:r w:rsidRPr="004F3778">
        <w:rPr>
          <w:rFonts w:cs="David" w:hint="cs"/>
          <w:sz w:val="24"/>
          <w:szCs w:val="24"/>
          <w:rtl/>
        </w:rPr>
        <w:t>השיקולים הפרטניים במקרה זה מצדיקים הקלה משמעותית בעונשו של הנאשם וסטייה לקולא מהמתחם שקבעתי לעיל, על אף חומרת מעשיו וחרף העובדה כי בית המשפט נמנע בעבר מהרש</w:t>
      </w:r>
      <w:r>
        <w:rPr>
          <w:rFonts w:cs="David" w:hint="cs"/>
          <w:sz w:val="24"/>
          <w:szCs w:val="24"/>
          <w:rtl/>
        </w:rPr>
        <w:t>עתו. נסיבות המקרה, כעולה מתסקיר</w:t>
      </w:r>
      <w:r w:rsidRPr="004F3778">
        <w:rPr>
          <w:rFonts w:cs="David" w:hint="cs"/>
          <w:sz w:val="24"/>
          <w:szCs w:val="24"/>
          <w:rtl/>
        </w:rPr>
        <w:t xml:space="preserve"> שרות המבחן ובייחוד הרצון הכן שהפגין הנאשם לשקם את חייו ולהעלותם למסלול נורמטיבי – תוך מאמץ ניכר, שאיננו מובן מאליו כלל בהינתן - נסיבות חייו המורכבות והסביבה בה גדל -</w:t>
      </w:r>
      <w:r>
        <w:rPr>
          <w:rFonts w:cs="David" w:hint="cs"/>
          <w:sz w:val="24"/>
          <w:szCs w:val="24"/>
          <w:rtl/>
        </w:rPr>
        <w:t xml:space="preserve"> </w:t>
      </w:r>
      <w:r w:rsidRPr="004F3778">
        <w:rPr>
          <w:rFonts w:cs="David" w:hint="cs"/>
          <w:sz w:val="24"/>
          <w:szCs w:val="24"/>
          <w:rtl/>
        </w:rPr>
        <w:t xml:space="preserve">מטים את הכף להעדפת השיקול השיקומי. </w:t>
      </w:r>
    </w:p>
    <w:p w14:paraId="150108E3" w14:textId="77777777" w:rsidR="00893B7B" w:rsidRDefault="00893B7B" w:rsidP="00893B7B">
      <w:pPr>
        <w:pStyle w:val="aa"/>
        <w:spacing w:line="360" w:lineRule="auto"/>
        <w:jc w:val="both"/>
        <w:rPr>
          <w:rFonts w:cs="David"/>
          <w:sz w:val="24"/>
          <w:szCs w:val="24"/>
          <w:rtl/>
        </w:rPr>
      </w:pPr>
    </w:p>
    <w:p w14:paraId="63BEB478" w14:textId="77777777" w:rsidR="00893B7B" w:rsidRDefault="00893B7B" w:rsidP="00893B7B">
      <w:pPr>
        <w:pStyle w:val="aa"/>
        <w:numPr>
          <w:ilvl w:val="0"/>
          <w:numId w:val="1"/>
        </w:numPr>
        <w:spacing w:line="360" w:lineRule="auto"/>
        <w:jc w:val="both"/>
        <w:rPr>
          <w:rFonts w:cs="David"/>
          <w:sz w:val="24"/>
          <w:szCs w:val="24"/>
          <w:rtl/>
        </w:rPr>
      </w:pPr>
      <w:r>
        <w:rPr>
          <w:rFonts w:cs="David" w:hint="cs"/>
          <w:sz w:val="24"/>
          <w:szCs w:val="24"/>
          <w:rtl/>
        </w:rPr>
        <w:t xml:space="preserve">ר' לעניין זה הדברים שנאמרו </w:t>
      </w:r>
      <w:r>
        <w:rPr>
          <w:rFonts w:cs="David" w:hint="cs"/>
          <w:sz w:val="24"/>
          <w:szCs w:val="24"/>
          <w:u w:val="single"/>
          <w:rtl/>
        </w:rPr>
        <w:t>ברע"פ 362/14</w:t>
      </w:r>
      <w:r>
        <w:rPr>
          <w:rFonts w:cs="David" w:hint="cs"/>
          <w:sz w:val="24"/>
          <w:szCs w:val="24"/>
          <w:rtl/>
        </w:rPr>
        <w:t xml:space="preserve"> </w:t>
      </w:r>
      <w:r>
        <w:rPr>
          <w:rFonts w:cs="David" w:hint="cs"/>
          <w:b/>
          <w:bCs/>
          <w:sz w:val="24"/>
          <w:szCs w:val="24"/>
          <w:rtl/>
        </w:rPr>
        <w:t>נאשף נ' מ"י</w:t>
      </w:r>
      <w:r>
        <w:rPr>
          <w:rFonts w:cs="David" w:hint="cs"/>
          <w:sz w:val="24"/>
          <w:szCs w:val="24"/>
          <w:rtl/>
        </w:rPr>
        <w:t xml:space="preserve"> (פורסם במאגרים המשפטיים): </w:t>
      </w:r>
    </w:p>
    <w:p w14:paraId="261E4ECA" w14:textId="77777777" w:rsidR="00893B7B" w:rsidRDefault="00893B7B" w:rsidP="00893B7B">
      <w:pPr>
        <w:pStyle w:val="aa"/>
        <w:spacing w:line="360" w:lineRule="auto"/>
        <w:ind w:left="1440"/>
        <w:jc w:val="both"/>
        <w:rPr>
          <w:rFonts w:cs="David"/>
          <w:b/>
          <w:bCs/>
          <w:sz w:val="24"/>
          <w:szCs w:val="24"/>
          <w:rtl/>
        </w:rPr>
      </w:pPr>
      <w:r>
        <w:rPr>
          <w:rFonts w:cs="David" w:hint="cs"/>
          <w:b/>
          <w:bCs/>
          <w:sz w:val="24"/>
          <w:szCs w:val="24"/>
          <w:rtl/>
        </w:rPr>
        <w:t xml:space="preserve">"בית המשפט יטה לבכר את שיקולי שיקומו של הנאשם על פני שיקולים אחרים כאשר הוא משתכנע כי הנאשם השתקם ושינה את דרכיו, או כי קיים סיכוי ממשי לשיקומו, וכך הוא "במקום שנראה כעקבי הליך השיקום שבו מצוי המבקש – המערער" (ראו </w:t>
      </w:r>
      <w:hyperlink r:id="rId38" w:history="1">
        <w:r w:rsidR="00FC0299" w:rsidRPr="00FC0299">
          <w:rPr>
            <w:rFonts w:cs="David" w:hint="cs"/>
            <w:b/>
            <w:bCs/>
            <w:color w:val="0000FF"/>
            <w:sz w:val="24"/>
            <w:szCs w:val="24"/>
            <w:u w:val="single"/>
            <w:rtl/>
          </w:rPr>
          <w:t>רע</w:t>
        </w:r>
        <w:r w:rsidR="00FC0299" w:rsidRPr="00FC0299">
          <w:rPr>
            <w:rFonts w:cs="David"/>
            <w:b/>
            <w:bCs/>
            <w:color w:val="0000FF"/>
            <w:sz w:val="24"/>
            <w:szCs w:val="24"/>
            <w:u w:val="single"/>
            <w:rtl/>
          </w:rPr>
          <w:t>"</w:t>
        </w:r>
        <w:r w:rsidR="00FC0299" w:rsidRPr="00FC0299">
          <w:rPr>
            <w:rFonts w:cs="David" w:hint="cs"/>
            <w:b/>
            <w:bCs/>
            <w:color w:val="0000FF"/>
            <w:sz w:val="24"/>
            <w:szCs w:val="24"/>
            <w:u w:val="single"/>
            <w:rtl/>
          </w:rPr>
          <w:t>פ</w:t>
        </w:r>
        <w:r w:rsidR="00FC0299" w:rsidRPr="00FC0299">
          <w:rPr>
            <w:rFonts w:cs="David"/>
            <w:b/>
            <w:bCs/>
            <w:color w:val="0000FF"/>
            <w:sz w:val="24"/>
            <w:szCs w:val="24"/>
            <w:u w:val="single"/>
            <w:rtl/>
          </w:rPr>
          <w:t xml:space="preserve"> 8665/12</w:t>
        </w:r>
      </w:hyperlink>
      <w:r>
        <w:rPr>
          <w:rFonts w:cs="David" w:hint="cs"/>
          <w:b/>
          <w:bCs/>
          <w:sz w:val="24"/>
          <w:szCs w:val="24"/>
          <w:rtl/>
        </w:rPr>
        <w:t xml:space="preserve"> ברהנה נ' מדינת ישראל [פורסם בנבו] (2.5.2013)) – ואילו השמתו של הנידון מאחורי סורג ובריח עלולה לאיין את ההליך השיקומי, או לפגוע בו באופן ניכר". </w:t>
      </w:r>
    </w:p>
    <w:p w14:paraId="73C16423" w14:textId="77777777" w:rsidR="00893B7B" w:rsidRDefault="00893B7B" w:rsidP="00893B7B">
      <w:pPr>
        <w:pStyle w:val="aa"/>
        <w:spacing w:line="360" w:lineRule="auto"/>
        <w:jc w:val="both"/>
        <w:rPr>
          <w:rFonts w:cs="David"/>
          <w:sz w:val="24"/>
          <w:szCs w:val="24"/>
          <w:rtl/>
        </w:rPr>
      </w:pPr>
    </w:p>
    <w:p w14:paraId="5D2B7ADD" w14:textId="77777777" w:rsidR="00893B7B" w:rsidRDefault="00FC0299" w:rsidP="00893B7B">
      <w:pPr>
        <w:pStyle w:val="aa"/>
        <w:numPr>
          <w:ilvl w:val="0"/>
          <w:numId w:val="1"/>
        </w:numPr>
        <w:spacing w:line="360" w:lineRule="auto"/>
        <w:jc w:val="both"/>
        <w:rPr>
          <w:rFonts w:cs="David"/>
          <w:sz w:val="24"/>
          <w:szCs w:val="24"/>
        </w:rPr>
      </w:pPr>
      <w:r>
        <w:rPr>
          <w:rFonts w:cs="David" w:hint="cs"/>
          <w:sz w:val="24"/>
          <w:szCs w:val="24"/>
          <w:rtl/>
        </w:rPr>
        <w:t xml:space="preserve"> </w:t>
      </w:r>
      <w:r w:rsidR="00893B7B">
        <w:rPr>
          <w:rFonts w:cs="David" w:hint="cs"/>
          <w:sz w:val="24"/>
          <w:szCs w:val="24"/>
          <w:rtl/>
        </w:rPr>
        <w:t xml:space="preserve">לאחר ששמעתי את טיעוני הצדדים ועיינתי בתסקיר שרות המבחן אשר הוגשו בעניינו של הנאשם, שוכנעתי לא בלי התלבטות, כי מקרה זה נמנה בגדר אותם מקרים חריגים עליהם מדברת הלכת כתב כמצדיקים סטייה מן הכלל ולבטל הרשעת הנאשם לאור שיקולי שיקום. </w:t>
      </w:r>
    </w:p>
    <w:p w14:paraId="68155CB4" w14:textId="77777777" w:rsidR="00893B7B" w:rsidRDefault="00893B7B" w:rsidP="00893B7B">
      <w:pPr>
        <w:pStyle w:val="aa"/>
        <w:spacing w:line="360" w:lineRule="auto"/>
        <w:jc w:val="both"/>
        <w:rPr>
          <w:rFonts w:cs="David"/>
          <w:sz w:val="24"/>
          <w:szCs w:val="24"/>
        </w:rPr>
      </w:pPr>
    </w:p>
    <w:p w14:paraId="16925F3A" w14:textId="77777777" w:rsidR="00893B7B" w:rsidRDefault="00893B7B" w:rsidP="00893B7B">
      <w:pPr>
        <w:pStyle w:val="aa"/>
        <w:numPr>
          <w:ilvl w:val="0"/>
          <w:numId w:val="1"/>
        </w:numPr>
        <w:spacing w:line="360" w:lineRule="auto"/>
        <w:jc w:val="both"/>
        <w:rPr>
          <w:rFonts w:cs="David"/>
          <w:sz w:val="24"/>
          <w:szCs w:val="24"/>
        </w:rPr>
      </w:pPr>
      <w:r>
        <w:rPr>
          <w:rFonts w:cs="David" w:hint="cs"/>
          <w:sz w:val="24"/>
          <w:szCs w:val="24"/>
          <w:rtl/>
        </w:rPr>
        <w:t xml:space="preserve">הנני ערה לחומרת העבירה ולאינטרס הציבורי שבשמירה על הערכים המוגנים שבבסיס סעיף העבירה, אולם בנסיבות הייחודיות של המקרה המונח לפניי, לאור פוטנציאל השיקום המשמעותי של הנאשם, לחלוף הזמן מאז בוצעה העבירה, להירתמותו של הנאשם חרף הקשיים, להליך טיפולי מיוזמתו ולהתרשמות השירות לפיה, הרשעתו בדין עלולה לסכל את שיקומו, לפגוע ביכולתו לנהל אורח חיים תקין ולהשתלב בחברה ונוכח התרשמותי לפיה, הנאשם נטל אחריות על מעשיו, הביע חרטה בגינם, וכי להליך המשפטי אפקט מרתיע ומציב גבולות עבורו - אני סבורה כי יש מקום ליתן לנאשם הזדמנות לחזור למוטב ולערוך שינוי בחייו ולהסתפק בקביעה כי הנאשם ביצע את המיוחס לו בכתב האישום ולהימנע מהרשעתו בדין. כאמור, די לי בקביעה שיהיה בהרשעת הנאשם בכדי לפגוע בהליכי שיקומו, אולם למעלה מן הצורך, נראה כי עשויה להיגרם לנאשם גם פגיעה קונקרטית, שעה שהנאשם עובד כנהג חלוקת מזון בגני ילדים, והמאשימה עתרה, בד בבד עם הרשעתו לגזור עליו גם עונש של פסילת רישיון בפועל ועל תנאי. </w:t>
      </w:r>
    </w:p>
    <w:p w14:paraId="085BF4E3" w14:textId="77777777" w:rsidR="00893B7B" w:rsidRPr="00806809" w:rsidRDefault="00893B7B" w:rsidP="00893B7B">
      <w:pPr>
        <w:spacing w:line="360" w:lineRule="auto"/>
        <w:ind w:left="360"/>
        <w:jc w:val="both"/>
        <w:rPr>
          <w:b/>
          <w:bCs/>
          <w:u w:val="single"/>
          <w:rtl/>
        </w:rPr>
      </w:pPr>
      <w:r>
        <w:rPr>
          <w:rFonts w:hint="cs"/>
          <w:b/>
          <w:bCs/>
          <w:u w:val="single"/>
          <w:rtl/>
        </w:rPr>
        <w:t>סוף דבר:</w:t>
      </w:r>
    </w:p>
    <w:p w14:paraId="4ACE6083" w14:textId="77777777" w:rsidR="00893B7B" w:rsidRDefault="00893B7B" w:rsidP="00893B7B">
      <w:pPr>
        <w:pStyle w:val="aa"/>
        <w:numPr>
          <w:ilvl w:val="0"/>
          <w:numId w:val="1"/>
        </w:numPr>
        <w:spacing w:line="360" w:lineRule="auto"/>
        <w:jc w:val="both"/>
        <w:rPr>
          <w:rFonts w:cs="David"/>
          <w:sz w:val="24"/>
          <w:szCs w:val="24"/>
        </w:rPr>
      </w:pPr>
      <w:r>
        <w:rPr>
          <w:rFonts w:cs="David" w:hint="cs"/>
          <w:sz w:val="24"/>
          <w:szCs w:val="24"/>
          <w:rtl/>
        </w:rPr>
        <w:t>בהתחשב בכל הנימוקים המפורטים לעיל, אני מורה על ביטול הרשעתו של הנאשם וקובעת כי הנאשם ביצע את המיוחס לו בכתב האישום המתוקן.</w:t>
      </w:r>
    </w:p>
    <w:p w14:paraId="6A595655" w14:textId="77777777" w:rsidR="00893B7B" w:rsidRDefault="00893B7B" w:rsidP="00893B7B">
      <w:pPr>
        <w:pStyle w:val="aa"/>
        <w:spacing w:line="360" w:lineRule="auto"/>
        <w:jc w:val="both"/>
        <w:rPr>
          <w:rFonts w:cs="David"/>
          <w:sz w:val="24"/>
          <w:szCs w:val="24"/>
        </w:rPr>
      </w:pPr>
    </w:p>
    <w:p w14:paraId="0051E56E" w14:textId="77777777" w:rsidR="00893B7B" w:rsidRDefault="00893B7B" w:rsidP="00893B7B">
      <w:pPr>
        <w:pStyle w:val="aa"/>
        <w:numPr>
          <w:ilvl w:val="0"/>
          <w:numId w:val="1"/>
        </w:numPr>
        <w:spacing w:line="360" w:lineRule="auto"/>
        <w:jc w:val="both"/>
        <w:rPr>
          <w:rFonts w:cs="David"/>
          <w:sz w:val="24"/>
          <w:szCs w:val="24"/>
        </w:rPr>
      </w:pPr>
      <w:r>
        <w:rPr>
          <w:rFonts w:cs="David" w:hint="cs"/>
          <w:sz w:val="24"/>
          <w:szCs w:val="24"/>
          <w:rtl/>
        </w:rPr>
        <w:t>בהמשך לאמור, אני מאמצת את המלצת שירות המבחן גם ביחס לענישה המוצעת, תוך הגדלה של היקף שעות השל"צ שיבצע הנאשם. בנוסף, החלטתי להטיל על הנאשם עונש של התחייבות כספית, כאלמנט מרתיע נוסף.</w:t>
      </w:r>
    </w:p>
    <w:p w14:paraId="60DB6BAD" w14:textId="77777777" w:rsidR="00893B7B" w:rsidRDefault="00893B7B" w:rsidP="00893B7B">
      <w:pPr>
        <w:pStyle w:val="aa"/>
        <w:spacing w:line="360" w:lineRule="auto"/>
        <w:jc w:val="both"/>
        <w:rPr>
          <w:rFonts w:cs="David"/>
          <w:sz w:val="24"/>
          <w:szCs w:val="24"/>
        </w:rPr>
      </w:pPr>
    </w:p>
    <w:p w14:paraId="5CBEA6F6" w14:textId="77777777" w:rsidR="00893B7B" w:rsidRDefault="00893B7B" w:rsidP="00893B7B">
      <w:pPr>
        <w:pStyle w:val="aa"/>
        <w:numPr>
          <w:ilvl w:val="0"/>
          <w:numId w:val="1"/>
        </w:numPr>
        <w:spacing w:line="360" w:lineRule="auto"/>
        <w:jc w:val="both"/>
        <w:rPr>
          <w:rFonts w:cs="David"/>
          <w:sz w:val="24"/>
          <w:szCs w:val="24"/>
        </w:rPr>
      </w:pPr>
      <w:r>
        <w:rPr>
          <w:rFonts w:cs="David" w:hint="cs"/>
          <w:sz w:val="24"/>
          <w:szCs w:val="24"/>
          <w:rtl/>
        </w:rPr>
        <w:t>אשר על כן, אני דנה את הנאשם לעונשים הבאים:</w:t>
      </w:r>
    </w:p>
    <w:p w14:paraId="19180ECD" w14:textId="77777777" w:rsidR="00893B7B" w:rsidRDefault="00893B7B" w:rsidP="00893B7B">
      <w:pPr>
        <w:pStyle w:val="aa"/>
        <w:spacing w:line="360" w:lineRule="auto"/>
        <w:jc w:val="both"/>
        <w:rPr>
          <w:rFonts w:cs="David"/>
          <w:sz w:val="24"/>
          <w:szCs w:val="24"/>
          <w:rtl/>
        </w:rPr>
      </w:pPr>
      <w:r>
        <w:rPr>
          <w:rFonts w:cs="David" w:hint="cs"/>
          <w:sz w:val="24"/>
          <w:szCs w:val="24"/>
          <w:rtl/>
        </w:rPr>
        <w:t>א</w:t>
      </w:r>
      <w:r w:rsidRPr="005A737C">
        <w:rPr>
          <w:rFonts w:cs="David" w:hint="cs"/>
          <w:b/>
          <w:bCs/>
          <w:sz w:val="24"/>
          <w:szCs w:val="24"/>
          <w:rtl/>
        </w:rPr>
        <w:t>. ניתן בזאת צו של"צ בהיקף של 270 שעות</w:t>
      </w:r>
      <w:r>
        <w:rPr>
          <w:rFonts w:cs="David" w:hint="cs"/>
          <w:sz w:val="24"/>
          <w:szCs w:val="24"/>
          <w:rtl/>
        </w:rPr>
        <w:t>, לפי תוכנית שגובשה ע"י שירות המבחן במסגרת התסקיר מיום 20.03.19.</w:t>
      </w:r>
    </w:p>
    <w:p w14:paraId="4AFC835F" w14:textId="77777777" w:rsidR="00893B7B" w:rsidRDefault="00893B7B" w:rsidP="00893B7B">
      <w:pPr>
        <w:pStyle w:val="aa"/>
        <w:spacing w:line="360" w:lineRule="auto"/>
        <w:jc w:val="both"/>
        <w:rPr>
          <w:rFonts w:cs="David"/>
          <w:sz w:val="24"/>
          <w:szCs w:val="24"/>
          <w:rtl/>
        </w:rPr>
      </w:pPr>
      <w:r>
        <w:rPr>
          <w:rFonts w:cs="David" w:hint="cs"/>
          <w:sz w:val="24"/>
          <w:szCs w:val="24"/>
          <w:rtl/>
        </w:rPr>
        <w:t>הנאשם מוזהר, כי במידה ולא ישתף פעולה עם שירות המבחן ולא יבצע את הצו, בהתאם לדרישות, יהיה בידי בית המשפט להפקיע את הצו ולגזור את דינו מחדש.</w:t>
      </w:r>
    </w:p>
    <w:p w14:paraId="5448B67E" w14:textId="77777777" w:rsidR="00893B7B" w:rsidRDefault="00893B7B" w:rsidP="00893B7B">
      <w:pPr>
        <w:pStyle w:val="aa"/>
        <w:spacing w:line="360" w:lineRule="auto"/>
        <w:jc w:val="both"/>
        <w:rPr>
          <w:rFonts w:cs="David"/>
          <w:sz w:val="24"/>
          <w:szCs w:val="24"/>
          <w:rtl/>
        </w:rPr>
      </w:pPr>
    </w:p>
    <w:p w14:paraId="048DD798" w14:textId="77777777" w:rsidR="00893B7B" w:rsidRDefault="00893B7B" w:rsidP="00893B7B">
      <w:pPr>
        <w:pStyle w:val="aa"/>
        <w:spacing w:line="360" w:lineRule="auto"/>
        <w:jc w:val="both"/>
        <w:rPr>
          <w:rFonts w:cs="David"/>
          <w:sz w:val="24"/>
          <w:szCs w:val="24"/>
          <w:rtl/>
        </w:rPr>
      </w:pPr>
      <w:r>
        <w:rPr>
          <w:rFonts w:cs="David" w:hint="cs"/>
          <w:sz w:val="24"/>
          <w:szCs w:val="24"/>
          <w:rtl/>
        </w:rPr>
        <w:t xml:space="preserve">ב. </w:t>
      </w:r>
      <w:r w:rsidRPr="005A737C">
        <w:rPr>
          <w:rFonts w:cs="David" w:hint="cs"/>
          <w:b/>
          <w:bCs/>
          <w:sz w:val="24"/>
          <w:szCs w:val="24"/>
          <w:rtl/>
        </w:rPr>
        <w:t>ניתן בזאת צו מבחן של שירות המבחן למשך שנה מהיום.</w:t>
      </w:r>
      <w:r>
        <w:rPr>
          <w:rFonts w:cs="David" w:hint="cs"/>
          <w:sz w:val="24"/>
          <w:szCs w:val="24"/>
          <w:rtl/>
        </w:rPr>
        <w:t xml:space="preserve"> </w:t>
      </w:r>
    </w:p>
    <w:p w14:paraId="50949133" w14:textId="77777777" w:rsidR="00893B7B" w:rsidRDefault="00893B7B" w:rsidP="00893B7B">
      <w:pPr>
        <w:pStyle w:val="aa"/>
        <w:spacing w:line="360" w:lineRule="auto"/>
        <w:jc w:val="both"/>
        <w:rPr>
          <w:rFonts w:cs="David"/>
          <w:sz w:val="24"/>
          <w:szCs w:val="24"/>
          <w:rtl/>
        </w:rPr>
      </w:pPr>
      <w:r>
        <w:rPr>
          <w:rFonts w:cs="David" w:hint="cs"/>
          <w:sz w:val="24"/>
          <w:szCs w:val="24"/>
          <w:rtl/>
        </w:rPr>
        <w:t>במהלך תקופת המבחן ימשיך הנאשם את תוכנית הטיפול במרכז "חוסן", והכל בהתאם לשיקול הדעת של הגורמים המטפלים, וכן יפעל בהתאם להוראות ודרישות גורמי המקצוע, שאחרת יוכל בית המשפט להפקיע את הצו ולגזור דינו מחדש.</w:t>
      </w:r>
    </w:p>
    <w:p w14:paraId="6E932718" w14:textId="77777777" w:rsidR="00893B7B" w:rsidRDefault="00893B7B" w:rsidP="00893B7B">
      <w:pPr>
        <w:pStyle w:val="aa"/>
        <w:spacing w:line="360" w:lineRule="auto"/>
        <w:jc w:val="both"/>
        <w:rPr>
          <w:rFonts w:cs="David"/>
          <w:sz w:val="24"/>
          <w:szCs w:val="24"/>
          <w:rtl/>
        </w:rPr>
      </w:pPr>
    </w:p>
    <w:p w14:paraId="1E4FAE32" w14:textId="77777777" w:rsidR="00893B7B" w:rsidRDefault="00893B7B" w:rsidP="00893B7B">
      <w:pPr>
        <w:pStyle w:val="aa"/>
        <w:spacing w:line="360" w:lineRule="auto"/>
        <w:jc w:val="both"/>
        <w:rPr>
          <w:rFonts w:cs="David"/>
          <w:sz w:val="24"/>
          <w:szCs w:val="24"/>
          <w:rtl/>
        </w:rPr>
      </w:pPr>
      <w:r>
        <w:rPr>
          <w:rFonts w:cs="David" w:hint="cs"/>
          <w:sz w:val="24"/>
          <w:szCs w:val="24"/>
          <w:rtl/>
        </w:rPr>
        <w:t xml:space="preserve">ג. </w:t>
      </w:r>
      <w:r w:rsidRPr="005A737C">
        <w:rPr>
          <w:rFonts w:cs="David" w:hint="cs"/>
          <w:b/>
          <w:bCs/>
          <w:sz w:val="24"/>
          <w:szCs w:val="24"/>
          <w:rtl/>
        </w:rPr>
        <w:t>הנאשם יחתום על התחייבות כספית על סך של 7,500 ₪,</w:t>
      </w:r>
      <w:r>
        <w:rPr>
          <w:rFonts w:cs="David" w:hint="cs"/>
          <w:sz w:val="24"/>
          <w:szCs w:val="24"/>
          <w:rtl/>
        </w:rPr>
        <w:t xml:space="preserve"> שלא לעבור עבירה לפי </w:t>
      </w:r>
      <w:hyperlink r:id="rId39" w:history="1">
        <w:r w:rsidR="00FC0299" w:rsidRPr="00FC0299">
          <w:rPr>
            <w:rFonts w:cs="David" w:hint="cs"/>
            <w:color w:val="0000FF"/>
            <w:sz w:val="24"/>
            <w:szCs w:val="24"/>
            <w:u w:val="single"/>
            <w:rtl/>
          </w:rPr>
          <w:t>פקודת</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הסמים</w:t>
        </w:r>
        <w:r w:rsidR="00FC0299" w:rsidRPr="00FC0299">
          <w:rPr>
            <w:rFonts w:cs="David"/>
            <w:color w:val="0000FF"/>
            <w:sz w:val="24"/>
            <w:szCs w:val="24"/>
            <w:u w:val="single"/>
            <w:rtl/>
          </w:rPr>
          <w:t xml:space="preserve"> </w:t>
        </w:r>
        <w:r w:rsidR="00FC0299" w:rsidRPr="00FC0299">
          <w:rPr>
            <w:rFonts w:cs="David" w:hint="cs"/>
            <w:color w:val="0000FF"/>
            <w:sz w:val="24"/>
            <w:szCs w:val="24"/>
            <w:u w:val="single"/>
            <w:rtl/>
          </w:rPr>
          <w:t>המסוכנים</w:t>
        </w:r>
      </w:hyperlink>
      <w:r>
        <w:rPr>
          <w:rFonts w:cs="David" w:hint="cs"/>
          <w:sz w:val="24"/>
          <w:szCs w:val="24"/>
          <w:rtl/>
        </w:rPr>
        <w:t xml:space="preserve">, למשך שנתיים מהיום. אם לא תיחתם ההתחייבות בתוך 7 ימים, ייאסר הנאשם למשך 10 ימים. </w:t>
      </w:r>
    </w:p>
    <w:p w14:paraId="71DA6BFC" w14:textId="77777777" w:rsidR="00893B7B" w:rsidRDefault="00893B7B" w:rsidP="00893B7B">
      <w:pPr>
        <w:pStyle w:val="aa"/>
        <w:spacing w:line="360" w:lineRule="auto"/>
        <w:jc w:val="both"/>
        <w:rPr>
          <w:rFonts w:cs="David"/>
          <w:sz w:val="24"/>
          <w:szCs w:val="24"/>
          <w:rtl/>
        </w:rPr>
      </w:pPr>
    </w:p>
    <w:p w14:paraId="636D88BF" w14:textId="77777777" w:rsidR="00893B7B" w:rsidRDefault="00893B7B" w:rsidP="00893B7B">
      <w:pPr>
        <w:pStyle w:val="aa"/>
        <w:numPr>
          <w:ilvl w:val="0"/>
          <w:numId w:val="1"/>
        </w:numPr>
        <w:spacing w:line="360" w:lineRule="auto"/>
        <w:jc w:val="both"/>
        <w:rPr>
          <w:rFonts w:cs="David"/>
          <w:sz w:val="24"/>
          <w:szCs w:val="24"/>
        </w:rPr>
      </w:pPr>
      <w:r>
        <w:rPr>
          <w:rFonts w:cs="David" w:hint="cs"/>
          <w:sz w:val="24"/>
          <w:szCs w:val="24"/>
          <w:rtl/>
        </w:rPr>
        <w:t>ניתן בזאת צו להשמדת המוצגים (הסמים, הכלים וסכינים). הטלפון שנתפס יושב לנאשם.</w:t>
      </w:r>
    </w:p>
    <w:p w14:paraId="7C23FE4B" w14:textId="77777777" w:rsidR="00893B7B" w:rsidRPr="00B05847" w:rsidRDefault="00893B7B" w:rsidP="00893B7B">
      <w:pPr>
        <w:rPr>
          <w:rtl/>
        </w:rPr>
      </w:pPr>
    </w:p>
    <w:p w14:paraId="0BDF8D91" w14:textId="77777777" w:rsidR="00893B7B" w:rsidRDefault="00893B7B" w:rsidP="00893B7B">
      <w:pPr>
        <w:rPr>
          <w:rtl/>
        </w:rPr>
      </w:pPr>
      <w:r>
        <w:rPr>
          <w:rFonts w:hint="cs"/>
          <w:rtl/>
        </w:rPr>
        <w:t>המזכירות תשלח גזר הדין לשירות המבחן.</w:t>
      </w:r>
    </w:p>
    <w:p w14:paraId="1A46B325" w14:textId="77777777" w:rsidR="00893B7B" w:rsidRPr="00B05847" w:rsidRDefault="00893B7B" w:rsidP="00893B7B">
      <w:pPr>
        <w:rPr>
          <w:rtl/>
        </w:rPr>
      </w:pPr>
    </w:p>
    <w:p w14:paraId="25534026" w14:textId="77777777" w:rsidR="00893B7B" w:rsidRPr="005A737C" w:rsidRDefault="00FC0299" w:rsidP="00893B7B">
      <w:pPr>
        <w:rPr>
          <w:b/>
          <w:bCs/>
          <w:rtl/>
        </w:rPr>
      </w:pPr>
      <w:r w:rsidRPr="00FC0299">
        <w:rPr>
          <w:b/>
          <w:bCs/>
          <w:color w:val="FFFFFF"/>
          <w:sz w:val="2"/>
          <w:szCs w:val="2"/>
          <w:rtl/>
        </w:rPr>
        <w:t>5129371</w:t>
      </w:r>
      <w:r w:rsidR="00893B7B">
        <w:rPr>
          <w:rFonts w:hint="cs"/>
          <w:b/>
          <w:bCs/>
          <w:rtl/>
        </w:rPr>
        <w:t>זכות ערעור לבית המשפט המחוזי מרכז לוד בתוך 45 ימים.</w:t>
      </w:r>
    </w:p>
    <w:p w14:paraId="05D0C401" w14:textId="77777777" w:rsidR="00893B7B" w:rsidRDefault="00FC0299" w:rsidP="00893B7B">
      <w:pPr>
        <w:rPr>
          <w:rFonts w:cs="FrankRuehl"/>
          <w:sz w:val="28"/>
          <w:szCs w:val="28"/>
          <w:rtl/>
        </w:rPr>
      </w:pPr>
      <w:r w:rsidRPr="00FC0299">
        <w:rPr>
          <w:rFonts w:ascii="Arial" w:hAnsi="Arial"/>
          <w:color w:val="FFFFFF"/>
          <w:sz w:val="2"/>
          <w:szCs w:val="2"/>
          <w:rtl/>
        </w:rPr>
        <w:t>54678313</w:t>
      </w:r>
      <w:r>
        <w:rPr>
          <w:rFonts w:ascii="Arial" w:hAnsi="Arial"/>
          <w:rtl/>
        </w:rPr>
        <w:t xml:space="preserve">ניתן היום,  ל' ניסן תשע"ט, 05 מאי 2019, בהעדר הצדדים. </w:t>
      </w:r>
    </w:p>
    <w:p w14:paraId="34FC17CE" w14:textId="77777777" w:rsidR="00893B7B" w:rsidRDefault="00893B7B" w:rsidP="00893B7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462A1194" w14:textId="77777777" w:rsidR="00893B7B" w:rsidRDefault="00893B7B" w:rsidP="00893B7B">
      <w:pPr>
        <w:jc w:val="center"/>
        <w:rPr>
          <w:rFonts w:ascii="Arial" w:hAnsi="Arial" w:cs="FrankRuehl"/>
          <w:sz w:val="28"/>
          <w:szCs w:val="28"/>
          <w:rtl/>
        </w:rPr>
      </w:pPr>
    </w:p>
    <w:p w14:paraId="56F12924" w14:textId="77777777" w:rsidR="00893B7B" w:rsidRDefault="00893B7B" w:rsidP="00893B7B">
      <w:pPr>
        <w:rPr>
          <w:rFonts w:cs="FrankRuehl"/>
          <w:sz w:val="28"/>
          <w:szCs w:val="28"/>
          <w:rtl/>
        </w:rPr>
      </w:pPr>
    </w:p>
    <w:p w14:paraId="7CC423C4" w14:textId="77777777" w:rsidR="00893B7B" w:rsidRDefault="00893B7B" w:rsidP="00893B7B">
      <w:pPr>
        <w:pStyle w:val="a3"/>
        <w:jc w:val="center"/>
        <w:rPr>
          <w:rtl/>
        </w:rPr>
      </w:pPr>
    </w:p>
    <w:p w14:paraId="0B9D004E" w14:textId="77777777" w:rsidR="00FF25BC" w:rsidRPr="00FC0299" w:rsidRDefault="00FF25BC" w:rsidP="00FC0299">
      <w:pPr>
        <w:keepNext/>
        <w:rPr>
          <w:rFonts w:ascii="David" w:hAnsi="David"/>
          <w:color w:val="000000"/>
          <w:sz w:val="22"/>
          <w:szCs w:val="22"/>
          <w:rtl/>
        </w:rPr>
      </w:pPr>
    </w:p>
    <w:p w14:paraId="21216B9B" w14:textId="77777777" w:rsidR="00FC0299" w:rsidRPr="00FC0299" w:rsidRDefault="00FC0299" w:rsidP="00FC0299">
      <w:pPr>
        <w:keepNext/>
        <w:rPr>
          <w:rFonts w:ascii="David" w:hAnsi="David"/>
          <w:color w:val="000000"/>
          <w:sz w:val="22"/>
          <w:szCs w:val="22"/>
          <w:rtl/>
        </w:rPr>
      </w:pPr>
      <w:r w:rsidRPr="00FC0299">
        <w:rPr>
          <w:rFonts w:ascii="David" w:hAnsi="David"/>
          <w:color w:val="000000"/>
          <w:sz w:val="22"/>
          <w:szCs w:val="22"/>
          <w:rtl/>
        </w:rPr>
        <w:t>אושרית הובר היימן 54678313</w:t>
      </w:r>
    </w:p>
    <w:p w14:paraId="1A29E6C9" w14:textId="77777777" w:rsidR="00FC0299" w:rsidRDefault="00FC0299" w:rsidP="00FC0299">
      <w:r w:rsidRPr="00FC0299">
        <w:rPr>
          <w:color w:val="000000"/>
          <w:rtl/>
        </w:rPr>
        <w:t>נוסח מסמך זה כפוף לשינויי ניסוח ועריכה</w:t>
      </w:r>
    </w:p>
    <w:p w14:paraId="54877FD0" w14:textId="77777777" w:rsidR="00FC0299" w:rsidRDefault="00FC0299" w:rsidP="00FC0299">
      <w:pPr>
        <w:rPr>
          <w:rtl/>
        </w:rPr>
      </w:pPr>
    </w:p>
    <w:p w14:paraId="6D3F43BF" w14:textId="77777777" w:rsidR="00FC0299" w:rsidRDefault="00FC0299" w:rsidP="00FC0299">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2F16F9E3" w14:textId="77777777" w:rsidR="00FC0299" w:rsidRPr="00FC0299" w:rsidRDefault="00B6512B" w:rsidP="00FC0299">
      <w:pPr>
        <w:jc w:val="center"/>
        <w:rPr>
          <w:color w:val="0000FF"/>
          <w:u w:val="single"/>
        </w:rPr>
      </w:pPr>
      <w:r>
        <w:rPr>
          <w:rFonts w:hint="cs"/>
          <w:color w:val="0000FF"/>
          <w:u w:val="single"/>
          <w:rtl/>
        </w:rPr>
        <w:t xml:space="preserve">        </w:t>
      </w:r>
    </w:p>
    <w:sectPr w:rsidR="00FC0299" w:rsidRPr="00FC0299" w:rsidSect="00FC0299">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616B2" w14:textId="77777777" w:rsidR="004E4BA0" w:rsidRDefault="004E4BA0" w:rsidP="008B1080">
      <w:r>
        <w:separator/>
      </w:r>
    </w:p>
  </w:endnote>
  <w:endnote w:type="continuationSeparator" w:id="0">
    <w:p w14:paraId="6A116D6A" w14:textId="77777777" w:rsidR="004E4BA0" w:rsidRDefault="004E4BA0" w:rsidP="008B1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733C38" w14:textId="77777777" w:rsidR="00FC0299" w:rsidRDefault="00FC0299" w:rsidP="00FC029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8D9E311" w14:textId="77777777" w:rsidR="00B75F39" w:rsidRPr="00FC0299" w:rsidRDefault="00FC0299" w:rsidP="00FC029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853DA" w14:textId="77777777" w:rsidR="00FC0299" w:rsidRDefault="00FC0299" w:rsidP="00FC0299">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D147E">
      <w:rPr>
        <w:rFonts w:ascii="FrankRuehl" w:hAnsi="FrankRuehl" w:cs="FrankRuehl"/>
        <w:noProof/>
        <w:rtl/>
      </w:rPr>
      <w:t>1</w:t>
    </w:r>
    <w:r>
      <w:rPr>
        <w:rFonts w:ascii="FrankRuehl" w:hAnsi="FrankRuehl" w:cs="FrankRuehl"/>
        <w:rtl/>
      </w:rPr>
      <w:fldChar w:fldCharType="end"/>
    </w:r>
  </w:p>
  <w:p w14:paraId="19859CAD" w14:textId="77777777" w:rsidR="00B75F39" w:rsidRPr="00FC0299" w:rsidRDefault="00FC0299" w:rsidP="00FC0299">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77F66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AFB77F" w14:textId="77777777" w:rsidR="004E4BA0" w:rsidRDefault="004E4BA0" w:rsidP="008B1080">
      <w:r>
        <w:separator/>
      </w:r>
    </w:p>
  </w:footnote>
  <w:footnote w:type="continuationSeparator" w:id="0">
    <w:p w14:paraId="3C9BB56A" w14:textId="77777777" w:rsidR="004E4BA0" w:rsidRDefault="004E4BA0" w:rsidP="008B10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76DC84" w14:textId="77777777" w:rsidR="00FC0299" w:rsidRPr="00FC0299" w:rsidRDefault="00FC0299" w:rsidP="00FC02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25254-07-18</w:t>
    </w:r>
    <w:r>
      <w:rPr>
        <w:rFonts w:ascii="David" w:hAnsi="David"/>
        <w:color w:val="000000"/>
        <w:sz w:val="22"/>
        <w:szCs w:val="22"/>
        <w:rtl/>
      </w:rPr>
      <w:tab/>
      <w:t xml:space="preserve"> מדינת ישראל נ' שגב לוי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DE3417" w14:textId="77777777" w:rsidR="00FC0299" w:rsidRPr="00FC0299" w:rsidRDefault="00FC0299" w:rsidP="00FC0299">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25254-07-18</w:t>
    </w:r>
    <w:r>
      <w:rPr>
        <w:rFonts w:ascii="David" w:hAnsi="David"/>
        <w:color w:val="000000"/>
        <w:sz w:val="22"/>
        <w:szCs w:val="22"/>
        <w:rtl/>
      </w:rPr>
      <w:tab/>
      <w:t xml:space="preserve"> מדינת ישראל נ' שגב לוי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EE5C2A"/>
    <w:multiLevelType w:val="hybridMultilevel"/>
    <w:tmpl w:val="F18656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33592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93B7B"/>
    <w:rsid w:val="001D147E"/>
    <w:rsid w:val="00322869"/>
    <w:rsid w:val="0033178D"/>
    <w:rsid w:val="00395D3C"/>
    <w:rsid w:val="004E4BA0"/>
    <w:rsid w:val="00592125"/>
    <w:rsid w:val="00691F69"/>
    <w:rsid w:val="00893B7B"/>
    <w:rsid w:val="008B1080"/>
    <w:rsid w:val="00B6512B"/>
    <w:rsid w:val="00B75F39"/>
    <w:rsid w:val="00D25A93"/>
    <w:rsid w:val="00F86F18"/>
    <w:rsid w:val="00FC0299"/>
    <w:rsid w:val="00FF25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65AD4184"/>
  <w15:chartTrackingRefBased/>
  <w15:docId w15:val="{5EACFDEC-AD02-4B73-97C2-7D1A9EFE5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93B7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893B7B"/>
    <w:pPr>
      <w:tabs>
        <w:tab w:val="center" w:pos="4153"/>
        <w:tab w:val="right" w:pos="8306"/>
      </w:tabs>
    </w:pPr>
  </w:style>
  <w:style w:type="character" w:customStyle="1" w:styleId="a4">
    <w:name w:val="כותרת עליונה תו"/>
    <w:link w:val="a3"/>
    <w:rsid w:val="00893B7B"/>
    <w:rPr>
      <w:rFonts w:ascii="Times New Roman" w:eastAsia="Times New Roman" w:hAnsi="Times New Roman" w:cs="David"/>
      <w:sz w:val="24"/>
      <w:szCs w:val="24"/>
    </w:rPr>
  </w:style>
  <w:style w:type="paragraph" w:styleId="a5">
    <w:name w:val="footer"/>
    <w:basedOn w:val="a"/>
    <w:link w:val="a6"/>
    <w:rsid w:val="00893B7B"/>
    <w:pPr>
      <w:tabs>
        <w:tab w:val="center" w:pos="4153"/>
        <w:tab w:val="right" w:pos="8306"/>
      </w:tabs>
    </w:pPr>
  </w:style>
  <w:style w:type="character" w:customStyle="1" w:styleId="a6">
    <w:name w:val="כותרת תחתונה תו"/>
    <w:link w:val="a5"/>
    <w:rsid w:val="00893B7B"/>
    <w:rPr>
      <w:rFonts w:ascii="Times New Roman" w:eastAsia="Times New Roman" w:hAnsi="Times New Roman" w:cs="David"/>
      <w:sz w:val="24"/>
      <w:szCs w:val="24"/>
    </w:rPr>
  </w:style>
  <w:style w:type="table" w:styleId="a7">
    <w:name w:val="Table Grid"/>
    <w:basedOn w:val="a1"/>
    <w:rsid w:val="00893B7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893B7B"/>
  </w:style>
  <w:style w:type="character" w:customStyle="1" w:styleId="a9">
    <w:name w:val="פיסקת רשימה תו"/>
    <w:link w:val="aa"/>
    <w:locked/>
    <w:rsid w:val="00893B7B"/>
  </w:style>
  <w:style w:type="paragraph" w:styleId="aa">
    <w:name w:val="List Paragraph"/>
    <w:basedOn w:val="a"/>
    <w:link w:val="a9"/>
    <w:qFormat/>
    <w:rsid w:val="00893B7B"/>
    <w:pPr>
      <w:spacing w:after="160" w:line="252" w:lineRule="auto"/>
      <w:ind w:left="720"/>
      <w:contextualSpacing/>
    </w:pPr>
    <w:rPr>
      <w:rFonts w:ascii="Calibri" w:eastAsia="Calibri" w:hAnsi="Calibri" w:cs="Arial"/>
      <w:sz w:val="22"/>
      <w:szCs w:val="22"/>
    </w:rPr>
  </w:style>
  <w:style w:type="paragraph" w:customStyle="1" w:styleId="David">
    <w:name w:val="סגנון (עברית ושפות אחרות) David מיושר לשני הצדדים מרווח בין שורות..."/>
    <w:basedOn w:val="a"/>
    <w:rsid w:val="00893B7B"/>
    <w:pPr>
      <w:spacing w:line="360" w:lineRule="auto"/>
      <w:jc w:val="both"/>
    </w:pPr>
    <w:rPr>
      <w:rFonts w:eastAsia="Calibri" w:cs="Times New Roman"/>
    </w:rPr>
  </w:style>
  <w:style w:type="character" w:styleId="Hyperlink">
    <w:name w:val="Hyperlink"/>
    <w:rsid w:val="00FC029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1528506" TargetMode="External"/><Relationship Id="rId26" Type="http://schemas.openxmlformats.org/officeDocument/2006/relationships/hyperlink" Target="http://www.nevo.co.il/law/71553" TargetMode="External"/><Relationship Id="rId39" Type="http://schemas.openxmlformats.org/officeDocument/2006/relationships/hyperlink" Target="http://www.nevo.co.il/law/4216" TargetMode="External"/><Relationship Id="rId21" Type="http://schemas.openxmlformats.org/officeDocument/2006/relationships/hyperlink" Target="http://www.nevo.co.il/case/6045416" TargetMode="External"/><Relationship Id="rId34" Type="http://schemas.openxmlformats.org/officeDocument/2006/relationships/hyperlink" Target="http://www.nevo.co.il/case/5810781"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4151601" TargetMode="External"/><Relationship Id="rId29" Type="http://schemas.openxmlformats.org/officeDocument/2006/relationships/hyperlink" Target="http://www.nevo.co.il/case/1791622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a" TargetMode="External"/><Relationship Id="rId24" Type="http://schemas.openxmlformats.org/officeDocument/2006/relationships/hyperlink" Target="http://www.nevo.co.il/case/5613228" TargetMode="External"/><Relationship Id="rId32" Type="http://schemas.openxmlformats.org/officeDocument/2006/relationships/hyperlink" Target="http://www.nevo.co.il/case/5993495" TargetMode="External"/><Relationship Id="rId37" Type="http://schemas.openxmlformats.org/officeDocument/2006/relationships/hyperlink" Target="http://www.nevo.co.il/case/6428594"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3300825" TargetMode="External"/><Relationship Id="rId23" Type="http://schemas.openxmlformats.org/officeDocument/2006/relationships/hyperlink" Target="http://www.nevo.co.il/case/16920034" TargetMode="External"/><Relationship Id="rId28" Type="http://schemas.openxmlformats.org/officeDocument/2006/relationships/hyperlink" Target="http://www.nevo.co.il/case/5810781" TargetMode="External"/><Relationship Id="rId36" Type="http://schemas.openxmlformats.org/officeDocument/2006/relationships/hyperlink" Target="http://www.nevo.co.il/case/10485759" TargetMode="External"/><Relationship Id="rId10" Type="http://schemas.openxmlformats.org/officeDocument/2006/relationships/hyperlink" Target="http://www.nevo.co.il/law/70301" TargetMode="External"/><Relationship Id="rId19" Type="http://schemas.openxmlformats.org/officeDocument/2006/relationships/hyperlink" Target="http://www.nevo.co.il/case/5738608" TargetMode="External"/><Relationship Id="rId31" Type="http://schemas.openxmlformats.org/officeDocument/2006/relationships/hyperlink" Target="http://www.nevo.co.il/case/5611948"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7939812" TargetMode="External"/><Relationship Id="rId27" Type="http://schemas.openxmlformats.org/officeDocument/2006/relationships/hyperlink" Target="http://www.nevo.co.il/case/6180864" TargetMode="External"/><Relationship Id="rId30" Type="http://schemas.openxmlformats.org/officeDocument/2006/relationships/hyperlink" Target="http://www.nevo.co.il/case/5608134" TargetMode="External"/><Relationship Id="rId35" Type="http://schemas.openxmlformats.org/officeDocument/2006/relationships/hyperlink" Target="http://www.nevo.co.il/law/70301"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1553" TargetMode="External"/><Relationship Id="rId17" Type="http://schemas.openxmlformats.org/officeDocument/2006/relationships/hyperlink" Target="http://www.nevo.co.il/case/20578888" TargetMode="External"/><Relationship Id="rId25" Type="http://schemas.openxmlformats.org/officeDocument/2006/relationships/hyperlink" Target="http://www.nevo.co.il/law/70301/40d.a" TargetMode="External"/><Relationship Id="rId33" Type="http://schemas.openxmlformats.org/officeDocument/2006/relationships/hyperlink" Target="http://www.nevo.co.il/case/6161385" TargetMode="External"/><Relationship Id="rId38" Type="http://schemas.openxmlformats.org/officeDocument/2006/relationships/hyperlink" Target="http://www.nevo.co.il/case/5608601" TargetMode="External"/><Relationship Id="rId46" Type="http://schemas.openxmlformats.org/officeDocument/2006/relationships/theme" Target="theme/theme1.xml"/><Relationship Id="rId20" Type="http://schemas.openxmlformats.org/officeDocument/2006/relationships/hyperlink" Target="http://www.nevo.co.il/case/5786821"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3574</Words>
  <Characters>17875</Characters>
  <Application>Microsoft Office Word</Application>
  <DocSecurity>0</DocSecurity>
  <Lines>148</Lines>
  <Paragraphs>42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21407</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8257637</vt:i4>
      </vt:variant>
      <vt:variant>
        <vt:i4>96</vt:i4>
      </vt:variant>
      <vt:variant>
        <vt:i4>0</vt:i4>
      </vt:variant>
      <vt:variant>
        <vt:i4>5</vt:i4>
      </vt:variant>
      <vt:variant>
        <vt:lpwstr>http://www.nevo.co.il/law/4216</vt:lpwstr>
      </vt:variant>
      <vt:variant>
        <vt:lpwstr/>
      </vt:variant>
      <vt:variant>
        <vt:i4>3276922</vt:i4>
      </vt:variant>
      <vt:variant>
        <vt:i4>93</vt:i4>
      </vt:variant>
      <vt:variant>
        <vt:i4>0</vt:i4>
      </vt:variant>
      <vt:variant>
        <vt:i4>5</vt:i4>
      </vt:variant>
      <vt:variant>
        <vt:lpwstr>http://www.nevo.co.il/case/5608601</vt:lpwstr>
      </vt:variant>
      <vt:variant>
        <vt:lpwstr/>
      </vt:variant>
      <vt:variant>
        <vt:i4>3473521</vt:i4>
      </vt:variant>
      <vt:variant>
        <vt:i4>90</vt:i4>
      </vt:variant>
      <vt:variant>
        <vt:i4>0</vt:i4>
      </vt:variant>
      <vt:variant>
        <vt:i4>5</vt:i4>
      </vt:variant>
      <vt:variant>
        <vt:lpwstr>http://www.nevo.co.il/case/6428594</vt:lpwstr>
      </vt:variant>
      <vt:variant>
        <vt:lpwstr/>
      </vt:variant>
      <vt:variant>
        <vt:i4>3473531</vt:i4>
      </vt:variant>
      <vt:variant>
        <vt:i4>87</vt:i4>
      </vt:variant>
      <vt:variant>
        <vt:i4>0</vt:i4>
      </vt:variant>
      <vt:variant>
        <vt:i4>5</vt:i4>
      </vt:variant>
      <vt:variant>
        <vt:lpwstr>http://www.nevo.co.il/case/10485759</vt:lpwstr>
      </vt:variant>
      <vt:variant>
        <vt:lpwstr/>
      </vt:variant>
      <vt:variant>
        <vt:i4>7995492</vt:i4>
      </vt:variant>
      <vt:variant>
        <vt:i4>84</vt:i4>
      </vt:variant>
      <vt:variant>
        <vt:i4>0</vt:i4>
      </vt:variant>
      <vt:variant>
        <vt:i4>5</vt:i4>
      </vt:variant>
      <vt:variant>
        <vt:lpwstr>http://www.nevo.co.il/law/70301</vt:lpwstr>
      </vt:variant>
      <vt:variant>
        <vt:lpwstr/>
      </vt:variant>
      <vt:variant>
        <vt:i4>3276916</vt:i4>
      </vt:variant>
      <vt:variant>
        <vt:i4>81</vt:i4>
      </vt:variant>
      <vt:variant>
        <vt:i4>0</vt:i4>
      </vt:variant>
      <vt:variant>
        <vt:i4>5</vt:i4>
      </vt:variant>
      <vt:variant>
        <vt:lpwstr>http://www.nevo.co.il/case/5810781</vt:lpwstr>
      </vt:variant>
      <vt:variant>
        <vt:lpwstr/>
      </vt:variant>
      <vt:variant>
        <vt:i4>3539068</vt:i4>
      </vt:variant>
      <vt:variant>
        <vt:i4>78</vt:i4>
      </vt:variant>
      <vt:variant>
        <vt:i4>0</vt:i4>
      </vt:variant>
      <vt:variant>
        <vt:i4>5</vt:i4>
      </vt:variant>
      <vt:variant>
        <vt:lpwstr>http://www.nevo.co.il/case/6161385</vt:lpwstr>
      </vt:variant>
      <vt:variant>
        <vt:lpwstr/>
      </vt:variant>
      <vt:variant>
        <vt:i4>3997815</vt:i4>
      </vt:variant>
      <vt:variant>
        <vt:i4>75</vt:i4>
      </vt:variant>
      <vt:variant>
        <vt:i4>0</vt:i4>
      </vt:variant>
      <vt:variant>
        <vt:i4>5</vt:i4>
      </vt:variant>
      <vt:variant>
        <vt:lpwstr>http://www.nevo.co.il/case/5993495</vt:lpwstr>
      </vt:variant>
      <vt:variant>
        <vt:lpwstr/>
      </vt:variant>
      <vt:variant>
        <vt:i4>3473527</vt:i4>
      </vt:variant>
      <vt:variant>
        <vt:i4>72</vt:i4>
      </vt:variant>
      <vt:variant>
        <vt:i4>0</vt:i4>
      </vt:variant>
      <vt:variant>
        <vt:i4>5</vt:i4>
      </vt:variant>
      <vt:variant>
        <vt:lpwstr>http://www.nevo.co.il/case/5611948</vt:lpwstr>
      </vt:variant>
      <vt:variant>
        <vt:lpwstr/>
      </vt:variant>
      <vt:variant>
        <vt:i4>3145849</vt:i4>
      </vt:variant>
      <vt:variant>
        <vt:i4>69</vt:i4>
      </vt:variant>
      <vt:variant>
        <vt:i4>0</vt:i4>
      </vt:variant>
      <vt:variant>
        <vt:i4>5</vt:i4>
      </vt:variant>
      <vt:variant>
        <vt:lpwstr>http://www.nevo.co.il/case/5608134</vt:lpwstr>
      </vt:variant>
      <vt:variant>
        <vt:lpwstr/>
      </vt:variant>
      <vt:variant>
        <vt:i4>3932272</vt:i4>
      </vt:variant>
      <vt:variant>
        <vt:i4>66</vt:i4>
      </vt:variant>
      <vt:variant>
        <vt:i4>0</vt:i4>
      </vt:variant>
      <vt:variant>
        <vt:i4>5</vt:i4>
      </vt:variant>
      <vt:variant>
        <vt:lpwstr>http://www.nevo.co.il/case/17916229</vt:lpwstr>
      </vt:variant>
      <vt:variant>
        <vt:lpwstr/>
      </vt:variant>
      <vt:variant>
        <vt:i4>3276916</vt:i4>
      </vt:variant>
      <vt:variant>
        <vt:i4>63</vt:i4>
      </vt:variant>
      <vt:variant>
        <vt:i4>0</vt:i4>
      </vt:variant>
      <vt:variant>
        <vt:i4>5</vt:i4>
      </vt:variant>
      <vt:variant>
        <vt:lpwstr>http://www.nevo.co.il/case/5810781</vt:lpwstr>
      </vt:variant>
      <vt:variant>
        <vt:lpwstr/>
      </vt:variant>
      <vt:variant>
        <vt:i4>3276915</vt:i4>
      </vt:variant>
      <vt:variant>
        <vt:i4>60</vt:i4>
      </vt:variant>
      <vt:variant>
        <vt:i4>0</vt:i4>
      </vt:variant>
      <vt:variant>
        <vt:i4>5</vt:i4>
      </vt:variant>
      <vt:variant>
        <vt:lpwstr>http://www.nevo.co.il/case/6180864</vt:lpwstr>
      </vt:variant>
      <vt:variant>
        <vt:lpwstr/>
      </vt:variant>
      <vt:variant>
        <vt:i4>8257634</vt:i4>
      </vt:variant>
      <vt:variant>
        <vt:i4>57</vt:i4>
      </vt:variant>
      <vt:variant>
        <vt:i4>0</vt:i4>
      </vt:variant>
      <vt:variant>
        <vt:i4>5</vt:i4>
      </vt:variant>
      <vt:variant>
        <vt:lpwstr>http://www.nevo.co.il/law/71553</vt:lpwstr>
      </vt:variant>
      <vt:variant>
        <vt:lpwstr/>
      </vt:variant>
      <vt:variant>
        <vt:i4>4915205</vt:i4>
      </vt:variant>
      <vt:variant>
        <vt:i4>54</vt:i4>
      </vt:variant>
      <vt:variant>
        <vt:i4>0</vt:i4>
      </vt:variant>
      <vt:variant>
        <vt:i4>5</vt:i4>
      </vt:variant>
      <vt:variant>
        <vt:lpwstr>http://www.nevo.co.il/law/70301/40d.a</vt:lpwstr>
      </vt:variant>
      <vt:variant>
        <vt:lpwstr/>
      </vt:variant>
      <vt:variant>
        <vt:i4>4063347</vt:i4>
      </vt:variant>
      <vt:variant>
        <vt:i4>51</vt:i4>
      </vt:variant>
      <vt:variant>
        <vt:i4>0</vt:i4>
      </vt:variant>
      <vt:variant>
        <vt:i4>5</vt:i4>
      </vt:variant>
      <vt:variant>
        <vt:lpwstr>http://www.nevo.co.il/case/5613228</vt:lpwstr>
      </vt:variant>
      <vt:variant>
        <vt:lpwstr/>
      </vt:variant>
      <vt:variant>
        <vt:i4>3866736</vt:i4>
      </vt:variant>
      <vt:variant>
        <vt:i4>48</vt:i4>
      </vt:variant>
      <vt:variant>
        <vt:i4>0</vt:i4>
      </vt:variant>
      <vt:variant>
        <vt:i4>5</vt:i4>
      </vt:variant>
      <vt:variant>
        <vt:lpwstr>http://www.nevo.co.il/case/16920034</vt:lpwstr>
      </vt:variant>
      <vt:variant>
        <vt:lpwstr/>
      </vt:variant>
      <vt:variant>
        <vt:i4>3145848</vt:i4>
      </vt:variant>
      <vt:variant>
        <vt:i4>45</vt:i4>
      </vt:variant>
      <vt:variant>
        <vt:i4>0</vt:i4>
      </vt:variant>
      <vt:variant>
        <vt:i4>5</vt:i4>
      </vt:variant>
      <vt:variant>
        <vt:lpwstr>http://www.nevo.co.il/case/17939812</vt:lpwstr>
      </vt:variant>
      <vt:variant>
        <vt:lpwstr/>
      </vt:variant>
      <vt:variant>
        <vt:i4>3145840</vt:i4>
      </vt:variant>
      <vt:variant>
        <vt:i4>42</vt:i4>
      </vt:variant>
      <vt:variant>
        <vt:i4>0</vt:i4>
      </vt:variant>
      <vt:variant>
        <vt:i4>5</vt:i4>
      </vt:variant>
      <vt:variant>
        <vt:lpwstr>http://www.nevo.co.il/case/6045416</vt:lpwstr>
      </vt:variant>
      <vt:variant>
        <vt:lpwstr/>
      </vt:variant>
      <vt:variant>
        <vt:i4>3407991</vt:i4>
      </vt:variant>
      <vt:variant>
        <vt:i4>39</vt:i4>
      </vt:variant>
      <vt:variant>
        <vt:i4>0</vt:i4>
      </vt:variant>
      <vt:variant>
        <vt:i4>5</vt:i4>
      </vt:variant>
      <vt:variant>
        <vt:lpwstr>http://www.nevo.co.il/case/5786821</vt:lpwstr>
      </vt:variant>
      <vt:variant>
        <vt:lpwstr/>
      </vt:variant>
      <vt:variant>
        <vt:i4>3670139</vt:i4>
      </vt:variant>
      <vt:variant>
        <vt:i4>36</vt:i4>
      </vt:variant>
      <vt:variant>
        <vt:i4>0</vt:i4>
      </vt:variant>
      <vt:variant>
        <vt:i4>5</vt:i4>
      </vt:variant>
      <vt:variant>
        <vt:lpwstr>http://www.nevo.co.il/case/5738608</vt:lpwstr>
      </vt:variant>
      <vt:variant>
        <vt:lpwstr/>
      </vt:variant>
      <vt:variant>
        <vt:i4>4128882</vt:i4>
      </vt:variant>
      <vt:variant>
        <vt:i4>33</vt:i4>
      </vt:variant>
      <vt:variant>
        <vt:i4>0</vt:i4>
      </vt:variant>
      <vt:variant>
        <vt:i4>5</vt:i4>
      </vt:variant>
      <vt:variant>
        <vt:lpwstr>http://www.nevo.co.il/case/21528506</vt:lpwstr>
      </vt:variant>
      <vt:variant>
        <vt:lpwstr/>
      </vt:variant>
      <vt:variant>
        <vt:i4>3604603</vt:i4>
      </vt:variant>
      <vt:variant>
        <vt:i4>30</vt:i4>
      </vt:variant>
      <vt:variant>
        <vt:i4>0</vt:i4>
      </vt:variant>
      <vt:variant>
        <vt:i4>5</vt:i4>
      </vt:variant>
      <vt:variant>
        <vt:lpwstr>http://www.nevo.co.il/case/20578888</vt:lpwstr>
      </vt:variant>
      <vt:variant>
        <vt:lpwstr/>
      </vt:variant>
      <vt:variant>
        <vt:i4>3539060</vt:i4>
      </vt:variant>
      <vt:variant>
        <vt:i4>27</vt:i4>
      </vt:variant>
      <vt:variant>
        <vt:i4>0</vt:i4>
      </vt:variant>
      <vt:variant>
        <vt:i4>5</vt:i4>
      </vt:variant>
      <vt:variant>
        <vt:lpwstr>http://www.nevo.co.il/case/4151601</vt:lpwstr>
      </vt:variant>
      <vt:variant>
        <vt:lpwstr/>
      </vt:variant>
      <vt:variant>
        <vt:i4>3342463</vt:i4>
      </vt:variant>
      <vt:variant>
        <vt:i4>24</vt:i4>
      </vt:variant>
      <vt:variant>
        <vt:i4>0</vt:i4>
      </vt:variant>
      <vt:variant>
        <vt:i4>5</vt:i4>
      </vt:variant>
      <vt:variant>
        <vt:lpwstr>http://www.nevo.co.il/case/23300825</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8257634</vt:i4>
      </vt:variant>
      <vt:variant>
        <vt:i4>15</vt:i4>
      </vt:variant>
      <vt:variant>
        <vt:i4>0</vt:i4>
      </vt:variant>
      <vt:variant>
        <vt:i4>5</vt:i4>
      </vt:variant>
      <vt:variant>
        <vt:lpwstr>http://www.nevo.co.il/law/71553</vt:lpwstr>
      </vt:variant>
      <vt:variant>
        <vt:lpwstr/>
      </vt:variant>
      <vt:variant>
        <vt:i4>4915205</vt:i4>
      </vt:variant>
      <vt:variant>
        <vt:i4>12</vt:i4>
      </vt:variant>
      <vt:variant>
        <vt:i4>0</vt:i4>
      </vt:variant>
      <vt:variant>
        <vt:i4>5</vt:i4>
      </vt:variant>
      <vt:variant>
        <vt:lpwstr>http://www.nevo.co.il/law/70301/40d.a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2025-04-22T23:50:00Z</dcterms:created>
  <dcterms:modified xsi:type="dcterms:W3CDTF">2025-04-22T23:50:00Z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25254</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שגב לוי</vt:lpwstr>
  </property>
  <property fmtid="{D5CDD505-2E9C-101B-9397-08002B2CF9AE}" pid="10" name="JUDGE">
    <vt:lpwstr>אושרית הובר היימן</vt:lpwstr>
  </property>
  <property fmtid="{D5CDD505-2E9C-101B-9397-08002B2CF9AE}" pid="11" name="CITY">
    <vt:lpwstr>רח'</vt:lpwstr>
  </property>
  <property fmtid="{D5CDD505-2E9C-101B-9397-08002B2CF9AE}" pid="12" name="DATE">
    <vt:lpwstr>20190505</vt:lpwstr>
  </property>
  <property fmtid="{D5CDD505-2E9C-101B-9397-08002B2CF9AE}" pid="13" name="TYPE_N_DATE">
    <vt:lpwstr>38020190505</vt:lpwstr>
  </property>
  <property fmtid="{D5CDD505-2E9C-101B-9397-08002B2CF9AE}" pid="14" name="WORDNUMPAGES">
    <vt:lpwstr>13</vt:lpwstr>
  </property>
  <property fmtid="{D5CDD505-2E9C-101B-9397-08002B2CF9AE}" pid="15" name="TYPE_ABS_DATE">
    <vt:lpwstr>380020190505</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23300825;4151601;20578888;21528506;5738608;5786821;6045416;17939812;16920034;5613228;6180864;5810781:2;17916229;5608134;5611948;5993495;6161385;10485759;6428594;5608601</vt:lpwstr>
  </property>
  <property fmtid="{D5CDD505-2E9C-101B-9397-08002B2CF9AE}" pid="36" name="LAWLISTTMP1">
    <vt:lpwstr>4216/007.a;007.c</vt:lpwstr>
  </property>
  <property fmtid="{D5CDD505-2E9C-101B-9397-08002B2CF9AE}" pid="37" name="LAWLISTTMP2">
    <vt:lpwstr>70301/040d.a</vt:lpwstr>
  </property>
  <property fmtid="{D5CDD505-2E9C-101B-9397-08002B2CF9AE}" pid="38" name="LAWLISTTMP3">
    <vt:lpwstr>71553</vt:lpwstr>
  </property>
</Properties>
</file>