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9543D" w:rsidRPr="0033220A" w14:paraId="7F37A762" w14:textId="77777777" w:rsidTr="00F0488A">
        <w:trPr>
          <w:trHeight w:hRule="exact" w:val="418"/>
          <w:jc w:val="center"/>
        </w:trPr>
        <w:tc>
          <w:tcPr>
            <w:tcW w:w="8721" w:type="dxa"/>
            <w:gridSpan w:val="2"/>
          </w:tcPr>
          <w:p w14:paraId="103FEB6E" w14:textId="77777777" w:rsidR="0049543D" w:rsidRPr="00E52540" w:rsidRDefault="0049543D" w:rsidP="009407D1">
            <w:pPr>
              <w:pStyle w:val="a3"/>
              <w:jc w:val="center"/>
              <w:rPr>
                <w:rFonts w:ascii="Tahoma" w:hAnsi="Tahoma" w:cs="Tahoma"/>
                <w:color w:val="000080"/>
                <w:rtl/>
                <w:lang w:val="en-US" w:eastAsia="en-US"/>
              </w:rPr>
            </w:pPr>
            <w:bookmarkStart w:id="0" w:name="LastJudge"/>
            <w:r w:rsidRPr="00E52540">
              <w:rPr>
                <w:rFonts w:ascii="Tahoma" w:hAnsi="Tahoma" w:cs="Tahoma"/>
                <w:b/>
                <w:bCs/>
                <w:color w:val="000080"/>
                <w:rtl/>
                <w:lang w:val="en-US" w:eastAsia="en-US"/>
              </w:rPr>
              <w:t>בית משפט השלום בקריית גת</w:t>
            </w:r>
          </w:p>
        </w:tc>
      </w:tr>
      <w:tr w:rsidR="0049543D" w:rsidRPr="0033220A" w14:paraId="6A7D37E6" w14:textId="77777777" w:rsidTr="00F0488A">
        <w:trPr>
          <w:trHeight w:val="337"/>
          <w:jc w:val="center"/>
        </w:trPr>
        <w:tc>
          <w:tcPr>
            <w:tcW w:w="5054" w:type="dxa"/>
          </w:tcPr>
          <w:p w14:paraId="151D654C" w14:textId="77777777" w:rsidR="0049543D" w:rsidRPr="0033220A" w:rsidRDefault="0049543D" w:rsidP="009407D1">
            <w:pPr>
              <w:rPr>
                <w:rFonts w:cs="FrankRuehl"/>
                <w:sz w:val="28"/>
                <w:szCs w:val="28"/>
                <w:rtl/>
              </w:rPr>
            </w:pPr>
            <w:r w:rsidRPr="0033220A">
              <w:rPr>
                <w:rFonts w:cs="FrankRuehl"/>
                <w:sz w:val="28"/>
                <w:szCs w:val="28"/>
                <w:rtl/>
              </w:rPr>
              <w:t>ת"פ</w:t>
            </w:r>
            <w:r w:rsidRPr="0033220A">
              <w:rPr>
                <w:rFonts w:cs="FrankRuehl" w:hint="cs"/>
                <w:sz w:val="28"/>
                <w:szCs w:val="28"/>
                <w:rtl/>
              </w:rPr>
              <w:t xml:space="preserve"> </w:t>
            </w:r>
            <w:r w:rsidRPr="0033220A">
              <w:rPr>
                <w:rFonts w:cs="FrankRuehl"/>
                <w:sz w:val="28"/>
                <w:szCs w:val="28"/>
                <w:rtl/>
              </w:rPr>
              <w:t>42230-07-18</w:t>
            </w:r>
            <w:r w:rsidRPr="0033220A">
              <w:rPr>
                <w:rFonts w:cs="FrankRuehl" w:hint="cs"/>
                <w:sz w:val="28"/>
                <w:szCs w:val="28"/>
                <w:rtl/>
              </w:rPr>
              <w:t xml:space="preserve"> </w:t>
            </w:r>
            <w:r w:rsidRPr="0033220A">
              <w:rPr>
                <w:rFonts w:cs="FrankRuehl"/>
                <w:sz w:val="28"/>
                <w:szCs w:val="28"/>
                <w:rtl/>
              </w:rPr>
              <w:t>מדינת ישראל נ' אלון</w:t>
            </w:r>
          </w:p>
          <w:p w14:paraId="23C3D07B" w14:textId="77777777" w:rsidR="0049543D" w:rsidRPr="00E52540" w:rsidRDefault="0049543D" w:rsidP="009407D1">
            <w:pPr>
              <w:pStyle w:val="a3"/>
              <w:rPr>
                <w:rFonts w:cs="FrankRuehl"/>
                <w:sz w:val="28"/>
                <w:szCs w:val="28"/>
                <w:rtl/>
                <w:lang w:val="en-US" w:eastAsia="en-US"/>
              </w:rPr>
            </w:pPr>
          </w:p>
        </w:tc>
        <w:tc>
          <w:tcPr>
            <w:tcW w:w="3667" w:type="dxa"/>
          </w:tcPr>
          <w:p w14:paraId="2A21B72E" w14:textId="77777777" w:rsidR="0049543D" w:rsidRPr="00E52540" w:rsidRDefault="0049543D" w:rsidP="009407D1">
            <w:pPr>
              <w:pStyle w:val="a3"/>
              <w:jc w:val="right"/>
              <w:rPr>
                <w:rFonts w:cs="FrankRuehl"/>
                <w:sz w:val="28"/>
                <w:szCs w:val="28"/>
                <w:rtl/>
                <w:lang w:val="en-US" w:eastAsia="en-US"/>
              </w:rPr>
            </w:pPr>
          </w:p>
        </w:tc>
      </w:tr>
    </w:tbl>
    <w:p w14:paraId="60D66ABD" w14:textId="77777777" w:rsidR="0049543D" w:rsidRPr="0033220A" w:rsidRDefault="0049543D" w:rsidP="0049543D">
      <w:pPr>
        <w:pStyle w:val="a3"/>
        <w:rPr>
          <w:rtl/>
        </w:rPr>
      </w:pPr>
      <w:r w:rsidRPr="0033220A">
        <w:rPr>
          <w:rFonts w:hint="cs"/>
          <w:rtl/>
        </w:rPr>
        <w:t xml:space="preserve"> </w:t>
      </w:r>
    </w:p>
    <w:p w14:paraId="1CC9BBFD" w14:textId="77777777" w:rsidR="0049543D" w:rsidRPr="0033220A" w:rsidRDefault="0049543D" w:rsidP="0049543D">
      <w:pPr>
        <w:rPr>
          <w:rtl/>
        </w:rPr>
      </w:pPr>
    </w:p>
    <w:p w14:paraId="023D9EE6" w14:textId="77777777" w:rsidR="0049543D" w:rsidRPr="0033220A" w:rsidRDefault="0049543D" w:rsidP="0049543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9543D" w:rsidRPr="0033220A" w14:paraId="4AD52B0E" w14:textId="77777777" w:rsidTr="0049543D">
        <w:trPr>
          <w:trHeight w:val="295"/>
          <w:jc w:val="center"/>
        </w:trPr>
        <w:tc>
          <w:tcPr>
            <w:tcW w:w="923" w:type="dxa"/>
            <w:tcBorders>
              <w:top w:val="nil"/>
              <w:left w:val="nil"/>
              <w:bottom w:val="nil"/>
              <w:right w:val="nil"/>
            </w:tcBorders>
            <w:shd w:val="clear" w:color="auto" w:fill="auto"/>
          </w:tcPr>
          <w:p w14:paraId="110583B2" w14:textId="77777777" w:rsidR="0049543D" w:rsidRPr="0033220A" w:rsidRDefault="0049543D" w:rsidP="0049543D">
            <w:pPr>
              <w:jc w:val="both"/>
              <w:rPr>
                <w:rFonts w:ascii="David" w:hAnsi="David"/>
                <w:b/>
                <w:bCs/>
                <w:sz w:val="28"/>
                <w:szCs w:val="28"/>
              </w:rPr>
            </w:pPr>
            <w:r w:rsidRPr="0033220A">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1B9A089A" w14:textId="77777777" w:rsidR="0049543D" w:rsidRPr="0033220A" w:rsidRDefault="0049543D" w:rsidP="009407D1">
            <w:pPr>
              <w:rPr>
                <w:rFonts w:ascii="David" w:hAnsi="David"/>
                <w:b/>
                <w:bCs/>
                <w:sz w:val="28"/>
                <w:szCs w:val="28"/>
                <w:rtl/>
              </w:rPr>
            </w:pPr>
            <w:r w:rsidRPr="0033220A">
              <w:rPr>
                <w:rFonts w:ascii="David" w:hAnsi="David"/>
                <w:b/>
                <w:bCs/>
                <w:sz w:val="28"/>
                <w:szCs w:val="28"/>
                <w:rtl/>
              </w:rPr>
              <w:t>כבוד השופטת  טל לחיאני שהם</w:t>
            </w:r>
          </w:p>
          <w:p w14:paraId="7F48CA9E" w14:textId="77777777" w:rsidR="0049543D" w:rsidRPr="0033220A" w:rsidRDefault="0049543D" w:rsidP="009407D1">
            <w:pPr>
              <w:rPr>
                <w:rFonts w:ascii="David" w:hAnsi="David"/>
                <w:b/>
                <w:bCs/>
                <w:sz w:val="28"/>
                <w:szCs w:val="28"/>
                <w:rtl/>
              </w:rPr>
            </w:pPr>
          </w:p>
          <w:p w14:paraId="269204F6" w14:textId="77777777" w:rsidR="0049543D" w:rsidRPr="0033220A" w:rsidRDefault="0049543D" w:rsidP="0049543D">
            <w:pPr>
              <w:jc w:val="both"/>
              <w:rPr>
                <w:rFonts w:ascii="David" w:hAnsi="David"/>
                <w:b/>
                <w:bCs/>
                <w:sz w:val="28"/>
                <w:szCs w:val="28"/>
              </w:rPr>
            </w:pPr>
          </w:p>
        </w:tc>
      </w:tr>
      <w:tr w:rsidR="0049543D" w:rsidRPr="0033220A" w14:paraId="68A01919" w14:textId="77777777" w:rsidTr="0049543D">
        <w:trPr>
          <w:trHeight w:val="355"/>
          <w:jc w:val="center"/>
        </w:trPr>
        <w:tc>
          <w:tcPr>
            <w:tcW w:w="923" w:type="dxa"/>
            <w:tcBorders>
              <w:top w:val="nil"/>
              <w:left w:val="nil"/>
              <w:bottom w:val="nil"/>
              <w:right w:val="nil"/>
            </w:tcBorders>
            <w:shd w:val="clear" w:color="auto" w:fill="auto"/>
          </w:tcPr>
          <w:p w14:paraId="6EE1A22F" w14:textId="77777777" w:rsidR="0049543D" w:rsidRPr="0033220A" w:rsidRDefault="0049543D" w:rsidP="0049543D">
            <w:pPr>
              <w:jc w:val="both"/>
              <w:rPr>
                <w:rFonts w:ascii="David" w:hAnsi="David"/>
                <w:b/>
                <w:bCs/>
                <w:sz w:val="28"/>
                <w:szCs w:val="28"/>
              </w:rPr>
            </w:pPr>
            <w:bookmarkStart w:id="1" w:name="FirstAppellant"/>
            <w:r w:rsidRPr="0033220A">
              <w:rPr>
                <w:rFonts w:ascii="David" w:hAnsi="David"/>
                <w:b/>
                <w:bCs/>
                <w:sz w:val="28"/>
                <w:szCs w:val="28"/>
                <w:rtl/>
              </w:rPr>
              <w:t>בעניין:</w:t>
            </w:r>
          </w:p>
        </w:tc>
        <w:tc>
          <w:tcPr>
            <w:tcW w:w="4126" w:type="dxa"/>
            <w:tcBorders>
              <w:top w:val="nil"/>
              <w:left w:val="nil"/>
              <w:bottom w:val="nil"/>
              <w:right w:val="nil"/>
            </w:tcBorders>
            <w:shd w:val="clear" w:color="auto" w:fill="auto"/>
          </w:tcPr>
          <w:p w14:paraId="6117C6B4" w14:textId="77777777" w:rsidR="0049543D" w:rsidRPr="0033220A" w:rsidRDefault="0049543D" w:rsidP="009407D1">
            <w:pPr>
              <w:rPr>
                <w:rFonts w:ascii="David" w:hAnsi="David"/>
                <w:b/>
                <w:bCs/>
                <w:sz w:val="28"/>
                <w:szCs w:val="28"/>
              </w:rPr>
            </w:pPr>
            <w:r w:rsidRPr="0033220A">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82EDB4D" w14:textId="77777777" w:rsidR="0049543D" w:rsidRPr="0033220A" w:rsidRDefault="0049543D" w:rsidP="0049543D">
            <w:pPr>
              <w:jc w:val="both"/>
              <w:rPr>
                <w:rFonts w:ascii="David" w:hAnsi="David"/>
                <w:b/>
                <w:bCs/>
                <w:sz w:val="28"/>
                <w:szCs w:val="28"/>
              </w:rPr>
            </w:pPr>
          </w:p>
        </w:tc>
      </w:tr>
      <w:tr w:rsidR="0049543D" w:rsidRPr="0033220A" w14:paraId="62A92011" w14:textId="77777777" w:rsidTr="0049543D">
        <w:trPr>
          <w:trHeight w:val="355"/>
          <w:jc w:val="center"/>
        </w:trPr>
        <w:tc>
          <w:tcPr>
            <w:tcW w:w="923" w:type="dxa"/>
            <w:tcBorders>
              <w:top w:val="nil"/>
              <w:left w:val="nil"/>
              <w:bottom w:val="nil"/>
              <w:right w:val="nil"/>
            </w:tcBorders>
            <w:shd w:val="clear" w:color="auto" w:fill="auto"/>
          </w:tcPr>
          <w:p w14:paraId="60EFC526" w14:textId="77777777" w:rsidR="0049543D" w:rsidRPr="0033220A" w:rsidRDefault="0049543D" w:rsidP="0049543D">
            <w:pPr>
              <w:jc w:val="both"/>
              <w:rPr>
                <w:rFonts w:ascii="David" w:hAnsi="David"/>
                <w:b/>
                <w:bCs/>
                <w:sz w:val="28"/>
                <w:szCs w:val="28"/>
                <w:rtl/>
              </w:rPr>
            </w:pPr>
            <w:bookmarkStart w:id="2" w:name="FirstLawyer"/>
            <w:bookmarkEnd w:id="1"/>
          </w:p>
        </w:tc>
        <w:tc>
          <w:tcPr>
            <w:tcW w:w="4126" w:type="dxa"/>
            <w:tcBorders>
              <w:top w:val="nil"/>
              <w:left w:val="nil"/>
              <w:bottom w:val="nil"/>
              <w:right w:val="nil"/>
            </w:tcBorders>
            <w:shd w:val="clear" w:color="auto" w:fill="auto"/>
          </w:tcPr>
          <w:p w14:paraId="696B2050" w14:textId="77777777" w:rsidR="0049543D" w:rsidRPr="0033220A" w:rsidRDefault="0049543D" w:rsidP="0049543D">
            <w:pPr>
              <w:jc w:val="both"/>
              <w:rPr>
                <w:rFonts w:ascii="David" w:hAnsi="David"/>
                <w:b/>
                <w:bCs/>
                <w:sz w:val="28"/>
                <w:szCs w:val="28"/>
                <w:rtl/>
              </w:rPr>
            </w:pPr>
            <w:r w:rsidRPr="0033220A">
              <w:rPr>
                <w:rFonts w:ascii="David" w:hAnsi="David" w:hint="cs"/>
                <w:b/>
                <w:bCs/>
                <w:sz w:val="28"/>
                <w:szCs w:val="28"/>
                <w:rtl/>
              </w:rPr>
              <w:t>ע"י ב"כ עו"ד חן נוב</w:t>
            </w:r>
          </w:p>
        </w:tc>
        <w:tc>
          <w:tcPr>
            <w:tcW w:w="3771" w:type="dxa"/>
            <w:tcBorders>
              <w:top w:val="nil"/>
              <w:left w:val="nil"/>
              <w:bottom w:val="nil"/>
              <w:right w:val="nil"/>
            </w:tcBorders>
            <w:shd w:val="clear" w:color="auto" w:fill="auto"/>
          </w:tcPr>
          <w:p w14:paraId="4DC39147" w14:textId="77777777" w:rsidR="0049543D" w:rsidRPr="0033220A" w:rsidRDefault="0049543D" w:rsidP="0049543D">
            <w:pPr>
              <w:jc w:val="right"/>
              <w:rPr>
                <w:rFonts w:ascii="David" w:hAnsi="David"/>
                <w:b/>
                <w:bCs/>
                <w:sz w:val="28"/>
                <w:szCs w:val="28"/>
                <w:rtl/>
              </w:rPr>
            </w:pPr>
            <w:r w:rsidRPr="0033220A">
              <w:rPr>
                <w:rFonts w:ascii="David" w:hAnsi="David"/>
                <w:b/>
                <w:bCs/>
                <w:sz w:val="28"/>
                <w:szCs w:val="28"/>
                <w:rtl/>
              </w:rPr>
              <w:t>המאשימה</w:t>
            </w:r>
          </w:p>
        </w:tc>
      </w:tr>
      <w:bookmarkEnd w:id="2"/>
      <w:tr w:rsidR="0049543D" w:rsidRPr="0033220A" w14:paraId="2B136B0C" w14:textId="77777777" w:rsidTr="0049543D">
        <w:trPr>
          <w:trHeight w:val="355"/>
          <w:jc w:val="center"/>
        </w:trPr>
        <w:tc>
          <w:tcPr>
            <w:tcW w:w="923" w:type="dxa"/>
            <w:tcBorders>
              <w:top w:val="nil"/>
              <w:left w:val="nil"/>
              <w:bottom w:val="nil"/>
              <w:right w:val="nil"/>
            </w:tcBorders>
            <w:shd w:val="clear" w:color="auto" w:fill="auto"/>
          </w:tcPr>
          <w:p w14:paraId="0D400CC3" w14:textId="77777777" w:rsidR="0049543D" w:rsidRPr="0033220A" w:rsidRDefault="0049543D" w:rsidP="0049543D">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6D364D7C" w14:textId="77777777" w:rsidR="0049543D" w:rsidRPr="0033220A" w:rsidRDefault="0049543D" w:rsidP="0049543D">
            <w:pPr>
              <w:jc w:val="center"/>
              <w:rPr>
                <w:rFonts w:ascii="David" w:hAnsi="David"/>
                <w:b/>
                <w:bCs/>
                <w:sz w:val="28"/>
                <w:szCs w:val="28"/>
                <w:rtl/>
              </w:rPr>
            </w:pPr>
          </w:p>
          <w:p w14:paraId="5747742C" w14:textId="77777777" w:rsidR="0049543D" w:rsidRPr="0033220A" w:rsidRDefault="0049543D" w:rsidP="0049543D">
            <w:pPr>
              <w:jc w:val="center"/>
              <w:rPr>
                <w:rFonts w:ascii="David" w:hAnsi="David"/>
                <w:b/>
                <w:bCs/>
                <w:sz w:val="28"/>
                <w:szCs w:val="28"/>
                <w:rtl/>
              </w:rPr>
            </w:pPr>
            <w:r w:rsidRPr="0033220A">
              <w:rPr>
                <w:rFonts w:ascii="David" w:hAnsi="David"/>
                <w:b/>
                <w:bCs/>
                <w:sz w:val="28"/>
                <w:szCs w:val="28"/>
                <w:rtl/>
              </w:rPr>
              <w:t>נגד</w:t>
            </w:r>
          </w:p>
          <w:p w14:paraId="6B40AC00" w14:textId="77777777" w:rsidR="0049543D" w:rsidRPr="0033220A" w:rsidRDefault="0049543D" w:rsidP="0049543D">
            <w:pPr>
              <w:jc w:val="both"/>
              <w:rPr>
                <w:rFonts w:ascii="David" w:hAnsi="David"/>
                <w:b/>
                <w:bCs/>
                <w:sz w:val="28"/>
                <w:szCs w:val="28"/>
              </w:rPr>
            </w:pPr>
          </w:p>
        </w:tc>
      </w:tr>
      <w:tr w:rsidR="0049543D" w:rsidRPr="0033220A" w14:paraId="3B6D9A0F" w14:textId="77777777" w:rsidTr="0049543D">
        <w:trPr>
          <w:trHeight w:val="355"/>
          <w:jc w:val="center"/>
        </w:trPr>
        <w:tc>
          <w:tcPr>
            <w:tcW w:w="923" w:type="dxa"/>
            <w:tcBorders>
              <w:top w:val="nil"/>
              <w:left w:val="nil"/>
              <w:bottom w:val="nil"/>
              <w:right w:val="nil"/>
            </w:tcBorders>
            <w:shd w:val="clear" w:color="auto" w:fill="auto"/>
          </w:tcPr>
          <w:p w14:paraId="22FE6654" w14:textId="77777777" w:rsidR="0049543D" w:rsidRPr="0033220A" w:rsidRDefault="0049543D" w:rsidP="009407D1">
            <w:pPr>
              <w:rPr>
                <w:rFonts w:ascii="David" w:hAnsi="David"/>
                <w:b/>
                <w:bCs/>
                <w:sz w:val="28"/>
                <w:szCs w:val="28"/>
                <w:rtl/>
              </w:rPr>
            </w:pPr>
          </w:p>
        </w:tc>
        <w:tc>
          <w:tcPr>
            <w:tcW w:w="4126" w:type="dxa"/>
            <w:tcBorders>
              <w:top w:val="nil"/>
              <w:left w:val="nil"/>
              <w:bottom w:val="nil"/>
              <w:right w:val="nil"/>
            </w:tcBorders>
            <w:shd w:val="clear" w:color="auto" w:fill="auto"/>
          </w:tcPr>
          <w:p w14:paraId="14A87C7C" w14:textId="77777777" w:rsidR="0049543D" w:rsidRPr="0033220A" w:rsidRDefault="0049543D" w:rsidP="009407D1">
            <w:pPr>
              <w:rPr>
                <w:rFonts w:ascii="David" w:hAnsi="David"/>
                <w:b/>
                <w:bCs/>
                <w:sz w:val="28"/>
                <w:szCs w:val="28"/>
                <w:rtl/>
              </w:rPr>
            </w:pPr>
            <w:r w:rsidRPr="0033220A">
              <w:rPr>
                <w:rFonts w:ascii="David" w:hAnsi="David"/>
                <w:b/>
                <w:bCs/>
                <w:sz w:val="28"/>
                <w:szCs w:val="28"/>
                <w:rtl/>
              </w:rPr>
              <w:t>אלעד חי אלון</w:t>
            </w:r>
          </w:p>
        </w:tc>
        <w:tc>
          <w:tcPr>
            <w:tcW w:w="3771" w:type="dxa"/>
            <w:tcBorders>
              <w:top w:val="nil"/>
              <w:left w:val="nil"/>
              <w:bottom w:val="nil"/>
              <w:right w:val="nil"/>
            </w:tcBorders>
            <w:shd w:val="clear" w:color="auto" w:fill="auto"/>
          </w:tcPr>
          <w:p w14:paraId="1EBC5DF7" w14:textId="77777777" w:rsidR="0049543D" w:rsidRPr="0033220A" w:rsidRDefault="0049543D" w:rsidP="0049543D">
            <w:pPr>
              <w:jc w:val="right"/>
              <w:rPr>
                <w:rFonts w:ascii="David" w:hAnsi="David"/>
                <w:b/>
                <w:bCs/>
                <w:sz w:val="28"/>
                <w:szCs w:val="28"/>
              </w:rPr>
            </w:pPr>
          </w:p>
        </w:tc>
      </w:tr>
      <w:tr w:rsidR="0049543D" w:rsidRPr="0033220A" w14:paraId="3B374B03" w14:textId="77777777" w:rsidTr="0049543D">
        <w:trPr>
          <w:trHeight w:val="355"/>
          <w:jc w:val="center"/>
        </w:trPr>
        <w:tc>
          <w:tcPr>
            <w:tcW w:w="923" w:type="dxa"/>
            <w:tcBorders>
              <w:top w:val="nil"/>
              <w:left w:val="nil"/>
              <w:bottom w:val="nil"/>
              <w:right w:val="nil"/>
            </w:tcBorders>
            <w:shd w:val="clear" w:color="auto" w:fill="auto"/>
          </w:tcPr>
          <w:p w14:paraId="76BBF64E" w14:textId="77777777" w:rsidR="0049543D" w:rsidRPr="0033220A" w:rsidRDefault="0049543D" w:rsidP="0049543D">
            <w:pPr>
              <w:jc w:val="both"/>
              <w:rPr>
                <w:rFonts w:ascii="David" w:hAnsi="David"/>
                <w:b/>
                <w:bCs/>
                <w:sz w:val="28"/>
                <w:szCs w:val="28"/>
                <w:rtl/>
              </w:rPr>
            </w:pPr>
          </w:p>
        </w:tc>
        <w:tc>
          <w:tcPr>
            <w:tcW w:w="4126" w:type="dxa"/>
            <w:tcBorders>
              <w:top w:val="nil"/>
              <w:left w:val="nil"/>
              <w:bottom w:val="nil"/>
              <w:right w:val="nil"/>
            </w:tcBorders>
            <w:shd w:val="clear" w:color="auto" w:fill="auto"/>
          </w:tcPr>
          <w:p w14:paraId="23E50BC5" w14:textId="77777777" w:rsidR="0049543D" w:rsidRPr="0033220A" w:rsidRDefault="0049543D" w:rsidP="0049543D">
            <w:pPr>
              <w:jc w:val="both"/>
              <w:rPr>
                <w:rFonts w:ascii="David" w:hAnsi="David"/>
                <w:b/>
                <w:bCs/>
                <w:sz w:val="28"/>
                <w:szCs w:val="28"/>
                <w:rtl/>
              </w:rPr>
            </w:pPr>
            <w:r w:rsidRPr="0033220A">
              <w:rPr>
                <w:rFonts w:ascii="David" w:hAnsi="David" w:hint="cs"/>
                <w:b/>
                <w:bCs/>
                <w:sz w:val="28"/>
                <w:szCs w:val="28"/>
                <w:rtl/>
              </w:rPr>
              <w:t>ע"י ב"כ עו"ד מרב אברהם</w:t>
            </w:r>
          </w:p>
        </w:tc>
        <w:tc>
          <w:tcPr>
            <w:tcW w:w="3771" w:type="dxa"/>
            <w:tcBorders>
              <w:top w:val="nil"/>
              <w:left w:val="nil"/>
              <w:bottom w:val="nil"/>
              <w:right w:val="nil"/>
            </w:tcBorders>
            <w:shd w:val="clear" w:color="auto" w:fill="auto"/>
          </w:tcPr>
          <w:p w14:paraId="25013ABE" w14:textId="77777777" w:rsidR="0049543D" w:rsidRPr="0033220A" w:rsidRDefault="0049543D" w:rsidP="0049543D">
            <w:pPr>
              <w:jc w:val="right"/>
              <w:rPr>
                <w:rFonts w:ascii="David" w:hAnsi="David"/>
                <w:b/>
                <w:bCs/>
                <w:sz w:val="28"/>
                <w:szCs w:val="28"/>
              </w:rPr>
            </w:pPr>
            <w:r w:rsidRPr="0033220A">
              <w:rPr>
                <w:rFonts w:ascii="David" w:hAnsi="David"/>
                <w:b/>
                <w:bCs/>
                <w:sz w:val="28"/>
                <w:szCs w:val="28"/>
                <w:rtl/>
              </w:rPr>
              <w:t>הנאשם</w:t>
            </w:r>
          </w:p>
        </w:tc>
      </w:tr>
    </w:tbl>
    <w:p w14:paraId="53459093" w14:textId="77777777" w:rsidR="00F0488A" w:rsidRPr="00F0488A" w:rsidRDefault="00F0488A" w:rsidP="00F0488A">
      <w:pPr>
        <w:spacing w:before="120" w:after="120" w:line="240" w:lineRule="exact"/>
        <w:ind w:left="283" w:hanging="283"/>
        <w:jc w:val="both"/>
        <w:rPr>
          <w:rFonts w:ascii="FrankRuehl" w:hAnsi="FrankRuehl" w:cs="FrankRuehl"/>
          <w:rtl/>
        </w:rPr>
      </w:pPr>
    </w:p>
    <w:p w14:paraId="2EC8331E" w14:textId="77777777" w:rsidR="00292AF5" w:rsidRDefault="00292AF5" w:rsidP="00292AF5">
      <w:pPr>
        <w:rPr>
          <w:rFonts w:ascii="David" w:hAnsi="David"/>
          <w:rtl/>
        </w:rPr>
      </w:pPr>
      <w:bookmarkStart w:id="3" w:name="LawTable"/>
      <w:bookmarkEnd w:id="3"/>
    </w:p>
    <w:p w14:paraId="515DC5F6" w14:textId="77777777" w:rsidR="00292AF5" w:rsidRPr="00292AF5" w:rsidRDefault="00292AF5" w:rsidP="00292AF5">
      <w:pPr>
        <w:spacing w:before="120" w:after="120" w:line="240" w:lineRule="exact"/>
        <w:ind w:left="283" w:hanging="283"/>
        <w:jc w:val="both"/>
        <w:rPr>
          <w:rFonts w:ascii="FrankRuehl" w:hAnsi="FrankRuehl" w:cs="FrankRuehl"/>
          <w:rtl/>
        </w:rPr>
      </w:pPr>
    </w:p>
    <w:p w14:paraId="158053D3" w14:textId="77777777" w:rsidR="00292AF5" w:rsidRPr="00292AF5" w:rsidRDefault="00292AF5" w:rsidP="00292AF5">
      <w:pPr>
        <w:spacing w:before="120" w:after="120" w:line="240" w:lineRule="exact"/>
        <w:ind w:left="283" w:hanging="283"/>
        <w:jc w:val="both"/>
        <w:rPr>
          <w:rFonts w:ascii="FrankRuehl" w:hAnsi="FrankRuehl" w:cs="FrankRuehl"/>
          <w:rtl/>
        </w:rPr>
      </w:pPr>
    </w:p>
    <w:p w14:paraId="771C76E1" w14:textId="77777777" w:rsidR="00292AF5" w:rsidRPr="00292AF5" w:rsidRDefault="00292AF5" w:rsidP="00292AF5">
      <w:pPr>
        <w:spacing w:before="120" w:after="120" w:line="240" w:lineRule="exact"/>
        <w:ind w:left="283" w:hanging="283"/>
        <w:jc w:val="both"/>
        <w:rPr>
          <w:rFonts w:ascii="FrankRuehl" w:hAnsi="FrankRuehl" w:cs="FrankRuehl"/>
          <w:rtl/>
        </w:rPr>
      </w:pPr>
      <w:r w:rsidRPr="00292AF5">
        <w:rPr>
          <w:rFonts w:ascii="FrankRuehl" w:hAnsi="FrankRuehl" w:cs="FrankRuehl"/>
          <w:rtl/>
        </w:rPr>
        <w:t xml:space="preserve">חקיקה שאוזכרה: </w:t>
      </w:r>
    </w:p>
    <w:p w14:paraId="1A097C8B" w14:textId="77777777" w:rsidR="00292AF5" w:rsidRPr="00292AF5" w:rsidRDefault="00292AF5" w:rsidP="00292AF5">
      <w:pPr>
        <w:spacing w:before="120" w:after="120" w:line="240" w:lineRule="exact"/>
        <w:ind w:left="283" w:hanging="283"/>
        <w:jc w:val="both"/>
        <w:rPr>
          <w:rFonts w:ascii="FrankRuehl" w:hAnsi="FrankRuehl" w:cs="FrankRuehl"/>
          <w:rtl/>
        </w:rPr>
      </w:pPr>
      <w:hyperlink r:id="rId6" w:history="1">
        <w:r w:rsidRPr="00292AF5">
          <w:rPr>
            <w:rFonts w:ascii="FrankRuehl" w:hAnsi="FrankRuehl" w:cs="FrankRuehl"/>
            <w:color w:val="0000FF"/>
            <w:rtl/>
          </w:rPr>
          <w:t>פקודת הסמים המסוכנים [נוסח חדש], תשל"ג-1973</w:t>
        </w:r>
      </w:hyperlink>
      <w:r w:rsidRPr="00292AF5">
        <w:rPr>
          <w:rFonts w:ascii="FrankRuehl" w:hAnsi="FrankRuehl" w:cs="FrankRuehl"/>
          <w:rtl/>
        </w:rPr>
        <w:t xml:space="preserve">: סע'  </w:t>
      </w:r>
      <w:hyperlink r:id="rId7" w:history="1">
        <w:r w:rsidRPr="00292AF5">
          <w:rPr>
            <w:rFonts w:ascii="FrankRuehl" w:hAnsi="FrankRuehl" w:cs="FrankRuehl"/>
            <w:color w:val="0000FF"/>
            <w:rtl/>
          </w:rPr>
          <w:t>6</w:t>
        </w:r>
      </w:hyperlink>
    </w:p>
    <w:p w14:paraId="78FB9C10" w14:textId="77777777" w:rsidR="00292AF5" w:rsidRPr="00292AF5" w:rsidRDefault="00292AF5" w:rsidP="00292AF5">
      <w:pPr>
        <w:rPr>
          <w:rFonts w:ascii="David" w:hAnsi="David"/>
          <w:rtl/>
        </w:rPr>
      </w:pPr>
      <w:bookmarkStart w:id="4" w:name="LawTable_End"/>
      <w:bookmarkEnd w:id="4"/>
    </w:p>
    <w:p w14:paraId="679EFB29" w14:textId="77777777" w:rsidR="0049543D" w:rsidRPr="00F0488A" w:rsidRDefault="0049543D" w:rsidP="00F0488A">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543D" w:rsidRPr="00BF5DDF" w14:paraId="1A48FB9E" w14:textId="77777777" w:rsidTr="0049543D">
        <w:trPr>
          <w:trHeight w:val="355"/>
          <w:jc w:val="center"/>
        </w:trPr>
        <w:tc>
          <w:tcPr>
            <w:tcW w:w="8820" w:type="dxa"/>
            <w:tcBorders>
              <w:top w:val="nil"/>
              <w:left w:val="nil"/>
              <w:bottom w:val="nil"/>
              <w:right w:val="nil"/>
            </w:tcBorders>
            <w:shd w:val="clear" w:color="auto" w:fill="auto"/>
          </w:tcPr>
          <w:p w14:paraId="59163CB8" w14:textId="77777777" w:rsidR="0033220A" w:rsidRPr="0033220A" w:rsidRDefault="0033220A" w:rsidP="0033220A">
            <w:pPr>
              <w:jc w:val="center"/>
              <w:rPr>
                <w:rFonts w:ascii="David" w:hAnsi="David"/>
                <w:b/>
                <w:bCs/>
                <w:sz w:val="32"/>
                <w:szCs w:val="32"/>
                <w:u w:val="single"/>
                <w:rtl/>
              </w:rPr>
            </w:pPr>
            <w:bookmarkStart w:id="5" w:name="PsakDin" w:colFirst="0" w:colLast="0"/>
            <w:bookmarkEnd w:id="0"/>
            <w:r w:rsidRPr="0033220A">
              <w:rPr>
                <w:rFonts w:ascii="David" w:hAnsi="David"/>
                <w:b/>
                <w:bCs/>
                <w:sz w:val="32"/>
                <w:szCs w:val="32"/>
                <w:u w:val="single"/>
                <w:rtl/>
              </w:rPr>
              <w:t>גזר דין</w:t>
            </w:r>
          </w:p>
          <w:p w14:paraId="45243D1B" w14:textId="77777777" w:rsidR="0049543D" w:rsidRPr="0033220A" w:rsidRDefault="0049543D" w:rsidP="0033220A">
            <w:pPr>
              <w:jc w:val="center"/>
              <w:rPr>
                <w:rFonts w:ascii="David" w:hAnsi="David"/>
                <w:bCs/>
                <w:sz w:val="32"/>
                <w:szCs w:val="32"/>
                <w:u w:val="single"/>
                <w:rtl/>
              </w:rPr>
            </w:pPr>
          </w:p>
        </w:tc>
      </w:tr>
    </w:tbl>
    <w:bookmarkEnd w:id="5"/>
    <w:p w14:paraId="7CE9A8D2" w14:textId="77777777" w:rsidR="0049543D" w:rsidRPr="00BF5DDF" w:rsidRDefault="0049543D" w:rsidP="0049543D">
      <w:pPr>
        <w:spacing w:line="360" w:lineRule="auto"/>
        <w:jc w:val="both"/>
        <w:rPr>
          <w:rFonts w:ascii="David" w:hAnsi="David"/>
          <w:b/>
          <w:bCs/>
          <w:u w:val="single"/>
          <w:rtl/>
        </w:rPr>
      </w:pPr>
      <w:r w:rsidRPr="00BF5DDF">
        <w:rPr>
          <w:rFonts w:ascii="David" w:hAnsi="David" w:hint="cs"/>
          <w:b/>
          <w:bCs/>
          <w:u w:val="single"/>
          <w:rtl/>
        </w:rPr>
        <w:t xml:space="preserve">כללי </w:t>
      </w:r>
    </w:p>
    <w:p w14:paraId="2AFE8AFC" w14:textId="77777777" w:rsidR="0049543D" w:rsidRPr="00B05847" w:rsidRDefault="0049543D" w:rsidP="0049543D">
      <w:pPr>
        <w:spacing w:line="360" w:lineRule="auto"/>
        <w:jc w:val="both"/>
        <w:rPr>
          <w:rtl/>
        </w:rPr>
      </w:pPr>
      <w:r w:rsidRPr="00F2297B">
        <w:rPr>
          <w:rFonts w:hint="cs"/>
          <w:b/>
          <w:bCs/>
          <w:rtl/>
        </w:rPr>
        <w:t>1</w:t>
      </w:r>
      <w:r>
        <w:rPr>
          <w:rFonts w:hint="cs"/>
          <w:rtl/>
        </w:rPr>
        <w:t xml:space="preserve">. </w:t>
      </w:r>
      <w:bookmarkStart w:id="6" w:name="ABSTRACT_START"/>
      <w:bookmarkEnd w:id="6"/>
      <w:r>
        <w:rPr>
          <w:rFonts w:hint="cs"/>
          <w:rtl/>
        </w:rPr>
        <w:t xml:space="preserve">הנאשם הודה והורשע במסגרת הסדר טיעון בביצוע עבירת גידול סם מסוכן, עבירה לפי </w:t>
      </w:r>
      <w:hyperlink r:id="rId8" w:history="1">
        <w:r w:rsidR="00F0488A" w:rsidRPr="00F0488A">
          <w:rPr>
            <w:rStyle w:val="Hyperlink"/>
            <w:rFonts w:hint="eastAsia"/>
            <w:b/>
            <w:bCs/>
            <w:rtl/>
          </w:rPr>
          <w:t>סעיף</w:t>
        </w:r>
        <w:r w:rsidR="00F0488A" w:rsidRPr="00F0488A">
          <w:rPr>
            <w:rStyle w:val="Hyperlink"/>
            <w:b/>
            <w:bCs/>
            <w:rtl/>
          </w:rPr>
          <w:t xml:space="preserve"> 6</w:t>
        </w:r>
      </w:hyperlink>
      <w:r w:rsidRPr="00BF5DDF">
        <w:rPr>
          <w:rFonts w:hint="cs"/>
          <w:b/>
          <w:bCs/>
          <w:rtl/>
        </w:rPr>
        <w:t xml:space="preserve"> ל</w:t>
      </w:r>
      <w:hyperlink r:id="rId9" w:history="1">
        <w:r w:rsidR="0033220A" w:rsidRPr="0033220A">
          <w:rPr>
            <w:b/>
            <w:bCs/>
            <w:color w:val="0000FF"/>
            <w:u w:val="single"/>
            <w:rtl/>
          </w:rPr>
          <w:t>פקודת הסמים המסוכנים</w:t>
        </w:r>
      </w:hyperlink>
      <w:r w:rsidRPr="00BF5DDF">
        <w:rPr>
          <w:rFonts w:hint="cs"/>
          <w:b/>
          <w:bCs/>
          <w:rtl/>
        </w:rPr>
        <w:t xml:space="preserve"> [נוסח חדש] התשל"ג </w:t>
      </w:r>
      <w:r w:rsidRPr="00BF5DDF">
        <w:rPr>
          <w:b/>
          <w:bCs/>
          <w:rtl/>
        </w:rPr>
        <w:t>–</w:t>
      </w:r>
      <w:r w:rsidRPr="00BF5DDF">
        <w:rPr>
          <w:rFonts w:hint="cs"/>
          <w:b/>
          <w:bCs/>
          <w:rtl/>
        </w:rPr>
        <w:t xml:space="preserve"> 1973</w:t>
      </w:r>
      <w:r>
        <w:rPr>
          <w:rFonts w:hint="cs"/>
          <w:b/>
          <w:bCs/>
          <w:rtl/>
        </w:rPr>
        <w:t xml:space="preserve"> </w:t>
      </w:r>
      <w:r>
        <w:rPr>
          <w:rFonts w:hint="cs"/>
          <w:rtl/>
        </w:rPr>
        <w:t xml:space="preserve">(להלן: </w:t>
      </w:r>
      <w:r>
        <w:rPr>
          <w:rFonts w:hint="cs"/>
          <w:b/>
          <w:bCs/>
          <w:rtl/>
        </w:rPr>
        <w:t>"פקודת הסמים"</w:t>
      </w:r>
      <w:r>
        <w:rPr>
          <w:rFonts w:hint="cs"/>
          <w:rtl/>
        </w:rPr>
        <w:t>)</w:t>
      </w:r>
      <w:r w:rsidRPr="00BF5DDF">
        <w:rPr>
          <w:rFonts w:hint="cs"/>
          <w:b/>
          <w:bCs/>
          <w:rtl/>
        </w:rPr>
        <w:t xml:space="preserve">. </w:t>
      </w:r>
    </w:p>
    <w:p w14:paraId="0226A16B" w14:textId="77777777" w:rsidR="0049543D" w:rsidRDefault="0049543D" w:rsidP="0049543D">
      <w:pPr>
        <w:spacing w:line="360" w:lineRule="auto"/>
        <w:jc w:val="both"/>
        <w:rPr>
          <w:rtl/>
        </w:rPr>
      </w:pPr>
    </w:p>
    <w:p w14:paraId="1F0B3E5F" w14:textId="77777777" w:rsidR="0049543D" w:rsidRDefault="0049543D" w:rsidP="0049543D">
      <w:pPr>
        <w:spacing w:line="360" w:lineRule="auto"/>
        <w:jc w:val="both"/>
        <w:rPr>
          <w:rtl/>
        </w:rPr>
      </w:pPr>
      <w:r>
        <w:rPr>
          <w:rFonts w:hint="cs"/>
          <w:rtl/>
        </w:rPr>
        <w:t xml:space="preserve">מכתב האישום המתוקן עולה כי ביום 24/05/16 </w:t>
      </w:r>
      <w:r w:rsidRPr="00C234BE">
        <w:rPr>
          <w:rFonts w:hint="cs"/>
          <w:rtl/>
        </w:rPr>
        <w:t>בשעה 08:45 או בסמוך לכך, בביתו, גידל הנאשם 2 שתילים של סם מסוכן מסוג קנבוס, במשקל שאי</w:t>
      </w:r>
      <w:r>
        <w:rPr>
          <w:rFonts w:hint="cs"/>
          <w:rtl/>
        </w:rPr>
        <w:t xml:space="preserve">ננו ידוע. </w:t>
      </w:r>
    </w:p>
    <w:p w14:paraId="0D647458" w14:textId="77777777" w:rsidR="0049543D" w:rsidRPr="00B05847" w:rsidRDefault="0049543D" w:rsidP="0049543D">
      <w:pPr>
        <w:spacing w:line="360" w:lineRule="auto"/>
        <w:jc w:val="both"/>
        <w:rPr>
          <w:rtl/>
        </w:rPr>
      </w:pPr>
      <w:r>
        <w:rPr>
          <w:rFonts w:hint="cs"/>
          <w:rtl/>
        </w:rPr>
        <w:t xml:space="preserve">עוד באותו מעמד, היו ברשותו של הנאשם אדניות ואוהל שחור. </w:t>
      </w:r>
    </w:p>
    <w:p w14:paraId="61D0166E" w14:textId="77777777" w:rsidR="0049543D" w:rsidRPr="005A065F" w:rsidRDefault="0049543D" w:rsidP="0049543D">
      <w:pPr>
        <w:spacing w:line="360" w:lineRule="auto"/>
        <w:jc w:val="both"/>
        <w:rPr>
          <w:b/>
          <w:bCs/>
          <w:u w:val="single"/>
          <w:rtl/>
        </w:rPr>
      </w:pPr>
      <w:bookmarkStart w:id="7" w:name="ABSTRACT_END"/>
      <w:bookmarkEnd w:id="7"/>
    </w:p>
    <w:p w14:paraId="06F95839" w14:textId="77777777" w:rsidR="0049543D" w:rsidRPr="005A065F" w:rsidRDefault="0049543D" w:rsidP="0049543D">
      <w:pPr>
        <w:spacing w:line="360" w:lineRule="auto"/>
        <w:jc w:val="both"/>
        <w:rPr>
          <w:b/>
          <w:bCs/>
          <w:u w:val="single"/>
          <w:rtl/>
        </w:rPr>
      </w:pPr>
      <w:r w:rsidRPr="005A065F">
        <w:rPr>
          <w:rFonts w:hint="cs"/>
          <w:b/>
          <w:bCs/>
          <w:u w:val="single"/>
          <w:rtl/>
        </w:rPr>
        <w:t xml:space="preserve">הסדר הטיעון </w:t>
      </w:r>
    </w:p>
    <w:p w14:paraId="26BA4984" w14:textId="77777777" w:rsidR="0049543D" w:rsidRDefault="0049543D" w:rsidP="0049543D">
      <w:pPr>
        <w:spacing w:line="360" w:lineRule="auto"/>
        <w:jc w:val="both"/>
        <w:rPr>
          <w:rtl/>
        </w:rPr>
      </w:pPr>
      <w:r w:rsidRPr="00F2297B">
        <w:rPr>
          <w:rFonts w:hint="cs"/>
          <w:b/>
          <w:bCs/>
          <w:rtl/>
        </w:rPr>
        <w:t>2</w:t>
      </w:r>
      <w:r>
        <w:rPr>
          <w:rFonts w:hint="cs"/>
          <w:rtl/>
        </w:rPr>
        <w:t xml:space="preserve">. ביום 06/01/19 הודה הנאשם בכתב האישום המתוקן ונשלח בהסכמת הצדדים לקבלת תסקיר בטרם טיעון לעונש. </w:t>
      </w:r>
    </w:p>
    <w:p w14:paraId="53A31961" w14:textId="77777777" w:rsidR="0049543D" w:rsidRDefault="0049543D" w:rsidP="0049543D">
      <w:pPr>
        <w:spacing w:line="360" w:lineRule="auto"/>
        <w:jc w:val="both"/>
        <w:rPr>
          <w:rtl/>
        </w:rPr>
      </w:pPr>
      <w:r>
        <w:rPr>
          <w:rFonts w:hint="cs"/>
          <w:rtl/>
        </w:rPr>
        <w:lastRenderedPageBreak/>
        <w:t xml:space="preserve">המאשימה הבהירה שככל והתסקיר יהיה חיובי, היא תעתור להטלת ענישה בדמות מאסר בעבודות שירות לצד ענישה נלווית. </w:t>
      </w:r>
    </w:p>
    <w:p w14:paraId="33118292" w14:textId="77777777" w:rsidR="0049543D" w:rsidRPr="00B05847" w:rsidRDefault="0049543D" w:rsidP="0049543D">
      <w:pPr>
        <w:spacing w:line="360" w:lineRule="auto"/>
        <w:jc w:val="both"/>
        <w:rPr>
          <w:rtl/>
        </w:rPr>
      </w:pPr>
      <w:r>
        <w:rPr>
          <w:rFonts w:hint="cs"/>
          <w:rtl/>
        </w:rPr>
        <w:t xml:space="preserve">ב"כ הנאשם עתרה לכך ששירות המבחן יבחן אפשרות להמליץ על ביטול הרשעת הנאשם. </w:t>
      </w:r>
    </w:p>
    <w:p w14:paraId="41CAD6D5" w14:textId="77777777" w:rsidR="0049543D" w:rsidRPr="005A065F" w:rsidRDefault="0049543D" w:rsidP="0049543D">
      <w:pPr>
        <w:rPr>
          <w:b/>
          <w:bCs/>
          <w:u w:val="single"/>
          <w:rtl/>
        </w:rPr>
      </w:pPr>
    </w:p>
    <w:p w14:paraId="1DA08146" w14:textId="77777777" w:rsidR="0049543D" w:rsidRPr="005A065F" w:rsidRDefault="0049543D" w:rsidP="0049543D">
      <w:pPr>
        <w:spacing w:line="360" w:lineRule="auto"/>
        <w:rPr>
          <w:b/>
          <w:bCs/>
          <w:u w:val="single"/>
          <w:rtl/>
        </w:rPr>
      </w:pPr>
      <w:r w:rsidRPr="005A065F">
        <w:rPr>
          <w:rFonts w:hint="cs"/>
          <w:b/>
          <w:bCs/>
          <w:u w:val="single"/>
          <w:rtl/>
        </w:rPr>
        <w:t xml:space="preserve">תסקיר </w:t>
      </w:r>
    </w:p>
    <w:p w14:paraId="318C1061" w14:textId="77777777" w:rsidR="0049543D" w:rsidRDefault="0049543D" w:rsidP="0049543D">
      <w:pPr>
        <w:spacing w:line="360" w:lineRule="auto"/>
        <w:jc w:val="both"/>
        <w:rPr>
          <w:rtl/>
        </w:rPr>
      </w:pPr>
      <w:r w:rsidRPr="00F2297B">
        <w:rPr>
          <w:rFonts w:hint="cs"/>
          <w:b/>
          <w:bCs/>
          <w:rtl/>
        </w:rPr>
        <w:t>3</w:t>
      </w:r>
      <w:r>
        <w:rPr>
          <w:rFonts w:hint="cs"/>
          <w:rtl/>
        </w:rPr>
        <w:t xml:space="preserve">. בתסקיר מיום 02/09/19 עלה קושי בשיתוף הפעולה של הנאשם עם גורמי הטיפול שכלל חוסר התייצבות למפגש ואי יצירת קשר. בשל כך, לא עלה בידי שירות המבחן להגיש תסקיר בעניינו של הנאשם. </w:t>
      </w:r>
    </w:p>
    <w:p w14:paraId="655D2AAF" w14:textId="77777777" w:rsidR="0049543D" w:rsidRDefault="0049543D" w:rsidP="0049543D">
      <w:pPr>
        <w:spacing w:line="360" w:lineRule="auto"/>
        <w:jc w:val="both"/>
        <w:rPr>
          <w:rtl/>
        </w:rPr>
      </w:pPr>
    </w:p>
    <w:p w14:paraId="423B666C" w14:textId="77777777" w:rsidR="0049543D" w:rsidRDefault="0049543D" w:rsidP="0049543D">
      <w:pPr>
        <w:spacing w:line="360" w:lineRule="auto"/>
        <w:jc w:val="both"/>
        <w:rPr>
          <w:rtl/>
        </w:rPr>
      </w:pPr>
      <w:r w:rsidRPr="00F2297B">
        <w:rPr>
          <w:rFonts w:hint="cs"/>
          <w:b/>
          <w:bCs/>
          <w:rtl/>
        </w:rPr>
        <w:t>4</w:t>
      </w:r>
      <w:r>
        <w:rPr>
          <w:rFonts w:hint="cs"/>
          <w:rtl/>
        </w:rPr>
        <w:t xml:space="preserve">. בדיון ביום 11/09/19 הסבירה באת כוחו של הנאשם את הסיבות לקושי ביצירת הקשר, ובהסכמת הצדדים נדחה הדיון להגשת תסקיר נוסף. </w:t>
      </w:r>
    </w:p>
    <w:p w14:paraId="7BD517D2" w14:textId="77777777" w:rsidR="0049543D" w:rsidRDefault="0049543D" w:rsidP="0049543D">
      <w:pPr>
        <w:spacing w:line="360" w:lineRule="auto"/>
        <w:jc w:val="both"/>
        <w:rPr>
          <w:rtl/>
        </w:rPr>
      </w:pPr>
    </w:p>
    <w:p w14:paraId="38FFC448" w14:textId="77777777" w:rsidR="0049543D" w:rsidRDefault="0049543D" w:rsidP="0049543D">
      <w:pPr>
        <w:spacing w:line="360" w:lineRule="auto"/>
        <w:jc w:val="both"/>
        <w:rPr>
          <w:rtl/>
        </w:rPr>
      </w:pPr>
      <w:r w:rsidRPr="00F2297B">
        <w:rPr>
          <w:rFonts w:hint="cs"/>
          <w:b/>
          <w:bCs/>
          <w:rtl/>
        </w:rPr>
        <w:t>5</w:t>
      </w:r>
      <w:r>
        <w:rPr>
          <w:rFonts w:hint="cs"/>
          <w:rtl/>
        </w:rPr>
        <w:t xml:space="preserve">. מתסקיר שירות המבחן מיום 15/12/19 עלה כי הנאשם, רווק כבן 26, נעדר הרשעות קודמות בפלילים, מוכר לשירות המבחן מהליך קודם בבית המשפט לתעבורה. הנאשם תלמיד שנה ד' במכללת כנרת במסלול לימודי הנדסת אנרגיה, סיים 12 שנות לימוד עם בגרות מלאה ושירת שירות צבאי מלא, </w:t>
      </w:r>
      <w:r w:rsidRPr="00C234BE">
        <w:rPr>
          <w:rFonts w:hint="cs"/>
          <w:rtl/>
        </w:rPr>
        <w:t>ועובד במקביל ללימודיו.</w:t>
      </w:r>
      <w:r>
        <w:rPr>
          <w:rFonts w:hint="cs"/>
          <w:rtl/>
        </w:rPr>
        <w:t xml:space="preserve">  </w:t>
      </w:r>
    </w:p>
    <w:p w14:paraId="4719D4B3" w14:textId="77777777" w:rsidR="0049543D" w:rsidRDefault="0049543D" w:rsidP="0049543D">
      <w:pPr>
        <w:spacing w:line="360" w:lineRule="auto"/>
        <w:jc w:val="both"/>
        <w:rPr>
          <w:rtl/>
        </w:rPr>
      </w:pPr>
    </w:p>
    <w:p w14:paraId="4501A900" w14:textId="77777777" w:rsidR="0049543D" w:rsidRDefault="0049543D" w:rsidP="0049543D">
      <w:pPr>
        <w:spacing w:line="360" w:lineRule="auto"/>
        <w:jc w:val="both"/>
        <w:rPr>
          <w:rtl/>
        </w:rPr>
      </w:pPr>
      <w:r>
        <w:rPr>
          <w:rFonts w:hint="cs"/>
          <w:rtl/>
        </w:rPr>
        <w:t xml:space="preserve">הנאשם תיאר כי ביצע את העבירה על רקע שעמום וקלות דעת, ביטא צער וחרטה על מעשיו ועל המחירים שמשלם בגינם. עוד תיאר הנאשם כי עשה שימוש מזדמן בקאנביס אך הפסיק לאחר שהחל לימודיו. בדיקת שתן שבוצעה, נמצאה נקיה. </w:t>
      </w:r>
    </w:p>
    <w:p w14:paraId="6BBD33E6" w14:textId="77777777" w:rsidR="0049543D" w:rsidRDefault="0049543D" w:rsidP="0049543D">
      <w:pPr>
        <w:spacing w:line="360" w:lineRule="auto"/>
        <w:jc w:val="both"/>
        <w:rPr>
          <w:rtl/>
        </w:rPr>
      </w:pPr>
    </w:p>
    <w:p w14:paraId="547CE2A8" w14:textId="77777777" w:rsidR="0049543D" w:rsidRPr="00C234BE" w:rsidRDefault="0049543D" w:rsidP="0049543D">
      <w:pPr>
        <w:spacing w:line="360" w:lineRule="auto"/>
        <w:jc w:val="both"/>
        <w:rPr>
          <w:rtl/>
        </w:rPr>
      </w:pPr>
      <w:r>
        <w:rPr>
          <w:rFonts w:hint="cs"/>
          <w:rtl/>
        </w:rPr>
        <w:t xml:space="preserve">שירות המבחן התרשם מצעיר בעל שאיפות ומערכת ערכים נורמטיביות, נעדר דפוסים עבריינים שלהליך המשפטי אפקט מרתיע עבורו. </w:t>
      </w:r>
      <w:r w:rsidRPr="00C234BE">
        <w:rPr>
          <w:rFonts w:hint="cs"/>
          <w:rtl/>
        </w:rPr>
        <w:t xml:space="preserve">להתרשמות שירות המבחן, הנאשם ביצע מעשיו בחוסר שיקול דעת אשר מאפיין את גילו הצעיר בעת ביצוע העבירה. </w:t>
      </w:r>
    </w:p>
    <w:p w14:paraId="56103AA5" w14:textId="77777777" w:rsidR="0049543D" w:rsidRDefault="0049543D" w:rsidP="0049543D">
      <w:pPr>
        <w:spacing w:line="360" w:lineRule="auto"/>
        <w:jc w:val="both"/>
        <w:rPr>
          <w:rtl/>
        </w:rPr>
      </w:pPr>
      <w:r w:rsidRPr="00C234BE">
        <w:rPr>
          <w:rFonts w:hint="cs"/>
          <w:rtl/>
        </w:rPr>
        <w:t>לאור המפורט, ובהעדר נזקקות טיפולי</w:t>
      </w:r>
      <w:r>
        <w:rPr>
          <w:rFonts w:hint="cs"/>
          <w:rtl/>
        </w:rPr>
        <w:t xml:space="preserve">ת, נמנע שירות המבחן מלהמליץ על צו מבחן, אך המליץ לנקוט בעניינו של הנאשם באפיק שיקומי בדמות צו של"צ. </w:t>
      </w:r>
    </w:p>
    <w:p w14:paraId="47A6B032" w14:textId="77777777" w:rsidR="0049543D" w:rsidRDefault="0049543D" w:rsidP="0049543D">
      <w:pPr>
        <w:spacing w:line="360" w:lineRule="auto"/>
        <w:jc w:val="both"/>
        <w:rPr>
          <w:rtl/>
        </w:rPr>
      </w:pPr>
    </w:p>
    <w:p w14:paraId="60C2495A" w14:textId="77777777" w:rsidR="0049543D" w:rsidRDefault="0049543D" w:rsidP="0049543D">
      <w:pPr>
        <w:spacing w:line="360" w:lineRule="auto"/>
        <w:jc w:val="both"/>
        <w:rPr>
          <w:rtl/>
        </w:rPr>
      </w:pPr>
      <w:r>
        <w:rPr>
          <w:rFonts w:hint="cs"/>
          <w:rtl/>
        </w:rPr>
        <w:t>עוד המליץ שירות המבחן לשקול ביטול ההרשעה, וזאת לאור העדר עבר פלילי, לקיחת האחריות, והפגיעה האפשרית בעתידו התעסוקת</w:t>
      </w:r>
      <w:r>
        <w:rPr>
          <w:rFonts w:hint="eastAsia"/>
          <w:rtl/>
        </w:rPr>
        <w:t>י</w:t>
      </w:r>
      <w:r>
        <w:rPr>
          <w:rFonts w:hint="cs"/>
          <w:rtl/>
        </w:rPr>
        <w:t xml:space="preserve"> של הנאשם, כמו גם הפגיעה בדימויו העצמי כאדם מתפקד ונורמטיבי. </w:t>
      </w:r>
    </w:p>
    <w:p w14:paraId="1884DDB6" w14:textId="77777777" w:rsidR="0049543D" w:rsidRPr="00927B63" w:rsidRDefault="0049543D" w:rsidP="0049543D">
      <w:pPr>
        <w:spacing w:line="360" w:lineRule="auto"/>
        <w:jc w:val="both"/>
        <w:rPr>
          <w:b/>
          <w:bCs/>
          <w:u w:val="single"/>
          <w:rtl/>
        </w:rPr>
      </w:pPr>
    </w:p>
    <w:p w14:paraId="3C3A44B1" w14:textId="77777777" w:rsidR="0049543D" w:rsidRDefault="0049543D" w:rsidP="0049543D">
      <w:pPr>
        <w:spacing w:line="360" w:lineRule="auto"/>
        <w:jc w:val="both"/>
        <w:rPr>
          <w:b/>
          <w:bCs/>
          <w:u w:val="single"/>
          <w:rtl/>
        </w:rPr>
      </w:pPr>
      <w:r w:rsidRPr="00927B63">
        <w:rPr>
          <w:rFonts w:hint="cs"/>
          <w:b/>
          <w:bCs/>
          <w:u w:val="single"/>
          <w:rtl/>
        </w:rPr>
        <w:t xml:space="preserve">טיעוני הצדדים </w:t>
      </w:r>
    </w:p>
    <w:p w14:paraId="226A0F46" w14:textId="77777777" w:rsidR="0049543D" w:rsidRDefault="0049543D" w:rsidP="0049543D">
      <w:pPr>
        <w:spacing w:line="360" w:lineRule="auto"/>
        <w:jc w:val="both"/>
        <w:rPr>
          <w:rtl/>
        </w:rPr>
      </w:pPr>
      <w:r w:rsidRPr="00BD42D2">
        <w:rPr>
          <w:rFonts w:hint="cs"/>
          <w:b/>
          <w:bCs/>
          <w:rtl/>
        </w:rPr>
        <w:t>6</w:t>
      </w:r>
      <w:r>
        <w:rPr>
          <w:rFonts w:hint="cs"/>
          <w:rtl/>
        </w:rPr>
        <w:t xml:space="preserve">. ב"כ המאשימה טענה למתחם ענישה הנע בין מספר חודשים ל-8 חודשי מאסר בעבודות שירות. </w:t>
      </w:r>
    </w:p>
    <w:p w14:paraId="59D8A328" w14:textId="77777777" w:rsidR="0049543D" w:rsidRDefault="0049543D" w:rsidP="0049543D">
      <w:pPr>
        <w:spacing w:line="360" w:lineRule="auto"/>
        <w:jc w:val="both"/>
        <w:rPr>
          <w:rtl/>
        </w:rPr>
      </w:pPr>
      <w:r>
        <w:rPr>
          <w:rFonts w:hint="cs"/>
          <w:rtl/>
        </w:rPr>
        <w:t xml:space="preserve">בטיעוניה הפנתה לנזק הפוטנציאלי, לרקע לביצוע העבירה ולמדיניות הענישה הנוהגת. </w:t>
      </w:r>
    </w:p>
    <w:p w14:paraId="66F80E3F" w14:textId="77777777" w:rsidR="0049543D" w:rsidRDefault="0049543D" w:rsidP="0049543D">
      <w:pPr>
        <w:spacing w:line="360" w:lineRule="auto"/>
        <w:jc w:val="both"/>
        <w:rPr>
          <w:rtl/>
        </w:rPr>
      </w:pPr>
    </w:p>
    <w:p w14:paraId="5547631F" w14:textId="77777777" w:rsidR="0049543D" w:rsidRDefault="0049543D" w:rsidP="0049543D">
      <w:pPr>
        <w:spacing w:line="360" w:lineRule="auto"/>
        <w:jc w:val="both"/>
        <w:rPr>
          <w:rtl/>
        </w:rPr>
      </w:pPr>
      <w:r w:rsidRPr="00C234BE">
        <w:rPr>
          <w:rFonts w:hint="cs"/>
          <w:rtl/>
        </w:rPr>
        <w:lastRenderedPageBreak/>
        <w:t>עוד טענה ב"כ המאשימה כי בעבירות מסוג זה יש צורך בהרתעת הרבים, וזאת בשים לב לקלות ביצועה.</w:t>
      </w:r>
      <w:r>
        <w:rPr>
          <w:rFonts w:hint="cs"/>
          <w:rtl/>
        </w:rPr>
        <w:t xml:space="preserve"> </w:t>
      </w:r>
    </w:p>
    <w:p w14:paraId="2EB28D1B" w14:textId="77777777" w:rsidR="0049543D" w:rsidRDefault="0049543D" w:rsidP="0049543D">
      <w:pPr>
        <w:spacing w:line="360" w:lineRule="auto"/>
        <w:jc w:val="both"/>
        <w:rPr>
          <w:rtl/>
        </w:rPr>
      </w:pPr>
    </w:p>
    <w:p w14:paraId="12DC0D6B" w14:textId="77777777" w:rsidR="0049543D" w:rsidRDefault="0049543D" w:rsidP="0049543D">
      <w:pPr>
        <w:spacing w:line="360" w:lineRule="auto"/>
        <w:jc w:val="both"/>
        <w:rPr>
          <w:rtl/>
        </w:rPr>
      </w:pPr>
      <w:r>
        <w:rPr>
          <w:rFonts w:hint="cs"/>
          <w:rtl/>
        </w:rPr>
        <w:t xml:space="preserve">בעניינו של נאשם זה, התנגדה המאשימה לביטול ההרשעה </w:t>
      </w:r>
      <w:r w:rsidRPr="00C234BE">
        <w:rPr>
          <w:rFonts w:hint="cs"/>
          <w:rtl/>
        </w:rPr>
        <w:t>בשים לב לסוג העבירה ובהעדר נזק קונקרטי, אך עתרה להטיל עליו ענישה ברף הנמוך של המתחם לאור גילו, לקיחת האחריות, העדר עבר פלילי והשיקולים לקולה שעולים מתסקיר שירות המבחן.</w:t>
      </w:r>
    </w:p>
    <w:p w14:paraId="1EFB75B9" w14:textId="77777777" w:rsidR="0049543D" w:rsidRDefault="0049543D" w:rsidP="0049543D">
      <w:pPr>
        <w:spacing w:line="360" w:lineRule="auto"/>
        <w:jc w:val="both"/>
        <w:rPr>
          <w:rtl/>
        </w:rPr>
      </w:pPr>
    </w:p>
    <w:p w14:paraId="2FE0085C" w14:textId="77777777" w:rsidR="0049543D" w:rsidRDefault="0049543D" w:rsidP="0049543D">
      <w:pPr>
        <w:spacing w:line="360" w:lineRule="auto"/>
        <w:jc w:val="both"/>
        <w:rPr>
          <w:rtl/>
        </w:rPr>
      </w:pPr>
      <w:r w:rsidRPr="00C234BE">
        <w:rPr>
          <w:rFonts w:hint="cs"/>
          <w:rtl/>
        </w:rPr>
        <w:t>עוד הפנתה ב"כ המאשימה לכך שבביתו של הנאשם נתפסו גם אוהל ואדניות המשמשים לגידול.</w:t>
      </w:r>
    </w:p>
    <w:p w14:paraId="40AD7635" w14:textId="77777777" w:rsidR="0049543D" w:rsidRDefault="0049543D" w:rsidP="0049543D">
      <w:pPr>
        <w:spacing w:line="360" w:lineRule="auto"/>
        <w:jc w:val="both"/>
        <w:rPr>
          <w:rtl/>
        </w:rPr>
      </w:pPr>
    </w:p>
    <w:p w14:paraId="599C9F5A" w14:textId="77777777" w:rsidR="0049543D" w:rsidRDefault="0049543D" w:rsidP="0049543D">
      <w:pPr>
        <w:spacing w:line="360" w:lineRule="auto"/>
        <w:jc w:val="both"/>
        <w:rPr>
          <w:rtl/>
        </w:rPr>
      </w:pPr>
      <w:r w:rsidRPr="002A3508">
        <w:rPr>
          <w:rFonts w:hint="cs"/>
          <w:b/>
          <w:bCs/>
          <w:rtl/>
        </w:rPr>
        <w:t>7</w:t>
      </w:r>
      <w:r>
        <w:rPr>
          <w:rFonts w:hint="cs"/>
          <w:rtl/>
        </w:rPr>
        <w:t xml:space="preserve">. ב"כ הנאשם עתרה לאמץ באופן מלא את המלצות התסקיר, וטענה כי הנאשם עומד בתנאי הלכת </w:t>
      </w:r>
      <w:r w:rsidRPr="00C234BE">
        <w:rPr>
          <w:rFonts w:hint="cs"/>
          <w:rtl/>
        </w:rPr>
        <w:t>כתב, וכי יש לחרוג ממתחם הענישה בשל הסיכוי הממשי לשיקום.</w:t>
      </w:r>
      <w:r>
        <w:rPr>
          <w:rFonts w:hint="cs"/>
          <w:rtl/>
        </w:rPr>
        <w:t xml:space="preserve"> </w:t>
      </w:r>
    </w:p>
    <w:p w14:paraId="689A2033" w14:textId="77777777" w:rsidR="0049543D" w:rsidRDefault="0049543D" w:rsidP="0049543D">
      <w:pPr>
        <w:spacing w:line="360" w:lineRule="auto"/>
        <w:jc w:val="both"/>
        <w:rPr>
          <w:rtl/>
        </w:rPr>
      </w:pPr>
    </w:p>
    <w:p w14:paraId="7BD242EE" w14:textId="77777777" w:rsidR="0049543D" w:rsidRDefault="0049543D" w:rsidP="0049543D">
      <w:pPr>
        <w:spacing w:line="360" w:lineRule="auto"/>
        <w:jc w:val="both"/>
        <w:rPr>
          <w:rtl/>
        </w:rPr>
      </w:pPr>
      <w:r>
        <w:rPr>
          <w:rFonts w:hint="cs"/>
          <w:rtl/>
        </w:rPr>
        <w:t xml:space="preserve">באשר לנסיבות ביצוע העבירה, הפנתה לעובדה כי מדובר בגידול 2 שתילים בלבד, במשקל לא ידוע, בביתו של </w:t>
      </w:r>
      <w:r w:rsidRPr="00C234BE">
        <w:rPr>
          <w:rFonts w:hint="cs"/>
          <w:rtl/>
        </w:rPr>
        <w:t>הנאשם, וללא כל עדות למכירה או שימוש.</w:t>
      </w:r>
      <w:r>
        <w:rPr>
          <w:rFonts w:hint="cs"/>
          <w:rtl/>
        </w:rPr>
        <w:t xml:space="preserve"> </w:t>
      </w:r>
    </w:p>
    <w:p w14:paraId="4C5E8EB5" w14:textId="77777777" w:rsidR="0049543D" w:rsidRDefault="0049543D" w:rsidP="0049543D">
      <w:pPr>
        <w:spacing w:line="360" w:lineRule="auto"/>
        <w:jc w:val="both"/>
        <w:rPr>
          <w:rtl/>
        </w:rPr>
      </w:pPr>
    </w:p>
    <w:p w14:paraId="6295A578" w14:textId="77777777" w:rsidR="0049543D" w:rsidRDefault="0049543D" w:rsidP="0049543D">
      <w:pPr>
        <w:spacing w:line="360" w:lineRule="auto"/>
        <w:jc w:val="both"/>
        <w:rPr>
          <w:rtl/>
        </w:rPr>
      </w:pPr>
      <w:r>
        <w:rPr>
          <w:rFonts w:hint="cs"/>
          <w:rtl/>
        </w:rPr>
        <w:t xml:space="preserve">באשר לנסיבותיו של הנאשם הפנתה להיותו צעיר, נעדר עבר, שמאז ביצוע העבירה חלפו כ- 4 שנים בהן לא נחשד בביצוע עבירות נוספות. עוד הפנתה להיותו סטודנט ללימודי הנדסת אנרגיה שצפוי להשתלב בעבודה שתדרוש תעודת יושר. </w:t>
      </w:r>
    </w:p>
    <w:p w14:paraId="21F9E621" w14:textId="77777777" w:rsidR="0049543D" w:rsidRDefault="0049543D" w:rsidP="0049543D">
      <w:pPr>
        <w:spacing w:line="360" w:lineRule="auto"/>
        <w:jc w:val="both"/>
        <w:rPr>
          <w:rtl/>
        </w:rPr>
      </w:pPr>
      <w:r w:rsidRPr="00C234BE">
        <w:rPr>
          <w:rFonts w:hint="cs"/>
          <w:rtl/>
        </w:rPr>
        <w:t>בטיעוניה אף הפנתה ללקיחת האחריות ולהבעת החרטה מצד הנאשם ולהתרשמות שירות המבחן מהנאשם כצעיר נעדר דפוסים עבריינים שלהליך המשפטי אפקט מרתיע עבורו.</w:t>
      </w:r>
      <w:r>
        <w:rPr>
          <w:rFonts w:hint="cs"/>
          <w:rtl/>
        </w:rPr>
        <w:t xml:space="preserve"> </w:t>
      </w:r>
    </w:p>
    <w:p w14:paraId="0AFE4B4B" w14:textId="77777777" w:rsidR="0049543D" w:rsidRDefault="0049543D" w:rsidP="0049543D">
      <w:pPr>
        <w:spacing w:line="360" w:lineRule="auto"/>
        <w:jc w:val="both"/>
        <w:rPr>
          <w:rtl/>
        </w:rPr>
      </w:pPr>
    </w:p>
    <w:p w14:paraId="589B44C7" w14:textId="77777777" w:rsidR="0049543D" w:rsidRDefault="0049543D" w:rsidP="0049543D">
      <w:pPr>
        <w:spacing w:line="360" w:lineRule="auto"/>
        <w:jc w:val="both"/>
        <w:rPr>
          <w:rtl/>
        </w:rPr>
      </w:pPr>
      <w:r w:rsidRPr="00C234BE">
        <w:rPr>
          <w:rFonts w:hint="cs"/>
          <w:rtl/>
        </w:rPr>
        <w:t xml:space="preserve">כמו כן, טענה כי יש לתת את הדעת לכך שבשים לב להנחיית ראש חטיבת התביעות באשר למדיניות העמדה לדין בעבירה של גידול סם מסוכן, לאור התיקון בכתב האישום </w:t>
      </w:r>
      <w:r w:rsidRPr="00C234BE">
        <w:rPr>
          <w:rtl/>
        </w:rPr>
        <w:t>–</w:t>
      </w:r>
      <w:r w:rsidRPr="00C234BE">
        <w:rPr>
          <w:rFonts w:hint="cs"/>
          <w:rtl/>
        </w:rPr>
        <w:t xml:space="preserve"> כתב אישום זה לא היה מוגש מלכתחילה.</w:t>
      </w:r>
      <w:r>
        <w:rPr>
          <w:rFonts w:hint="cs"/>
          <w:rtl/>
        </w:rPr>
        <w:t xml:space="preserve"> </w:t>
      </w:r>
    </w:p>
    <w:p w14:paraId="57AA598A" w14:textId="77777777" w:rsidR="0049543D" w:rsidRDefault="0049543D" w:rsidP="0049543D">
      <w:pPr>
        <w:spacing w:line="360" w:lineRule="auto"/>
        <w:jc w:val="both"/>
        <w:rPr>
          <w:rtl/>
        </w:rPr>
      </w:pPr>
    </w:p>
    <w:p w14:paraId="3D39D568" w14:textId="77777777" w:rsidR="0049543D" w:rsidRDefault="0049543D" w:rsidP="0049543D">
      <w:pPr>
        <w:spacing w:line="360" w:lineRule="auto"/>
        <w:jc w:val="both"/>
        <w:rPr>
          <w:b/>
          <w:bCs/>
          <w:rtl/>
        </w:rPr>
      </w:pPr>
      <w:r>
        <w:rPr>
          <w:rFonts w:hint="cs"/>
          <w:rtl/>
        </w:rPr>
        <w:t>ב"כ הנאשם הפנתה לפסיקה כתמיכה לעתירתה וכן הגישה אישור לימודים עדכני</w:t>
      </w:r>
      <w:r w:rsidRPr="00E236FB">
        <w:rPr>
          <w:rFonts w:hint="cs"/>
          <w:b/>
          <w:bCs/>
          <w:rtl/>
        </w:rPr>
        <w:t xml:space="preserve"> (נ/1 </w:t>
      </w:r>
      <w:r w:rsidRPr="00E236FB">
        <w:rPr>
          <w:b/>
          <w:bCs/>
          <w:rtl/>
        </w:rPr>
        <w:t>–</w:t>
      </w:r>
      <w:r w:rsidRPr="00E236FB">
        <w:rPr>
          <w:rFonts w:hint="cs"/>
          <w:b/>
          <w:bCs/>
          <w:rtl/>
        </w:rPr>
        <w:t xml:space="preserve"> נ/2)</w:t>
      </w:r>
      <w:r>
        <w:rPr>
          <w:rFonts w:hint="cs"/>
          <w:b/>
          <w:bCs/>
          <w:rtl/>
        </w:rPr>
        <w:t xml:space="preserve">. </w:t>
      </w:r>
    </w:p>
    <w:p w14:paraId="6EBCBB30" w14:textId="77777777" w:rsidR="0049543D" w:rsidRDefault="0049543D" w:rsidP="0049543D">
      <w:pPr>
        <w:spacing w:line="360" w:lineRule="auto"/>
        <w:jc w:val="both"/>
        <w:rPr>
          <w:b/>
          <w:bCs/>
          <w:rtl/>
        </w:rPr>
      </w:pPr>
    </w:p>
    <w:p w14:paraId="59661A6B" w14:textId="77777777" w:rsidR="0049543D" w:rsidRDefault="0049543D" w:rsidP="0049543D">
      <w:pPr>
        <w:spacing w:line="360" w:lineRule="auto"/>
        <w:jc w:val="both"/>
        <w:rPr>
          <w:rtl/>
        </w:rPr>
      </w:pPr>
      <w:r w:rsidRPr="006128AC">
        <w:rPr>
          <w:rFonts w:hint="cs"/>
          <w:b/>
          <w:bCs/>
          <w:rtl/>
        </w:rPr>
        <w:t>8</w:t>
      </w:r>
      <w:r>
        <w:rPr>
          <w:rFonts w:hint="cs"/>
          <w:rtl/>
        </w:rPr>
        <w:t xml:space="preserve">. </w:t>
      </w:r>
      <w:r w:rsidRPr="0062718E">
        <w:rPr>
          <w:rFonts w:hint="cs"/>
          <w:rtl/>
        </w:rPr>
        <w:t xml:space="preserve">הנאשם </w:t>
      </w:r>
      <w:r>
        <w:rPr>
          <w:rFonts w:hint="cs"/>
          <w:rtl/>
        </w:rPr>
        <w:t xml:space="preserve">הבהיר במעמד הדיון כי הוא עתיד לסיים לימודיו וחושש שהרשעה תפריע לו להשתלב בעבודה, שכן אף בכדי לסיים סמינריון דרך נתיבי גז ישראל, הוא זקוק לתעודת יושר. </w:t>
      </w:r>
    </w:p>
    <w:p w14:paraId="3D106FFC" w14:textId="77777777" w:rsidR="0049543D" w:rsidRPr="00E236FB" w:rsidRDefault="0049543D" w:rsidP="0049543D">
      <w:pPr>
        <w:spacing w:line="360" w:lineRule="auto"/>
        <w:jc w:val="both"/>
        <w:rPr>
          <w:b/>
          <w:bCs/>
          <w:u w:val="single"/>
          <w:rtl/>
        </w:rPr>
      </w:pPr>
    </w:p>
    <w:p w14:paraId="3AA4ECB7" w14:textId="77777777" w:rsidR="0049543D" w:rsidRPr="00E236FB" w:rsidRDefault="0049543D" w:rsidP="0049543D">
      <w:pPr>
        <w:spacing w:line="360" w:lineRule="auto"/>
        <w:jc w:val="both"/>
        <w:rPr>
          <w:rtl/>
        </w:rPr>
      </w:pPr>
      <w:r w:rsidRPr="00E236FB">
        <w:rPr>
          <w:rFonts w:hint="cs"/>
          <w:b/>
          <w:bCs/>
          <w:u w:val="single"/>
          <w:rtl/>
        </w:rPr>
        <w:t>מתחם העונש ההולם</w:t>
      </w:r>
      <w:r>
        <w:rPr>
          <w:rFonts w:hint="cs"/>
          <w:rtl/>
        </w:rPr>
        <w:t xml:space="preserve"> </w:t>
      </w:r>
    </w:p>
    <w:p w14:paraId="6419FDF9" w14:textId="77777777" w:rsidR="0049543D" w:rsidRDefault="0049543D" w:rsidP="0049543D">
      <w:pPr>
        <w:spacing w:line="360" w:lineRule="auto"/>
        <w:jc w:val="both"/>
        <w:rPr>
          <w:rtl/>
        </w:rPr>
      </w:pPr>
      <w:r w:rsidRPr="00C14A24">
        <w:rPr>
          <w:rFonts w:hint="cs"/>
          <w:b/>
          <w:bCs/>
          <w:rtl/>
        </w:rPr>
        <w:t>9</w:t>
      </w:r>
      <w:r>
        <w:rPr>
          <w:rFonts w:hint="cs"/>
          <w:rtl/>
        </w:rPr>
        <w:t xml:space="preserve">. מתחם העונש ההולם למעשה העבירה נעשה בהתאם לעקרון המנחה, עקרון ההלימה. במסגרת קביעת מתחם העונש ההולם על בית המשפט לשקול את הערך החברתי שנפגע, מידת הפגיעה בו, נסיבות ביצוע העבירה ומדיניות הענישה הנוהגת. </w:t>
      </w:r>
    </w:p>
    <w:p w14:paraId="54311CF6" w14:textId="77777777" w:rsidR="0049543D" w:rsidRDefault="0049543D" w:rsidP="0049543D">
      <w:pPr>
        <w:spacing w:line="360" w:lineRule="auto"/>
        <w:jc w:val="both"/>
        <w:rPr>
          <w:rtl/>
        </w:rPr>
      </w:pPr>
    </w:p>
    <w:p w14:paraId="7B30EB98" w14:textId="77777777" w:rsidR="0049543D" w:rsidRDefault="0049543D" w:rsidP="0049543D">
      <w:pPr>
        <w:spacing w:line="360" w:lineRule="auto"/>
        <w:jc w:val="both"/>
        <w:rPr>
          <w:rtl/>
        </w:rPr>
      </w:pPr>
      <w:r w:rsidRPr="00C14A24">
        <w:rPr>
          <w:rFonts w:hint="cs"/>
          <w:b/>
          <w:bCs/>
          <w:rtl/>
        </w:rPr>
        <w:t>10</w:t>
      </w:r>
      <w:r>
        <w:rPr>
          <w:rFonts w:hint="cs"/>
          <w:rtl/>
        </w:rPr>
        <w:t xml:space="preserve">. במקרה דנן, מדובר </w:t>
      </w:r>
      <w:r w:rsidRPr="007D43A5">
        <w:rPr>
          <w:rFonts w:hint="cs"/>
          <w:b/>
          <w:bCs/>
          <w:rtl/>
        </w:rPr>
        <w:t>באירוע אחד</w:t>
      </w:r>
      <w:r>
        <w:rPr>
          <w:rFonts w:hint="cs"/>
          <w:rtl/>
        </w:rPr>
        <w:t xml:space="preserve"> שיש לקבוע בגינו מתחם עונש הולם אחד. </w:t>
      </w:r>
    </w:p>
    <w:p w14:paraId="1ECB2B72" w14:textId="77777777" w:rsidR="0049543D" w:rsidRDefault="0049543D" w:rsidP="0049543D">
      <w:pPr>
        <w:spacing w:line="360" w:lineRule="auto"/>
        <w:jc w:val="both"/>
        <w:rPr>
          <w:b/>
          <w:bCs/>
          <w:rtl/>
        </w:rPr>
      </w:pPr>
    </w:p>
    <w:p w14:paraId="734E6663" w14:textId="77777777" w:rsidR="0049543D" w:rsidRDefault="0049543D" w:rsidP="0049543D">
      <w:pPr>
        <w:spacing w:line="360" w:lineRule="auto"/>
        <w:jc w:val="both"/>
        <w:rPr>
          <w:rtl/>
        </w:rPr>
      </w:pPr>
      <w:r>
        <w:rPr>
          <w:rFonts w:hint="cs"/>
          <w:b/>
          <w:bCs/>
          <w:rtl/>
        </w:rPr>
        <w:t xml:space="preserve">11. הערך החברתי המוגן </w:t>
      </w:r>
      <w:r>
        <w:rPr>
          <w:rFonts w:hint="cs"/>
          <w:rtl/>
        </w:rPr>
        <w:t xml:space="preserve">שנפגע כתוצאה מביצוע העבירה הוא מניעת הנזקים הישירים והעקיפים כתוצאה מהתפשטות נגע הסמים. </w:t>
      </w:r>
    </w:p>
    <w:p w14:paraId="21BAEA17" w14:textId="77777777" w:rsidR="0049543D" w:rsidRDefault="0049543D" w:rsidP="0049543D">
      <w:pPr>
        <w:pStyle w:val="normal-p"/>
        <w:bidi/>
        <w:spacing w:line="360" w:lineRule="auto"/>
        <w:jc w:val="both"/>
        <w:rPr>
          <w:rStyle w:val="normal-h"/>
          <w:rFonts w:ascii="David" w:hAnsi="David" w:cs="David"/>
          <w:rtl/>
        </w:rPr>
      </w:pPr>
      <w:r w:rsidRPr="00C14A24">
        <w:rPr>
          <w:rStyle w:val="normal-h"/>
          <w:rFonts w:ascii="David" w:hAnsi="David" w:cs="David" w:hint="cs"/>
          <w:b/>
          <w:bCs/>
          <w:rtl/>
        </w:rPr>
        <w:t>12</w:t>
      </w:r>
      <w:r>
        <w:rPr>
          <w:rStyle w:val="normal-h"/>
          <w:rFonts w:ascii="David" w:hAnsi="David" w:cs="David" w:hint="cs"/>
          <w:rtl/>
        </w:rPr>
        <w:t xml:space="preserve">. בתי המשפט, בערכאות השונות, עמדו על הצורך בענישה מחמירה ביחס לעברייני סמים בכלל, ומגדלי סמים בפרטי. </w:t>
      </w:r>
    </w:p>
    <w:p w14:paraId="1AB32D3B" w14:textId="77777777" w:rsidR="0049543D" w:rsidRDefault="0049543D" w:rsidP="0049543D">
      <w:pPr>
        <w:pStyle w:val="normal-p"/>
        <w:bidi/>
        <w:spacing w:before="0" w:beforeAutospacing="0" w:after="0" w:afterAutospacing="0" w:line="360" w:lineRule="auto"/>
        <w:jc w:val="both"/>
        <w:rPr>
          <w:rFonts w:ascii="David" w:hAnsi="David" w:cs="David"/>
          <w:b/>
          <w:bCs/>
          <w:rtl/>
        </w:rPr>
      </w:pPr>
      <w:r>
        <w:rPr>
          <w:rStyle w:val="normal-h"/>
          <w:rFonts w:ascii="David" w:hAnsi="David" w:cs="David" w:hint="cs"/>
          <w:rtl/>
        </w:rPr>
        <w:t>כך לדוגמה, ב</w:t>
      </w:r>
      <w:hyperlink r:id="rId10" w:history="1">
        <w:r w:rsidR="00C91566" w:rsidRPr="00C91566">
          <w:rPr>
            <w:rStyle w:val="normal-h"/>
            <w:rFonts w:ascii="David" w:hAnsi="David" w:cs="David"/>
            <w:b/>
            <w:bCs/>
            <w:color w:val="0000FF"/>
            <w:u w:val="single"/>
            <w:rtl/>
          </w:rPr>
          <w:t>ע"פ (חיפה) 41827-0810, פרידמן נגד מדינת ישראל</w:t>
        </w:r>
      </w:hyperlink>
      <w:r>
        <w:rPr>
          <w:rStyle w:val="normal-h"/>
          <w:rFonts w:ascii="David" w:hAnsi="David" w:cs="David" w:hint="cs"/>
          <w:b/>
          <w:bCs/>
          <w:rtl/>
        </w:rPr>
        <w:t>,</w:t>
      </w:r>
      <w:r w:rsidRPr="00C05023">
        <w:rPr>
          <w:rStyle w:val="normal-h"/>
          <w:rFonts w:ascii="David" w:hAnsi="David" w:cs="David" w:hint="cs"/>
          <w:b/>
          <w:bCs/>
          <w:rtl/>
        </w:rPr>
        <w:t xml:space="preserve"> (30/12/10)</w:t>
      </w:r>
      <w:r>
        <w:rPr>
          <w:rStyle w:val="normal-h"/>
          <w:rFonts w:ascii="David" w:hAnsi="David" w:cs="David" w:hint="cs"/>
          <w:rtl/>
        </w:rPr>
        <w:t xml:space="preserve"> קבע בית המשפט המחוזי כי "...</w:t>
      </w:r>
      <w:r w:rsidRPr="00C05023">
        <w:rPr>
          <w:rStyle w:val="normal-h"/>
          <w:rFonts w:ascii="David" w:hAnsi="David" w:cs="David"/>
          <w:b/>
          <w:bCs/>
          <w:rtl/>
        </w:rPr>
        <w:t>המחוקק לא הבחין בין גידול סם מסוכן לצריכה עצמית לבין גידול סם שלא לצריכה עצמית הואיל ואין לדעת לא</w:t>
      </w:r>
      <w:r>
        <w:rPr>
          <w:rStyle w:val="normal-h"/>
          <w:rFonts w:ascii="David" w:hAnsi="David" w:cs="David"/>
          <w:b/>
          <w:bCs/>
          <w:rtl/>
        </w:rPr>
        <w:t>ן "יתגלגל" הסם שיופק מן הצמחים.</w:t>
      </w:r>
      <w:r>
        <w:rPr>
          <w:rStyle w:val="normal-h"/>
          <w:rFonts w:ascii="David" w:hAnsi="David" w:cs="David" w:hint="cs"/>
          <w:b/>
          <w:bCs/>
          <w:rtl/>
        </w:rPr>
        <w:t xml:space="preserve">.. </w:t>
      </w:r>
      <w:r w:rsidRPr="00C05023">
        <w:rPr>
          <w:rStyle w:val="normal-h"/>
          <w:rFonts w:ascii="David" w:hAnsi="David" w:cs="David"/>
          <w:b/>
          <w:bCs/>
          <w:rtl/>
        </w:rPr>
        <w:t>על בית-המשפט להחמיר עם המגדלים כדי לצקת תוכן לתכלית החקיקה, לגמול למגדלים על מעשיהם, ולהרתיע את היחיד והרבים מלבצע עבירה מסוג זה.</w:t>
      </w:r>
      <w:r>
        <w:rPr>
          <w:rStyle w:val="normal-h"/>
          <w:rFonts w:ascii="David" w:hAnsi="David" w:cs="David" w:hint="cs"/>
          <w:b/>
          <w:bCs/>
          <w:rtl/>
        </w:rPr>
        <w:t>..".</w:t>
      </w:r>
      <w:r w:rsidRPr="00C05023">
        <w:rPr>
          <w:rStyle w:val="normal-h"/>
          <w:rFonts w:ascii="David" w:hAnsi="David" w:cs="David"/>
          <w:b/>
          <w:bCs/>
          <w:rtl/>
        </w:rPr>
        <w:t xml:space="preserve"> </w:t>
      </w:r>
    </w:p>
    <w:p w14:paraId="66DADEBD" w14:textId="77777777" w:rsidR="0049543D" w:rsidRPr="00C05023" w:rsidRDefault="0049543D" w:rsidP="0049543D">
      <w:pPr>
        <w:pStyle w:val="normal-p"/>
        <w:bidi/>
        <w:spacing w:before="0" w:beforeAutospacing="0" w:after="0" w:afterAutospacing="0" w:line="360" w:lineRule="auto"/>
        <w:jc w:val="both"/>
        <w:rPr>
          <w:rFonts w:ascii="David" w:hAnsi="David" w:cs="David"/>
          <w:b/>
          <w:bCs/>
          <w:rtl/>
        </w:rPr>
      </w:pPr>
    </w:p>
    <w:p w14:paraId="759FDC3D" w14:textId="77777777" w:rsidR="0049543D" w:rsidRDefault="0049543D" w:rsidP="0049543D">
      <w:pPr>
        <w:spacing w:line="360" w:lineRule="auto"/>
        <w:jc w:val="both"/>
        <w:rPr>
          <w:rtl/>
        </w:rPr>
      </w:pPr>
      <w:r>
        <w:rPr>
          <w:rFonts w:hint="cs"/>
          <w:b/>
          <w:bCs/>
          <w:rtl/>
        </w:rPr>
        <w:t xml:space="preserve">13. </w:t>
      </w:r>
      <w:r w:rsidRPr="007D43A5">
        <w:rPr>
          <w:rFonts w:hint="cs"/>
          <w:b/>
          <w:bCs/>
          <w:rtl/>
        </w:rPr>
        <w:t>מידת הפגיעה בערך החברתי</w:t>
      </w:r>
      <w:r>
        <w:rPr>
          <w:rFonts w:hint="cs"/>
          <w:b/>
          <w:bCs/>
          <w:rtl/>
        </w:rPr>
        <w:t xml:space="preserve"> המוגן</w:t>
      </w:r>
      <w:r>
        <w:rPr>
          <w:rFonts w:hint="cs"/>
          <w:rtl/>
        </w:rPr>
        <w:t xml:space="preserve"> הוא ברף הנמוך לאור כמות הסם, סוגו ומקום ביצוע העבירה. </w:t>
      </w:r>
    </w:p>
    <w:p w14:paraId="10D0F95D" w14:textId="77777777" w:rsidR="0049543D" w:rsidRDefault="0049543D" w:rsidP="0049543D">
      <w:pPr>
        <w:spacing w:line="360" w:lineRule="auto"/>
        <w:jc w:val="both"/>
        <w:rPr>
          <w:rtl/>
        </w:rPr>
      </w:pPr>
    </w:p>
    <w:p w14:paraId="3BFB1929" w14:textId="77777777" w:rsidR="0049543D" w:rsidRDefault="0049543D" w:rsidP="0049543D">
      <w:pPr>
        <w:spacing w:line="360" w:lineRule="auto"/>
        <w:jc w:val="both"/>
        <w:rPr>
          <w:rtl/>
        </w:rPr>
      </w:pPr>
      <w:r w:rsidRPr="00A44A18">
        <w:rPr>
          <w:rFonts w:hint="cs"/>
          <w:b/>
          <w:bCs/>
          <w:rtl/>
        </w:rPr>
        <w:t>14</w:t>
      </w:r>
      <w:r>
        <w:rPr>
          <w:rFonts w:hint="cs"/>
          <w:rtl/>
        </w:rPr>
        <w:t xml:space="preserve">. </w:t>
      </w:r>
      <w:r w:rsidRPr="00A44A18">
        <w:rPr>
          <w:rFonts w:hint="cs"/>
          <w:b/>
          <w:bCs/>
          <w:rtl/>
        </w:rPr>
        <w:t>מדיניות הענישה</w:t>
      </w:r>
      <w:r>
        <w:rPr>
          <w:rFonts w:hint="cs"/>
          <w:rtl/>
        </w:rPr>
        <w:t xml:space="preserve"> הנוהגת בגין העבירה עליה נותן הנאשם את הדין מעלה כי בתי המשפט נוהגים להטיל עונשים במנעד רחב כמפורט להלן:</w:t>
      </w:r>
    </w:p>
    <w:p w14:paraId="2B011276" w14:textId="77777777" w:rsidR="0049543D" w:rsidRDefault="0049543D" w:rsidP="0049543D">
      <w:pPr>
        <w:spacing w:line="360" w:lineRule="auto"/>
        <w:jc w:val="both"/>
        <w:rPr>
          <w:rtl/>
        </w:rPr>
      </w:pPr>
      <w:r w:rsidRPr="00A44A18">
        <w:rPr>
          <w:rFonts w:hint="cs"/>
          <w:b/>
          <w:bCs/>
          <w:rtl/>
        </w:rPr>
        <w:t>א</w:t>
      </w:r>
      <w:r>
        <w:rPr>
          <w:rFonts w:hint="cs"/>
          <w:rtl/>
        </w:rPr>
        <w:t>. ב</w:t>
      </w:r>
      <w:hyperlink r:id="rId11" w:history="1">
        <w:r w:rsidR="0033220A" w:rsidRPr="0033220A">
          <w:rPr>
            <w:b/>
            <w:bCs/>
            <w:color w:val="0000FF"/>
            <w:u w:val="single"/>
            <w:rtl/>
          </w:rPr>
          <w:t>רע"פ 8458/18</w:t>
        </w:r>
      </w:hyperlink>
      <w:r>
        <w:rPr>
          <w:rFonts w:hint="cs"/>
          <w:b/>
          <w:bCs/>
          <w:rtl/>
        </w:rPr>
        <w:t xml:space="preserve">, שטרר נגד מדינת ישראל, (04/04/19) </w:t>
      </w:r>
      <w:r>
        <w:rPr>
          <w:rFonts w:hint="cs"/>
          <w:rtl/>
        </w:rPr>
        <w:t xml:space="preserve">דחה בית המשפט העליון ערעור המבקש על הרשעתו בגין גידול 2 שתילי סם מסוכן מסוג קנאביס במשקל 248 גרם שנעשה לצריכתו העצמית, על אף המלצת שירות המבחן, וזאת לאור טיב העבירה ומהותה ובהעדר הוכחת פגיעה קונקרטית. </w:t>
      </w:r>
    </w:p>
    <w:p w14:paraId="632E072A" w14:textId="77777777" w:rsidR="0049543D" w:rsidRDefault="0049543D" w:rsidP="0049543D">
      <w:pPr>
        <w:spacing w:line="360" w:lineRule="auto"/>
        <w:jc w:val="both"/>
        <w:rPr>
          <w:rtl/>
        </w:rPr>
      </w:pPr>
      <w:r w:rsidRPr="00A44A18">
        <w:rPr>
          <w:rFonts w:hint="cs"/>
          <w:b/>
          <w:bCs/>
          <w:rtl/>
        </w:rPr>
        <w:t>ב</w:t>
      </w:r>
      <w:r>
        <w:rPr>
          <w:rFonts w:hint="cs"/>
          <w:rtl/>
        </w:rPr>
        <w:t>. ב</w:t>
      </w:r>
      <w:hyperlink r:id="rId12" w:history="1">
        <w:r w:rsidR="0033220A" w:rsidRPr="0033220A">
          <w:rPr>
            <w:b/>
            <w:bCs/>
            <w:color w:val="0000FF"/>
            <w:u w:val="single"/>
            <w:rtl/>
          </w:rPr>
          <w:t>עפ"ג (באר שבע) 14495-03-17</w:t>
        </w:r>
      </w:hyperlink>
      <w:r>
        <w:rPr>
          <w:rFonts w:hint="cs"/>
          <w:b/>
          <w:bCs/>
          <w:rtl/>
        </w:rPr>
        <w:t>,</w:t>
      </w:r>
      <w:r w:rsidRPr="00CC0746">
        <w:rPr>
          <w:rFonts w:hint="cs"/>
          <w:b/>
          <w:bCs/>
          <w:rtl/>
        </w:rPr>
        <w:t xml:space="preserve"> בוגנח נגד מדינת ישראל</w:t>
      </w:r>
      <w:r>
        <w:rPr>
          <w:rFonts w:hint="cs"/>
          <w:b/>
          <w:bCs/>
          <w:rtl/>
        </w:rPr>
        <w:t>,</w:t>
      </w:r>
      <w:r w:rsidRPr="00CC0746">
        <w:rPr>
          <w:rFonts w:hint="cs"/>
          <w:b/>
          <w:bCs/>
          <w:rtl/>
        </w:rPr>
        <w:t xml:space="preserve"> (10/</w:t>
      </w:r>
      <w:r>
        <w:rPr>
          <w:rFonts w:hint="cs"/>
          <w:b/>
          <w:bCs/>
          <w:rtl/>
        </w:rPr>
        <w:t>05</w:t>
      </w:r>
      <w:r w:rsidRPr="00CC0746">
        <w:rPr>
          <w:rFonts w:hint="cs"/>
          <w:b/>
          <w:bCs/>
          <w:rtl/>
        </w:rPr>
        <w:t>/17)</w:t>
      </w:r>
      <w:r>
        <w:rPr>
          <w:rFonts w:hint="cs"/>
          <w:rtl/>
        </w:rPr>
        <w:t xml:space="preserve"> קיבל בית המשפט המחוזי באופן חלקי את ערעור המערער על חומרת העונש. המערער הורשע בגידול שתיל אחד של סם מוכן מסוג קנאביס במשקל של כ-320 גרם. הנאשם בעל עבר פלילי ישן, שהומלץ על ידי שירות המבחן להסתפק בעניינו בענישה חינוכית, נדון בבית משפט השלום לעונש של 6 חודשי עבודות שירות. בית המשפט המחוזי, לפנים משורת הדין, תוך שהוא מציין כי גזר הדין של בית משפט השלום לא החמיר עם הנאשם, הפחית העונש ל-4 חודשי עבודות שירות. </w:t>
      </w:r>
    </w:p>
    <w:p w14:paraId="77D5CF57" w14:textId="77777777" w:rsidR="0049543D" w:rsidRDefault="0049543D" w:rsidP="0049543D">
      <w:pPr>
        <w:spacing w:line="360" w:lineRule="auto"/>
        <w:jc w:val="both"/>
        <w:rPr>
          <w:rtl/>
        </w:rPr>
      </w:pPr>
      <w:r>
        <w:rPr>
          <w:rFonts w:hint="cs"/>
          <w:rtl/>
        </w:rPr>
        <w:t xml:space="preserve">ג. </w:t>
      </w:r>
      <w:hyperlink r:id="rId13" w:history="1">
        <w:r w:rsidR="00D25A4D" w:rsidRPr="00D25A4D">
          <w:rPr>
            <w:b/>
            <w:bCs/>
            <w:color w:val="0000FF"/>
            <w:u w:val="single"/>
            <w:rtl/>
          </w:rPr>
          <w:t>בעפ"ג (מרכז) מדינת ישראל נגד חסון (14/05/19</w:t>
        </w:r>
      </w:hyperlink>
      <w:r w:rsidRPr="0096447B">
        <w:rPr>
          <w:rFonts w:hint="cs"/>
          <w:b/>
          <w:bCs/>
          <w:rtl/>
        </w:rPr>
        <w:t>)</w:t>
      </w:r>
      <w:r>
        <w:rPr>
          <w:rFonts w:hint="cs"/>
          <w:b/>
          <w:bCs/>
          <w:rtl/>
        </w:rPr>
        <w:t xml:space="preserve"> </w:t>
      </w:r>
      <w:r>
        <w:rPr>
          <w:rFonts w:hint="cs"/>
          <w:rtl/>
        </w:rPr>
        <w:t xml:space="preserve">קיבל בית המשפט המחוזי באופן חלקי את ערעור המדינה על קולת העונש, תוך הגדלת רכיבי הענישה אך הימנעות מהטלת עונש מאסר. המשיב הורשע ונדון לעונשי קנס, של"צ וצו מבחן בגין גידול 9 שתילי סם מסוכן מסוג קנאביס במשקל 2.7 ק"ג. בית המשפט המחוזי אישר מתחם עונש הולם הנע מ-6 חודשי עבודות שירות ועד 12 חודשי מאסר בפועל. עוד אישר חריגה לקולה מהמתחם תוך דחיית הבקשה לאי הרשעה, לאור גילו, העדר עבר  ובעיקר, הליך שיקום ארוך ומשמעותי שעבר המשיב. </w:t>
      </w:r>
    </w:p>
    <w:p w14:paraId="60802AD3" w14:textId="77777777" w:rsidR="0049543D" w:rsidRPr="00D67BD8" w:rsidRDefault="0049543D" w:rsidP="0049543D">
      <w:pPr>
        <w:spacing w:line="360" w:lineRule="auto"/>
        <w:jc w:val="both"/>
        <w:rPr>
          <w:rtl/>
        </w:rPr>
      </w:pPr>
      <w:r>
        <w:rPr>
          <w:rFonts w:hint="cs"/>
          <w:rtl/>
        </w:rPr>
        <w:t>ד. ב</w:t>
      </w:r>
      <w:hyperlink r:id="rId14" w:history="1">
        <w:r w:rsidR="0033220A" w:rsidRPr="0033220A">
          <w:rPr>
            <w:b/>
            <w:bCs/>
            <w:color w:val="0000FF"/>
            <w:u w:val="single"/>
            <w:rtl/>
          </w:rPr>
          <w:t>ע"פ (באר שבע) 67356-10-13</w:t>
        </w:r>
      </w:hyperlink>
      <w:r>
        <w:rPr>
          <w:rFonts w:hint="cs"/>
          <w:b/>
          <w:bCs/>
          <w:rtl/>
        </w:rPr>
        <w:t xml:space="preserve"> סמנצקו נגד מדינת ישראל (08/01/14) </w:t>
      </w:r>
      <w:r>
        <w:rPr>
          <w:rFonts w:hint="cs"/>
          <w:rtl/>
        </w:rPr>
        <w:t xml:space="preserve">דחה בית המשפט העליון ערעור המערער על חומרת העונש והותיר את ההרשעה על כנה. המערער הורשע בביצוע עבירת גידול 3 שתילי סם מסוכן מסוג קנאביס במשקל 1.7 ק"ג, בצוותא חדא עם אחר. על אף המלצת התסקיר, העדר עבר וחשש לפגיעה עתידית במקום עבודתו, לאור חומרת המעשים, כמות הסם, ביצוע העבירה בצוותא חדא ועל פני פרק זמן ממושך, לא מצא בית המשפט המחוזי מקום להורות על ביטול ההרשעה ואישר ענישה בדמות מאסר על תנאי וענישה נלווית. </w:t>
      </w:r>
    </w:p>
    <w:p w14:paraId="2FF7C1FC" w14:textId="77777777" w:rsidR="0049543D" w:rsidRDefault="0049543D" w:rsidP="0049543D">
      <w:pPr>
        <w:spacing w:line="360" w:lineRule="auto"/>
        <w:jc w:val="both"/>
        <w:rPr>
          <w:rtl/>
        </w:rPr>
      </w:pPr>
    </w:p>
    <w:p w14:paraId="4ED9B883" w14:textId="77777777" w:rsidR="0049543D" w:rsidRDefault="0049543D" w:rsidP="0049543D">
      <w:pPr>
        <w:spacing w:line="360" w:lineRule="auto"/>
        <w:jc w:val="both"/>
        <w:rPr>
          <w:rtl/>
        </w:rPr>
      </w:pPr>
      <w:r w:rsidRPr="00550099">
        <w:rPr>
          <w:rFonts w:hint="cs"/>
          <w:b/>
          <w:bCs/>
          <w:rtl/>
        </w:rPr>
        <w:t>15</w:t>
      </w:r>
      <w:r>
        <w:rPr>
          <w:rFonts w:hint="cs"/>
          <w:rtl/>
        </w:rPr>
        <w:t>. אציין כי פסק הדין אליו הפנתה ב"כ המאשימה,</w:t>
      </w:r>
      <w:r>
        <w:rPr>
          <w:rFonts w:hint="cs"/>
          <w:b/>
          <w:bCs/>
          <w:rtl/>
        </w:rPr>
        <w:t xml:space="preserve"> </w:t>
      </w:r>
      <w:hyperlink r:id="rId15" w:history="1">
        <w:r w:rsidR="0033220A" w:rsidRPr="0033220A">
          <w:rPr>
            <w:b/>
            <w:bCs/>
            <w:color w:val="0000FF"/>
            <w:u w:val="single"/>
            <w:rtl/>
          </w:rPr>
          <w:t>ת"פ (ב"ש) 33027-01-17</w:t>
        </w:r>
      </w:hyperlink>
      <w:r w:rsidRPr="003619DE">
        <w:rPr>
          <w:rFonts w:hint="cs"/>
          <w:b/>
          <w:bCs/>
          <w:rtl/>
        </w:rPr>
        <w:t xml:space="preserve"> מדינת ישראל נגד סלאח אבו יחיא</w:t>
      </w:r>
      <w:r>
        <w:rPr>
          <w:rFonts w:hint="cs"/>
          <w:rtl/>
        </w:rPr>
        <w:t xml:space="preserve"> והפסיקה שנסקרה בו אינם - רלבנטיים כלל וכלל למקרה דנן, וזאת לאור השוני המשמעותי במספר השתילים ובמשקלם. </w:t>
      </w:r>
    </w:p>
    <w:p w14:paraId="11885CDF" w14:textId="77777777" w:rsidR="0049543D" w:rsidRDefault="0049543D" w:rsidP="0049543D">
      <w:pPr>
        <w:spacing w:line="360" w:lineRule="auto"/>
        <w:jc w:val="both"/>
        <w:rPr>
          <w:rtl/>
        </w:rPr>
      </w:pPr>
    </w:p>
    <w:p w14:paraId="375FA457" w14:textId="77777777" w:rsidR="0049543D" w:rsidRDefault="0049543D" w:rsidP="0049543D">
      <w:pPr>
        <w:spacing w:line="360" w:lineRule="auto"/>
        <w:jc w:val="both"/>
        <w:rPr>
          <w:rtl/>
        </w:rPr>
      </w:pPr>
      <w:r w:rsidRPr="00C234BE">
        <w:rPr>
          <w:rFonts w:hint="cs"/>
          <w:rtl/>
        </w:rPr>
        <w:t>כמו כן, אציין כי על אף התיקון בכתב האישום, בשים לב לפסיקה המפורטת לעיל, ברי כי אין בתיקון כתב האישום כדי להעיד כי כתב אישום זה לא היה מוגש באם היה מנוסח כך מלכתחילה או כי יש לייחס לו משקל קל ערך בשל עובדותיו אשר לא מצויות ברף החמור של ביצוע עבירת גידול הסמים.</w:t>
      </w:r>
      <w:r>
        <w:rPr>
          <w:rFonts w:hint="cs"/>
          <w:rtl/>
        </w:rPr>
        <w:t xml:space="preserve"> </w:t>
      </w:r>
    </w:p>
    <w:p w14:paraId="6B306276" w14:textId="77777777" w:rsidR="0049543D" w:rsidRDefault="0049543D" w:rsidP="0049543D">
      <w:pPr>
        <w:spacing w:line="360" w:lineRule="auto"/>
        <w:jc w:val="both"/>
        <w:rPr>
          <w:rtl/>
        </w:rPr>
      </w:pPr>
    </w:p>
    <w:p w14:paraId="3A3E464C" w14:textId="77777777" w:rsidR="0049543D" w:rsidRDefault="0049543D" w:rsidP="0049543D">
      <w:pPr>
        <w:spacing w:line="360" w:lineRule="auto"/>
        <w:jc w:val="both"/>
        <w:rPr>
          <w:rtl/>
        </w:rPr>
      </w:pPr>
      <w:r w:rsidRPr="00550099">
        <w:rPr>
          <w:rFonts w:hint="cs"/>
          <w:b/>
          <w:bCs/>
          <w:rtl/>
        </w:rPr>
        <w:t>16</w:t>
      </w:r>
      <w:r>
        <w:rPr>
          <w:rFonts w:hint="cs"/>
          <w:rtl/>
        </w:rPr>
        <w:t xml:space="preserve">. באשר </w:t>
      </w:r>
      <w:r>
        <w:rPr>
          <w:rFonts w:hint="cs"/>
          <w:b/>
          <w:bCs/>
          <w:rtl/>
        </w:rPr>
        <w:t>לנסיבות הקשורות בביצוע העבירה</w:t>
      </w:r>
      <w:r>
        <w:rPr>
          <w:rFonts w:hint="cs"/>
          <w:rtl/>
        </w:rPr>
        <w:t xml:space="preserve"> אשקול את עובדת היותו של הנאשם מבצע עיקרי, אל מול העדר אינדיקציה לגידול הסם למטרת הפצתו, לצד ביצוע העבירה בבית הנאשם, ולאור סוג הסם וכמות השתילים המועטה שאף לא ידוע משקלה. </w:t>
      </w:r>
    </w:p>
    <w:p w14:paraId="021BAE26" w14:textId="77777777" w:rsidR="0049543D" w:rsidRDefault="0049543D" w:rsidP="0049543D">
      <w:pPr>
        <w:spacing w:line="360" w:lineRule="auto"/>
        <w:jc w:val="both"/>
        <w:rPr>
          <w:rtl/>
        </w:rPr>
      </w:pPr>
    </w:p>
    <w:p w14:paraId="7AF4A7CA" w14:textId="77777777" w:rsidR="0049543D" w:rsidRDefault="0049543D" w:rsidP="0049543D">
      <w:pPr>
        <w:spacing w:line="360" w:lineRule="auto"/>
        <w:jc w:val="both"/>
        <w:rPr>
          <w:rtl/>
        </w:rPr>
      </w:pPr>
      <w:r>
        <w:rPr>
          <w:rFonts w:hint="cs"/>
          <w:rtl/>
        </w:rPr>
        <w:t xml:space="preserve">בעניין זה אציין כי בעבירות מסוג זה לכמות השתילים משמעות רבה, אף יותר ממשקל הסם, שכן יש בכמות השתילים להעיד על מטרת הגידול. </w:t>
      </w:r>
    </w:p>
    <w:p w14:paraId="16D5F53C" w14:textId="77777777" w:rsidR="0049543D" w:rsidRDefault="0049543D" w:rsidP="0049543D">
      <w:pPr>
        <w:spacing w:line="360" w:lineRule="auto"/>
        <w:jc w:val="both"/>
        <w:rPr>
          <w:rtl/>
        </w:rPr>
      </w:pPr>
    </w:p>
    <w:p w14:paraId="292DCB27" w14:textId="77777777" w:rsidR="0049543D" w:rsidRDefault="0049543D" w:rsidP="0049543D">
      <w:pPr>
        <w:spacing w:line="360" w:lineRule="auto"/>
        <w:jc w:val="both"/>
        <w:rPr>
          <w:rtl/>
        </w:rPr>
      </w:pPr>
      <w:r w:rsidRPr="00965679">
        <w:rPr>
          <w:rFonts w:hint="cs"/>
          <w:b/>
          <w:bCs/>
          <w:rtl/>
        </w:rPr>
        <w:t>17</w:t>
      </w:r>
      <w:r>
        <w:rPr>
          <w:rFonts w:hint="cs"/>
          <w:rtl/>
        </w:rPr>
        <w:t xml:space="preserve">. סוף דבר, אני קובעת כי </w:t>
      </w:r>
      <w:r w:rsidRPr="00F64CAF">
        <w:rPr>
          <w:rFonts w:hint="cs"/>
          <w:b/>
          <w:bCs/>
          <w:rtl/>
        </w:rPr>
        <w:t xml:space="preserve">מתחם העונש ההולם </w:t>
      </w:r>
      <w:r>
        <w:rPr>
          <w:rFonts w:hint="cs"/>
          <w:rtl/>
        </w:rPr>
        <w:t xml:space="preserve">נע בין עונש צופה פני עתיד לצד צו של"צ ועד ל-8 חודשי מאסר בפועל. </w:t>
      </w:r>
    </w:p>
    <w:p w14:paraId="5CD74E2A" w14:textId="77777777" w:rsidR="0049543D" w:rsidRPr="00F64CAF" w:rsidRDefault="0049543D" w:rsidP="0049543D">
      <w:pPr>
        <w:spacing w:line="360" w:lineRule="auto"/>
        <w:jc w:val="both"/>
        <w:rPr>
          <w:b/>
          <w:bCs/>
          <w:u w:val="single"/>
          <w:rtl/>
        </w:rPr>
      </w:pPr>
    </w:p>
    <w:p w14:paraId="4ADE8789" w14:textId="77777777" w:rsidR="0049543D" w:rsidRPr="00F64CAF" w:rsidRDefault="0049543D" w:rsidP="0049543D">
      <w:pPr>
        <w:spacing w:line="360" w:lineRule="auto"/>
        <w:jc w:val="both"/>
        <w:rPr>
          <w:b/>
          <w:bCs/>
          <w:u w:val="single"/>
          <w:rtl/>
        </w:rPr>
      </w:pPr>
      <w:r w:rsidRPr="00F64CAF">
        <w:rPr>
          <w:rFonts w:hint="cs"/>
          <w:b/>
          <w:bCs/>
          <w:u w:val="single"/>
          <w:rtl/>
        </w:rPr>
        <w:t>שאלת ההרשעה</w:t>
      </w:r>
    </w:p>
    <w:p w14:paraId="56026A49" w14:textId="77777777" w:rsidR="0049543D" w:rsidRDefault="0049543D" w:rsidP="0049543D">
      <w:pPr>
        <w:spacing w:line="360" w:lineRule="auto"/>
        <w:jc w:val="both"/>
        <w:rPr>
          <w:rFonts w:ascii="Arial" w:hAnsi="Arial"/>
          <w:rtl/>
        </w:rPr>
      </w:pPr>
      <w:r w:rsidRPr="00D24AA1">
        <w:rPr>
          <w:rFonts w:ascii="Arial" w:hAnsi="Arial" w:hint="cs"/>
          <w:b/>
          <w:bCs/>
          <w:rtl/>
        </w:rPr>
        <w:t>18</w:t>
      </w:r>
      <w:r>
        <w:rPr>
          <w:rFonts w:ascii="Arial" w:hAnsi="Arial" w:hint="cs"/>
          <w:rtl/>
        </w:rPr>
        <w:t xml:space="preserve">. </w:t>
      </w:r>
      <w:r>
        <w:rPr>
          <w:rFonts w:ascii="Arial" w:hAnsi="Arial"/>
          <w:rtl/>
        </w:rPr>
        <w:t xml:space="preserve">כידוע, ככלל, נאשם בגיר אשר מודה בביצוע עבירה מורשע בדין. </w:t>
      </w:r>
    </w:p>
    <w:p w14:paraId="35B4525B" w14:textId="77777777" w:rsidR="0049543D" w:rsidRDefault="0049543D" w:rsidP="0049543D">
      <w:pPr>
        <w:spacing w:line="360" w:lineRule="auto"/>
        <w:jc w:val="both"/>
        <w:rPr>
          <w:rFonts w:ascii="Arial" w:hAnsi="Arial"/>
          <w:rtl/>
        </w:rPr>
      </w:pPr>
      <w:r>
        <w:rPr>
          <w:rFonts w:ascii="Arial" w:hAnsi="Arial"/>
          <w:rtl/>
        </w:rPr>
        <w:t xml:space="preserve">הרשעת נאשם בעבירה פלילית נועדה להעביר מסר להרתעת הציבור ולהרתעתו האישית באמצעות מתן גמול עונשי. </w:t>
      </w:r>
    </w:p>
    <w:p w14:paraId="61C82CBF" w14:textId="77777777" w:rsidR="0049543D" w:rsidRDefault="0049543D" w:rsidP="0049543D">
      <w:pPr>
        <w:spacing w:line="360" w:lineRule="auto"/>
        <w:jc w:val="both"/>
        <w:rPr>
          <w:rFonts w:ascii="Arial" w:hAnsi="Arial"/>
        </w:rPr>
      </w:pPr>
      <w:r>
        <w:rPr>
          <w:rFonts w:ascii="Arial" w:hAnsi="Arial"/>
          <w:rtl/>
        </w:rPr>
        <w:t>רק במקרים חריגים, בהם יוכח כי הנזק שנגרם לנאשם מההרשעה גבוה יותר מהתועלת שתצמח ממיצוי הדין עם הנאשם, דהיינו, כאשר לא מתקיים יחס סביר בין הנזק שצפוי לנאשם מן ההרשעה לחומרת העבירה, ניתן להימנע מהרשעת הנאשם.</w:t>
      </w:r>
    </w:p>
    <w:p w14:paraId="5769845C" w14:textId="77777777" w:rsidR="0049543D" w:rsidRDefault="0049543D" w:rsidP="0049543D">
      <w:pPr>
        <w:pStyle w:val="a3"/>
        <w:spacing w:line="360" w:lineRule="auto"/>
        <w:jc w:val="both"/>
        <w:rPr>
          <w:rtl/>
        </w:rPr>
      </w:pPr>
      <w:r>
        <w:rPr>
          <w:rFonts w:ascii="Arial" w:hAnsi="Arial"/>
          <w:rtl/>
        </w:rPr>
        <w:t xml:space="preserve">ראו: </w:t>
      </w:r>
      <w:hyperlink r:id="rId16" w:history="1">
        <w:r w:rsidR="0033220A" w:rsidRPr="0033220A">
          <w:rPr>
            <w:rFonts w:ascii="Arial" w:hAnsi="Arial"/>
            <w:b/>
            <w:bCs/>
            <w:color w:val="0000FF"/>
            <w:u w:val="single"/>
            <w:rtl/>
          </w:rPr>
          <w:t>רע"פ 3852/14</w:t>
        </w:r>
      </w:hyperlink>
      <w:r>
        <w:rPr>
          <w:rFonts w:ascii="Arial" w:hAnsi="Arial"/>
          <w:b/>
          <w:bCs/>
          <w:rtl/>
        </w:rPr>
        <w:t xml:space="preserve"> זיסמן ואח' נגד מדינת ישראל</w:t>
      </w:r>
      <w:r>
        <w:rPr>
          <w:rFonts w:ascii="Arial" w:hAnsi="Arial"/>
          <w:rtl/>
        </w:rPr>
        <w:t xml:space="preserve"> </w:t>
      </w:r>
      <w:r>
        <w:rPr>
          <w:rFonts w:ascii="Arial" w:hAnsi="Arial"/>
          <w:b/>
          <w:bCs/>
          <w:rtl/>
        </w:rPr>
        <w:t>(</w:t>
      </w:r>
      <w:r>
        <w:rPr>
          <w:rFonts w:ascii="Arial" w:hAnsi="Arial" w:hint="cs"/>
          <w:b/>
          <w:bCs/>
          <w:rtl/>
        </w:rPr>
        <w:t>03</w:t>
      </w:r>
      <w:r>
        <w:rPr>
          <w:rFonts w:ascii="Arial" w:hAnsi="Arial"/>
          <w:b/>
          <w:bCs/>
          <w:rtl/>
        </w:rPr>
        <w:t>/12/14)</w:t>
      </w:r>
      <w:r>
        <w:rPr>
          <w:rFonts w:ascii="Arial" w:hAnsi="Arial"/>
          <w:rtl/>
        </w:rPr>
        <w:t xml:space="preserve"> ו</w:t>
      </w:r>
      <w:hyperlink r:id="rId17" w:history="1">
        <w:r w:rsidR="0033220A" w:rsidRPr="0033220A">
          <w:rPr>
            <w:b/>
            <w:bCs/>
            <w:color w:val="0000FF"/>
            <w:u w:val="single"/>
            <w:rtl/>
          </w:rPr>
          <w:t>רע"פ 1240/19</w:t>
        </w:r>
      </w:hyperlink>
      <w:r>
        <w:rPr>
          <w:b/>
          <w:bCs/>
          <w:rtl/>
        </w:rPr>
        <w:t xml:space="preserve"> בר לוי נגד מדי</w:t>
      </w:r>
      <w:r>
        <w:rPr>
          <w:rFonts w:hint="cs"/>
          <w:b/>
          <w:bCs/>
          <w:rtl/>
        </w:rPr>
        <w:t>נת ישראל</w:t>
      </w:r>
      <w:r>
        <w:rPr>
          <w:b/>
          <w:bCs/>
          <w:rtl/>
        </w:rPr>
        <w:t xml:space="preserve">  24/</w:t>
      </w:r>
      <w:r>
        <w:rPr>
          <w:rFonts w:hint="cs"/>
          <w:b/>
          <w:bCs/>
          <w:rtl/>
        </w:rPr>
        <w:t>03</w:t>
      </w:r>
      <w:r>
        <w:rPr>
          <w:b/>
          <w:bCs/>
          <w:rtl/>
        </w:rPr>
        <w:t>/19)</w:t>
      </w:r>
      <w:r>
        <w:rPr>
          <w:rFonts w:hint="cs"/>
          <w:rtl/>
        </w:rPr>
        <w:t>.</w:t>
      </w:r>
    </w:p>
    <w:p w14:paraId="0607A99F" w14:textId="77777777" w:rsidR="0049543D" w:rsidRDefault="0049543D" w:rsidP="0049543D">
      <w:pPr>
        <w:spacing w:line="360" w:lineRule="auto"/>
        <w:jc w:val="both"/>
        <w:rPr>
          <w:rFonts w:ascii="Arial" w:hAnsi="Arial"/>
          <w:rtl/>
        </w:rPr>
      </w:pPr>
    </w:p>
    <w:p w14:paraId="6F02F753" w14:textId="77777777" w:rsidR="0049543D" w:rsidRDefault="0049543D" w:rsidP="0049543D">
      <w:pPr>
        <w:spacing w:line="360" w:lineRule="auto"/>
        <w:jc w:val="both"/>
        <w:rPr>
          <w:rFonts w:ascii="Arial" w:hAnsi="Arial"/>
          <w:rtl/>
        </w:rPr>
      </w:pPr>
      <w:r>
        <w:rPr>
          <w:rFonts w:ascii="Arial" w:hAnsi="Arial" w:hint="cs"/>
          <w:b/>
          <w:bCs/>
          <w:rtl/>
        </w:rPr>
        <w:t>ב</w:t>
      </w:r>
      <w:hyperlink r:id="rId18" w:history="1">
        <w:r w:rsidR="0033220A" w:rsidRPr="0033220A">
          <w:rPr>
            <w:rFonts w:ascii="Arial" w:hAnsi="Arial"/>
            <w:b/>
            <w:bCs/>
            <w:color w:val="0000FF"/>
            <w:u w:val="single"/>
            <w:rtl/>
          </w:rPr>
          <w:t>ע"פ 2083/96</w:t>
        </w:r>
      </w:hyperlink>
      <w:r>
        <w:rPr>
          <w:rFonts w:ascii="Arial" w:hAnsi="Arial"/>
          <w:b/>
          <w:bCs/>
          <w:rtl/>
        </w:rPr>
        <w:t xml:space="preserve"> כתב נגד מדינת ישראל (21/</w:t>
      </w:r>
      <w:r>
        <w:rPr>
          <w:rFonts w:ascii="Arial" w:hAnsi="Arial" w:hint="cs"/>
          <w:b/>
          <w:bCs/>
          <w:rtl/>
        </w:rPr>
        <w:t>08</w:t>
      </w:r>
      <w:r>
        <w:rPr>
          <w:rFonts w:ascii="Arial" w:hAnsi="Arial"/>
          <w:b/>
          <w:bCs/>
          <w:rtl/>
        </w:rPr>
        <w:t>/</w:t>
      </w:r>
      <w:r>
        <w:rPr>
          <w:rFonts w:ascii="Arial" w:hAnsi="Arial" w:hint="cs"/>
          <w:b/>
          <w:bCs/>
          <w:rtl/>
        </w:rPr>
        <w:t>97</w:t>
      </w:r>
      <w:r>
        <w:rPr>
          <w:rFonts w:ascii="Arial" w:hAnsi="Arial"/>
          <w:b/>
          <w:bCs/>
          <w:rtl/>
        </w:rPr>
        <w:t xml:space="preserve">) </w:t>
      </w:r>
      <w:r>
        <w:rPr>
          <w:rFonts w:ascii="Arial" w:hAnsi="Arial"/>
          <w:rtl/>
        </w:rPr>
        <w:t>נקבע כי הימנעות מהרשעה אפשרית בהצטבר שני גורמים מרכזיים: ראשית, סוג העבירה מאפשר לוותר בנסיבות המקרה המסוים על ההרשעה מבלי לפגוע באופן מהותי בשיקולי הענישה האחרים, ושנית - על ההרשעה לפגוע פגיעה חמורה בשיקום הנאשם ויגרם נזק קונקרטי בתעסוקתו.</w:t>
      </w:r>
    </w:p>
    <w:p w14:paraId="5FD71EB1" w14:textId="77777777" w:rsidR="0049543D" w:rsidRDefault="0049543D" w:rsidP="0049543D">
      <w:pPr>
        <w:spacing w:line="360" w:lineRule="auto"/>
        <w:rPr>
          <w:rFonts w:ascii="Arial" w:hAnsi="Arial"/>
          <w:b/>
          <w:bCs/>
          <w:rtl/>
        </w:rPr>
      </w:pPr>
    </w:p>
    <w:p w14:paraId="5AC149BC" w14:textId="77777777" w:rsidR="0049543D" w:rsidRDefault="0049543D" w:rsidP="0049543D">
      <w:pPr>
        <w:spacing w:line="360" w:lineRule="auto"/>
        <w:jc w:val="both"/>
        <w:rPr>
          <w:rFonts w:ascii="Arial" w:hAnsi="Arial"/>
          <w:rtl/>
        </w:rPr>
      </w:pPr>
      <w:r>
        <w:rPr>
          <w:rFonts w:ascii="Arial" w:hAnsi="Arial"/>
          <w:rtl/>
        </w:rPr>
        <w:t>הימנעות מהרשעה תעשה תוך עריכת איזון בין שני השיקולים המרכזיים - ככל שהעבירה חמורה יותר, נסיבותיה קשות, ופגיעתה בערכים ובמוסכמות החברתיות גבוהה יותר, אזי הימנעות מהרשעה של מבצעה תהיה פחות סבירה ומוצדקת, ותתאפשר רק במקום בו תוכח פגיעה ניכרת וקשה בעתידו של הנאשם.</w:t>
      </w:r>
    </w:p>
    <w:p w14:paraId="44369E8B" w14:textId="77777777" w:rsidR="0049543D" w:rsidRDefault="0049543D" w:rsidP="0049543D">
      <w:pPr>
        <w:spacing w:line="360" w:lineRule="auto"/>
        <w:rPr>
          <w:rFonts w:ascii="Arial" w:hAnsi="Arial"/>
          <w:b/>
          <w:bCs/>
          <w:rtl/>
        </w:rPr>
      </w:pPr>
    </w:p>
    <w:p w14:paraId="7E6D0DE3" w14:textId="77777777" w:rsidR="0049543D" w:rsidRDefault="0049543D" w:rsidP="0049543D">
      <w:pPr>
        <w:spacing w:line="360" w:lineRule="auto"/>
        <w:rPr>
          <w:rFonts w:ascii="Arial" w:hAnsi="Arial"/>
          <w:rtl/>
        </w:rPr>
      </w:pPr>
      <w:r w:rsidRPr="00770141">
        <w:rPr>
          <w:rFonts w:ascii="Arial" w:hAnsi="Arial" w:hint="cs"/>
          <w:b/>
          <w:bCs/>
          <w:rtl/>
        </w:rPr>
        <w:t>19</w:t>
      </w:r>
      <w:r>
        <w:rPr>
          <w:rFonts w:ascii="Arial" w:hAnsi="Arial" w:hint="cs"/>
          <w:rtl/>
        </w:rPr>
        <w:t xml:space="preserve">. </w:t>
      </w:r>
      <w:r>
        <w:rPr>
          <w:rFonts w:ascii="Arial" w:hAnsi="Arial"/>
          <w:rtl/>
        </w:rPr>
        <w:t xml:space="preserve">במקרה המונח לפני שוכנעתי כי הנאשם לא עומד בתנאים להימנעות מהרשעה ואנמק. </w:t>
      </w:r>
    </w:p>
    <w:p w14:paraId="38BAC409" w14:textId="77777777" w:rsidR="0049543D" w:rsidRDefault="0049543D" w:rsidP="0049543D">
      <w:pPr>
        <w:spacing w:after="160" w:line="360" w:lineRule="auto"/>
        <w:contextualSpacing/>
        <w:jc w:val="both"/>
        <w:rPr>
          <w:rFonts w:ascii="Arial" w:hAnsi="Arial"/>
          <w:u w:val="single"/>
          <w:rtl/>
        </w:rPr>
      </w:pPr>
    </w:p>
    <w:p w14:paraId="6FFF6FCC" w14:textId="77777777" w:rsidR="0049543D" w:rsidRDefault="0049543D" w:rsidP="0049543D">
      <w:pPr>
        <w:spacing w:after="160" w:line="360" w:lineRule="auto"/>
        <w:contextualSpacing/>
        <w:jc w:val="both"/>
        <w:rPr>
          <w:rFonts w:ascii="Calibri" w:hAnsi="Calibri"/>
          <w:rtl/>
        </w:rPr>
      </w:pPr>
      <w:r>
        <w:rPr>
          <w:rFonts w:ascii="Arial" w:hAnsi="Arial"/>
          <w:u w:val="single"/>
          <w:rtl/>
        </w:rPr>
        <w:t>סוג העבירה ונסיבות ביצועה</w:t>
      </w:r>
      <w:r>
        <w:rPr>
          <w:rFonts w:ascii="Arial" w:hAnsi="Arial"/>
          <w:rtl/>
        </w:rPr>
        <w:t xml:space="preserve"> - </w:t>
      </w:r>
    </w:p>
    <w:p w14:paraId="3570DFD8" w14:textId="77777777" w:rsidR="0049543D" w:rsidRDefault="0049543D" w:rsidP="0049543D">
      <w:pPr>
        <w:spacing w:line="360" w:lineRule="auto"/>
        <w:jc w:val="both"/>
        <w:rPr>
          <w:rtl/>
        </w:rPr>
      </w:pPr>
      <w:r w:rsidRPr="00252320">
        <w:rPr>
          <w:rFonts w:hint="cs"/>
          <w:b/>
          <w:bCs/>
          <w:rtl/>
        </w:rPr>
        <w:t>20</w:t>
      </w:r>
      <w:r>
        <w:rPr>
          <w:rFonts w:hint="cs"/>
          <w:rtl/>
        </w:rPr>
        <w:t>. כמפורט לעיל, בתי המשפט בערכאות השונות הביעו דעתם באשר לחומרה היתרה שיש בביצוע עבירות של גידול סם. עבירות אלה הפכו לאחרונה לנפוצות וקלות לביצוע כשמתרבים המקרים בהם נאשמים המנהלים אורח חיים נורמטיבי לכאורה, מבצעים עבירות אלה. בשל כך, הבהירו בתי המשפט כי יש להחמיר בענישה, תוך שקילה אף של הצורך להרתיע את היחיד והרבים.</w:t>
      </w:r>
    </w:p>
    <w:p w14:paraId="46482953" w14:textId="77777777" w:rsidR="0049543D" w:rsidRDefault="0049543D" w:rsidP="0049543D">
      <w:pPr>
        <w:spacing w:line="360" w:lineRule="auto"/>
        <w:jc w:val="both"/>
        <w:rPr>
          <w:rtl/>
        </w:rPr>
      </w:pPr>
      <w:r>
        <w:rPr>
          <w:rFonts w:hint="cs"/>
          <w:rtl/>
        </w:rPr>
        <w:t xml:space="preserve"> </w:t>
      </w:r>
    </w:p>
    <w:p w14:paraId="59663668" w14:textId="77777777" w:rsidR="0049543D" w:rsidRDefault="0049543D" w:rsidP="0049543D">
      <w:pPr>
        <w:spacing w:line="360" w:lineRule="auto"/>
        <w:jc w:val="both"/>
        <w:rPr>
          <w:rtl/>
        </w:rPr>
      </w:pPr>
      <w:r>
        <w:rPr>
          <w:rFonts w:hint="cs"/>
          <w:rtl/>
        </w:rPr>
        <w:t xml:space="preserve">לא התעלמתי מכמות השתילים והעדר משקל ידוע, וכן מהעובדה כי העבירה בוצעה לפני כ-4 שנים, במהלכן לא נחשד הנאשם בביצוע עבירות דומות. </w:t>
      </w:r>
    </w:p>
    <w:p w14:paraId="41422B24" w14:textId="77777777" w:rsidR="0049543D" w:rsidRDefault="0049543D" w:rsidP="0049543D">
      <w:pPr>
        <w:spacing w:line="360" w:lineRule="auto"/>
        <w:jc w:val="both"/>
        <w:rPr>
          <w:rtl/>
        </w:rPr>
      </w:pPr>
      <w:r>
        <w:rPr>
          <w:rFonts w:hint="cs"/>
          <w:rtl/>
        </w:rPr>
        <w:t xml:space="preserve">עם זאת, כאמור, סוג העבירה ומדיניות הענישה מקשה על ביטול ההרשעה. </w:t>
      </w:r>
    </w:p>
    <w:p w14:paraId="227DEB7B" w14:textId="77777777" w:rsidR="0049543D" w:rsidRDefault="0049543D" w:rsidP="0049543D">
      <w:pPr>
        <w:jc w:val="both"/>
        <w:rPr>
          <w:rtl/>
        </w:rPr>
      </w:pPr>
    </w:p>
    <w:p w14:paraId="53BF9AA2" w14:textId="77777777" w:rsidR="0049543D" w:rsidRDefault="0049543D" w:rsidP="0049543D">
      <w:pPr>
        <w:spacing w:line="360" w:lineRule="auto"/>
        <w:jc w:val="both"/>
        <w:rPr>
          <w:rFonts w:ascii="Arial" w:hAnsi="Arial"/>
        </w:rPr>
      </w:pPr>
      <w:r>
        <w:rPr>
          <w:rFonts w:ascii="Arial" w:hAnsi="Arial"/>
          <w:u w:val="single"/>
          <w:rtl/>
        </w:rPr>
        <w:t>הנזק אשר יגרם לנאשם</w:t>
      </w:r>
      <w:r>
        <w:rPr>
          <w:rFonts w:ascii="Arial" w:hAnsi="Arial"/>
          <w:rtl/>
        </w:rPr>
        <w:t xml:space="preserve"> -</w:t>
      </w:r>
    </w:p>
    <w:p w14:paraId="789C2798" w14:textId="77777777" w:rsidR="0049543D" w:rsidRDefault="0049543D" w:rsidP="0049543D">
      <w:pPr>
        <w:spacing w:line="360" w:lineRule="auto"/>
        <w:jc w:val="both"/>
        <w:rPr>
          <w:b/>
          <w:bCs/>
          <w:rtl/>
        </w:rPr>
      </w:pPr>
      <w:r w:rsidRPr="00496B81">
        <w:rPr>
          <w:rFonts w:ascii="Arial" w:hAnsi="Arial" w:hint="cs"/>
          <w:b/>
          <w:bCs/>
          <w:rtl/>
        </w:rPr>
        <w:t>21</w:t>
      </w:r>
      <w:r>
        <w:rPr>
          <w:rFonts w:ascii="Arial" w:hAnsi="Arial" w:hint="cs"/>
          <w:rtl/>
        </w:rPr>
        <w:t xml:space="preserve">. </w:t>
      </w:r>
      <w:r>
        <w:rPr>
          <w:rFonts w:ascii="Arial" w:hAnsi="Arial"/>
          <w:rtl/>
        </w:rPr>
        <w:t xml:space="preserve">בבוא בית המשפט לבחון את הנזק העלול להיגרם לנאשם, </w:t>
      </w:r>
      <w:r>
        <w:rPr>
          <w:rtl/>
        </w:rPr>
        <w:t>בהתאם לפסיקת בית המשפט העליון "...</w:t>
      </w:r>
      <w:r>
        <w:rPr>
          <w:b/>
          <w:bCs/>
          <w:rtl/>
        </w:rPr>
        <w:t>על המבקש להצביע על פגיעה קשה וקונקרטית בסיכויי שיקומו ולבסס אותה באמצעות ראיות (</w:t>
      </w:r>
      <w:hyperlink r:id="rId19" w:history="1">
        <w:r w:rsidR="0033220A" w:rsidRPr="0033220A">
          <w:rPr>
            <w:b/>
            <w:bCs/>
            <w:color w:val="0000FF"/>
            <w:u w:val="single"/>
            <w:rtl/>
          </w:rPr>
          <w:t>רע"פ 7224/14</w:t>
        </w:r>
      </w:hyperlink>
      <w:r>
        <w:rPr>
          <w:b/>
          <w:bCs/>
          <w:rtl/>
        </w:rPr>
        <w:t xml:space="preserve"> פרנסקי נ' מדינת ישראל, בפסקה 10 (10.11.2014); </w:t>
      </w:r>
      <w:hyperlink r:id="rId20" w:history="1">
        <w:r w:rsidR="0033220A" w:rsidRPr="0033220A">
          <w:rPr>
            <w:b/>
            <w:bCs/>
            <w:color w:val="0000FF"/>
            <w:u w:val="single"/>
            <w:rtl/>
          </w:rPr>
          <w:t>רע"פ 3589/14</w:t>
        </w:r>
      </w:hyperlink>
      <w:r>
        <w:rPr>
          <w:b/>
          <w:bCs/>
          <w:rtl/>
        </w:rPr>
        <w:t xml:space="preserve"> לוזון נ' מדינת ישראל, בפסקה 8 (10.6.2014); </w:t>
      </w:r>
      <w:hyperlink r:id="rId21" w:history="1">
        <w:r w:rsidR="0033220A" w:rsidRPr="0033220A">
          <w:rPr>
            <w:b/>
            <w:bCs/>
            <w:color w:val="0000FF"/>
            <w:u w:val="single"/>
            <w:rtl/>
          </w:rPr>
          <w:t>רע"פ 1097/18</w:t>
        </w:r>
      </w:hyperlink>
      <w:r>
        <w:rPr>
          <w:b/>
          <w:bCs/>
          <w:rtl/>
        </w:rPr>
        <w:t xml:space="preserve"> בצלאל נ' מדינת ישראל, בפסקה 9 (18.04.2018); </w:t>
      </w:r>
      <w:hyperlink r:id="rId22" w:history="1">
        <w:r w:rsidR="0033220A" w:rsidRPr="0033220A">
          <w:rPr>
            <w:b/>
            <w:bCs/>
            <w:color w:val="0000FF"/>
            <w:u w:val="single"/>
            <w:rtl/>
          </w:rPr>
          <w:t>רע"פ 5018/18</w:t>
        </w:r>
      </w:hyperlink>
      <w:r>
        <w:rPr>
          <w:b/>
          <w:bCs/>
          <w:rtl/>
        </w:rPr>
        <w:t xml:space="preserve"> בוזגלו נ' מדינת ישראל, בפסקה 9 (21.10.2018))".</w:t>
      </w:r>
    </w:p>
    <w:p w14:paraId="19A7DDE5" w14:textId="77777777" w:rsidR="0049543D" w:rsidRDefault="0049543D" w:rsidP="0049543D">
      <w:pPr>
        <w:pStyle w:val="a3"/>
        <w:spacing w:line="360" w:lineRule="auto"/>
        <w:rPr>
          <w:rtl/>
        </w:rPr>
      </w:pPr>
      <w:r>
        <w:rPr>
          <w:rtl/>
        </w:rPr>
        <w:t xml:space="preserve">ראו: </w:t>
      </w:r>
      <w:hyperlink r:id="rId23" w:history="1">
        <w:r w:rsidR="0033220A" w:rsidRPr="0033220A">
          <w:rPr>
            <w:b/>
            <w:bCs/>
            <w:color w:val="0000FF"/>
            <w:u w:val="single"/>
            <w:rtl/>
          </w:rPr>
          <w:t>רע"פ 1240/19</w:t>
        </w:r>
      </w:hyperlink>
      <w:r>
        <w:rPr>
          <w:b/>
          <w:bCs/>
          <w:rtl/>
        </w:rPr>
        <w:t xml:space="preserve"> בר לוי נגד מדי</w:t>
      </w:r>
      <w:r>
        <w:rPr>
          <w:rFonts w:hint="cs"/>
          <w:b/>
          <w:bCs/>
          <w:rtl/>
        </w:rPr>
        <w:t>נת ישראל</w:t>
      </w:r>
      <w:r>
        <w:rPr>
          <w:b/>
          <w:bCs/>
          <w:rtl/>
        </w:rPr>
        <w:t xml:space="preserve"> (24/</w:t>
      </w:r>
      <w:r>
        <w:rPr>
          <w:rFonts w:hint="cs"/>
          <w:b/>
          <w:bCs/>
          <w:rtl/>
        </w:rPr>
        <w:t>03</w:t>
      </w:r>
      <w:r>
        <w:rPr>
          <w:b/>
          <w:bCs/>
          <w:rtl/>
        </w:rPr>
        <w:t>/19)</w:t>
      </w:r>
    </w:p>
    <w:p w14:paraId="57F84E6A" w14:textId="77777777" w:rsidR="0049543D" w:rsidRDefault="0049543D" w:rsidP="0049543D">
      <w:pPr>
        <w:spacing w:line="360" w:lineRule="auto"/>
        <w:jc w:val="both"/>
        <w:rPr>
          <w:rtl/>
        </w:rPr>
      </w:pPr>
    </w:p>
    <w:p w14:paraId="6BE5297F" w14:textId="77777777" w:rsidR="0049543D" w:rsidRDefault="0049543D" w:rsidP="0049543D">
      <w:pPr>
        <w:spacing w:line="360" w:lineRule="auto"/>
        <w:jc w:val="both"/>
        <w:rPr>
          <w:rtl/>
        </w:rPr>
      </w:pPr>
      <w:r>
        <w:rPr>
          <w:rFonts w:hint="cs"/>
          <w:rtl/>
        </w:rPr>
        <w:t xml:space="preserve">אני סבורה כי הנאשם לא הוכיח נזק קונקרטי כנדרש. </w:t>
      </w:r>
    </w:p>
    <w:p w14:paraId="5175EA0B" w14:textId="77777777" w:rsidR="0049543D" w:rsidRDefault="0049543D" w:rsidP="0049543D">
      <w:pPr>
        <w:spacing w:line="360" w:lineRule="auto"/>
        <w:jc w:val="both"/>
        <w:rPr>
          <w:rtl/>
        </w:rPr>
      </w:pPr>
    </w:p>
    <w:p w14:paraId="33A07A0B" w14:textId="77777777" w:rsidR="0049543D" w:rsidRDefault="0049543D" w:rsidP="0049543D">
      <w:pPr>
        <w:spacing w:line="360" w:lineRule="auto"/>
        <w:jc w:val="both"/>
        <w:rPr>
          <w:rtl/>
        </w:rPr>
      </w:pPr>
      <w:r>
        <w:rPr>
          <w:rFonts w:hint="cs"/>
          <w:rtl/>
        </w:rPr>
        <w:t xml:space="preserve">במקרה דנן, הציג הנאשם אישור ממנו עולה כי הוא תלמיד שנה ד' במכללת כנרת במסלול לימודי הנדסת אנרגיה. הא ותו לא. </w:t>
      </w:r>
    </w:p>
    <w:p w14:paraId="2E76CDDE" w14:textId="77777777" w:rsidR="0049543D" w:rsidRDefault="0049543D" w:rsidP="0049543D">
      <w:pPr>
        <w:spacing w:line="360" w:lineRule="auto"/>
        <w:jc w:val="both"/>
        <w:rPr>
          <w:rtl/>
        </w:rPr>
      </w:pPr>
      <w:r>
        <w:rPr>
          <w:rFonts w:hint="cs"/>
          <w:rtl/>
        </w:rPr>
        <w:t xml:space="preserve">אין במסמך המעיד על לימודי מקצוע כד להוכיח כי עצם ההרשעה תמנע מהנאשם קבלה לכל מקום עבודה ו/או קבלת תואר המהנדס. </w:t>
      </w:r>
    </w:p>
    <w:p w14:paraId="1EC47745" w14:textId="77777777" w:rsidR="0049543D" w:rsidRDefault="0049543D" w:rsidP="0049543D">
      <w:pPr>
        <w:spacing w:line="360" w:lineRule="auto"/>
        <w:jc w:val="both"/>
        <w:rPr>
          <w:rtl/>
        </w:rPr>
      </w:pPr>
    </w:p>
    <w:p w14:paraId="72205FB0" w14:textId="77777777" w:rsidR="0049543D" w:rsidRDefault="0049543D" w:rsidP="0049543D">
      <w:pPr>
        <w:spacing w:line="360" w:lineRule="auto"/>
        <w:jc w:val="both"/>
        <w:rPr>
          <w:rFonts w:ascii="Arial" w:hAnsi="Arial"/>
          <w:rtl/>
        </w:rPr>
      </w:pPr>
      <w:r>
        <w:rPr>
          <w:rFonts w:hint="cs"/>
          <w:rtl/>
        </w:rPr>
        <w:t xml:space="preserve">מעבר לאמור, אשוב ואפנה לפסיקת בית המשפט העליון בהחלטות שונות לפיה אל לו לבית המשפט להתערב בשיקול הדעת המוענק לגופים ומעסיקים בדבר מתן רישיונות ו/או העסקה של עובדים. </w:t>
      </w:r>
    </w:p>
    <w:p w14:paraId="5F03EA08" w14:textId="77777777" w:rsidR="0049543D" w:rsidRDefault="0049543D" w:rsidP="0049543D">
      <w:pPr>
        <w:spacing w:line="360" w:lineRule="auto"/>
        <w:jc w:val="both"/>
        <w:rPr>
          <w:rFonts w:ascii="Arial" w:hAnsi="Arial"/>
          <w:b/>
          <w:bCs/>
          <w:rtl/>
        </w:rPr>
      </w:pPr>
      <w:r>
        <w:rPr>
          <w:rFonts w:ascii="Arial" w:hAnsi="Arial" w:hint="cs"/>
          <w:rtl/>
        </w:rPr>
        <w:t xml:space="preserve">ראו: </w:t>
      </w:r>
      <w:hyperlink r:id="rId24" w:history="1">
        <w:r w:rsidR="0033220A" w:rsidRPr="0033220A">
          <w:rPr>
            <w:rFonts w:ascii="Arial" w:hAnsi="Arial"/>
            <w:b/>
            <w:bCs/>
            <w:color w:val="0000FF"/>
            <w:u w:val="single"/>
            <w:rtl/>
          </w:rPr>
          <w:t>רע"פ 3224/19</w:t>
        </w:r>
      </w:hyperlink>
      <w:r>
        <w:rPr>
          <w:rFonts w:ascii="Arial" w:hAnsi="Arial"/>
          <w:b/>
          <w:bCs/>
          <w:rtl/>
        </w:rPr>
        <w:t xml:space="preserve"> אביב נגד מדינת ישראל (28/05/19)</w:t>
      </w:r>
    </w:p>
    <w:p w14:paraId="343621EE" w14:textId="77777777" w:rsidR="0049543D" w:rsidRPr="00A12EF6" w:rsidRDefault="0049543D" w:rsidP="0049543D">
      <w:pPr>
        <w:spacing w:line="360" w:lineRule="auto"/>
        <w:jc w:val="both"/>
        <w:rPr>
          <w:rFonts w:ascii="Arial" w:hAnsi="Arial"/>
          <w:b/>
          <w:bCs/>
          <w:rtl/>
        </w:rPr>
      </w:pPr>
    </w:p>
    <w:p w14:paraId="1BC065F4" w14:textId="77777777" w:rsidR="0049543D" w:rsidRPr="001361A9" w:rsidRDefault="0049543D" w:rsidP="0049543D">
      <w:pPr>
        <w:spacing w:line="360" w:lineRule="auto"/>
        <w:jc w:val="both"/>
        <w:rPr>
          <w:rFonts w:ascii="Arial" w:hAnsi="Arial"/>
          <w:b/>
          <w:bCs/>
          <w:rtl/>
        </w:rPr>
      </w:pPr>
      <w:r w:rsidRPr="00A12EF6">
        <w:rPr>
          <w:rFonts w:ascii="Arial" w:hAnsi="Arial" w:hint="cs"/>
          <w:b/>
          <w:bCs/>
          <w:rtl/>
        </w:rPr>
        <w:t>אשר על כן, כאמור לעיל, אני סבורה כי אין זה המקרה להימנע מהרשעה.</w:t>
      </w:r>
    </w:p>
    <w:p w14:paraId="3F1407D9" w14:textId="77777777" w:rsidR="0049543D" w:rsidRDefault="0049543D" w:rsidP="0049543D">
      <w:pPr>
        <w:spacing w:line="360" w:lineRule="auto"/>
        <w:jc w:val="both"/>
        <w:rPr>
          <w:rFonts w:ascii="Arial" w:hAnsi="Arial"/>
          <w:b/>
          <w:bCs/>
          <w:u w:val="single"/>
          <w:rtl/>
        </w:rPr>
      </w:pPr>
    </w:p>
    <w:p w14:paraId="7E7DF13C" w14:textId="77777777" w:rsidR="0049543D" w:rsidRDefault="0049543D" w:rsidP="0049543D">
      <w:pPr>
        <w:spacing w:line="360" w:lineRule="auto"/>
        <w:jc w:val="both"/>
        <w:rPr>
          <w:rFonts w:ascii="Arial" w:hAnsi="Arial"/>
          <w:b/>
          <w:bCs/>
          <w:u w:val="single"/>
          <w:rtl/>
        </w:rPr>
      </w:pPr>
    </w:p>
    <w:p w14:paraId="409C9018" w14:textId="77777777" w:rsidR="0049543D" w:rsidRDefault="0049543D" w:rsidP="0049543D">
      <w:pPr>
        <w:spacing w:line="360" w:lineRule="auto"/>
        <w:jc w:val="both"/>
        <w:rPr>
          <w:rFonts w:ascii="Arial" w:hAnsi="Arial"/>
          <w:b/>
          <w:bCs/>
          <w:u w:val="single"/>
          <w:rtl/>
        </w:rPr>
      </w:pPr>
      <w:r>
        <w:rPr>
          <w:rFonts w:ascii="Arial" w:hAnsi="Arial" w:hint="cs"/>
          <w:b/>
          <w:bCs/>
          <w:u w:val="single"/>
          <w:rtl/>
        </w:rPr>
        <w:t xml:space="preserve">קביעת העונש המתאים לנאשם בתוככי המתחם </w:t>
      </w:r>
    </w:p>
    <w:p w14:paraId="5150C7F4" w14:textId="77777777" w:rsidR="0049543D" w:rsidRDefault="0049543D" w:rsidP="0049543D">
      <w:pPr>
        <w:spacing w:line="360" w:lineRule="auto"/>
        <w:jc w:val="both"/>
        <w:rPr>
          <w:rFonts w:ascii="Arial" w:hAnsi="Arial"/>
          <w:rtl/>
        </w:rPr>
      </w:pPr>
      <w:r w:rsidRPr="009E492C">
        <w:rPr>
          <w:rFonts w:ascii="Arial" w:hAnsi="Arial" w:hint="cs"/>
          <w:b/>
          <w:bCs/>
          <w:rtl/>
        </w:rPr>
        <w:t>22</w:t>
      </w:r>
      <w:r>
        <w:rPr>
          <w:rFonts w:ascii="Arial" w:hAnsi="Arial" w:hint="cs"/>
          <w:rtl/>
        </w:rPr>
        <w:t xml:space="preserve">. בקביעת העונש המתאים לנאשם, יש לשקול נסיבות שאינן קשורות בביצוע העבירה. </w:t>
      </w:r>
    </w:p>
    <w:p w14:paraId="2313B050" w14:textId="77777777" w:rsidR="0049543D" w:rsidRDefault="0049543D" w:rsidP="0049543D">
      <w:pPr>
        <w:spacing w:line="360" w:lineRule="auto"/>
        <w:jc w:val="both"/>
        <w:rPr>
          <w:rFonts w:ascii="Arial" w:hAnsi="Arial"/>
          <w:rtl/>
        </w:rPr>
      </w:pPr>
      <w:r>
        <w:rPr>
          <w:rFonts w:ascii="Arial" w:hAnsi="Arial" w:hint="cs"/>
          <w:rtl/>
        </w:rPr>
        <w:t xml:space="preserve">בעניין זה שקלתי לזכותו של הנאשם את חלוף הזמן מאז ביצוע העבירות, העדר עבר פלילי, גילו הצעיר, תיפקדו הנורמטיבי במסגרת לימודית ותעסוקתית לאורך השנים, כמו גם את התרשמות שירות המבחן מנאשם נעדר דפוסים עבריינים שלקח אחריות מלאה על מעשיו. </w:t>
      </w:r>
    </w:p>
    <w:p w14:paraId="455FAA47" w14:textId="77777777" w:rsidR="0049543D" w:rsidRDefault="0049543D" w:rsidP="0049543D">
      <w:pPr>
        <w:spacing w:line="360" w:lineRule="auto"/>
        <w:jc w:val="both"/>
        <w:rPr>
          <w:rFonts w:ascii="Arial" w:hAnsi="Arial"/>
          <w:rtl/>
        </w:rPr>
      </w:pPr>
    </w:p>
    <w:p w14:paraId="02144EFF" w14:textId="77777777" w:rsidR="0049543D" w:rsidRDefault="0049543D" w:rsidP="0049543D">
      <w:pPr>
        <w:spacing w:line="360" w:lineRule="auto"/>
        <w:jc w:val="both"/>
        <w:rPr>
          <w:rFonts w:ascii="Arial" w:hAnsi="Arial"/>
          <w:rtl/>
        </w:rPr>
      </w:pPr>
      <w:r>
        <w:rPr>
          <w:rFonts w:ascii="Arial" w:hAnsi="Arial" w:hint="cs"/>
          <w:rtl/>
        </w:rPr>
        <w:t xml:space="preserve">לחובתו אשקול את העובדה כי עבירה זו בוצעה לאחר קשר קודם עם שירות המבחן. הגם שקשר זה נעשה במסגרת הליכים בבית המשפט לתעבורה, הרי שהליכי טיפול קודמים היו אמורים למנוע חזרה לביצוע עבירות כלשהן. </w:t>
      </w:r>
    </w:p>
    <w:p w14:paraId="60274103" w14:textId="77777777" w:rsidR="0049543D" w:rsidRDefault="0049543D" w:rsidP="0049543D">
      <w:pPr>
        <w:spacing w:line="360" w:lineRule="auto"/>
        <w:jc w:val="both"/>
        <w:rPr>
          <w:rFonts w:ascii="Arial" w:hAnsi="Arial"/>
          <w:rtl/>
        </w:rPr>
      </w:pPr>
    </w:p>
    <w:p w14:paraId="5CF5E8A8" w14:textId="77777777" w:rsidR="0049543D" w:rsidRDefault="0049543D" w:rsidP="0049543D">
      <w:pPr>
        <w:spacing w:line="360" w:lineRule="auto"/>
        <w:jc w:val="both"/>
        <w:rPr>
          <w:rFonts w:ascii="Arial" w:hAnsi="Arial"/>
          <w:rtl/>
        </w:rPr>
      </w:pPr>
      <w:r w:rsidRPr="00CA2BDF">
        <w:rPr>
          <w:rFonts w:ascii="Arial" w:hAnsi="Arial" w:hint="cs"/>
          <w:b/>
          <w:bCs/>
          <w:rtl/>
        </w:rPr>
        <w:t>23</w:t>
      </w:r>
      <w:r>
        <w:rPr>
          <w:rFonts w:ascii="Arial" w:hAnsi="Arial" w:hint="cs"/>
          <w:rtl/>
        </w:rPr>
        <w:t xml:space="preserve">. סוף דבר, במקרה דנן, אני סבורה כי ניתן להסתפק בענישה ברף הנמוך של המתחם, דהיינו עונש צופה פני עתיד לצד ענישה מוחשית בדמות צו של"צ וענישה כלכלית. </w:t>
      </w:r>
    </w:p>
    <w:p w14:paraId="60EB5A55" w14:textId="77777777" w:rsidR="0049543D" w:rsidRPr="00ED646F" w:rsidRDefault="0049543D" w:rsidP="0049543D">
      <w:pPr>
        <w:spacing w:line="360" w:lineRule="auto"/>
        <w:jc w:val="both"/>
        <w:rPr>
          <w:rFonts w:ascii="Arial" w:hAnsi="Arial"/>
          <w:b/>
          <w:bCs/>
          <w:u w:val="single"/>
          <w:rtl/>
        </w:rPr>
      </w:pPr>
    </w:p>
    <w:p w14:paraId="3FF55EE6" w14:textId="77777777" w:rsidR="0049543D" w:rsidRDefault="0049543D" w:rsidP="0049543D">
      <w:pPr>
        <w:spacing w:line="360" w:lineRule="auto"/>
        <w:jc w:val="both"/>
        <w:rPr>
          <w:rFonts w:ascii="Arial" w:hAnsi="Arial"/>
          <w:b/>
          <w:bCs/>
          <w:u w:val="single"/>
          <w:rtl/>
        </w:rPr>
      </w:pPr>
      <w:r w:rsidRPr="00CA2BDF">
        <w:rPr>
          <w:rFonts w:ascii="Arial" w:hAnsi="Arial" w:hint="cs"/>
          <w:b/>
          <w:bCs/>
          <w:rtl/>
        </w:rPr>
        <w:t>24.</w:t>
      </w:r>
      <w:r>
        <w:rPr>
          <w:rFonts w:ascii="Arial" w:hAnsi="Arial" w:hint="cs"/>
          <w:b/>
          <w:bCs/>
          <w:u w:val="single"/>
          <w:rtl/>
        </w:rPr>
        <w:t xml:space="preserve"> </w:t>
      </w:r>
      <w:r w:rsidRPr="00ED646F">
        <w:rPr>
          <w:rFonts w:ascii="Arial" w:hAnsi="Arial" w:hint="cs"/>
          <w:b/>
          <w:bCs/>
          <w:u w:val="single"/>
          <w:rtl/>
        </w:rPr>
        <w:t>אשר על כן אני גוז</w:t>
      </w:r>
      <w:r>
        <w:rPr>
          <w:rFonts w:ascii="Arial" w:hAnsi="Arial" w:hint="cs"/>
          <w:b/>
          <w:bCs/>
          <w:u w:val="single"/>
          <w:rtl/>
        </w:rPr>
        <w:t>רת דינו של הנאשם לעונשים כדלקמן</w:t>
      </w:r>
      <w:r w:rsidRPr="00ED646F">
        <w:rPr>
          <w:rFonts w:ascii="Arial" w:hAnsi="Arial" w:hint="cs"/>
          <w:b/>
          <w:bCs/>
          <w:u w:val="single"/>
          <w:rtl/>
        </w:rPr>
        <w:t>:</w:t>
      </w:r>
    </w:p>
    <w:p w14:paraId="4346663C" w14:textId="77777777" w:rsidR="0049543D" w:rsidRPr="00ED646F" w:rsidRDefault="0049543D" w:rsidP="0049543D">
      <w:pPr>
        <w:spacing w:line="360" w:lineRule="auto"/>
        <w:jc w:val="both"/>
        <w:rPr>
          <w:rFonts w:ascii="Arial" w:hAnsi="Arial"/>
          <w:b/>
          <w:bCs/>
          <w:u w:val="single"/>
          <w:rtl/>
        </w:rPr>
      </w:pPr>
    </w:p>
    <w:p w14:paraId="7ECCECFA" w14:textId="77777777" w:rsidR="0049543D" w:rsidRDefault="0049543D" w:rsidP="0049543D">
      <w:pPr>
        <w:spacing w:line="360" w:lineRule="auto"/>
        <w:jc w:val="both"/>
        <w:rPr>
          <w:rFonts w:ascii="Arial" w:hAnsi="Arial"/>
          <w:rtl/>
        </w:rPr>
      </w:pPr>
      <w:r w:rsidRPr="0099134D">
        <w:rPr>
          <w:rFonts w:ascii="Arial" w:hAnsi="Arial" w:hint="cs"/>
          <w:b/>
          <w:bCs/>
          <w:rtl/>
        </w:rPr>
        <w:t>1</w:t>
      </w:r>
      <w:r>
        <w:rPr>
          <w:rFonts w:ascii="Arial" w:hAnsi="Arial" w:hint="cs"/>
          <w:rtl/>
        </w:rPr>
        <w:t xml:space="preserve">. 5 חודשי מאסר על תנאי למשך שנתיים שלא יעבור שוב עבירה מסוג פשע לפי פקודת הסמים. </w:t>
      </w:r>
    </w:p>
    <w:p w14:paraId="16AC2337" w14:textId="77777777" w:rsidR="0049543D" w:rsidRDefault="0049543D" w:rsidP="0049543D">
      <w:pPr>
        <w:spacing w:line="360" w:lineRule="auto"/>
        <w:jc w:val="both"/>
        <w:rPr>
          <w:rFonts w:ascii="Arial" w:hAnsi="Arial"/>
          <w:rtl/>
        </w:rPr>
      </w:pPr>
    </w:p>
    <w:p w14:paraId="64CFBA23" w14:textId="77777777" w:rsidR="0049543D" w:rsidRDefault="0049543D" w:rsidP="0049543D">
      <w:pPr>
        <w:spacing w:line="360" w:lineRule="auto"/>
        <w:jc w:val="both"/>
        <w:rPr>
          <w:rFonts w:ascii="Arial" w:hAnsi="Arial"/>
          <w:rtl/>
        </w:rPr>
      </w:pPr>
      <w:r w:rsidRPr="0099134D">
        <w:rPr>
          <w:rFonts w:ascii="Arial" w:hAnsi="Arial" w:hint="cs"/>
          <w:b/>
          <w:bCs/>
          <w:rtl/>
        </w:rPr>
        <w:t>2</w:t>
      </w:r>
      <w:r>
        <w:rPr>
          <w:rFonts w:ascii="Arial" w:hAnsi="Arial" w:hint="cs"/>
          <w:rtl/>
        </w:rPr>
        <w:t xml:space="preserve">. 2 חודשי מאסר על תנאי למשך שנתיים שלא יעבור שוב עבירה מסוג עוון לפי פקודת הסמים. </w:t>
      </w:r>
    </w:p>
    <w:p w14:paraId="1024C3A8" w14:textId="77777777" w:rsidR="0049543D" w:rsidRDefault="0049543D" w:rsidP="0049543D">
      <w:pPr>
        <w:spacing w:line="360" w:lineRule="auto"/>
        <w:jc w:val="both"/>
        <w:rPr>
          <w:rFonts w:ascii="Arial" w:hAnsi="Arial"/>
          <w:rtl/>
        </w:rPr>
      </w:pPr>
    </w:p>
    <w:p w14:paraId="6D72CFEE" w14:textId="77777777" w:rsidR="0049543D" w:rsidRDefault="0049543D" w:rsidP="0049543D">
      <w:pPr>
        <w:spacing w:line="360" w:lineRule="auto"/>
        <w:jc w:val="both"/>
        <w:rPr>
          <w:rFonts w:ascii="Arial" w:hAnsi="Arial"/>
          <w:rtl/>
        </w:rPr>
      </w:pPr>
      <w:r w:rsidRPr="0099134D">
        <w:rPr>
          <w:rFonts w:ascii="Arial" w:hAnsi="Arial" w:hint="cs"/>
          <w:b/>
          <w:bCs/>
          <w:rtl/>
        </w:rPr>
        <w:t>3</w:t>
      </w:r>
      <w:r>
        <w:rPr>
          <w:rFonts w:ascii="Arial" w:hAnsi="Arial" w:hint="cs"/>
          <w:rtl/>
        </w:rPr>
        <w:t>.</w:t>
      </w:r>
      <w:r>
        <w:rPr>
          <w:rFonts w:ascii="Arial" w:hAnsi="Arial" w:hint="cs"/>
        </w:rPr>
        <w:t xml:space="preserve"> </w:t>
      </w:r>
      <w:r>
        <w:rPr>
          <w:rFonts w:ascii="Arial" w:hAnsi="Arial" w:hint="cs"/>
          <w:rtl/>
        </w:rPr>
        <w:t>הנאשם יבצע שעות של"צ בהיקף של 150 שעות, וזאת תוך שנה מהיום.</w:t>
      </w:r>
    </w:p>
    <w:p w14:paraId="689FDDBC" w14:textId="77777777" w:rsidR="0049543D" w:rsidRDefault="0049543D" w:rsidP="0049543D">
      <w:pPr>
        <w:spacing w:line="360" w:lineRule="auto"/>
        <w:jc w:val="both"/>
        <w:rPr>
          <w:rFonts w:ascii="Arial" w:hAnsi="Arial"/>
          <w:rtl/>
        </w:rPr>
      </w:pPr>
      <w:r>
        <w:rPr>
          <w:rFonts w:ascii="Arial" w:hAnsi="Arial" w:hint="cs"/>
          <w:rtl/>
        </w:rPr>
        <w:t xml:space="preserve">שירות המבחן יגיש תוכנית של"צ תוך 30 יום. </w:t>
      </w:r>
    </w:p>
    <w:p w14:paraId="580A744D" w14:textId="77777777" w:rsidR="0049543D" w:rsidRDefault="0049543D" w:rsidP="0049543D">
      <w:pPr>
        <w:spacing w:line="360" w:lineRule="auto"/>
        <w:jc w:val="both"/>
        <w:rPr>
          <w:rFonts w:ascii="Arial" w:hAnsi="Arial"/>
          <w:rtl/>
        </w:rPr>
      </w:pPr>
      <w:r>
        <w:rPr>
          <w:rFonts w:ascii="Arial" w:hAnsi="Arial" w:hint="cs"/>
          <w:rtl/>
        </w:rPr>
        <w:t xml:space="preserve">מובהרת לנאשם סמכות בית המשפט להפקיע צו השל"צ. </w:t>
      </w:r>
    </w:p>
    <w:p w14:paraId="241C833E" w14:textId="77777777" w:rsidR="0049543D" w:rsidRDefault="0049543D" w:rsidP="0049543D">
      <w:pPr>
        <w:spacing w:line="360" w:lineRule="auto"/>
        <w:jc w:val="both"/>
        <w:rPr>
          <w:rFonts w:ascii="Arial" w:hAnsi="Arial"/>
          <w:rtl/>
        </w:rPr>
      </w:pPr>
    </w:p>
    <w:p w14:paraId="74E3B01F" w14:textId="77777777" w:rsidR="0049543D" w:rsidRDefault="0049543D" w:rsidP="0049543D">
      <w:pPr>
        <w:spacing w:line="360" w:lineRule="auto"/>
        <w:jc w:val="both"/>
        <w:rPr>
          <w:rFonts w:ascii="Arial" w:hAnsi="Arial"/>
          <w:rtl/>
        </w:rPr>
      </w:pPr>
      <w:r w:rsidRPr="0099134D">
        <w:rPr>
          <w:rFonts w:ascii="Arial" w:hAnsi="Arial" w:hint="cs"/>
          <w:b/>
          <w:bCs/>
          <w:rtl/>
        </w:rPr>
        <w:t>4</w:t>
      </w:r>
      <w:r>
        <w:rPr>
          <w:rFonts w:ascii="Arial" w:hAnsi="Arial" w:hint="cs"/>
          <w:rtl/>
        </w:rPr>
        <w:t>.</w:t>
      </w:r>
      <w:r>
        <w:rPr>
          <w:rFonts w:ascii="Arial" w:hAnsi="Arial" w:hint="cs"/>
        </w:rPr>
        <w:t xml:space="preserve"> </w:t>
      </w:r>
      <w:r>
        <w:rPr>
          <w:rFonts w:ascii="Arial" w:hAnsi="Arial" w:hint="cs"/>
          <w:rtl/>
        </w:rPr>
        <w:t xml:space="preserve">קנס בסך 1,000 ש"ח או 10 ימי מאסר תמורת הקנס. </w:t>
      </w:r>
    </w:p>
    <w:p w14:paraId="5DE883DB" w14:textId="77777777" w:rsidR="0049543D" w:rsidRDefault="0049543D" w:rsidP="0049543D">
      <w:pPr>
        <w:spacing w:line="360" w:lineRule="auto"/>
        <w:jc w:val="both"/>
        <w:rPr>
          <w:rFonts w:ascii="Arial" w:hAnsi="Arial"/>
          <w:rtl/>
        </w:rPr>
      </w:pPr>
      <w:r>
        <w:rPr>
          <w:rFonts w:ascii="Arial" w:hAnsi="Arial" w:hint="cs"/>
          <w:rtl/>
        </w:rPr>
        <w:t xml:space="preserve">הקנס ישולם ב-4 תשלומים שווים ורצופים. </w:t>
      </w:r>
    </w:p>
    <w:p w14:paraId="3C17464B" w14:textId="77777777" w:rsidR="0049543D" w:rsidRDefault="0049543D" w:rsidP="0049543D">
      <w:pPr>
        <w:spacing w:line="360" w:lineRule="auto"/>
        <w:jc w:val="both"/>
        <w:rPr>
          <w:rFonts w:ascii="Arial" w:hAnsi="Arial"/>
          <w:rtl/>
        </w:rPr>
      </w:pPr>
      <w:r>
        <w:rPr>
          <w:rFonts w:ascii="Arial" w:hAnsi="Arial" w:hint="cs"/>
          <w:rtl/>
        </w:rPr>
        <w:t xml:space="preserve">תשלום ראשון תוך חודש ימים מהיום. </w:t>
      </w:r>
    </w:p>
    <w:p w14:paraId="63F08E00" w14:textId="77777777" w:rsidR="0049543D" w:rsidRDefault="0049543D" w:rsidP="0049543D">
      <w:pPr>
        <w:spacing w:line="360" w:lineRule="auto"/>
        <w:jc w:val="both"/>
        <w:rPr>
          <w:rFonts w:ascii="Arial" w:hAnsi="Arial"/>
          <w:rtl/>
        </w:rPr>
      </w:pPr>
    </w:p>
    <w:p w14:paraId="1E847F47" w14:textId="77777777" w:rsidR="0049543D" w:rsidRDefault="0049543D" w:rsidP="0049543D">
      <w:pPr>
        <w:spacing w:line="360" w:lineRule="auto"/>
        <w:jc w:val="both"/>
        <w:rPr>
          <w:rFonts w:ascii="Arial" w:hAnsi="Arial"/>
          <w:rtl/>
        </w:rPr>
      </w:pPr>
      <w:r w:rsidRPr="0099134D">
        <w:rPr>
          <w:rFonts w:ascii="Arial" w:hAnsi="Arial" w:hint="cs"/>
          <w:b/>
          <w:bCs/>
          <w:rtl/>
        </w:rPr>
        <w:t>5</w:t>
      </w:r>
      <w:r>
        <w:rPr>
          <w:rFonts w:ascii="Arial" w:hAnsi="Arial" w:hint="cs"/>
          <w:rtl/>
        </w:rPr>
        <w:t xml:space="preserve">. התחייבות כספית על סך 2,000 ש"ח להימנע במשך שמהיום מביצוע עבירה מסוג פשע לפי </w:t>
      </w:r>
      <w:hyperlink r:id="rId25" w:history="1">
        <w:r w:rsidR="0033220A" w:rsidRPr="0033220A">
          <w:rPr>
            <w:rFonts w:ascii="Arial" w:hAnsi="Arial"/>
            <w:color w:val="0000FF"/>
            <w:u w:val="single"/>
            <w:rtl/>
          </w:rPr>
          <w:t>פקודת הסמים המסוכנים</w:t>
        </w:r>
      </w:hyperlink>
      <w:r>
        <w:rPr>
          <w:rFonts w:ascii="Arial" w:hAnsi="Arial" w:hint="cs"/>
          <w:rtl/>
        </w:rPr>
        <w:t xml:space="preserve">. </w:t>
      </w:r>
    </w:p>
    <w:p w14:paraId="5C138223" w14:textId="77777777" w:rsidR="0049543D" w:rsidRPr="0033220A" w:rsidRDefault="0033220A" w:rsidP="0049543D">
      <w:pPr>
        <w:spacing w:line="360" w:lineRule="auto"/>
        <w:jc w:val="both"/>
        <w:rPr>
          <w:rFonts w:ascii="Arial" w:hAnsi="Arial"/>
          <w:color w:val="FFFFFF"/>
          <w:sz w:val="2"/>
          <w:szCs w:val="2"/>
          <w:rtl/>
        </w:rPr>
      </w:pPr>
      <w:r w:rsidRPr="0033220A">
        <w:rPr>
          <w:rFonts w:ascii="Arial" w:hAnsi="Arial"/>
          <w:color w:val="FFFFFF"/>
          <w:sz w:val="2"/>
          <w:szCs w:val="2"/>
          <w:rtl/>
        </w:rPr>
        <w:t>5129371</w:t>
      </w:r>
    </w:p>
    <w:p w14:paraId="73744D28" w14:textId="77777777" w:rsidR="0049543D" w:rsidRPr="0033220A" w:rsidRDefault="0033220A" w:rsidP="0049543D">
      <w:pPr>
        <w:spacing w:line="360" w:lineRule="auto"/>
        <w:jc w:val="both"/>
        <w:rPr>
          <w:rFonts w:ascii="Arial" w:hAnsi="Arial"/>
          <w:b/>
          <w:bCs/>
          <w:color w:val="FFFFFF"/>
          <w:sz w:val="2"/>
          <w:szCs w:val="2"/>
          <w:u w:val="single"/>
          <w:rtl/>
        </w:rPr>
      </w:pPr>
      <w:r w:rsidRPr="0033220A">
        <w:rPr>
          <w:rFonts w:ascii="Arial" w:hAnsi="Arial"/>
          <w:b/>
          <w:bCs/>
          <w:color w:val="FFFFFF"/>
          <w:sz w:val="2"/>
          <w:szCs w:val="2"/>
          <w:u w:val="single"/>
          <w:rtl/>
        </w:rPr>
        <w:t>54678313</w:t>
      </w:r>
    </w:p>
    <w:p w14:paraId="4FC0EC92" w14:textId="77777777" w:rsidR="0049543D" w:rsidRPr="00ED646F" w:rsidRDefault="0049543D" w:rsidP="0049543D">
      <w:pPr>
        <w:spacing w:line="360" w:lineRule="auto"/>
        <w:jc w:val="both"/>
        <w:rPr>
          <w:rFonts w:ascii="Arial" w:hAnsi="Arial"/>
          <w:b/>
          <w:bCs/>
          <w:u w:val="single"/>
          <w:rtl/>
        </w:rPr>
      </w:pPr>
      <w:r w:rsidRPr="00ED646F">
        <w:rPr>
          <w:rFonts w:ascii="Arial" w:hAnsi="Arial" w:hint="cs"/>
          <w:b/>
          <w:bCs/>
          <w:u w:val="single"/>
          <w:rtl/>
        </w:rPr>
        <w:t xml:space="preserve">זכות ערעור כחוק. </w:t>
      </w:r>
    </w:p>
    <w:p w14:paraId="37406C64" w14:textId="77777777" w:rsidR="0049543D" w:rsidRDefault="0033220A" w:rsidP="0033220A">
      <w:pPr>
        <w:jc w:val="center"/>
      </w:pPr>
      <w:bookmarkStart w:id="8" w:name="Nitan"/>
      <w:r>
        <w:rPr>
          <w:rFonts w:ascii="Arial" w:hAnsi="Arial"/>
          <w:rtl/>
        </w:rPr>
        <w:t xml:space="preserve">ניתן היום, 3 במאי 2020, ט' אייר תש"פ, במעמד הנוכחים. ט' אייר תש"פ </w:t>
      </w:r>
      <w:bookmarkEnd w:id="8"/>
      <w:r w:rsidR="0049543D">
        <w:rPr>
          <w:rFonts w:hint="cs"/>
          <w:rtl/>
        </w:rPr>
        <w:t xml:space="preserve">   </w:t>
      </w:r>
      <w:r w:rsidR="0049543D">
        <w:rPr>
          <w:rFonts w:hint="cs"/>
          <w:rtl/>
        </w:rPr>
        <w:tab/>
      </w:r>
      <w:r w:rsidR="0049543D">
        <w:rPr>
          <w:rFonts w:hint="cs"/>
          <w:rtl/>
        </w:rPr>
        <w:tab/>
      </w:r>
      <w:r w:rsidR="0049543D">
        <w:rPr>
          <w:rFonts w:hint="cs"/>
          <w:rtl/>
        </w:rPr>
        <w:tab/>
      </w:r>
      <w:r w:rsidR="0049543D">
        <w:rPr>
          <w:rFonts w:hint="cs"/>
          <w:rtl/>
        </w:rPr>
        <w:tab/>
      </w:r>
      <w:r w:rsidR="0049543D">
        <w:rPr>
          <w:rFonts w:hint="cs"/>
          <w:rtl/>
        </w:rPr>
        <w:tab/>
      </w:r>
    </w:p>
    <w:p w14:paraId="3D8AF984" w14:textId="77777777" w:rsidR="0049543D" w:rsidRDefault="0049543D" w:rsidP="0049543D">
      <w:pPr>
        <w:jc w:val="center"/>
        <w:rPr>
          <w:rFonts w:cs="FrankRuehl"/>
          <w:sz w:val="28"/>
          <w:szCs w:val="28"/>
          <w:rtl/>
        </w:rPr>
      </w:pPr>
    </w:p>
    <w:p w14:paraId="179317D8" w14:textId="77777777" w:rsidR="0049543D" w:rsidRDefault="0049543D" w:rsidP="0049543D">
      <w:pPr>
        <w:pStyle w:val="a3"/>
        <w:jc w:val="center"/>
        <w:rPr>
          <w:rtl/>
        </w:rPr>
      </w:pPr>
    </w:p>
    <w:p w14:paraId="0106799D" w14:textId="77777777" w:rsidR="004D0E1C" w:rsidRPr="0033220A" w:rsidRDefault="004D0E1C" w:rsidP="0033220A">
      <w:pPr>
        <w:keepNext/>
        <w:rPr>
          <w:rFonts w:ascii="David" w:hAnsi="David"/>
          <w:color w:val="000000"/>
          <w:sz w:val="22"/>
          <w:szCs w:val="22"/>
          <w:rtl/>
        </w:rPr>
      </w:pPr>
    </w:p>
    <w:p w14:paraId="70741BBA" w14:textId="77777777" w:rsidR="0033220A" w:rsidRPr="0033220A" w:rsidRDefault="0033220A" w:rsidP="0033220A">
      <w:pPr>
        <w:keepNext/>
        <w:rPr>
          <w:rFonts w:ascii="David" w:hAnsi="David"/>
          <w:color w:val="000000"/>
          <w:sz w:val="22"/>
          <w:szCs w:val="22"/>
          <w:rtl/>
        </w:rPr>
      </w:pPr>
      <w:r w:rsidRPr="0033220A">
        <w:rPr>
          <w:rFonts w:ascii="David" w:hAnsi="David"/>
          <w:color w:val="000000"/>
          <w:sz w:val="22"/>
          <w:szCs w:val="22"/>
          <w:rtl/>
        </w:rPr>
        <w:t>טל לחיאני שהם 54678313</w:t>
      </w:r>
    </w:p>
    <w:p w14:paraId="3158A868" w14:textId="77777777" w:rsidR="0033220A" w:rsidRDefault="0033220A" w:rsidP="0033220A">
      <w:r w:rsidRPr="0033220A">
        <w:rPr>
          <w:color w:val="000000"/>
          <w:rtl/>
        </w:rPr>
        <w:t>נוסח מסמך זה כפוף לשינויי ניסוח ועריכה</w:t>
      </w:r>
    </w:p>
    <w:p w14:paraId="31416A22" w14:textId="77777777" w:rsidR="0033220A" w:rsidRDefault="0033220A" w:rsidP="0033220A">
      <w:pPr>
        <w:rPr>
          <w:rtl/>
        </w:rPr>
      </w:pPr>
    </w:p>
    <w:p w14:paraId="359177B7" w14:textId="77777777" w:rsidR="0033220A" w:rsidRDefault="0033220A" w:rsidP="0033220A">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8AA6765" w14:textId="77777777" w:rsidR="0033220A" w:rsidRPr="0033220A" w:rsidRDefault="0033220A" w:rsidP="0033220A">
      <w:pPr>
        <w:jc w:val="center"/>
        <w:rPr>
          <w:color w:val="0000FF"/>
          <w:u w:val="single"/>
        </w:rPr>
      </w:pPr>
    </w:p>
    <w:sectPr w:rsidR="0033220A" w:rsidRPr="0033220A" w:rsidSect="0033220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A93CF" w14:textId="77777777" w:rsidR="00CA4BF5" w:rsidRDefault="00CA4BF5" w:rsidP="00EF6A29">
      <w:r>
        <w:separator/>
      </w:r>
    </w:p>
  </w:endnote>
  <w:endnote w:type="continuationSeparator" w:id="0">
    <w:p w14:paraId="5456B2F2" w14:textId="77777777" w:rsidR="00CA4BF5" w:rsidRDefault="00CA4BF5" w:rsidP="00EF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F92B9" w14:textId="77777777" w:rsidR="0033220A" w:rsidRDefault="0033220A" w:rsidP="003322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4C8F43" w14:textId="77777777" w:rsidR="009407D1" w:rsidRPr="0033220A" w:rsidRDefault="0033220A" w:rsidP="003322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9B69" w14:textId="77777777" w:rsidR="0033220A" w:rsidRDefault="0033220A" w:rsidP="003322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193B">
      <w:rPr>
        <w:rFonts w:ascii="FrankRuehl" w:hAnsi="FrankRuehl" w:cs="FrankRuehl"/>
        <w:noProof/>
        <w:rtl/>
      </w:rPr>
      <w:t>1</w:t>
    </w:r>
    <w:r>
      <w:rPr>
        <w:rFonts w:ascii="FrankRuehl" w:hAnsi="FrankRuehl" w:cs="FrankRuehl"/>
        <w:rtl/>
      </w:rPr>
      <w:fldChar w:fldCharType="end"/>
    </w:r>
  </w:p>
  <w:p w14:paraId="44680787" w14:textId="77777777" w:rsidR="009407D1" w:rsidRPr="0033220A" w:rsidRDefault="0033220A" w:rsidP="003322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3A0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08217" w14:textId="77777777" w:rsidR="00CA4BF5" w:rsidRDefault="00CA4BF5" w:rsidP="00EF6A29">
      <w:r>
        <w:separator/>
      </w:r>
    </w:p>
  </w:footnote>
  <w:footnote w:type="continuationSeparator" w:id="0">
    <w:p w14:paraId="7B6CCAF8" w14:textId="77777777" w:rsidR="00CA4BF5" w:rsidRDefault="00CA4BF5" w:rsidP="00EF6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CDF58" w14:textId="77777777" w:rsidR="0033220A" w:rsidRPr="0033220A" w:rsidRDefault="0033220A" w:rsidP="003322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42230-07-18</w:t>
    </w:r>
    <w:r>
      <w:rPr>
        <w:rFonts w:ascii="David" w:hAnsi="David"/>
        <w:color w:val="000000"/>
        <w:sz w:val="22"/>
        <w:szCs w:val="22"/>
        <w:rtl/>
      </w:rPr>
      <w:tab/>
      <w:t xml:space="preserve"> מדינת ישראל נ' אלעד חי אלון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CC92C" w14:textId="77777777" w:rsidR="0033220A" w:rsidRPr="0033220A" w:rsidRDefault="0033220A" w:rsidP="003322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42230-07-18</w:t>
    </w:r>
    <w:r>
      <w:rPr>
        <w:rFonts w:ascii="David" w:hAnsi="David"/>
        <w:color w:val="000000"/>
        <w:sz w:val="22"/>
        <w:szCs w:val="22"/>
        <w:rtl/>
      </w:rPr>
      <w:tab/>
      <w:t xml:space="preserve"> מדינת ישראל נ' אלעד חי אלון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543D"/>
    <w:rsid w:val="00117EFD"/>
    <w:rsid w:val="0013193B"/>
    <w:rsid w:val="00292AF5"/>
    <w:rsid w:val="002F0057"/>
    <w:rsid w:val="0033220A"/>
    <w:rsid w:val="0049543D"/>
    <w:rsid w:val="004D0E1C"/>
    <w:rsid w:val="007A0449"/>
    <w:rsid w:val="009407D1"/>
    <w:rsid w:val="00B57DAD"/>
    <w:rsid w:val="00C501AB"/>
    <w:rsid w:val="00C91566"/>
    <w:rsid w:val="00CA4BF5"/>
    <w:rsid w:val="00D25A4D"/>
    <w:rsid w:val="00E52540"/>
    <w:rsid w:val="00EF6A29"/>
    <w:rsid w:val="00F0488A"/>
    <w:rsid w:val="00F757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227E2B"/>
  <w15:chartTrackingRefBased/>
  <w15:docId w15:val="{24A80ECD-0674-4561-AA8E-F7C04080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543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543D"/>
    <w:pPr>
      <w:tabs>
        <w:tab w:val="center" w:pos="4153"/>
        <w:tab w:val="right" w:pos="8306"/>
      </w:tabs>
    </w:pPr>
    <w:rPr>
      <w:rFonts w:cs="Times New Roman"/>
      <w:lang w:val="x-none" w:eastAsia="x-none"/>
    </w:rPr>
  </w:style>
  <w:style w:type="character" w:customStyle="1" w:styleId="a4">
    <w:name w:val="כותרת עליונה תו"/>
    <w:link w:val="a3"/>
    <w:rsid w:val="0049543D"/>
    <w:rPr>
      <w:rFonts w:ascii="Times New Roman" w:eastAsia="Times New Roman" w:hAnsi="Times New Roman" w:cs="David"/>
      <w:sz w:val="24"/>
      <w:szCs w:val="24"/>
    </w:rPr>
  </w:style>
  <w:style w:type="paragraph" w:styleId="a5">
    <w:name w:val="footer"/>
    <w:basedOn w:val="a"/>
    <w:link w:val="a6"/>
    <w:rsid w:val="0049543D"/>
    <w:pPr>
      <w:tabs>
        <w:tab w:val="center" w:pos="4153"/>
        <w:tab w:val="right" w:pos="8306"/>
      </w:tabs>
    </w:pPr>
    <w:rPr>
      <w:rFonts w:cs="Times New Roman"/>
      <w:lang w:val="x-none" w:eastAsia="x-none"/>
    </w:rPr>
  </w:style>
  <w:style w:type="character" w:customStyle="1" w:styleId="a6">
    <w:name w:val="כותרת תחתונה תו"/>
    <w:link w:val="a5"/>
    <w:rsid w:val="0049543D"/>
    <w:rPr>
      <w:rFonts w:ascii="Times New Roman" w:eastAsia="Times New Roman" w:hAnsi="Times New Roman" w:cs="David"/>
      <w:sz w:val="24"/>
      <w:szCs w:val="24"/>
    </w:rPr>
  </w:style>
  <w:style w:type="table" w:styleId="a7">
    <w:name w:val="Table Grid"/>
    <w:basedOn w:val="a1"/>
    <w:rsid w:val="004954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543D"/>
  </w:style>
  <w:style w:type="paragraph" w:customStyle="1" w:styleId="normal-p">
    <w:name w:val="normal-p"/>
    <w:basedOn w:val="a"/>
    <w:rsid w:val="0049543D"/>
    <w:pPr>
      <w:bidi w:val="0"/>
      <w:spacing w:before="100" w:beforeAutospacing="1" w:after="100" w:afterAutospacing="1"/>
    </w:pPr>
    <w:rPr>
      <w:rFonts w:cs="Times New Roman"/>
    </w:rPr>
  </w:style>
  <w:style w:type="character" w:customStyle="1" w:styleId="normal-h">
    <w:name w:val="normal-h"/>
    <w:rsid w:val="0049543D"/>
  </w:style>
  <w:style w:type="character" w:styleId="Hyperlink">
    <w:name w:val="Hyperlink"/>
    <w:rsid w:val="00332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4335788" TargetMode="External"/><Relationship Id="rId18" Type="http://schemas.openxmlformats.org/officeDocument/2006/relationships/hyperlink" Target="http://www.nevo.co.il/case/581078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3746048" TargetMode="External"/><Relationship Id="rId7" Type="http://schemas.openxmlformats.org/officeDocument/2006/relationships/hyperlink" Target="http://www.nevo.co.il/law/4216/6" TargetMode="External"/><Relationship Id="rId12" Type="http://schemas.openxmlformats.org/officeDocument/2006/relationships/hyperlink" Target="http://www.nevo.co.il/case/22299115" TargetMode="External"/><Relationship Id="rId17" Type="http://schemas.openxmlformats.org/officeDocument/2006/relationships/hyperlink" Target="http://www.nevo.co.il/case/25459220"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16975164" TargetMode="External"/><Relationship Id="rId20" Type="http://schemas.openxmlformats.org/officeDocument/2006/relationships/hyperlink" Target="http://www.nevo.co.il/case/16941543"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5191250" TargetMode="External"/><Relationship Id="rId24" Type="http://schemas.openxmlformats.org/officeDocument/2006/relationships/hyperlink" Target="http://www.nevo.co.il/case/25690628"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2143636" TargetMode="External"/><Relationship Id="rId23" Type="http://schemas.openxmlformats.org/officeDocument/2006/relationships/hyperlink" Target="http://www.nevo.co.il/case/25459220" TargetMode="External"/><Relationship Id="rId28" Type="http://schemas.openxmlformats.org/officeDocument/2006/relationships/header" Target="header2.xml"/><Relationship Id="rId10" Type="http://schemas.openxmlformats.org/officeDocument/2006/relationships/hyperlink" Target="http://www.nevo.co.il/case/4213217" TargetMode="External"/><Relationship Id="rId19" Type="http://schemas.openxmlformats.org/officeDocument/2006/relationships/hyperlink" Target="http://www.nevo.co.il/case/18118854"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10472985" TargetMode="External"/><Relationship Id="rId22" Type="http://schemas.openxmlformats.org/officeDocument/2006/relationships/hyperlink" Target="http://www.nevo.co.il/case/2434565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2144</Words>
  <Characters>10721</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12840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3539070</vt:i4>
      </vt:variant>
      <vt:variant>
        <vt:i4>54</vt:i4>
      </vt:variant>
      <vt:variant>
        <vt:i4>0</vt:i4>
      </vt:variant>
      <vt:variant>
        <vt:i4>5</vt:i4>
      </vt:variant>
      <vt:variant>
        <vt:lpwstr>http://www.nevo.co.il/case/25690628</vt:lpwstr>
      </vt:variant>
      <vt:variant>
        <vt:lpwstr/>
      </vt:variant>
      <vt:variant>
        <vt:i4>3997814</vt:i4>
      </vt:variant>
      <vt:variant>
        <vt:i4>51</vt:i4>
      </vt:variant>
      <vt:variant>
        <vt:i4>0</vt:i4>
      </vt:variant>
      <vt:variant>
        <vt:i4>5</vt:i4>
      </vt:variant>
      <vt:variant>
        <vt:lpwstr>http://www.nevo.co.il/case/25459220</vt:lpwstr>
      </vt:variant>
      <vt:variant>
        <vt:lpwstr/>
      </vt:variant>
      <vt:variant>
        <vt:i4>3211378</vt:i4>
      </vt:variant>
      <vt:variant>
        <vt:i4>48</vt:i4>
      </vt:variant>
      <vt:variant>
        <vt:i4>0</vt:i4>
      </vt:variant>
      <vt:variant>
        <vt:i4>5</vt:i4>
      </vt:variant>
      <vt:variant>
        <vt:lpwstr>http://www.nevo.co.il/case/24345651</vt:lpwstr>
      </vt:variant>
      <vt:variant>
        <vt:lpwstr/>
      </vt:variant>
      <vt:variant>
        <vt:i4>3604595</vt:i4>
      </vt:variant>
      <vt:variant>
        <vt:i4>45</vt:i4>
      </vt:variant>
      <vt:variant>
        <vt:i4>0</vt:i4>
      </vt:variant>
      <vt:variant>
        <vt:i4>5</vt:i4>
      </vt:variant>
      <vt:variant>
        <vt:lpwstr>http://www.nevo.co.il/case/23746048</vt:lpwstr>
      </vt:variant>
      <vt:variant>
        <vt:lpwstr/>
      </vt:variant>
      <vt:variant>
        <vt:i4>3997811</vt:i4>
      </vt:variant>
      <vt:variant>
        <vt:i4>42</vt:i4>
      </vt:variant>
      <vt:variant>
        <vt:i4>0</vt:i4>
      </vt:variant>
      <vt:variant>
        <vt:i4>5</vt:i4>
      </vt:variant>
      <vt:variant>
        <vt:lpwstr>http://www.nevo.co.il/case/16941543</vt:lpwstr>
      </vt:variant>
      <vt:variant>
        <vt:lpwstr/>
      </vt:variant>
      <vt:variant>
        <vt:i4>3997813</vt:i4>
      </vt:variant>
      <vt:variant>
        <vt:i4>39</vt:i4>
      </vt:variant>
      <vt:variant>
        <vt:i4>0</vt:i4>
      </vt:variant>
      <vt:variant>
        <vt:i4>5</vt:i4>
      </vt:variant>
      <vt:variant>
        <vt:lpwstr>http://www.nevo.co.il/case/18118854</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3997814</vt:i4>
      </vt:variant>
      <vt:variant>
        <vt:i4>33</vt:i4>
      </vt:variant>
      <vt:variant>
        <vt:i4>0</vt:i4>
      </vt:variant>
      <vt:variant>
        <vt:i4>5</vt:i4>
      </vt:variant>
      <vt:variant>
        <vt:lpwstr>http://www.nevo.co.il/case/25459220</vt:lpwstr>
      </vt:variant>
      <vt:variant>
        <vt:lpwstr/>
      </vt:variant>
      <vt:variant>
        <vt:i4>3866740</vt:i4>
      </vt:variant>
      <vt:variant>
        <vt:i4>30</vt:i4>
      </vt:variant>
      <vt:variant>
        <vt:i4>0</vt:i4>
      </vt:variant>
      <vt:variant>
        <vt:i4>5</vt:i4>
      </vt:variant>
      <vt:variant>
        <vt:lpwstr>http://www.nevo.co.il/case/16975164</vt:lpwstr>
      </vt:variant>
      <vt:variant>
        <vt:lpwstr/>
      </vt:variant>
      <vt:variant>
        <vt:i4>3342452</vt:i4>
      </vt:variant>
      <vt:variant>
        <vt:i4>27</vt:i4>
      </vt:variant>
      <vt:variant>
        <vt:i4>0</vt:i4>
      </vt:variant>
      <vt:variant>
        <vt:i4>5</vt:i4>
      </vt:variant>
      <vt:variant>
        <vt:lpwstr>http://www.nevo.co.il/case/22143636</vt:lpwstr>
      </vt:variant>
      <vt:variant>
        <vt:lpwstr/>
      </vt:variant>
      <vt:variant>
        <vt:i4>4128890</vt:i4>
      </vt:variant>
      <vt:variant>
        <vt:i4>24</vt:i4>
      </vt:variant>
      <vt:variant>
        <vt:i4>0</vt:i4>
      </vt:variant>
      <vt:variant>
        <vt:i4>5</vt:i4>
      </vt:variant>
      <vt:variant>
        <vt:lpwstr>http://www.nevo.co.il/case/10472985</vt:lpwstr>
      </vt:variant>
      <vt:variant>
        <vt:lpwstr/>
      </vt:variant>
      <vt:variant>
        <vt:i4>3932276</vt:i4>
      </vt:variant>
      <vt:variant>
        <vt:i4>21</vt:i4>
      </vt:variant>
      <vt:variant>
        <vt:i4>0</vt:i4>
      </vt:variant>
      <vt:variant>
        <vt:i4>5</vt:i4>
      </vt:variant>
      <vt:variant>
        <vt:lpwstr>http://www.nevo.co.il/case/24335788</vt:lpwstr>
      </vt:variant>
      <vt:variant>
        <vt:lpwstr/>
      </vt:variant>
      <vt:variant>
        <vt:i4>3670142</vt:i4>
      </vt:variant>
      <vt:variant>
        <vt:i4>18</vt:i4>
      </vt:variant>
      <vt:variant>
        <vt:i4>0</vt:i4>
      </vt:variant>
      <vt:variant>
        <vt:i4>5</vt:i4>
      </vt:variant>
      <vt:variant>
        <vt:lpwstr>http://www.nevo.co.il/case/22299115</vt:lpwstr>
      </vt:variant>
      <vt:variant>
        <vt:lpwstr/>
      </vt:variant>
      <vt:variant>
        <vt:i4>3604602</vt:i4>
      </vt:variant>
      <vt:variant>
        <vt:i4>15</vt:i4>
      </vt:variant>
      <vt:variant>
        <vt:i4>0</vt:i4>
      </vt:variant>
      <vt:variant>
        <vt:i4>5</vt:i4>
      </vt:variant>
      <vt:variant>
        <vt:lpwstr>http://www.nevo.co.il/case/25191250</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42230</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אלעד חי אלון</vt:lpwstr>
  </property>
  <property fmtid="{D5CDD505-2E9C-101B-9397-08002B2CF9AE}" pid="10" name="LAWYER">
    <vt:lpwstr>חן נוב;מרב אברהם</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20200503</vt:lpwstr>
  </property>
  <property fmtid="{D5CDD505-2E9C-101B-9397-08002B2CF9AE}" pid="14" name="TYPE_N_DATE">
    <vt:lpwstr>38020200503</vt:lpwstr>
  </property>
  <property fmtid="{D5CDD505-2E9C-101B-9397-08002B2CF9AE}" pid="15" name="WORDNUMPAGES">
    <vt:lpwstr>8</vt:lpwstr>
  </property>
  <property fmtid="{D5CDD505-2E9C-101B-9397-08002B2CF9AE}" pid="16" name="TYPE_ABS_DATE">
    <vt:lpwstr>380020200503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4213217;25191250;22299115;24335788;10472985;22143636;16975164;25459220:2;5810781;18118854;16941543;23746048;24345651;25690628</vt:lpwstr>
  </property>
  <property fmtid="{D5CDD505-2E9C-101B-9397-08002B2CF9AE}" pid="36" name="LAWLISTTMP1">
    <vt:lpwstr>4216/006</vt:lpwstr>
  </property>
</Properties>
</file>