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83A3B" w:rsidRPr="00A83A3B" w14:paraId="45BBB626" w14:textId="77777777" w:rsidTr="0058065D">
        <w:trPr>
          <w:trHeight w:hRule="exact" w:val="418"/>
          <w:jc w:val="center"/>
        </w:trPr>
        <w:tc>
          <w:tcPr>
            <w:tcW w:w="8721" w:type="dxa"/>
            <w:gridSpan w:val="2"/>
          </w:tcPr>
          <w:p w14:paraId="6FDB28DE" w14:textId="77777777" w:rsidR="00A83A3B" w:rsidRPr="00A83A3B" w:rsidRDefault="00A83A3B" w:rsidP="0058065D">
            <w:pPr>
              <w:pStyle w:val="a3"/>
              <w:jc w:val="center"/>
              <w:rPr>
                <w:rFonts w:ascii="Tahoma" w:hAnsi="Tahoma" w:cs="Tahoma"/>
                <w:noProof w:val="0"/>
                <w:color w:val="000080"/>
                <w:rtl/>
              </w:rPr>
            </w:pPr>
            <w:r w:rsidRPr="00A83A3B">
              <w:rPr>
                <w:rFonts w:ascii="Tahoma" w:hAnsi="Tahoma" w:cs="Tahoma"/>
                <w:b/>
                <w:bCs/>
                <w:noProof w:val="0"/>
                <w:color w:val="000080"/>
                <w:rtl/>
              </w:rPr>
              <w:t>בית משפט השלום בקריית גת</w:t>
            </w:r>
          </w:p>
        </w:tc>
      </w:tr>
      <w:tr w:rsidR="00A83A3B" w:rsidRPr="00A83A3B" w14:paraId="133D9E6C" w14:textId="77777777" w:rsidTr="0058065D">
        <w:trPr>
          <w:trHeight w:val="337"/>
          <w:jc w:val="center"/>
        </w:trPr>
        <w:tc>
          <w:tcPr>
            <w:tcW w:w="5047" w:type="dxa"/>
          </w:tcPr>
          <w:p w14:paraId="4D47A00D" w14:textId="77777777" w:rsidR="00A83A3B" w:rsidRPr="00A83A3B" w:rsidRDefault="00A83A3B" w:rsidP="0058065D">
            <w:pPr>
              <w:rPr>
                <w:b/>
                <w:bCs/>
                <w:noProof w:val="0"/>
                <w:sz w:val="26"/>
                <w:szCs w:val="26"/>
                <w:rtl/>
              </w:rPr>
            </w:pPr>
          </w:p>
        </w:tc>
        <w:tc>
          <w:tcPr>
            <w:tcW w:w="3674" w:type="dxa"/>
          </w:tcPr>
          <w:p w14:paraId="4FD4012B" w14:textId="77777777" w:rsidR="00A83A3B" w:rsidRPr="00A83A3B" w:rsidRDefault="00A83A3B" w:rsidP="0058065D">
            <w:pPr>
              <w:pStyle w:val="a3"/>
              <w:jc w:val="right"/>
              <w:rPr>
                <w:b/>
                <w:bCs/>
                <w:noProof w:val="0"/>
                <w:sz w:val="26"/>
                <w:szCs w:val="26"/>
                <w:rtl/>
              </w:rPr>
            </w:pPr>
            <w:r w:rsidRPr="00A83A3B">
              <w:rPr>
                <w:b/>
                <w:bCs/>
                <w:noProof w:val="0"/>
                <w:sz w:val="26"/>
                <w:szCs w:val="26"/>
                <w:rtl/>
              </w:rPr>
              <w:t>04 אוגוסט 2020</w:t>
            </w:r>
          </w:p>
        </w:tc>
      </w:tr>
      <w:tr w:rsidR="00A83A3B" w:rsidRPr="00A83A3B" w14:paraId="094DBABD" w14:textId="77777777" w:rsidTr="0058065D">
        <w:trPr>
          <w:trHeight w:val="337"/>
          <w:jc w:val="center"/>
        </w:trPr>
        <w:tc>
          <w:tcPr>
            <w:tcW w:w="8721" w:type="dxa"/>
            <w:gridSpan w:val="2"/>
          </w:tcPr>
          <w:p w14:paraId="3DF359DF" w14:textId="77777777" w:rsidR="00A83A3B" w:rsidRPr="00A83A3B" w:rsidRDefault="00A83A3B" w:rsidP="0058065D">
            <w:pPr>
              <w:rPr>
                <w:b/>
                <w:bCs/>
                <w:noProof w:val="0"/>
                <w:sz w:val="26"/>
                <w:szCs w:val="26"/>
                <w:rtl/>
              </w:rPr>
            </w:pPr>
            <w:r w:rsidRPr="00A83A3B">
              <w:rPr>
                <w:b/>
                <w:bCs/>
                <w:noProof w:val="0"/>
                <w:sz w:val="26"/>
                <w:szCs w:val="26"/>
                <w:rtl/>
              </w:rPr>
              <w:t>ת"פ 42779-07-18 מדינת ישראל נ' אלעמראני</w:t>
            </w:r>
          </w:p>
          <w:p w14:paraId="3BCB822D" w14:textId="77777777" w:rsidR="00A83A3B" w:rsidRPr="00A83A3B" w:rsidRDefault="00A83A3B" w:rsidP="0058065D">
            <w:pPr>
              <w:rPr>
                <w:noProof w:val="0"/>
                <w:rtl/>
              </w:rPr>
            </w:pPr>
          </w:p>
        </w:tc>
      </w:tr>
    </w:tbl>
    <w:p w14:paraId="06019598" w14:textId="77777777" w:rsidR="00A83A3B" w:rsidRPr="00A83A3B" w:rsidRDefault="00A83A3B" w:rsidP="00A83A3B"/>
    <w:tbl>
      <w:tblPr>
        <w:bidiVisual/>
        <w:tblW w:w="0" w:type="auto"/>
        <w:jc w:val="center"/>
        <w:tblLook w:val="0000" w:firstRow="0" w:lastRow="0" w:firstColumn="0" w:lastColumn="0" w:noHBand="0" w:noVBand="0"/>
      </w:tblPr>
      <w:tblGrid>
        <w:gridCol w:w="873"/>
        <w:gridCol w:w="7848"/>
      </w:tblGrid>
      <w:tr w:rsidR="00A83A3B" w:rsidRPr="00A83A3B" w14:paraId="285AFDBA" w14:textId="77777777" w:rsidTr="0058065D">
        <w:trPr>
          <w:trHeight w:val="337"/>
          <w:jc w:val="center"/>
        </w:trPr>
        <w:tc>
          <w:tcPr>
            <w:tcW w:w="873" w:type="dxa"/>
          </w:tcPr>
          <w:p w14:paraId="05D48CCA" w14:textId="77777777" w:rsidR="00A83A3B" w:rsidRPr="00A83A3B" w:rsidRDefault="00A83A3B" w:rsidP="0058065D">
            <w:pPr>
              <w:tabs>
                <w:tab w:val="left" w:pos="1710"/>
              </w:tabs>
              <w:rPr>
                <w:b/>
                <w:bCs/>
                <w:noProof w:val="0"/>
                <w:sz w:val="28"/>
                <w:szCs w:val="28"/>
                <w:rtl/>
              </w:rPr>
            </w:pPr>
            <w:r w:rsidRPr="00A83A3B">
              <w:rPr>
                <w:b/>
                <w:bCs/>
                <w:noProof w:val="0"/>
                <w:sz w:val="28"/>
                <w:szCs w:val="28"/>
                <w:rtl/>
              </w:rPr>
              <w:t>בפני</w:t>
            </w:r>
          </w:p>
        </w:tc>
        <w:tc>
          <w:tcPr>
            <w:tcW w:w="7848" w:type="dxa"/>
          </w:tcPr>
          <w:p w14:paraId="4629C712" w14:textId="77777777" w:rsidR="00A83A3B" w:rsidRPr="00A83A3B" w:rsidRDefault="00A83A3B" w:rsidP="0058065D">
            <w:pPr>
              <w:rPr>
                <w:rFonts w:ascii="Arial" w:hAnsi="Arial"/>
                <w:b/>
                <w:bCs/>
                <w:noProof w:val="0"/>
                <w:sz w:val="28"/>
                <w:szCs w:val="28"/>
                <w:rtl/>
              </w:rPr>
            </w:pPr>
            <w:r w:rsidRPr="00A83A3B">
              <w:rPr>
                <w:rFonts w:ascii="Arial" w:hAnsi="Arial"/>
                <w:b/>
                <w:bCs/>
                <w:noProof w:val="0"/>
                <w:sz w:val="28"/>
                <w:szCs w:val="28"/>
                <w:rtl/>
              </w:rPr>
              <w:t>כב' השופטת נגה שמואלי-מאייר, סגנית נשיא</w:t>
            </w:r>
          </w:p>
          <w:p w14:paraId="4BC6E564" w14:textId="77777777" w:rsidR="00A83A3B" w:rsidRPr="00A83A3B" w:rsidRDefault="00A83A3B" w:rsidP="0058065D">
            <w:pPr>
              <w:tabs>
                <w:tab w:val="left" w:pos="1710"/>
              </w:tabs>
              <w:rPr>
                <w:noProof w:val="0"/>
                <w:rtl/>
              </w:rPr>
            </w:pPr>
          </w:p>
        </w:tc>
      </w:tr>
    </w:tbl>
    <w:p w14:paraId="45C49E97" w14:textId="77777777" w:rsidR="00A83A3B" w:rsidRPr="00A83A3B" w:rsidRDefault="00A83A3B" w:rsidP="00A83A3B">
      <w:pPr>
        <w:pStyle w:val="a3"/>
        <w:rPr>
          <w:noProof w:val="0"/>
          <w:rtl/>
        </w:rPr>
      </w:pPr>
      <w:bookmarkStart w:id="0" w:name="LastJudge"/>
      <w:bookmarkEnd w:id="0"/>
      <w:r w:rsidRPr="00A83A3B">
        <w:rPr>
          <w:noProof w:val="0"/>
          <w:rtl/>
        </w:rPr>
        <w:t xml:space="preserve"> </w:t>
      </w:r>
    </w:p>
    <w:p w14:paraId="2304CE6A" w14:textId="77777777" w:rsidR="00A503FC" w:rsidRPr="00A83A3B" w:rsidRDefault="00A503FC" w:rsidP="009E78AA">
      <w:pPr>
        <w:spacing w:line="360" w:lineRule="auto"/>
        <w:rPr>
          <w:rFonts w:ascii="David" w:hAnsi="David" w:hint="cs"/>
          <w:sz w:val="28"/>
          <w:szCs w:val="28"/>
          <w:rtl/>
        </w:rPr>
      </w:pPr>
    </w:p>
    <w:tbl>
      <w:tblPr>
        <w:bidiVisual/>
        <w:tblW w:w="8820" w:type="dxa"/>
        <w:jc w:val="center"/>
        <w:tblLook w:val="01E0" w:firstRow="1" w:lastRow="1" w:firstColumn="1" w:lastColumn="1" w:noHBand="0" w:noVBand="0"/>
      </w:tblPr>
      <w:tblGrid>
        <w:gridCol w:w="7260"/>
        <w:gridCol w:w="1560"/>
      </w:tblGrid>
      <w:tr w:rsidR="00A83A3B" w:rsidRPr="00A83A3B" w14:paraId="4766EC9F" w14:textId="77777777" w:rsidTr="0058065D">
        <w:trPr>
          <w:jc w:val="center"/>
        </w:trPr>
        <w:tc>
          <w:tcPr>
            <w:tcW w:w="7260" w:type="dxa"/>
          </w:tcPr>
          <w:p w14:paraId="0A6F7DE5" w14:textId="77777777" w:rsidR="00A83A3B" w:rsidRPr="00A83A3B" w:rsidRDefault="00A83A3B" w:rsidP="0058065D">
            <w:pPr>
              <w:spacing w:line="360" w:lineRule="auto"/>
              <w:rPr>
                <w:rFonts w:ascii="David" w:hAnsi="David"/>
                <w:b/>
                <w:bCs/>
                <w:noProof w:val="0"/>
                <w:sz w:val="28"/>
                <w:szCs w:val="28"/>
                <w:rtl/>
              </w:rPr>
            </w:pPr>
            <w:bookmarkStart w:id="1" w:name="FirstAppellant"/>
            <w:bookmarkStart w:id="2" w:name="FirstLawyer"/>
            <w:r w:rsidRPr="00A83A3B">
              <w:rPr>
                <w:rFonts w:ascii="David" w:hAnsi="David"/>
                <w:b/>
                <w:bCs/>
                <w:noProof w:val="0"/>
                <w:sz w:val="28"/>
                <w:szCs w:val="28"/>
                <w:rtl/>
              </w:rPr>
              <w:t>מדינת ישראל</w:t>
            </w:r>
          </w:p>
          <w:p w14:paraId="723D754F" w14:textId="77777777" w:rsidR="00A83A3B" w:rsidRPr="00A83A3B" w:rsidRDefault="00A83A3B" w:rsidP="0058065D">
            <w:pPr>
              <w:spacing w:line="360" w:lineRule="auto"/>
              <w:rPr>
                <w:rFonts w:ascii="David" w:hAnsi="David"/>
                <w:b/>
                <w:bCs/>
                <w:noProof w:val="0"/>
                <w:sz w:val="28"/>
                <w:szCs w:val="28"/>
                <w:rtl/>
              </w:rPr>
            </w:pPr>
            <w:r w:rsidRPr="00A83A3B">
              <w:rPr>
                <w:rFonts w:ascii="David" w:hAnsi="David"/>
                <w:b/>
                <w:bCs/>
                <w:noProof w:val="0"/>
                <w:sz w:val="28"/>
                <w:szCs w:val="28"/>
                <w:rtl/>
              </w:rPr>
              <w:t xml:space="preserve">ע"י ב"כ עו"ד עמית חומרי – נוכח </w:t>
            </w:r>
          </w:p>
        </w:tc>
        <w:tc>
          <w:tcPr>
            <w:tcW w:w="1560" w:type="dxa"/>
          </w:tcPr>
          <w:p w14:paraId="3ACA3D9A" w14:textId="77777777" w:rsidR="00A83A3B" w:rsidRPr="00A83A3B" w:rsidRDefault="00A83A3B" w:rsidP="0058065D">
            <w:pPr>
              <w:bidi w:val="0"/>
              <w:spacing w:line="360" w:lineRule="auto"/>
              <w:jc w:val="right"/>
              <w:rPr>
                <w:rFonts w:ascii="David" w:hAnsi="David"/>
                <w:b/>
                <w:bCs/>
                <w:noProof w:val="0"/>
                <w:sz w:val="28"/>
                <w:szCs w:val="28"/>
                <w:rtl/>
              </w:rPr>
            </w:pPr>
            <w:r w:rsidRPr="00A83A3B">
              <w:rPr>
                <w:rFonts w:ascii="David" w:hAnsi="David"/>
                <w:b/>
                <w:bCs/>
                <w:noProof w:val="0"/>
                <w:sz w:val="28"/>
                <w:szCs w:val="28"/>
                <w:rtl/>
              </w:rPr>
              <w:t>המאשימה</w:t>
            </w:r>
          </w:p>
          <w:p w14:paraId="7BAA17FB" w14:textId="77777777" w:rsidR="00A83A3B" w:rsidRPr="00A83A3B" w:rsidRDefault="00A83A3B" w:rsidP="0058065D">
            <w:pPr>
              <w:spacing w:line="360" w:lineRule="auto"/>
              <w:rPr>
                <w:rFonts w:ascii="David" w:hAnsi="David"/>
                <w:b/>
                <w:bCs/>
                <w:noProof w:val="0"/>
                <w:sz w:val="28"/>
                <w:szCs w:val="28"/>
                <w:rtl/>
              </w:rPr>
            </w:pPr>
          </w:p>
        </w:tc>
      </w:tr>
      <w:bookmarkEnd w:id="1"/>
      <w:bookmarkEnd w:id="2"/>
      <w:tr w:rsidR="00A83A3B" w:rsidRPr="00A83A3B" w14:paraId="0AC27884" w14:textId="77777777" w:rsidTr="0058065D">
        <w:trPr>
          <w:jc w:val="center"/>
        </w:trPr>
        <w:tc>
          <w:tcPr>
            <w:tcW w:w="8820" w:type="dxa"/>
            <w:gridSpan w:val="2"/>
          </w:tcPr>
          <w:p w14:paraId="52907417" w14:textId="77777777" w:rsidR="00A83A3B" w:rsidRPr="00A83A3B" w:rsidRDefault="00A83A3B" w:rsidP="0058065D">
            <w:pPr>
              <w:spacing w:line="360" w:lineRule="auto"/>
              <w:jc w:val="center"/>
              <w:rPr>
                <w:rFonts w:ascii="David" w:hAnsi="David"/>
                <w:b/>
                <w:bCs/>
                <w:noProof w:val="0"/>
                <w:sz w:val="28"/>
                <w:szCs w:val="28"/>
              </w:rPr>
            </w:pPr>
            <w:r w:rsidRPr="00A83A3B">
              <w:rPr>
                <w:rFonts w:ascii="David" w:hAnsi="David"/>
                <w:b/>
                <w:bCs/>
                <w:noProof w:val="0"/>
                <w:sz w:val="28"/>
                <w:szCs w:val="28"/>
                <w:rtl/>
              </w:rPr>
              <w:t>נ ג ד</w:t>
            </w:r>
          </w:p>
        </w:tc>
      </w:tr>
      <w:tr w:rsidR="00A83A3B" w:rsidRPr="00A83A3B" w14:paraId="5333677A" w14:textId="77777777" w:rsidTr="0058065D">
        <w:trPr>
          <w:jc w:val="center"/>
        </w:trPr>
        <w:tc>
          <w:tcPr>
            <w:tcW w:w="7260" w:type="dxa"/>
          </w:tcPr>
          <w:p w14:paraId="6196117B" w14:textId="77777777" w:rsidR="00A83A3B" w:rsidRPr="00A83A3B" w:rsidRDefault="00A83A3B" w:rsidP="0058065D">
            <w:pPr>
              <w:spacing w:line="360" w:lineRule="auto"/>
              <w:rPr>
                <w:rFonts w:ascii="David" w:hAnsi="David"/>
                <w:sz w:val="28"/>
                <w:szCs w:val="28"/>
              </w:rPr>
            </w:pPr>
            <w:r w:rsidRPr="00A83A3B">
              <w:rPr>
                <w:rFonts w:ascii="David" w:hAnsi="David"/>
                <w:b/>
                <w:bCs/>
                <w:noProof w:val="0"/>
                <w:sz w:val="28"/>
                <w:szCs w:val="28"/>
                <w:rtl/>
              </w:rPr>
              <w:t xml:space="preserve">סברי אלעמראני – נוכח </w:t>
            </w:r>
          </w:p>
          <w:p w14:paraId="552977FF" w14:textId="77777777" w:rsidR="00A83A3B" w:rsidRPr="00A83A3B" w:rsidRDefault="00A83A3B" w:rsidP="0058065D">
            <w:pPr>
              <w:spacing w:line="360" w:lineRule="auto"/>
              <w:rPr>
                <w:rFonts w:ascii="David" w:hAnsi="David"/>
                <w:b/>
                <w:bCs/>
                <w:noProof w:val="0"/>
                <w:sz w:val="28"/>
                <w:szCs w:val="28"/>
                <w:rtl/>
              </w:rPr>
            </w:pPr>
            <w:r w:rsidRPr="00A83A3B">
              <w:rPr>
                <w:rFonts w:ascii="David" w:hAnsi="David"/>
                <w:b/>
                <w:bCs/>
                <w:noProof w:val="0"/>
                <w:sz w:val="28"/>
                <w:szCs w:val="28"/>
                <w:rtl/>
              </w:rPr>
              <w:t xml:space="preserve">ע"י ב"כ עוה"ד יונת בן חיים (בשם עו"ד אחמד ווותד) – נוכחת </w:t>
            </w:r>
          </w:p>
        </w:tc>
        <w:tc>
          <w:tcPr>
            <w:tcW w:w="1560" w:type="dxa"/>
          </w:tcPr>
          <w:p w14:paraId="32ED4316" w14:textId="77777777" w:rsidR="00A83A3B" w:rsidRPr="00A83A3B" w:rsidRDefault="00A83A3B" w:rsidP="0058065D">
            <w:pPr>
              <w:spacing w:line="360" w:lineRule="auto"/>
              <w:rPr>
                <w:rFonts w:ascii="David" w:hAnsi="David"/>
                <w:b/>
                <w:bCs/>
                <w:noProof w:val="0"/>
                <w:sz w:val="28"/>
                <w:szCs w:val="28"/>
                <w:rtl/>
              </w:rPr>
            </w:pPr>
            <w:r w:rsidRPr="00A83A3B">
              <w:rPr>
                <w:rFonts w:ascii="David" w:hAnsi="David"/>
                <w:b/>
                <w:bCs/>
                <w:noProof w:val="0"/>
                <w:sz w:val="28"/>
                <w:szCs w:val="28"/>
                <w:rtl/>
              </w:rPr>
              <w:t>הנאשם</w:t>
            </w:r>
          </w:p>
        </w:tc>
      </w:tr>
    </w:tbl>
    <w:p w14:paraId="76158DE8" w14:textId="77777777" w:rsidR="00777798" w:rsidRPr="00777798" w:rsidRDefault="00777798" w:rsidP="00777798">
      <w:pPr>
        <w:pStyle w:val="1"/>
        <w:spacing w:before="120" w:after="120" w:line="240" w:lineRule="exact"/>
        <w:ind w:left="283" w:hanging="283"/>
        <w:jc w:val="both"/>
        <w:rPr>
          <w:rFonts w:ascii="FrankRuehl" w:hAnsi="FrankRuehl" w:cs="FrankRuehl"/>
          <w:noProof w:val="0"/>
          <w:color w:val="auto"/>
          <w:sz w:val="24"/>
          <w:szCs w:val="24"/>
          <w:rtl/>
        </w:rPr>
      </w:pPr>
    </w:p>
    <w:p w14:paraId="33F1EE46" w14:textId="77777777" w:rsidR="00622322" w:rsidRDefault="00622322" w:rsidP="00622322">
      <w:pPr>
        <w:rPr>
          <w:rtl/>
        </w:rPr>
      </w:pPr>
      <w:bookmarkStart w:id="3" w:name="LawTable"/>
      <w:bookmarkEnd w:id="3"/>
    </w:p>
    <w:p w14:paraId="634EC9F8" w14:textId="77777777" w:rsidR="00622322" w:rsidRPr="00622322" w:rsidRDefault="00622322" w:rsidP="00622322">
      <w:pPr>
        <w:spacing w:before="120" w:after="120" w:line="240" w:lineRule="exact"/>
        <w:ind w:left="283" w:hanging="283"/>
        <w:jc w:val="both"/>
        <w:rPr>
          <w:rFonts w:ascii="FrankRuehl" w:hAnsi="FrankRuehl" w:cs="FrankRuehl"/>
          <w:rtl/>
        </w:rPr>
      </w:pPr>
    </w:p>
    <w:p w14:paraId="60A7276D" w14:textId="77777777" w:rsidR="00622322" w:rsidRPr="00622322" w:rsidRDefault="00622322" w:rsidP="00622322">
      <w:pPr>
        <w:spacing w:before="120" w:after="120" w:line="240" w:lineRule="exact"/>
        <w:ind w:left="283" w:hanging="283"/>
        <w:jc w:val="both"/>
        <w:rPr>
          <w:rFonts w:ascii="FrankRuehl" w:hAnsi="FrankRuehl" w:cs="FrankRuehl"/>
          <w:rtl/>
        </w:rPr>
      </w:pPr>
    </w:p>
    <w:p w14:paraId="07A075DD" w14:textId="77777777" w:rsidR="00622322" w:rsidRPr="00622322" w:rsidRDefault="00622322" w:rsidP="00622322">
      <w:pPr>
        <w:spacing w:before="120" w:after="120" w:line="240" w:lineRule="exact"/>
        <w:ind w:left="283" w:hanging="283"/>
        <w:jc w:val="both"/>
        <w:rPr>
          <w:rFonts w:ascii="FrankRuehl" w:hAnsi="FrankRuehl" w:cs="FrankRuehl"/>
          <w:rtl/>
        </w:rPr>
      </w:pPr>
      <w:r w:rsidRPr="00622322">
        <w:rPr>
          <w:rFonts w:ascii="FrankRuehl" w:hAnsi="FrankRuehl" w:cs="FrankRuehl"/>
          <w:rtl/>
        </w:rPr>
        <w:t xml:space="preserve">חקיקה שאוזכרה: </w:t>
      </w:r>
    </w:p>
    <w:p w14:paraId="31D65D07" w14:textId="77777777" w:rsidR="00622322" w:rsidRPr="00622322" w:rsidRDefault="00622322" w:rsidP="00622322">
      <w:pPr>
        <w:spacing w:before="120" w:after="120" w:line="240" w:lineRule="exact"/>
        <w:ind w:left="283" w:hanging="283"/>
        <w:jc w:val="both"/>
        <w:rPr>
          <w:rFonts w:ascii="FrankRuehl" w:hAnsi="FrankRuehl" w:cs="FrankRuehl"/>
          <w:rtl/>
        </w:rPr>
      </w:pPr>
      <w:hyperlink r:id="rId8" w:history="1">
        <w:r w:rsidRPr="00622322">
          <w:rPr>
            <w:rFonts w:ascii="FrankRuehl" w:hAnsi="FrankRuehl" w:cs="FrankRuehl"/>
            <w:color w:val="0000FF"/>
            <w:rtl/>
          </w:rPr>
          <w:t>פקודת הסמים המסוכנים [נוסח חדש], תשל"ג-1973</w:t>
        </w:r>
      </w:hyperlink>
      <w:r w:rsidRPr="00622322">
        <w:rPr>
          <w:rFonts w:ascii="FrankRuehl" w:hAnsi="FrankRuehl" w:cs="FrankRuehl"/>
          <w:rtl/>
        </w:rPr>
        <w:t xml:space="preserve">: סע'  </w:t>
      </w:r>
      <w:hyperlink r:id="rId9" w:history="1">
        <w:r w:rsidRPr="00622322">
          <w:rPr>
            <w:rFonts w:ascii="FrankRuehl" w:hAnsi="FrankRuehl" w:cs="FrankRuehl"/>
            <w:color w:val="0000FF"/>
            <w:rtl/>
          </w:rPr>
          <w:t>6</w:t>
        </w:r>
      </w:hyperlink>
    </w:p>
    <w:p w14:paraId="07BBA2CC" w14:textId="77777777" w:rsidR="00622322" w:rsidRPr="00622322" w:rsidRDefault="00622322" w:rsidP="00622322">
      <w:pPr>
        <w:spacing w:before="120" w:after="120" w:line="240" w:lineRule="exact"/>
        <w:ind w:left="283" w:hanging="283"/>
        <w:jc w:val="both"/>
        <w:rPr>
          <w:rFonts w:ascii="FrankRuehl" w:hAnsi="FrankRuehl" w:cs="FrankRuehl"/>
          <w:rtl/>
        </w:rPr>
      </w:pPr>
      <w:hyperlink r:id="rId10" w:history="1">
        <w:r w:rsidRPr="00622322">
          <w:rPr>
            <w:rFonts w:ascii="FrankRuehl" w:hAnsi="FrankRuehl" w:cs="FrankRuehl"/>
            <w:color w:val="0000FF"/>
            <w:rtl/>
          </w:rPr>
          <w:t>חוק העונשין, תשל"ז-1977</w:t>
        </w:r>
      </w:hyperlink>
      <w:r w:rsidRPr="00622322">
        <w:rPr>
          <w:rFonts w:ascii="FrankRuehl" w:hAnsi="FrankRuehl" w:cs="FrankRuehl"/>
          <w:rtl/>
        </w:rPr>
        <w:t xml:space="preserve">: סע'  </w:t>
      </w:r>
      <w:hyperlink r:id="rId11" w:history="1">
        <w:r w:rsidRPr="00622322">
          <w:rPr>
            <w:rFonts w:ascii="FrankRuehl" w:hAnsi="FrankRuehl" w:cs="FrankRuehl"/>
            <w:color w:val="0000FF"/>
            <w:rtl/>
          </w:rPr>
          <w:t>31</w:t>
        </w:r>
      </w:hyperlink>
      <w:r w:rsidRPr="00622322">
        <w:rPr>
          <w:rFonts w:ascii="FrankRuehl" w:hAnsi="FrankRuehl" w:cs="FrankRuehl"/>
          <w:rtl/>
        </w:rPr>
        <w:t xml:space="preserve">, </w:t>
      </w:r>
      <w:hyperlink r:id="rId12" w:history="1">
        <w:r w:rsidRPr="00622322">
          <w:rPr>
            <w:rFonts w:ascii="FrankRuehl" w:hAnsi="FrankRuehl" w:cs="FrankRuehl"/>
            <w:color w:val="0000FF"/>
            <w:rtl/>
          </w:rPr>
          <w:t>40ג(א)</w:t>
        </w:r>
      </w:hyperlink>
      <w:r w:rsidRPr="00622322">
        <w:rPr>
          <w:rFonts w:ascii="FrankRuehl" w:hAnsi="FrankRuehl" w:cs="FrankRuehl"/>
          <w:rtl/>
        </w:rPr>
        <w:t xml:space="preserve">, </w:t>
      </w:r>
      <w:hyperlink r:id="rId13" w:history="1">
        <w:r w:rsidRPr="00622322">
          <w:rPr>
            <w:rFonts w:ascii="FrankRuehl" w:hAnsi="FrankRuehl" w:cs="FrankRuehl"/>
            <w:color w:val="0000FF"/>
            <w:rtl/>
          </w:rPr>
          <w:t>40ג(ב)</w:t>
        </w:r>
      </w:hyperlink>
      <w:r w:rsidRPr="00622322">
        <w:rPr>
          <w:rFonts w:ascii="FrankRuehl" w:hAnsi="FrankRuehl" w:cs="FrankRuehl"/>
          <w:rtl/>
        </w:rPr>
        <w:t xml:space="preserve">, </w:t>
      </w:r>
      <w:hyperlink r:id="rId14" w:history="1">
        <w:r w:rsidRPr="00622322">
          <w:rPr>
            <w:rFonts w:ascii="FrankRuehl" w:hAnsi="FrankRuehl" w:cs="FrankRuehl"/>
            <w:color w:val="0000FF"/>
            <w:rtl/>
          </w:rPr>
          <w:t>40ד(א)</w:t>
        </w:r>
      </w:hyperlink>
      <w:r w:rsidRPr="00622322">
        <w:rPr>
          <w:rFonts w:ascii="FrankRuehl" w:hAnsi="FrankRuehl" w:cs="FrankRuehl"/>
          <w:rtl/>
        </w:rPr>
        <w:t xml:space="preserve">, </w:t>
      </w:r>
      <w:hyperlink r:id="rId15" w:history="1">
        <w:r w:rsidRPr="00622322">
          <w:rPr>
            <w:rFonts w:ascii="FrankRuehl" w:hAnsi="FrankRuehl" w:cs="FrankRuehl"/>
            <w:color w:val="0000FF"/>
            <w:rtl/>
          </w:rPr>
          <w:t>275</w:t>
        </w:r>
      </w:hyperlink>
      <w:r w:rsidRPr="00622322">
        <w:rPr>
          <w:rFonts w:ascii="FrankRuehl" w:hAnsi="FrankRuehl" w:cs="FrankRuehl"/>
          <w:rtl/>
        </w:rPr>
        <w:t xml:space="preserve">, </w:t>
      </w:r>
      <w:hyperlink r:id="rId16" w:history="1">
        <w:r w:rsidRPr="00622322">
          <w:rPr>
            <w:rFonts w:ascii="FrankRuehl" w:hAnsi="FrankRuehl" w:cs="FrankRuehl"/>
            <w:color w:val="0000FF"/>
            <w:rtl/>
          </w:rPr>
          <w:t>40יא(3)</w:t>
        </w:r>
      </w:hyperlink>
    </w:p>
    <w:p w14:paraId="44612A00" w14:textId="77777777" w:rsidR="00622322" w:rsidRPr="00622322" w:rsidRDefault="00622322" w:rsidP="00622322">
      <w:pPr>
        <w:spacing w:before="120" w:after="120" w:line="240" w:lineRule="exact"/>
        <w:ind w:left="283" w:hanging="283"/>
        <w:jc w:val="both"/>
        <w:rPr>
          <w:rFonts w:ascii="FrankRuehl" w:hAnsi="FrankRuehl" w:cs="FrankRuehl"/>
          <w:rtl/>
        </w:rPr>
      </w:pPr>
      <w:hyperlink r:id="rId17" w:history="1">
        <w:r w:rsidRPr="00622322">
          <w:rPr>
            <w:rFonts w:ascii="FrankRuehl" w:hAnsi="FrankRuehl" w:cs="FrankRuehl"/>
            <w:color w:val="0000FF"/>
            <w:rtl/>
          </w:rPr>
          <w:t>חוק סדר הדין הפלילי [נוסח משולב], תשמ"ב-1982</w:t>
        </w:r>
      </w:hyperlink>
    </w:p>
    <w:p w14:paraId="5E951D30" w14:textId="77777777" w:rsidR="00622322" w:rsidRPr="00622322" w:rsidRDefault="00622322" w:rsidP="00622322">
      <w:pPr>
        <w:rPr>
          <w:rtl/>
        </w:rPr>
      </w:pPr>
      <w:bookmarkStart w:id="4" w:name="LawTable_End"/>
      <w:bookmarkEnd w:id="4"/>
    </w:p>
    <w:p w14:paraId="198D9674" w14:textId="77777777" w:rsidR="00777798" w:rsidRPr="00777798" w:rsidRDefault="00777798" w:rsidP="00777798">
      <w:pPr>
        <w:rPr>
          <w:rFonts w:hint="cs"/>
          <w:rtl/>
        </w:rPr>
      </w:pPr>
    </w:p>
    <w:tbl>
      <w:tblPr>
        <w:bidiVisual/>
        <w:tblW w:w="8820" w:type="dxa"/>
        <w:jc w:val="center"/>
        <w:tblLook w:val="01E0" w:firstRow="1" w:lastRow="1" w:firstColumn="1" w:lastColumn="1" w:noHBand="0" w:noVBand="0"/>
      </w:tblPr>
      <w:tblGrid>
        <w:gridCol w:w="8820"/>
      </w:tblGrid>
      <w:tr w:rsidR="00A83A3B" w:rsidRPr="00052526" w14:paraId="6E696272" w14:textId="77777777" w:rsidTr="0058065D">
        <w:trPr>
          <w:jc w:val="center"/>
        </w:trPr>
        <w:tc>
          <w:tcPr>
            <w:tcW w:w="8820" w:type="dxa"/>
          </w:tcPr>
          <w:p w14:paraId="67D195B6" w14:textId="77777777" w:rsidR="00A83A3B" w:rsidRPr="00A83A3B" w:rsidRDefault="00A83A3B" w:rsidP="00A83A3B">
            <w:pPr>
              <w:bidi w:val="0"/>
              <w:spacing w:line="360" w:lineRule="auto"/>
              <w:jc w:val="center"/>
              <w:rPr>
                <w:rFonts w:ascii="David" w:hAnsi="David"/>
                <w:b/>
                <w:bCs/>
                <w:i/>
                <w:iCs/>
                <w:noProof w:val="0"/>
                <w:sz w:val="32"/>
                <w:szCs w:val="32"/>
                <w:u w:val="double"/>
              </w:rPr>
            </w:pPr>
            <w:bookmarkStart w:id="5" w:name="PsakDin" w:colFirst="0" w:colLast="0"/>
            <w:r w:rsidRPr="00A83A3B">
              <w:rPr>
                <w:rFonts w:ascii="David" w:hAnsi="David"/>
                <w:b/>
                <w:bCs/>
                <w:i/>
                <w:iCs/>
                <w:noProof w:val="0"/>
                <w:sz w:val="32"/>
                <w:szCs w:val="32"/>
                <w:u w:val="double"/>
                <w:rtl/>
              </w:rPr>
              <w:t>גזר דין</w:t>
            </w:r>
          </w:p>
        </w:tc>
      </w:tr>
    </w:tbl>
    <w:bookmarkEnd w:id="5"/>
    <w:p w14:paraId="5BF2AEDE" w14:textId="77777777" w:rsidR="00A503FC" w:rsidRPr="00052526" w:rsidRDefault="00A503FC" w:rsidP="009E78AA">
      <w:pPr>
        <w:pStyle w:val="1"/>
        <w:spacing w:before="0" w:line="360" w:lineRule="auto"/>
        <w:ind w:left="-58"/>
        <w:rPr>
          <w:rFonts w:ascii="David" w:hAnsi="David" w:cs="David"/>
          <w:b/>
          <w:bCs/>
          <w:noProof w:val="0"/>
          <w:color w:val="auto"/>
          <w:sz w:val="28"/>
          <w:szCs w:val="28"/>
          <w:u w:val="single"/>
          <w:rtl/>
        </w:rPr>
      </w:pPr>
      <w:r w:rsidRPr="00052526">
        <w:rPr>
          <w:rFonts w:ascii="David" w:hAnsi="David" w:cs="David"/>
          <w:b/>
          <w:bCs/>
          <w:noProof w:val="0"/>
          <w:color w:val="auto"/>
          <w:sz w:val="28"/>
          <w:szCs w:val="28"/>
          <w:u w:val="single"/>
          <w:rtl/>
        </w:rPr>
        <w:t>רקע עובדתי</w:t>
      </w:r>
    </w:p>
    <w:p w14:paraId="082B5371" w14:textId="77777777" w:rsidR="00A503FC" w:rsidRPr="00052526" w:rsidRDefault="00A503FC" w:rsidP="009E78AA">
      <w:pPr>
        <w:pStyle w:val="ListParagraph1"/>
        <w:numPr>
          <w:ilvl w:val="0"/>
          <w:numId w:val="1"/>
        </w:numPr>
        <w:spacing w:after="0"/>
        <w:ind w:left="368" w:hanging="284"/>
        <w:rPr>
          <w:rtl/>
        </w:rPr>
      </w:pPr>
      <w:bookmarkStart w:id="6" w:name="ABSTRACT_START"/>
      <w:bookmarkEnd w:id="6"/>
      <w:r w:rsidRPr="00052526">
        <w:rPr>
          <w:rtl/>
        </w:rPr>
        <w:t xml:space="preserve">כפי הנטען בעובדות כתב האישום המתוקן בשנית </w:t>
      </w:r>
      <w:r w:rsidRPr="00052526">
        <w:rPr>
          <w:b/>
          <w:bCs/>
          <w:rtl/>
        </w:rPr>
        <w:t>(ת/2)</w:t>
      </w:r>
      <w:r w:rsidRPr="00052526">
        <w:rPr>
          <w:rtl/>
        </w:rPr>
        <w:t xml:space="preserve">, בין החודשים מאי-יולי 2018, גידל הנאשם בסיועם של שריף עמראני ואיאד אל חגוג, 108 שתילים של סם מסוכן מסוג קנבוס במשקל של 10 ק"ג, בשטחי קיבוץ נגבה, צפונית לגבעה 69 ודרומית לגבעת טום ותומר (להלן: </w:t>
      </w:r>
      <w:r w:rsidRPr="00052526">
        <w:rPr>
          <w:b/>
          <w:bCs/>
          <w:rtl/>
        </w:rPr>
        <w:t>"מקום גידול הסמים"</w:t>
      </w:r>
      <w:r w:rsidRPr="00052526">
        <w:rPr>
          <w:rtl/>
        </w:rPr>
        <w:t xml:space="preserve">). </w:t>
      </w:r>
    </w:p>
    <w:p w14:paraId="012CD2E6" w14:textId="77777777" w:rsidR="00A503FC" w:rsidRPr="00052526" w:rsidRDefault="00A503FC" w:rsidP="009E78AA">
      <w:pPr>
        <w:pStyle w:val="ListParagraph1"/>
        <w:numPr>
          <w:ilvl w:val="0"/>
          <w:numId w:val="1"/>
        </w:numPr>
        <w:spacing w:after="0"/>
        <w:ind w:left="368" w:hanging="284"/>
      </w:pPr>
      <w:bookmarkStart w:id="7" w:name="ABSTRACT_END"/>
      <w:bookmarkEnd w:id="7"/>
      <w:r w:rsidRPr="00052526">
        <w:rPr>
          <w:rtl/>
        </w:rPr>
        <w:t xml:space="preserve">ביום 09.07.2018, הנאשם, שריף ואיאד נתפסו בכף בהגיעם לנקודת מקום גידול הסמים, כאשר איאד נמצא מחזיק בידיו שני דליי מים צהובים; שריף נמצא עם חם צוואר שכיסה חלק מפניו; הנאשם נמצא עם רעלה שחורה על פניו; ושריף והנאשם נמצאו עת הם מחזיקים יחד ג'ריקן מים כחול. </w:t>
      </w:r>
    </w:p>
    <w:p w14:paraId="2FA3618D" w14:textId="77777777" w:rsidR="00A503FC" w:rsidRPr="00052526" w:rsidRDefault="00A503FC" w:rsidP="009E78AA">
      <w:pPr>
        <w:pStyle w:val="ListParagraph1"/>
        <w:numPr>
          <w:ilvl w:val="0"/>
          <w:numId w:val="1"/>
        </w:numPr>
        <w:spacing w:after="0"/>
        <w:ind w:left="368" w:hanging="284"/>
      </w:pPr>
      <w:r w:rsidRPr="00052526">
        <w:rPr>
          <w:rtl/>
        </w:rPr>
        <w:t>עוד נטען, כי בהמשך לכך, וכאשר צוות השוטרים קרא לעברם "עצור משטרה", החל הנאשם בבריחה רגלית מהמקום. בסופו של מרדף רגלי, הנאשם נתפס ונעצר על ידי אחד מהשוטרים.</w:t>
      </w:r>
    </w:p>
    <w:p w14:paraId="29E22735" w14:textId="77777777" w:rsidR="00A503FC" w:rsidRPr="00052526" w:rsidRDefault="00A503FC" w:rsidP="009E78AA">
      <w:pPr>
        <w:pStyle w:val="ListParagraph1"/>
        <w:numPr>
          <w:ilvl w:val="0"/>
          <w:numId w:val="1"/>
        </w:numPr>
        <w:spacing w:after="0"/>
        <w:ind w:left="368" w:hanging="284"/>
      </w:pPr>
      <w:r w:rsidRPr="00052526">
        <w:rPr>
          <w:rtl/>
        </w:rPr>
        <w:t xml:space="preserve">הנאשם הודה במיוחס לו לעיל, ועל יסוד הודאתו זו הורשע בעבירה של </w:t>
      </w:r>
      <w:r w:rsidRPr="00052526">
        <w:rPr>
          <w:b/>
          <w:bCs/>
          <w:rtl/>
        </w:rPr>
        <w:t>גידול סמים מסוכנים</w:t>
      </w:r>
      <w:r w:rsidRPr="00052526">
        <w:rPr>
          <w:rtl/>
        </w:rPr>
        <w:t xml:space="preserve">, לפי </w:t>
      </w:r>
      <w:hyperlink r:id="rId18" w:history="1">
        <w:r w:rsidR="00777798" w:rsidRPr="00777798">
          <w:rPr>
            <w:rStyle w:val="Hyperlink"/>
            <w:rtl/>
          </w:rPr>
          <w:t>סעיף 6</w:t>
        </w:r>
      </w:hyperlink>
      <w:r w:rsidRPr="00052526">
        <w:rPr>
          <w:rtl/>
        </w:rPr>
        <w:t xml:space="preserve"> ל</w:t>
      </w:r>
      <w:hyperlink r:id="rId19" w:history="1">
        <w:r w:rsidR="00A83A3B" w:rsidRPr="00A83A3B">
          <w:rPr>
            <w:color w:val="0000FF"/>
            <w:u w:val="single"/>
            <w:rtl/>
          </w:rPr>
          <w:t>פקודת הסמים המסוכנים</w:t>
        </w:r>
      </w:hyperlink>
      <w:r w:rsidRPr="00052526">
        <w:rPr>
          <w:rtl/>
        </w:rPr>
        <w:t xml:space="preserve"> [נוסח חדש], התשל"ג-1973 (להלן: </w:t>
      </w:r>
      <w:r w:rsidRPr="00052526">
        <w:rPr>
          <w:b/>
          <w:bCs/>
          <w:rtl/>
        </w:rPr>
        <w:t>"הפקודה"</w:t>
      </w:r>
      <w:r w:rsidRPr="00052526">
        <w:rPr>
          <w:rtl/>
        </w:rPr>
        <w:t xml:space="preserve">). </w:t>
      </w:r>
    </w:p>
    <w:p w14:paraId="6406D815" w14:textId="77777777" w:rsidR="00A503FC" w:rsidRPr="00052526" w:rsidRDefault="00A503FC" w:rsidP="009E78AA">
      <w:pPr>
        <w:pStyle w:val="ListParagraph1"/>
        <w:numPr>
          <w:ilvl w:val="0"/>
          <w:numId w:val="1"/>
        </w:numPr>
        <w:spacing w:after="0"/>
        <w:ind w:left="368" w:hanging="284"/>
      </w:pPr>
      <w:r w:rsidRPr="00052526">
        <w:rPr>
          <w:rtl/>
        </w:rPr>
        <w:t xml:space="preserve">הצדדים לא הגיעו להסכמות בעניין העונש, אך הוסכם כי הנאשם יופנה לשירות המבחן על מנת שיתקבל תסקיר בעניינו. בעניין זה יצוין, כי ההגנה ביקשה כי שירות המבחן יידרש לשאלת ביטול ההרשעה, ואילו המאשימה הצהירה כי תעתור להותרת ההרשעה על כנה ועל השתת ענישה בדמות מאסר בפועל. </w:t>
      </w:r>
    </w:p>
    <w:p w14:paraId="759C8C2F" w14:textId="77777777" w:rsidR="00A503FC" w:rsidRPr="00052526" w:rsidRDefault="00A503FC" w:rsidP="009E78AA">
      <w:pPr>
        <w:pStyle w:val="ListParagraph1"/>
        <w:numPr>
          <w:ilvl w:val="0"/>
          <w:numId w:val="1"/>
        </w:numPr>
        <w:spacing w:after="0"/>
        <w:ind w:left="368" w:hanging="284"/>
      </w:pPr>
      <w:r w:rsidRPr="00052526">
        <w:rPr>
          <w:rtl/>
        </w:rPr>
        <w:lastRenderedPageBreak/>
        <w:t xml:space="preserve">בעניינו של הנאשם התקבלו </w:t>
      </w:r>
      <w:r w:rsidRPr="00052526">
        <w:rPr>
          <w:b/>
          <w:bCs/>
          <w:rtl/>
        </w:rPr>
        <w:t>מספר תסקירים מאת שירות המבחן</w:t>
      </w:r>
      <w:r w:rsidRPr="00052526">
        <w:rPr>
          <w:rtl/>
        </w:rPr>
        <w:t xml:space="preserve"> ובסופם, המליץ שירות המבחן להשית על הנאשם עונשים בדמות מאסר בפועל שירוצה על דרך של עבודות שירות ומאסר מותנה. בגוף התסקירים, עומד שירות המבחן על קורות חייו וחיי משפחתו של הנאשם, על מאפייניו האישיותיים, יחסו לעבירה, הניסיונות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14:paraId="11BAD479" w14:textId="77777777" w:rsidR="00A503FC" w:rsidRPr="00052526" w:rsidRDefault="00A503FC" w:rsidP="009E78AA">
      <w:pPr>
        <w:pStyle w:val="ListParagraph1"/>
        <w:numPr>
          <w:ilvl w:val="0"/>
          <w:numId w:val="1"/>
        </w:numPr>
        <w:spacing w:after="0"/>
        <w:ind w:left="368" w:hanging="284"/>
      </w:pPr>
      <w:r w:rsidRPr="00052526">
        <w:rPr>
          <w:b/>
          <w:bCs/>
          <w:rtl/>
        </w:rPr>
        <w:t>מחוות דעת הממונה על עבודות השירות</w:t>
      </w:r>
      <w:r w:rsidRPr="00052526">
        <w:rPr>
          <w:rtl/>
        </w:rPr>
        <w:t>, שהתקבלה בעניינו של הנאשם ביום 29.07.2020, עולה כי הנאשם מתאים לביצוע עבודות שירות.</w:t>
      </w:r>
    </w:p>
    <w:p w14:paraId="4775E0ED" w14:textId="77777777" w:rsidR="00A503FC" w:rsidRPr="00052526" w:rsidRDefault="00A503FC" w:rsidP="009E78AA">
      <w:pPr>
        <w:pStyle w:val="1"/>
        <w:spacing w:before="0" w:line="360" w:lineRule="auto"/>
        <w:ind w:left="-58"/>
        <w:rPr>
          <w:rFonts w:ascii="David" w:hAnsi="David" w:cs="David"/>
          <w:b/>
          <w:bCs/>
          <w:color w:val="auto"/>
          <w:sz w:val="28"/>
          <w:szCs w:val="28"/>
          <w:u w:val="single"/>
        </w:rPr>
      </w:pPr>
      <w:r w:rsidRPr="00052526">
        <w:rPr>
          <w:rFonts w:ascii="David" w:hAnsi="David" w:cs="David"/>
          <w:b/>
          <w:bCs/>
          <w:noProof w:val="0"/>
          <w:color w:val="auto"/>
          <w:sz w:val="28"/>
          <w:szCs w:val="28"/>
          <w:u w:val="single"/>
          <w:rtl/>
        </w:rPr>
        <w:t>טיעוני הצדדים (עיקרי הדברים)</w:t>
      </w:r>
    </w:p>
    <w:p w14:paraId="1042BC11" w14:textId="77777777" w:rsidR="00A503FC" w:rsidRPr="00052526" w:rsidRDefault="00A503FC" w:rsidP="009E78AA">
      <w:pPr>
        <w:pStyle w:val="ListParagraph1"/>
        <w:numPr>
          <w:ilvl w:val="0"/>
          <w:numId w:val="1"/>
        </w:numPr>
        <w:spacing w:after="0"/>
        <w:ind w:hanging="276"/>
      </w:pPr>
      <w:r w:rsidRPr="00052526">
        <w:rPr>
          <w:rtl/>
        </w:rPr>
        <w:t xml:space="preserve">בא כוח המאשימה עמד על הערכים המוגנים שנפגעו כתוצאה ממעשיו של הנאשם ועל חומרת הנסיבות שנלוו אליהם. בכלל זה, הלה הפנה להיקף הגידול ולמשקל הסם, וטען כי בעניינם של המסייעים בפרשה זו קבע בית המשפט מתחם עונש הולם הנע בין 5 לבין 18 חודשים, ועל כן על מתחם העונש ההולם בעניינו של הנאשם </w:t>
      </w:r>
      <w:r w:rsidRPr="00052526">
        <w:rPr>
          <w:b/>
          <w:bCs/>
          <w:rtl/>
        </w:rPr>
        <w:t>–</w:t>
      </w:r>
      <w:r w:rsidRPr="00052526">
        <w:rPr>
          <w:rtl/>
        </w:rPr>
        <w:t xml:space="preserve">מבצע העבירה המוגמרת </w:t>
      </w:r>
      <w:r w:rsidRPr="00052526">
        <w:rPr>
          <w:b/>
          <w:bCs/>
          <w:rtl/>
        </w:rPr>
        <w:t>–</w:t>
      </w:r>
      <w:r w:rsidRPr="00052526">
        <w:rPr>
          <w:rtl/>
        </w:rPr>
        <w:t xml:space="preserve">במקרה הנדון לנוע בין 10 לבין 36 חודשים מאסר בפועל. לעניין נסיבות העושה, ציינה המאשימה כי מחד גיסא, הנאשם נעדר עבר פלילי; הודה וחסך זמן שיפוטי יקר, ואולם, ומאידך גיסא, הלה לא עבר כל הליך טיפולי. לאור כל אלה, עתרה המאשימה להשית על הנאשם ענישה המצויה ברף הבינוני למתחם שהוצג על ידה לצד מאסרים מותנים בעבירות סמים מסוג פשע ועוון, קנס, פסילה בפועל ופסילה מותנית. </w:t>
      </w:r>
    </w:p>
    <w:p w14:paraId="6B359517" w14:textId="77777777" w:rsidR="00A503FC" w:rsidRPr="00052526" w:rsidRDefault="00A503FC" w:rsidP="009E78AA">
      <w:pPr>
        <w:pStyle w:val="ListParagraph1"/>
        <w:numPr>
          <w:ilvl w:val="0"/>
          <w:numId w:val="1"/>
        </w:numPr>
        <w:spacing w:after="0"/>
        <w:ind w:left="368" w:hanging="284"/>
      </w:pPr>
      <w:r w:rsidRPr="00052526">
        <w:rPr>
          <w:rtl/>
        </w:rPr>
        <w:t xml:space="preserve">בא כוח הנאשם (מטעמיו שלו) לא עתר למתחם עונש מסוים ואולם ביקש בשים לב למתחם הענישה שנקבע בעניינם של שני המסייעים, ליישם בעניינו של הנאשם, את עקרון אחידות הענישה במובן זה שלא יווצר פער ניכר בענישה שתושת על הנאשם כמבצע העיקרי לבין שותפיו המסייעים. כמו כן, ההגנה הפנתה למאפייניו החיוביים של הנאשם ובכלל זה לגילו הצעיר, עברו הפלילי הנקי, לאורח חייו הנורמטיבי ולכך שמאז ביצוע העבירה ועד היום לא נפתחו כנגדו תיקים נוספים. בנוסף לאלו, הפנתה ההגנה למעצרו הממושך ולזמן הרב ששהה הנאשם תחת תנאים מגבילים. מכל האמור עתרה ההגנה לאמץ את המלצת שירות המבחן לעניין העונש ולהשית על הנאשם עונש מאסר שירוצה בעבודות שירות. למעלה מן הצורך יצוין, כי הסנגור זנח את כוונתו הראשונית לעתור לביטול הרשעת הנאשם בדין. </w:t>
      </w:r>
    </w:p>
    <w:p w14:paraId="01A5870D" w14:textId="77777777" w:rsidR="00A503FC" w:rsidRPr="00052526" w:rsidRDefault="00A503FC" w:rsidP="009E78AA">
      <w:pPr>
        <w:pStyle w:val="ListParagraph1"/>
        <w:numPr>
          <w:ilvl w:val="0"/>
          <w:numId w:val="1"/>
        </w:numPr>
        <w:spacing w:after="0"/>
        <w:ind w:left="368" w:hanging="284"/>
      </w:pPr>
      <w:r w:rsidRPr="00052526">
        <w:rPr>
          <w:rtl/>
        </w:rPr>
        <w:t xml:space="preserve"> הנאשם, אשר קיבל את "זכות המילה האחרונה", הביע חרטה על מעשיו; הבטיח כי מעשים כגון אלו לא ישנו; שיתף כי התחיל בחיים חדשים וכי הוא עובד ברצינות, ובכוונתו להינשא ולבנות בית.  </w:t>
      </w:r>
    </w:p>
    <w:p w14:paraId="463A9C38" w14:textId="77777777" w:rsidR="00A503FC" w:rsidRPr="00A06659" w:rsidRDefault="00A503FC" w:rsidP="009E78AA">
      <w:pPr>
        <w:pStyle w:val="1"/>
        <w:spacing w:before="0" w:line="360" w:lineRule="auto"/>
        <w:ind w:left="-58"/>
        <w:jc w:val="center"/>
        <w:rPr>
          <w:rFonts w:ascii="David" w:hAnsi="David" w:cs="David"/>
          <w:b/>
          <w:bCs/>
          <w:color w:val="auto"/>
          <w:u w:val="single"/>
        </w:rPr>
      </w:pPr>
      <w:r w:rsidRPr="00A06659">
        <w:rPr>
          <w:rFonts w:ascii="David" w:hAnsi="David" w:cs="David"/>
          <w:b/>
          <w:bCs/>
          <w:noProof w:val="0"/>
          <w:color w:val="auto"/>
          <w:u w:val="single"/>
          <w:rtl/>
        </w:rPr>
        <w:t>דיון והכרעה</w:t>
      </w:r>
    </w:p>
    <w:p w14:paraId="5187E769" w14:textId="77777777" w:rsidR="00A503FC" w:rsidRPr="00052526" w:rsidRDefault="00A503FC" w:rsidP="009E78AA">
      <w:pPr>
        <w:pStyle w:val="1"/>
        <w:spacing w:before="0" w:line="360" w:lineRule="auto"/>
        <w:ind w:left="-58"/>
        <w:rPr>
          <w:rFonts w:ascii="David" w:hAnsi="David" w:cs="David"/>
          <w:b/>
          <w:bCs/>
          <w:noProof w:val="0"/>
          <w:color w:val="auto"/>
          <w:sz w:val="28"/>
          <w:szCs w:val="28"/>
          <w:u w:val="single"/>
          <w:rtl/>
        </w:rPr>
      </w:pPr>
      <w:r w:rsidRPr="00052526">
        <w:rPr>
          <w:rFonts w:ascii="David" w:hAnsi="David" w:cs="David"/>
          <w:b/>
          <w:bCs/>
          <w:noProof w:val="0"/>
          <w:color w:val="auto"/>
          <w:sz w:val="28"/>
          <w:szCs w:val="28"/>
          <w:u w:val="single"/>
          <w:rtl/>
        </w:rPr>
        <w:t>קביעת מתחם העונש ההולם</w:t>
      </w:r>
    </w:p>
    <w:p w14:paraId="65C58EFE" w14:textId="77777777" w:rsidR="00A503FC" w:rsidRPr="00052526" w:rsidRDefault="00A503FC" w:rsidP="009E78AA">
      <w:pPr>
        <w:pStyle w:val="ListParagraph1"/>
        <w:numPr>
          <w:ilvl w:val="0"/>
          <w:numId w:val="1"/>
        </w:numPr>
        <w:spacing w:after="0"/>
        <w:ind w:left="368" w:hanging="284"/>
        <w:rPr>
          <w:b/>
          <w:bCs/>
        </w:rPr>
      </w:pPr>
      <w:r w:rsidRPr="00052526">
        <w:rPr>
          <w:rtl/>
        </w:rPr>
        <w:t xml:space="preserve">כאמור </w:t>
      </w:r>
      <w:hyperlink r:id="rId20" w:history="1">
        <w:r w:rsidR="00777798" w:rsidRPr="00777798">
          <w:rPr>
            <w:rStyle w:val="Hyperlink"/>
            <w:rtl/>
          </w:rPr>
          <w:t>בסעיף 40ג(א)</w:t>
        </w:r>
      </w:hyperlink>
      <w:r w:rsidRPr="00052526">
        <w:rPr>
          <w:u w:val="single"/>
          <w:rtl/>
        </w:rPr>
        <w:t xml:space="preserve"> ל</w:t>
      </w:r>
      <w:hyperlink r:id="rId21" w:history="1">
        <w:r w:rsidR="00A83A3B" w:rsidRPr="00A83A3B">
          <w:rPr>
            <w:color w:val="0000FF"/>
            <w:u w:val="single"/>
            <w:rtl/>
          </w:rPr>
          <w:t>חוק העונשין</w:t>
        </w:r>
      </w:hyperlink>
      <w:r w:rsidRPr="00052526">
        <w:rPr>
          <w:u w:val="single"/>
          <w:rtl/>
        </w:rPr>
        <w:t>,</w:t>
      </w:r>
      <w:r w:rsidRPr="00052526">
        <w:rPr>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r w:rsidRPr="00052526">
        <w:rPr>
          <w:b/>
          <w:bCs/>
          <w:rtl/>
        </w:rPr>
        <w:t>.</w:t>
      </w:r>
    </w:p>
    <w:p w14:paraId="670B9D08" w14:textId="77777777" w:rsidR="00A503FC" w:rsidRPr="00052526" w:rsidRDefault="00A503FC" w:rsidP="009E78AA">
      <w:pPr>
        <w:pStyle w:val="ListParagraph1"/>
        <w:numPr>
          <w:ilvl w:val="0"/>
          <w:numId w:val="1"/>
        </w:numPr>
        <w:spacing w:after="0"/>
        <w:ind w:left="368" w:hanging="284"/>
      </w:pPr>
      <w:r w:rsidRPr="00052526">
        <w:rPr>
          <w:rtl/>
        </w:rPr>
        <w:t xml:space="preserve">בכל הנוגע </w:t>
      </w:r>
      <w:r w:rsidRPr="00052526">
        <w:rPr>
          <w:b/>
          <w:bCs/>
          <w:rtl/>
        </w:rPr>
        <w:t>לערכים המוגנים שנפגעו</w:t>
      </w:r>
      <w:r w:rsidRPr="00052526">
        <w:rPr>
          <w:rtl/>
        </w:rPr>
        <w:t xml:space="preserve">, נדמה כי אין צורך להכביר מילים בנוגע לחומרה הרבה הכרוכה בעבירות הסמים. </w:t>
      </w:r>
      <w:hyperlink r:id="rId22" w:history="1">
        <w:r w:rsidR="00A83A3B" w:rsidRPr="00A83A3B">
          <w:rPr>
            <w:color w:val="0000FF"/>
            <w:u w:val="single"/>
            <w:rtl/>
          </w:rPr>
          <w:t>פקודת הסמים המסוכנים</w:t>
        </w:r>
      </w:hyperlink>
      <w:r w:rsidRPr="00052526">
        <w:rPr>
          <w:rtl/>
        </w:rPr>
        <w:t xml:space="preserve"> נחקקה על מנת להגן על ערכים חברתיים מרכזיים ובראשם החובה להגן על שלומו של הציבור, על בריאותו, על בטחונו האישי ועל רכושו. </w:t>
      </w:r>
    </w:p>
    <w:p w14:paraId="4394384A" w14:textId="77777777" w:rsidR="00A503FC" w:rsidRPr="00052526" w:rsidRDefault="00A503FC" w:rsidP="009E78AA">
      <w:pPr>
        <w:pStyle w:val="12"/>
        <w:numPr>
          <w:ilvl w:val="0"/>
          <w:numId w:val="1"/>
        </w:numPr>
        <w:spacing w:after="0"/>
        <w:ind w:hanging="276"/>
        <w:rPr>
          <w:rFonts w:ascii="David" w:hAnsi="David" w:cs="David"/>
          <w:sz w:val="24"/>
          <w:szCs w:val="24"/>
        </w:rPr>
      </w:pPr>
      <w:r w:rsidRPr="00052526">
        <w:rPr>
          <w:rFonts w:ascii="David" w:hAnsi="David" w:cs="David"/>
          <w:sz w:val="24"/>
          <w:szCs w:val="24"/>
          <w:rtl/>
        </w:rPr>
        <w:t xml:space="preserve">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(ראו לעניין זה, למשל, </w:t>
      </w:r>
      <w:hyperlink r:id="rId23" w:history="1">
        <w:r w:rsidR="00A83A3B" w:rsidRPr="00A83A3B">
          <w:rPr>
            <w:rFonts w:ascii="David" w:hAnsi="David" w:cs="David"/>
            <w:color w:val="0000FF"/>
            <w:sz w:val="24"/>
            <w:szCs w:val="24"/>
            <w:u w:val="single"/>
            <w:rtl/>
          </w:rPr>
          <w:t>ע"פ 575/88</w:t>
        </w:r>
      </w:hyperlink>
      <w:r w:rsidRPr="00052526">
        <w:rPr>
          <w:rFonts w:ascii="David" w:hAnsi="David" w:cs="David"/>
          <w:sz w:val="24"/>
          <w:szCs w:val="24"/>
          <w:rtl/>
        </w:rPr>
        <w:t xml:space="preserve"> </w:t>
      </w:r>
      <w:r w:rsidRPr="00052526">
        <w:rPr>
          <w:rFonts w:ascii="David" w:hAnsi="David" w:cs="David"/>
          <w:b/>
          <w:bCs/>
          <w:sz w:val="24"/>
          <w:szCs w:val="24"/>
          <w:rtl/>
        </w:rPr>
        <w:t>עודה נגד מדינת ישראל</w:t>
      </w:r>
      <w:r w:rsidRPr="00052526">
        <w:rPr>
          <w:rFonts w:ascii="David" w:hAnsi="David" w:cs="David"/>
          <w:sz w:val="24"/>
          <w:szCs w:val="24"/>
          <w:rtl/>
        </w:rPr>
        <w:t xml:space="preserve"> (פורסם במאגרים המשפטיים) (11.12.1988)). יפים לעניין זה גם דבריו של כב' השופט נ' הנדל </w:t>
      </w:r>
      <w:r w:rsidRPr="00052526">
        <w:rPr>
          <w:rFonts w:ascii="David" w:hAnsi="David" w:cs="David"/>
          <w:sz w:val="24"/>
          <w:szCs w:val="24"/>
          <w:u w:val="single"/>
          <w:rtl/>
        </w:rPr>
        <w:t>ב</w:t>
      </w:r>
      <w:hyperlink r:id="rId24" w:history="1">
        <w:r w:rsidR="00A83A3B" w:rsidRPr="00A83A3B">
          <w:rPr>
            <w:rFonts w:ascii="David" w:hAnsi="David" w:cs="David"/>
            <w:color w:val="0000FF"/>
            <w:sz w:val="24"/>
            <w:szCs w:val="24"/>
            <w:u w:val="single"/>
            <w:rtl/>
          </w:rPr>
          <w:t>ע"פ 972/11</w:t>
        </w:r>
      </w:hyperlink>
      <w:r w:rsidRPr="00052526">
        <w:rPr>
          <w:rFonts w:ascii="David" w:hAnsi="David" w:cs="David"/>
          <w:sz w:val="24"/>
          <w:szCs w:val="24"/>
          <w:rtl/>
        </w:rPr>
        <w:t xml:space="preserve"> </w:t>
      </w:r>
      <w:r w:rsidRPr="00052526">
        <w:rPr>
          <w:rFonts w:ascii="David" w:hAnsi="David" w:cs="David"/>
          <w:b/>
          <w:bCs/>
          <w:sz w:val="24"/>
          <w:szCs w:val="24"/>
          <w:rtl/>
        </w:rPr>
        <w:t>מדינת ישראל נגד יניב יונה</w:t>
      </w:r>
      <w:r w:rsidRPr="00052526">
        <w:rPr>
          <w:rFonts w:ascii="David" w:hAnsi="David" w:cs="David"/>
          <w:sz w:val="24"/>
          <w:szCs w:val="24"/>
          <w:rtl/>
        </w:rPr>
        <w:t xml:space="preserve"> (פורסם במאגרים המשפטיים) (04.07.2012): </w:t>
      </w:r>
      <w:r w:rsidRPr="00052526">
        <w:rPr>
          <w:rFonts w:ascii="David" w:hAnsi="David" w:cs="David"/>
          <w:b/>
          <w:bCs/>
          <w:sz w:val="24"/>
          <w:szCs w:val="24"/>
          <w:rtl/>
        </w:rPr>
        <w:lastRenderedPageBreak/>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052526">
        <w:rPr>
          <w:rFonts w:ascii="David" w:hAnsi="David" w:cs="David"/>
          <w:sz w:val="24"/>
          <w:szCs w:val="24"/>
          <w:rtl/>
        </w:rPr>
        <w:t xml:space="preserve"> עוד ראו בעניין זה, למשל, </w:t>
      </w:r>
      <w:hyperlink r:id="rId25" w:history="1">
        <w:r w:rsidR="00A83A3B" w:rsidRPr="00A83A3B">
          <w:rPr>
            <w:rFonts w:ascii="David" w:hAnsi="David" w:cs="David"/>
            <w:color w:val="0000FF"/>
            <w:sz w:val="24"/>
            <w:szCs w:val="24"/>
            <w:u w:val="single"/>
            <w:rtl/>
          </w:rPr>
          <w:t>ע"פ 3117/12</w:t>
        </w:r>
      </w:hyperlink>
      <w:r w:rsidRPr="00052526">
        <w:rPr>
          <w:rFonts w:ascii="David" w:hAnsi="David" w:cs="David"/>
          <w:sz w:val="24"/>
          <w:szCs w:val="24"/>
          <w:rtl/>
        </w:rPr>
        <w:t xml:space="preserve"> </w:t>
      </w:r>
      <w:r w:rsidRPr="00052526">
        <w:rPr>
          <w:rFonts w:ascii="David" w:hAnsi="David" w:cs="David"/>
          <w:b/>
          <w:bCs/>
          <w:sz w:val="24"/>
          <w:szCs w:val="24"/>
          <w:rtl/>
        </w:rPr>
        <w:t>ארביב נ' מדינת ישראל</w:t>
      </w:r>
      <w:r w:rsidRPr="00052526">
        <w:rPr>
          <w:rFonts w:ascii="David" w:hAnsi="David" w:cs="David"/>
          <w:sz w:val="24"/>
          <w:szCs w:val="24"/>
          <w:rtl/>
        </w:rPr>
        <w:t xml:space="preserve"> (פורסם במאגרים המשפטיים) (06.09.2012)).</w:t>
      </w:r>
      <w:r w:rsidRPr="00052526">
        <w:rPr>
          <w:rFonts w:ascii="David" w:hAnsi="David" w:cs="David"/>
          <w:b/>
          <w:bCs/>
          <w:sz w:val="24"/>
          <w:szCs w:val="24"/>
          <w:rtl/>
        </w:rPr>
        <w:t xml:space="preserve"> </w:t>
      </w:r>
      <w:r w:rsidRPr="00052526">
        <w:rPr>
          <w:rFonts w:ascii="David" w:hAnsi="David" w:cs="David"/>
          <w:sz w:val="24"/>
          <w:szCs w:val="24"/>
          <w:rtl/>
        </w:rPr>
        <w:t>(הדברים נאמרים באופן כללי, כאשר ברי כי שיקול ההרתעה אינו בא במניין השיקולים שנשקלים לצורך קביעת מתחם העונש ההולם).</w:t>
      </w:r>
    </w:p>
    <w:p w14:paraId="28403671" w14:textId="77777777" w:rsidR="00A503FC" w:rsidRPr="00052526" w:rsidRDefault="00A503FC" w:rsidP="009E78AA">
      <w:pPr>
        <w:pStyle w:val="12"/>
        <w:numPr>
          <w:ilvl w:val="0"/>
          <w:numId w:val="1"/>
        </w:numPr>
        <w:spacing w:after="0"/>
        <w:rPr>
          <w:rFonts w:ascii="David" w:hAnsi="David" w:cs="David"/>
          <w:sz w:val="24"/>
          <w:szCs w:val="24"/>
          <w:rtl/>
        </w:rPr>
      </w:pPr>
      <w:r w:rsidRPr="00052526">
        <w:rPr>
          <w:rFonts w:ascii="David" w:hAnsi="David" w:cs="David"/>
          <w:sz w:val="24"/>
          <w:szCs w:val="24"/>
          <w:rtl/>
        </w:rPr>
        <w:t xml:space="preserve">אשר לעבירות גידול סמים, שלצורך ביצוען, בדרך כלל, מקימים העבריינים מעין מעבדות סמים ביתיות, או מייעדים שטחים חקלאיים לצורך הקמת חממות לגידול סמים, הרי שאלו הפכו ל"מכת מדינה" של ממש. בבואו לגזור את עונשם של נאשמים אלה, שומה על בית המשפט ליתן דעתו, בין היתר, לקלות שבה מבוצעות עבירות אלו ולקושי הרב בו נתקלות רשויות אכיפת החוק באיתור העבריינים. עמד על כך בית המשפט המחוזי בתל אביב יפו </w:t>
      </w:r>
      <w:r w:rsidRPr="00052526">
        <w:rPr>
          <w:rFonts w:ascii="David" w:hAnsi="David" w:cs="David"/>
          <w:sz w:val="24"/>
          <w:szCs w:val="24"/>
          <w:u w:val="single"/>
          <w:rtl/>
        </w:rPr>
        <w:t>ב</w:t>
      </w:r>
      <w:hyperlink r:id="rId26" w:history="1">
        <w:r w:rsidR="00A83A3B" w:rsidRPr="00A83A3B">
          <w:rPr>
            <w:rFonts w:ascii="David" w:hAnsi="David" w:cs="David"/>
            <w:color w:val="0000FF"/>
            <w:sz w:val="24"/>
            <w:szCs w:val="24"/>
            <w:u w:val="single"/>
            <w:rtl/>
          </w:rPr>
          <w:t>עפ"ג (מחוזי תל אביב יפו) 42358-10-14</w:t>
        </w:r>
      </w:hyperlink>
      <w:r w:rsidRPr="00052526">
        <w:rPr>
          <w:rFonts w:ascii="David" w:hAnsi="David" w:cs="David"/>
          <w:sz w:val="24"/>
          <w:szCs w:val="24"/>
          <w:rtl/>
        </w:rPr>
        <w:t xml:space="preserve"> </w:t>
      </w:r>
      <w:r w:rsidRPr="00052526">
        <w:rPr>
          <w:rFonts w:ascii="David" w:hAnsi="David" w:cs="David"/>
          <w:b/>
          <w:bCs/>
          <w:sz w:val="24"/>
          <w:szCs w:val="24"/>
          <w:rtl/>
        </w:rPr>
        <w:t>אבי גיא נגד מדינת ישראל</w:t>
      </w:r>
      <w:r w:rsidRPr="00052526">
        <w:rPr>
          <w:rFonts w:ascii="David" w:hAnsi="David" w:cs="David"/>
          <w:sz w:val="24"/>
          <w:szCs w:val="24"/>
          <w:rtl/>
        </w:rPr>
        <w:t xml:space="preserve">, (פורסם במאגרים המשפטיים) (18.02.2015): </w:t>
      </w:r>
      <w:r w:rsidRPr="00052526">
        <w:rPr>
          <w:rFonts w:ascii="David" w:hAnsi="David" w:cs="David"/>
          <w:b/>
          <w:bCs/>
          <w:sz w:val="24"/>
          <w:szCs w:val="24"/>
          <w:rtl/>
        </w:rPr>
        <w:t xml:space="preserve">"דומה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 </w:t>
      </w:r>
      <w:r w:rsidRPr="00052526">
        <w:rPr>
          <w:rFonts w:ascii="David" w:hAnsi="David" w:cs="David"/>
          <w:sz w:val="24"/>
          <w:szCs w:val="24"/>
          <w:rtl/>
        </w:rPr>
        <w:t xml:space="preserve">אם לא די באלה, הרי שעל חומרתה היתרה של העבירה בה הורשע הנאשם, יכול להעיד גם העונש אשר נקבע בצדה, כאשר העונש המרבי בגין ביצוע עבירת גידול סמים, הוא 20 שנות מאסר. </w:t>
      </w:r>
    </w:p>
    <w:p w14:paraId="4275526F" w14:textId="77777777" w:rsidR="00A503FC" w:rsidRPr="00052526" w:rsidRDefault="00A503FC" w:rsidP="009E78AA">
      <w:pPr>
        <w:pStyle w:val="ListParagraph1"/>
        <w:numPr>
          <w:ilvl w:val="0"/>
          <w:numId w:val="1"/>
        </w:numPr>
        <w:spacing w:after="0"/>
      </w:pPr>
      <w:r w:rsidRPr="00052526">
        <w:rPr>
          <w:rtl/>
        </w:rPr>
        <w:t>בשים לב לנסיבות שנלוו לביצוע העבירה, כפי שיפורט להלן, ובייחוד לנוכח סוג הסם שגידל הנאשם, כמות השתילים ומשקלם, כמו גם העובדה שהנאשם הסתייע בשניים אחרים לצורך הגידול, סבורתני כי במקרה הנדון מצויה מידת הפגיעה בערכים המוגנים ברף שאיננו נמוך כל עיקר.</w:t>
      </w:r>
    </w:p>
    <w:p w14:paraId="29E84DCF" w14:textId="77777777" w:rsidR="00A503FC" w:rsidRPr="00052526" w:rsidRDefault="00A503FC" w:rsidP="009E78AA">
      <w:pPr>
        <w:pStyle w:val="ListParagraph1"/>
        <w:numPr>
          <w:ilvl w:val="0"/>
          <w:numId w:val="1"/>
        </w:numPr>
        <w:spacing w:after="0"/>
      </w:pPr>
      <w:r w:rsidRPr="00052526">
        <w:rPr>
          <w:rtl/>
        </w:rPr>
        <w:t xml:space="preserve">במסגרת בחינת </w:t>
      </w:r>
      <w:r w:rsidRPr="00052526">
        <w:rPr>
          <w:b/>
          <w:bCs/>
          <w:rtl/>
        </w:rPr>
        <w:t>הנסיבות הקשורות בביצוע העבירה</w:t>
      </w:r>
      <w:r w:rsidRPr="00052526">
        <w:rPr>
          <w:rtl/>
        </w:rPr>
        <w:t>, ומבלי להתעלם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עוד שקלתי לחומרה את משקלם הרב של השתילים אשר נתפסו ברשותו של הנאשם, ובסך הכול, מדובר בשתילים במשקל</w:t>
      </w:r>
      <w:r w:rsidRPr="00052526">
        <w:rPr>
          <w:b/>
          <w:bCs/>
          <w:rtl/>
        </w:rPr>
        <w:t xml:space="preserve"> של 10 ק"ג </w:t>
      </w:r>
      <w:r w:rsidRPr="00052526">
        <w:rPr>
          <w:rtl/>
        </w:rPr>
        <w:t xml:space="preserve">וברי כי זו כמות לא מבוטלת כלל ועיקר. בעניין זה ייאמר, כי נתתי דעתי לא רק למשקל השתילים שנתפסו, אלא גם למספרם </w:t>
      </w:r>
      <w:r w:rsidRPr="00052526">
        <w:rPr>
          <w:b/>
          <w:bCs/>
          <w:rtl/>
        </w:rPr>
        <w:t>(108)</w:t>
      </w:r>
      <w:r w:rsidRPr="00052526">
        <w:rPr>
          <w:rtl/>
        </w:rPr>
        <w:t xml:space="preserve">, שכן בנתון זה יש כדי להצביע על פוטנציאל הפקת הסם הטמון באותם שתילים (ראו לעניין זה, </w:t>
      </w:r>
      <w:hyperlink r:id="rId27" w:history="1">
        <w:r w:rsidR="00A83A3B" w:rsidRPr="00A83A3B">
          <w:rPr>
            <w:color w:val="0000FF"/>
            <w:u w:val="single"/>
            <w:rtl/>
          </w:rPr>
          <w:t>עפ"ג (מחוזי מרכז) 76025-01-19</w:t>
        </w:r>
      </w:hyperlink>
      <w:r w:rsidRPr="00052526">
        <w:rPr>
          <w:rtl/>
        </w:rPr>
        <w:t xml:space="preserve"> </w:t>
      </w:r>
      <w:r w:rsidRPr="00052526">
        <w:rPr>
          <w:b/>
          <w:bCs/>
          <w:rtl/>
        </w:rPr>
        <w:t>נועם שובל נ' מדינת ישראל</w:t>
      </w:r>
      <w:r w:rsidRPr="00052526">
        <w:rPr>
          <w:rtl/>
        </w:rPr>
        <w:t xml:space="preserve"> (פורסם בנבו, 15.07.2019)). עוד ולחומרה, בית המשפט שוקל את העובדה שבמקרה הנדון אין המדובר בגידול סם באופן ספורדי, כמו באותם מקרים שבהם מבקש אדם לגדל שתיל בודד לשימושו העצמי גרידא (מעשה שגם הוא חמור בפני עצמו). אדרבא, נדמה שבמקרה הנדון עסקינן בנאשם אשר תכנן היטב את הדברים וכלכל את מעשיו מבעוד מועד, עת ייעד שטח חקלאי לגידול נרחב של הסם, תוך שהוא מסתייע בשניים אחרים ותוך שאחד מהם מסווה את פניו ואילו הנאשם מכסה את פניו ברעלה שחורה. בהמשך לאלו, הנאשם ושני המסייעים נמצאו במקום גידול הסמים בעוד הנאשם ואחד מן המסייעים מחזיקים ג'ריקן מים להשקיית השתילים (כאשר אחד המסייעים נמצא כשהוא מחזיק בידיו שני דליי מים). עם זאת ולקולה, מכתב האישום המתוקן לא עולה כי לעבירה נלווה תכנון ניכר או תחכום של ממש, כדרך אותם עבריינים המשקיעים מזמנם ומכספם ורוכשים ציוד ייעודי יקר ערך על מנת לגדל סמים במעבדת סמים או בחווה ייעודית לגידול סם. </w:t>
      </w:r>
    </w:p>
    <w:p w14:paraId="4FFDBDBD" w14:textId="77777777" w:rsidR="00A503FC" w:rsidRPr="00052526" w:rsidRDefault="00A503FC" w:rsidP="009E78AA">
      <w:pPr>
        <w:pStyle w:val="ListParagraph1"/>
        <w:numPr>
          <w:ilvl w:val="0"/>
          <w:numId w:val="1"/>
        </w:numPr>
        <w:spacing w:after="0"/>
      </w:pPr>
      <w:r w:rsidRPr="00052526">
        <w:rPr>
          <w:rtl/>
        </w:rPr>
        <w:t xml:space="preserve">בהמשך לאמור, ובכל הנוגע לסיבת לביצוע העבירה, אכן בהיעדר אינדיקציה אחרת, על בית המשפט לפרש את הנסיבות בדרך המקלה עם הנאשם ולראות בסמים ככאלה שגודלו לצורך שימוש עצמי בלבד. דא עקא, כמות השתילים שגידל הנאשם במקרה הנדון, היא-היא שיכולה לשמש כאינדיקציה, ואף כחזקה, לכך שהדברים נעשו שלא לצורך שימוש עצמי (ראו לעניין זה,  </w:t>
      </w:r>
      <w:hyperlink r:id="rId28" w:history="1">
        <w:r w:rsidR="004C7A30" w:rsidRPr="004C7A30">
          <w:rPr>
            <w:color w:val="0000FF"/>
            <w:u w:val="single"/>
            <w:rtl/>
          </w:rPr>
          <w:t>רע"פ 314/16‏ גיא בן צבי נ' מדינת ישראל</w:t>
        </w:r>
      </w:hyperlink>
      <w:r w:rsidRPr="00052526">
        <w:rPr>
          <w:rtl/>
        </w:rPr>
        <w:t>, (22.02.2016), ואם הדברים נאמרו שם בעניינו של מי שגידל 9 שתילים במשקל שני ק"ג, כי אז לדידי כוחם יפה גם בענייננו). זאת ועוד, חיזוק למסקנתי האמורה ניתן למצוא בדבריו של הנאשם בשירות המבחן לפיהם, מטרת הגידול הייתה בהשגת רווח כלכלי מהיר.</w:t>
      </w:r>
    </w:p>
    <w:p w14:paraId="5464D6B2" w14:textId="77777777" w:rsidR="00A503FC" w:rsidRPr="00052526" w:rsidRDefault="00A503FC" w:rsidP="009E78AA">
      <w:pPr>
        <w:pStyle w:val="ListParagraph1"/>
        <w:numPr>
          <w:ilvl w:val="0"/>
          <w:numId w:val="1"/>
        </w:numPr>
        <w:spacing w:after="0"/>
        <w:rPr>
          <w:rtl/>
        </w:rPr>
      </w:pPr>
      <w:r w:rsidRPr="00052526">
        <w:rPr>
          <w:rtl/>
        </w:rPr>
        <w:t xml:space="preserve">בנוסף לאלו, נתתי דעתי לכך שכתוצאה ממעשיו של הנאשם לא נגרם נזק ישיר וממשי כלשהו. ואולם, אין לייחס משקל רב לנסיבה זו, שכן נזק שכזה לא נגרם רק כתוצאה מכך שהנאשם נתפס בכף. בנוסף לכך יוער, כי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כך, וכאמור, הסמים פוגעים פגיעה קשה לא רק במשתמשים בסם, כי אם גם בבני משפחתם, חבריהם ומכריהם וכן בציבור בכללותו. </w:t>
      </w:r>
    </w:p>
    <w:p w14:paraId="3B8D5F1A" w14:textId="77777777" w:rsidR="00A503FC" w:rsidRPr="00052526" w:rsidRDefault="00A503FC" w:rsidP="009E78AA">
      <w:pPr>
        <w:pStyle w:val="ListParagraph1"/>
        <w:numPr>
          <w:ilvl w:val="0"/>
          <w:numId w:val="1"/>
        </w:numPr>
        <w:spacing w:after="0"/>
      </w:pPr>
      <w:r w:rsidRPr="00052526">
        <w:rPr>
          <w:rtl/>
        </w:rPr>
        <w:t xml:space="preserve">זאת ועוד, עיון בכתב האישום המתוקן מעלה, כי סעיף האישום אשר יוחס לנאשם בסופו של דבר עושה עמו חסד במידה רבה, וזאת ביחס לפרק העובדות. שכן, בעובדות כתב האישום המתוקן נרשם כי כאשר צוות השוטרים קרא לעברם (קרי, לעברו של הנאשם ושני המסייעים)  "עצור משטרה", החל הנאשם בבריחה רגלית מהמקום. בסופו של מרדף רגלי הנאשם נתפס ונעצר על ידי אחד מהשוטרים. ואולם עבירה זו של הפרעה לשוטר במילוי תפקידו בהתאם </w:t>
      </w:r>
      <w:hyperlink r:id="rId29" w:history="1">
        <w:r w:rsidR="00777798" w:rsidRPr="00777798">
          <w:rPr>
            <w:rStyle w:val="Hyperlink"/>
            <w:rtl/>
          </w:rPr>
          <w:t>לסעיף 275</w:t>
        </w:r>
      </w:hyperlink>
      <w:r w:rsidRPr="00052526">
        <w:rPr>
          <w:rtl/>
        </w:rPr>
        <w:t xml:space="preserve"> ל</w:t>
      </w:r>
      <w:hyperlink r:id="rId30" w:history="1">
        <w:r w:rsidR="00A83A3B" w:rsidRPr="00A83A3B">
          <w:rPr>
            <w:color w:val="0000FF"/>
            <w:u w:val="single"/>
            <w:rtl/>
          </w:rPr>
          <w:t>חוק העונשין</w:t>
        </w:r>
      </w:hyperlink>
      <w:r w:rsidRPr="00052526">
        <w:rPr>
          <w:rtl/>
        </w:rPr>
        <w:t xml:space="preserve"> לא יוחסה לו בכתב האישום. יש לזכור כי מאז חקיקתו של </w:t>
      </w:r>
      <w:hyperlink r:id="rId31" w:history="1">
        <w:r w:rsidR="00A83A3B" w:rsidRPr="00A83A3B">
          <w:rPr>
            <w:color w:val="0000FF"/>
            <w:u w:val="single"/>
            <w:rtl/>
          </w:rPr>
          <w:t>חוק סדר הדין הפלילי</w:t>
        </w:r>
      </w:hyperlink>
      <w:r w:rsidRPr="00052526">
        <w:rPr>
          <w:rtl/>
        </w:rPr>
        <w:t xml:space="preserve"> [נוסח משולב], התשמ"ב-1982, אשר קבע את אופן ניסוחו של כתב האישום, הוסט עיקר הדגש מסעיפי החיקוק אל העובדות שבו (ראו לעניין זה, </w:t>
      </w:r>
      <w:hyperlink r:id="rId32" w:history="1">
        <w:r w:rsidR="00A83A3B" w:rsidRPr="00A83A3B">
          <w:rPr>
            <w:color w:val="0000FF"/>
            <w:u w:val="single"/>
            <w:rtl/>
          </w:rPr>
          <w:t>רע"פ 5978/04 פלוני נ' מדינת ישראל, פ"ד ס</w:t>
        </w:r>
      </w:hyperlink>
      <w:r w:rsidRPr="00052526">
        <w:rPr>
          <w:rtl/>
        </w:rPr>
        <w:t xml:space="preserve">(4) 594 (2006); </w:t>
      </w:r>
      <w:hyperlink r:id="rId33" w:history="1">
        <w:r w:rsidR="00A83A3B" w:rsidRPr="00A83A3B">
          <w:rPr>
            <w:color w:val="0000FF"/>
            <w:u w:val="single"/>
            <w:rtl/>
          </w:rPr>
          <w:t>רע"פ 2581/14</w:t>
        </w:r>
      </w:hyperlink>
      <w:r w:rsidRPr="00052526">
        <w:rPr>
          <w:rtl/>
        </w:rPr>
        <w:t xml:space="preserve"> </w:t>
      </w:r>
      <w:r w:rsidRPr="00052526">
        <w:rPr>
          <w:b/>
          <w:bCs/>
          <w:rtl/>
        </w:rPr>
        <w:t>אסף יקותיאלי נ' מדינת ישראל</w:t>
      </w:r>
      <w:r w:rsidRPr="00052526">
        <w:rPr>
          <w:rtl/>
        </w:rPr>
        <w:t>, (12.02.2015); ו</w:t>
      </w:r>
      <w:hyperlink r:id="rId34" w:history="1">
        <w:r w:rsidR="00A83A3B" w:rsidRPr="00A83A3B">
          <w:rPr>
            <w:color w:val="0000FF"/>
            <w:u w:val="single"/>
            <w:rtl/>
          </w:rPr>
          <w:t>ע"פ 1997/13</w:t>
        </w:r>
      </w:hyperlink>
      <w:r w:rsidRPr="00052526">
        <w:rPr>
          <w:rtl/>
        </w:rPr>
        <w:t xml:space="preserve"> </w:t>
      </w:r>
      <w:r w:rsidRPr="00052526">
        <w:rPr>
          <w:b/>
          <w:bCs/>
          <w:rtl/>
        </w:rPr>
        <w:t>פלוני נ' מדינת ישראל</w:t>
      </w:r>
      <w:r w:rsidRPr="00052526">
        <w:rPr>
          <w:rtl/>
        </w:rPr>
        <w:t>, (29.08.2013)). משכך, מכלול המעשים המתוארים בפרק העובדות יהוו כנקודת המוצא של בית המשפט – בוודאי ככל שהדברים נוגעים לקביעת מתחם העונש בכלל, ובחינת הנסיבות שנלוו לעבירות בפרט.</w:t>
      </w:r>
    </w:p>
    <w:p w14:paraId="39864CA0" w14:textId="77777777" w:rsidR="00A503FC" w:rsidRPr="00052526" w:rsidRDefault="00A503FC" w:rsidP="009E78AA">
      <w:pPr>
        <w:pStyle w:val="ListParagraph1"/>
        <w:numPr>
          <w:ilvl w:val="0"/>
          <w:numId w:val="1"/>
        </w:numPr>
        <w:spacing w:after="0"/>
      </w:pPr>
      <w:r w:rsidRPr="00052526">
        <w:rPr>
          <w:rtl/>
        </w:rPr>
        <w:t xml:space="preserve">באשר </w:t>
      </w:r>
      <w:r w:rsidRPr="00052526">
        <w:rPr>
          <w:b/>
          <w:bCs/>
          <w:rtl/>
        </w:rPr>
        <w:t>למדיניות הענישה הנוהגת</w:t>
      </w:r>
      <w:r w:rsidRPr="00052526">
        <w:rPr>
          <w:rtl/>
        </w:rPr>
        <w:t xml:space="preserve"> בעבירת גידול הסם, הרי שזו מתחשבת בצורך במאבק בנגע הסמים המסוכנים בכלל, ובתופעת הקמת חממות גידול ומעבדות ביתיות ההולכת וצוברת תאוצה בשנים האחרונות בפרט. בחינת מדיניות הענישה הנוהגת, מעלה כי, </w:t>
      </w:r>
      <w:r w:rsidRPr="00052526">
        <w:rPr>
          <w:b/>
          <w:bCs/>
          <w:rtl/>
        </w:rPr>
        <w:t>על דרך הכלל</w:t>
      </w:r>
      <w:r w:rsidRPr="00052526">
        <w:rPr>
          <w:rtl/>
        </w:rPr>
        <w:t xml:space="preserve">, מוטלים על נאשמים שביצעו עבירת גידול סם עונשים במנעד רחב, החל ממספר חודשים מאסר בפועל לריצוי בעבודות שירות ועד לתקופות מאסר ממושכות. ברי כי לא אחת, במקרים חריגים, הושתו על נאשמים גם עונשים קלים יותר בדמות מאסרים מותנים וצווי של"צ אף ללא הרשעה, או לחילופין עונשי מאסר מאחורי סורג ובריח לתקופות ארוכות של חודשים רבים. מטבע הדברים העונש המושת על הנאשמים השונים מושפע מכמות השתילים שנתפסו, סוגם, משקלם, אופי ואופן הגידול, מטרת הגידול, נסיבותיו האישיות של הנאשם, ועוד. </w:t>
      </w:r>
    </w:p>
    <w:p w14:paraId="70366A57" w14:textId="77777777" w:rsidR="00A503FC" w:rsidRPr="00052526" w:rsidRDefault="00A503FC" w:rsidP="009E78AA">
      <w:pPr>
        <w:pStyle w:val="ListParagraph1"/>
        <w:numPr>
          <w:ilvl w:val="0"/>
          <w:numId w:val="1"/>
        </w:numPr>
        <w:spacing w:after="0"/>
      </w:pPr>
      <w:r w:rsidRPr="00052526">
        <w:rPr>
          <w:rtl/>
        </w:rPr>
        <w:t xml:space="preserve">מעיון בפסיקה ניתן ללמוד עוד כי </w:t>
      </w:r>
      <w:r w:rsidRPr="00052526">
        <w:rPr>
          <w:b/>
          <w:bCs/>
          <w:rtl/>
        </w:rPr>
        <w:t>בדרך כלל</w:t>
      </w:r>
      <w:r w:rsidRPr="00052526">
        <w:rPr>
          <w:rtl/>
        </w:rPr>
        <w:t xml:space="preserve"> על נאשמים שביצעו עבירת גידול סם בהיקף נרחב ודומה כבעניינינו, נקבעו מתחמי ענישה שתחתיתם בעבודות השירות (ברף העליון) ועד מאסרים ממושכים מאחורי סורג ובריח ברף העליון. להלן מספר גזרי דין שיש בהם כדי ללמד אודות קו הפסיקה הדומיננטי בגין ביצוע מעשים דומים לאלו שבוצעו על ידי הנאשם: </w:t>
      </w:r>
      <w:hyperlink r:id="rId35" w:history="1">
        <w:r w:rsidR="00A83A3B" w:rsidRPr="00A83A3B">
          <w:rPr>
            <w:color w:val="0000FF"/>
            <w:u w:val="single"/>
            <w:rtl/>
          </w:rPr>
          <w:t>רע"פ 2675/17</w:t>
        </w:r>
      </w:hyperlink>
      <w:r w:rsidRPr="00052526">
        <w:rPr>
          <w:rtl/>
        </w:rPr>
        <w:t xml:space="preserve"> </w:t>
      </w:r>
      <w:r w:rsidRPr="00052526">
        <w:rPr>
          <w:b/>
          <w:bCs/>
          <w:rtl/>
        </w:rPr>
        <w:t>גיל ארצי נ' מדינת ישראל</w:t>
      </w:r>
      <w:r w:rsidRPr="00052526">
        <w:rPr>
          <w:rtl/>
        </w:rPr>
        <w:t xml:space="preserve"> (פורסם בנבו, 23.08.2017); </w:t>
      </w:r>
      <w:hyperlink r:id="rId36" w:history="1">
        <w:r w:rsidR="00A83A3B" w:rsidRPr="00A83A3B">
          <w:rPr>
            <w:color w:val="0000FF"/>
            <w:u w:val="single"/>
            <w:rtl/>
          </w:rPr>
          <w:t>רע"פ 8237/15</w:t>
        </w:r>
      </w:hyperlink>
      <w:r w:rsidRPr="00052526">
        <w:rPr>
          <w:u w:val="single"/>
          <w:rtl/>
        </w:rPr>
        <w:t xml:space="preserve"> </w:t>
      </w:r>
      <w:r w:rsidRPr="00052526">
        <w:rPr>
          <w:b/>
          <w:bCs/>
          <w:rtl/>
        </w:rPr>
        <w:t xml:space="preserve">יצחק בן זקן נ' מדינת ישראל </w:t>
      </w:r>
      <w:r w:rsidRPr="00052526">
        <w:rPr>
          <w:rtl/>
        </w:rPr>
        <w:t>(02.12.2015)</w:t>
      </w:r>
      <w:r w:rsidRPr="00052526">
        <w:t>;</w:t>
      </w:r>
      <w:r w:rsidRPr="00052526">
        <w:rPr>
          <w:rtl/>
        </w:rPr>
        <w:t xml:space="preserve"> </w:t>
      </w:r>
      <w:hyperlink r:id="rId37" w:history="1">
        <w:r w:rsidR="00A83A3B" w:rsidRPr="00A83A3B">
          <w:rPr>
            <w:color w:val="0000FF"/>
            <w:u w:val="single"/>
            <w:rtl/>
          </w:rPr>
          <w:t>רע"פ 4512/15</w:t>
        </w:r>
      </w:hyperlink>
      <w:r w:rsidRPr="00052526">
        <w:rPr>
          <w:rtl/>
        </w:rPr>
        <w:t xml:space="preserve"> </w:t>
      </w:r>
      <w:r w:rsidRPr="00052526">
        <w:rPr>
          <w:b/>
          <w:bCs/>
          <w:rtl/>
        </w:rPr>
        <w:t>אברהם הרוש נ' מדינת ישראל</w:t>
      </w:r>
      <w:r w:rsidRPr="00052526">
        <w:rPr>
          <w:rtl/>
        </w:rPr>
        <w:t xml:space="preserve"> (פורסם בנבו, 06.07.2015);</w:t>
      </w:r>
      <w:r w:rsidRPr="00052526">
        <w:rPr>
          <w:u w:val="single"/>
          <w:rtl/>
        </w:rPr>
        <w:t xml:space="preserve"> </w:t>
      </w:r>
      <w:hyperlink r:id="rId38" w:history="1">
        <w:r w:rsidR="00A83A3B" w:rsidRPr="00A83A3B">
          <w:rPr>
            <w:color w:val="0000FF"/>
            <w:u w:val="single"/>
            <w:rtl/>
          </w:rPr>
          <w:t>רע"פ 5177/14</w:t>
        </w:r>
      </w:hyperlink>
      <w:r w:rsidRPr="00052526">
        <w:rPr>
          <w:rtl/>
        </w:rPr>
        <w:t xml:space="preserve"> </w:t>
      </w:r>
      <w:r w:rsidRPr="00052526">
        <w:rPr>
          <w:b/>
          <w:bCs/>
          <w:rtl/>
        </w:rPr>
        <w:t>משה זוארץ נ' מדינת ישראל</w:t>
      </w:r>
      <w:r w:rsidRPr="00052526">
        <w:rPr>
          <w:rtl/>
        </w:rPr>
        <w:t xml:space="preserve"> (פורסם בנבו, 31.12.2014)</w:t>
      </w:r>
      <w:r w:rsidRPr="00052526">
        <w:rPr>
          <w:u w:val="single"/>
          <w:rtl/>
        </w:rPr>
        <w:t xml:space="preserve">; </w:t>
      </w:r>
      <w:hyperlink r:id="rId39" w:history="1">
        <w:r w:rsidR="00A83A3B" w:rsidRPr="00A83A3B">
          <w:rPr>
            <w:color w:val="0000FF"/>
            <w:u w:val="single"/>
            <w:rtl/>
          </w:rPr>
          <w:t>רע"פ 6987/13</w:t>
        </w:r>
      </w:hyperlink>
      <w:r w:rsidRPr="00052526">
        <w:rPr>
          <w:u w:val="single"/>
          <w:rtl/>
        </w:rPr>
        <w:t xml:space="preserve"> </w:t>
      </w:r>
      <w:r w:rsidRPr="00052526">
        <w:rPr>
          <w:b/>
          <w:bCs/>
          <w:rtl/>
        </w:rPr>
        <w:t>אנטוני אברמוב נ' מדינת ישראל</w:t>
      </w:r>
      <w:r w:rsidRPr="00052526">
        <w:rPr>
          <w:rtl/>
        </w:rPr>
        <w:t xml:space="preserve"> (21.10.2013); </w:t>
      </w:r>
      <w:hyperlink r:id="rId40" w:history="1">
        <w:r w:rsidR="00A83A3B" w:rsidRPr="00A83A3B">
          <w:rPr>
            <w:color w:val="0000FF"/>
            <w:u w:val="single"/>
            <w:rtl/>
          </w:rPr>
          <w:t>עפ"ג (מחוזי מרכז) 23788-02-17</w:t>
        </w:r>
      </w:hyperlink>
      <w:r w:rsidRPr="00052526">
        <w:rPr>
          <w:rtl/>
        </w:rPr>
        <w:t xml:space="preserve"> </w:t>
      </w:r>
      <w:r w:rsidRPr="00052526">
        <w:rPr>
          <w:b/>
          <w:bCs/>
          <w:rtl/>
        </w:rPr>
        <w:t>הלמר נ' מדינת ישראל</w:t>
      </w:r>
      <w:r w:rsidRPr="00052526">
        <w:rPr>
          <w:rtl/>
        </w:rPr>
        <w:t xml:space="preserve"> (20.06.2017); </w:t>
      </w:r>
      <w:hyperlink r:id="rId41" w:history="1">
        <w:r w:rsidR="00A83A3B" w:rsidRPr="00A83A3B">
          <w:rPr>
            <w:color w:val="0000FF"/>
            <w:u w:val="single"/>
            <w:rtl/>
          </w:rPr>
          <w:t>עפ"ג (מחוזי תל-אביב) 11391-03-20</w:t>
        </w:r>
      </w:hyperlink>
      <w:r w:rsidRPr="00052526">
        <w:rPr>
          <w:rtl/>
        </w:rPr>
        <w:t xml:space="preserve"> </w:t>
      </w:r>
      <w:r w:rsidRPr="00052526">
        <w:rPr>
          <w:b/>
          <w:bCs/>
          <w:rtl/>
        </w:rPr>
        <w:t>סבג נגד מדינת ישראל</w:t>
      </w:r>
      <w:r w:rsidRPr="00052526">
        <w:rPr>
          <w:u w:val="single"/>
          <w:rtl/>
        </w:rPr>
        <w:t xml:space="preserve"> </w:t>
      </w:r>
      <w:r w:rsidRPr="00052526">
        <w:rPr>
          <w:rtl/>
        </w:rPr>
        <w:t xml:space="preserve">(24.06.2020); </w:t>
      </w:r>
      <w:hyperlink r:id="rId42" w:history="1">
        <w:r w:rsidR="00A83A3B" w:rsidRPr="00A83A3B">
          <w:rPr>
            <w:color w:val="0000FF"/>
            <w:u w:val="single"/>
            <w:rtl/>
          </w:rPr>
          <w:t>ת"פ (שלום ב"ש) 26968-01-18</w:t>
        </w:r>
      </w:hyperlink>
      <w:r w:rsidRPr="00052526">
        <w:rPr>
          <w:rtl/>
        </w:rPr>
        <w:t xml:space="preserve"> </w:t>
      </w:r>
      <w:r w:rsidRPr="00052526">
        <w:rPr>
          <w:b/>
          <w:bCs/>
          <w:rtl/>
        </w:rPr>
        <w:t>מדינת ישראל נ' אלנבארי</w:t>
      </w:r>
      <w:r w:rsidRPr="00052526">
        <w:t xml:space="preserve"> </w:t>
      </w:r>
      <w:r w:rsidRPr="00052526">
        <w:rPr>
          <w:rtl/>
        </w:rPr>
        <w:t xml:space="preserve">(17.09.2018); </w:t>
      </w:r>
      <w:hyperlink r:id="rId43" w:history="1">
        <w:r w:rsidR="00A83A3B" w:rsidRPr="00A83A3B">
          <w:rPr>
            <w:color w:val="0000FF"/>
            <w:u w:val="single"/>
            <w:rtl/>
          </w:rPr>
          <w:t>ת"פ (שלום ק"ש) 20589-02-18</w:t>
        </w:r>
      </w:hyperlink>
      <w:r w:rsidRPr="00052526">
        <w:rPr>
          <w:u w:val="single"/>
          <w:rtl/>
        </w:rPr>
        <w:t xml:space="preserve"> </w:t>
      </w:r>
      <w:r w:rsidRPr="00052526">
        <w:rPr>
          <w:b/>
          <w:bCs/>
          <w:rtl/>
        </w:rPr>
        <w:t>פרקליטות מחוז צפון- פלילי נ' שגיא לוקינוב</w:t>
      </w:r>
      <w:r w:rsidRPr="00052526">
        <w:rPr>
          <w:rtl/>
        </w:rPr>
        <w:t xml:space="preserve"> (פורסם בנבו, 06.03.2019); </w:t>
      </w:r>
      <w:hyperlink r:id="rId44" w:history="1">
        <w:r w:rsidR="00A83A3B" w:rsidRPr="00A83A3B">
          <w:rPr>
            <w:color w:val="0000FF"/>
            <w:u w:val="single"/>
            <w:rtl/>
          </w:rPr>
          <w:t>ת"פ (שלום כ"ס) 21355-08-18</w:t>
        </w:r>
      </w:hyperlink>
      <w:r w:rsidRPr="00052526">
        <w:rPr>
          <w:rtl/>
        </w:rPr>
        <w:t xml:space="preserve"> </w:t>
      </w:r>
      <w:r w:rsidRPr="00052526">
        <w:rPr>
          <w:b/>
          <w:bCs/>
          <w:rtl/>
        </w:rPr>
        <w:t>מדינת ישראל נ' עמרי יצחק רופא</w:t>
      </w:r>
      <w:r w:rsidRPr="00052526">
        <w:rPr>
          <w:rtl/>
        </w:rPr>
        <w:t xml:space="preserve"> (פורסם בנבו, 30.04.2019).</w:t>
      </w:r>
    </w:p>
    <w:p w14:paraId="729A9219" w14:textId="77777777" w:rsidR="00A503FC" w:rsidRPr="00052526" w:rsidRDefault="00A503FC" w:rsidP="009E78AA">
      <w:pPr>
        <w:pStyle w:val="ListParagraph1"/>
        <w:numPr>
          <w:ilvl w:val="0"/>
          <w:numId w:val="1"/>
        </w:numPr>
        <w:spacing w:after="0"/>
      </w:pPr>
      <w:r w:rsidRPr="00052526">
        <w:rPr>
          <w:rtl/>
        </w:rPr>
        <w:t xml:space="preserve">כאן אציין, כי לא התעלמתי מהפסיקה שהוגשה לעיוני מטעם ההגנה, כאשר נהיר לבית המשפט כי קיימים מקרים שבהם הושתו עונשים החורגים לקולה או לחומרה מהמנעד שהוצג לעיל. הדבר אך טבעי הוא, שכן כידוע, הענישה היא אינדיווידואלית </w:t>
      </w:r>
      <w:r w:rsidRPr="00052526">
        <w:rPr>
          <w:b/>
          <w:bCs/>
          <w:rtl/>
        </w:rPr>
        <w:t>ו"אין עסקינן בשיטת ניקוד, או באריתמטיקה. ענישה היא מלאכת מחשבת – ולא מלאכת מחשב"</w:t>
      </w:r>
      <w:r w:rsidRPr="00052526">
        <w:rPr>
          <w:rtl/>
        </w:rPr>
        <w:t xml:space="preserve"> (</w:t>
      </w:r>
      <w:hyperlink r:id="rId45" w:history="1">
        <w:r w:rsidR="00A83A3B" w:rsidRPr="00A83A3B">
          <w:rPr>
            <w:color w:val="0000FF"/>
            <w:u w:val="single"/>
            <w:rtl/>
          </w:rPr>
          <w:t>ע"פ 5768/10</w:t>
        </w:r>
      </w:hyperlink>
      <w:r w:rsidRPr="00052526">
        <w:rPr>
          <w:rtl/>
        </w:rPr>
        <w:t xml:space="preserve"> </w:t>
      </w:r>
      <w:r w:rsidRPr="00052526">
        <w:rPr>
          <w:b/>
          <w:bCs/>
          <w:rtl/>
        </w:rPr>
        <w:t>פלוני נ' מדינת ישראל</w:t>
      </w:r>
      <w:r w:rsidRPr="00052526">
        <w:rPr>
          <w:rtl/>
        </w:rPr>
        <w:t xml:space="preserve">, (08.06.2015)). לעולם אין לגזור עונשו של נאשם על סמך הכותרות של העבירות גרידא וכל מקרה צריך להיבחן לגופו ובנסיבותיו (ראו והשוו, </w:t>
      </w:r>
      <w:hyperlink r:id="rId46" w:history="1">
        <w:r w:rsidR="00A83A3B" w:rsidRPr="00A83A3B">
          <w:rPr>
            <w:color w:val="0000FF"/>
            <w:u w:val="single"/>
            <w:rtl/>
          </w:rPr>
          <w:t>ע"פ 433/89 ג'ורג' אטיאס נ' מדינת ישראל, פ"ד מג</w:t>
        </w:r>
      </w:hyperlink>
      <w:r w:rsidRPr="00052526">
        <w:rPr>
          <w:rtl/>
        </w:rPr>
        <w:t xml:space="preserve">(4) 170, (1989); </w:t>
      </w:r>
      <w:r w:rsidRPr="00052526">
        <w:rPr>
          <w:u w:val="single"/>
          <w:rtl/>
        </w:rPr>
        <w:t>ו</w:t>
      </w:r>
      <w:hyperlink r:id="rId47" w:history="1">
        <w:r w:rsidR="00A83A3B" w:rsidRPr="00A83A3B">
          <w:rPr>
            <w:color w:val="0000FF"/>
            <w:u w:val="single"/>
            <w:rtl/>
          </w:rPr>
          <w:t>רע"פ 3173/09</w:t>
        </w:r>
      </w:hyperlink>
      <w:r w:rsidRPr="00052526">
        <w:rPr>
          <w:rtl/>
        </w:rPr>
        <w:t xml:space="preserve"> </w:t>
      </w:r>
      <w:r w:rsidRPr="00052526">
        <w:rPr>
          <w:b/>
          <w:bCs/>
          <w:rtl/>
        </w:rPr>
        <w:t>פראגין נ' מדינת ישראל</w:t>
      </w:r>
      <w:r w:rsidRPr="00052526">
        <w:rPr>
          <w:rtl/>
        </w:rPr>
        <w:t xml:space="preserve">, (05.05.2009)).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8" w:history="1">
        <w:r w:rsidR="00A83A3B" w:rsidRPr="00A83A3B">
          <w:rPr>
            <w:color w:val="0000FF"/>
            <w:u w:val="single"/>
            <w:rtl/>
          </w:rPr>
          <w:t>ע"פ 1903/13</w:t>
        </w:r>
      </w:hyperlink>
      <w:r w:rsidRPr="00052526">
        <w:rPr>
          <w:rtl/>
        </w:rPr>
        <w:t xml:space="preserve"> </w:t>
      </w:r>
      <w:r w:rsidRPr="00052526">
        <w:rPr>
          <w:b/>
          <w:bCs/>
          <w:rtl/>
        </w:rPr>
        <w:t>חמודה עיאשה נ' מדינת ישראל</w:t>
      </w:r>
      <w:r w:rsidRPr="00052526">
        <w:rPr>
          <w:rtl/>
        </w:rPr>
        <w:t>, (25.06.2013)).</w:t>
      </w:r>
    </w:p>
    <w:p w14:paraId="2EE3CB16" w14:textId="77777777" w:rsidR="00A503FC" w:rsidRPr="00052526" w:rsidRDefault="00A503FC" w:rsidP="009E78AA">
      <w:pPr>
        <w:pStyle w:val="ListParagraph1"/>
        <w:numPr>
          <w:ilvl w:val="0"/>
          <w:numId w:val="1"/>
        </w:numPr>
        <w:spacing w:after="0"/>
      </w:pPr>
      <w:r w:rsidRPr="00052526">
        <w:rPr>
          <w:rtl/>
        </w:rPr>
        <w:t xml:space="preserve">עוד ולמען שלמות התמונה יצוין, כי מותב זה גזר זה מכבר את דינם של שני שותפיו של הנאשם אשר הודו והורשעו בכתבי אישום מתוקנים ונפרדים בעבירת </w:t>
      </w:r>
      <w:r w:rsidRPr="00052526">
        <w:rPr>
          <w:b/>
          <w:bCs/>
          <w:rtl/>
        </w:rPr>
        <w:t>הסיוע לגידול סם מסוכן</w:t>
      </w:r>
      <w:r w:rsidRPr="00052526">
        <w:rPr>
          <w:rtl/>
        </w:rPr>
        <w:t xml:space="preserve"> לפי </w:t>
      </w:r>
      <w:hyperlink r:id="rId49" w:history="1">
        <w:r w:rsidR="00777798" w:rsidRPr="00777798">
          <w:rPr>
            <w:rStyle w:val="Hyperlink"/>
            <w:rtl/>
          </w:rPr>
          <w:t>סעיף 6</w:t>
        </w:r>
      </w:hyperlink>
      <w:r w:rsidRPr="00052526">
        <w:rPr>
          <w:u w:val="single"/>
          <w:rtl/>
        </w:rPr>
        <w:t xml:space="preserve"> ל</w:t>
      </w:r>
      <w:hyperlink r:id="rId50" w:history="1">
        <w:r w:rsidR="00A83A3B" w:rsidRPr="00A83A3B">
          <w:rPr>
            <w:color w:val="0000FF"/>
            <w:u w:val="single"/>
            <w:rtl/>
          </w:rPr>
          <w:t>פקודת הסמים המסוכנים</w:t>
        </w:r>
      </w:hyperlink>
      <w:r w:rsidRPr="00052526">
        <w:rPr>
          <w:u w:val="single"/>
          <w:rtl/>
        </w:rPr>
        <w:t xml:space="preserve"> </w:t>
      </w:r>
      <w:hyperlink r:id="rId51" w:history="1">
        <w:r w:rsidR="00777798" w:rsidRPr="00777798">
          <w:rPr>
            <w:rStyle w:val="Hyperlink"/>
            <w:rtl/>
          </w:rPr>
          <w:t>וסעיף 31</w:t>
        </w:r>
      </w:hyperlink>
      <w:r w:rsidRPr="00052526">
        <w:rPr>
          <w:u w:val="single"/>
          <w:rtl/>
        </w:rPr>
        <w:t xml:space="preserve"> ל</w:t>
      </w:r>
      <w:hyperlink r:id="rId52" w:history="1">
        <w:r w:rsidR="00A83A3B" w:rsidRPr="00A83A3B">
          <w:rPr>
            <w:color w:val="0000FF"/>
            <w:u w:val="single"/>
            <w:rtl/>
          </w:rPr>
          <w:t>חוק העונשין</w:t>
        </w:r>
      </w:hyperlink>
      <w:r w:rsidRPr="00052526">
        <w:rPr>
          <w:rtl/>
        </w:rPr>
        <w:t>, תוך שבית המשפט קבע בעניינם של שני המסייעים מתחם עונש הולם הנע בין 5 לבין 18חודשים מאסר, והשית על הנאשמים עונשים בדמות צו של"צ, צו מבחן, מאסרים מותנים, קנס, התחייבות ופסילה מותנית (ראו לעניין זה,</w:t>
      </w:r>
      <w:r w:rsidRPr="00052526">
        <w:rPr>
          <w:u w:val="single"/>
          <w:rtl/>
        </w:rPr>
        <w:t xml:space="preserve"> </w:t>
      </w:r>
      <w:hyperlink r:id="rId53" w:history="1">
        <w:r w:rsidR="00A83A3B" w:rsidRPr="00A83A3B">
          <w:rPr>
            <w:color w:val="0000FF"/>
            <w:u w:val="single"/>
            <w:rtl/>
          </w:rPr>
          <w:t>ת"פ (שלום ק"ג) 42790-07-18</w:t>
        </w:r>
      </w:hyperlink>
      <w:r w:rsidRPr="00052526">
        <w:rPr>
          <w:rtl/>
        </w:rPr>
        <w:t xml:space="preserve"> </w:t>
      </w:r>
      <w:r w:rsidRPr="00052526">
        <w:rPr>
          <w:b/>
          <w:bCs/>
          <w:rtl/>
        </w:rPr>
        <w:t>מדינת ישראל נ' שריף עמראן</w:t>
      </w:r>
      <w:r w:rsidRPr="00052526">
        <w:rPr>
          <w:rtl/>
        </w:rPr>
        <w:t xml:space="preserve"> (פורסם בנבו, 03.02.2020) </w:t>
      </w:r>
      <w:r w:rsidRPr="00052526">
        <w:rPr>
          <w:u w:val="single"/>
          <w:rtl/>
        </w:rPr>
        <w:t>ו</w:t>
      </w:r>
      <w:hyperlink r:id="rId54" w:history="1">
        <w:r w:rsidR="00A83A3B" w:rsidRPr="00A83A3B">
          <w:rPr>
            <w:color w:val="0000FF"/>
            <w:u w:val="single"/>
            <w:rtl/>
          </w:rPr>
          <w:t>ת"פ (שלום ק"ג) 42806-07-18</w:t>
        </w:r>
      </w:hyperlink>
      <w:r w:rsidRPr="00052526">
        <w:rPr>
          <w:rtl/>
        </w:rPr>
        <w:t xml:space="preserve"> </w:t>
      </w:r>
      <w:r w:rsidRPr="00052526">
        <w:rPr>
          <w:b/>
          <w:bCs/>
          <w:rtl/>
        </w:rPr>
        <w:t>מדינת ישראל נ' איאד אל חגוג</w:t>
      </w:r>
      <w:r w:rsidRPr="00052526">
        <w:rPr>
          <w:rtl/>
        </w:rPr>
        <w:t xml:space="preserve"> (פורסם בנבו, 08.07.2019)).</w:t>
      </w:r>
    </w:p>
    <w:p w14:paraId="73F2C429" w14:textId="77777777" w:rsidR="00A503FC" w:rsidRPr="00052526" w:rsidRDefault="00A503FC" w:rsidP="009E78AA">
      <w:pPr>
        <w:pStyle w:val="ListParagraph1"/>
        <w:numPr>
          <w:ilvl w:val="0"/>
          <w:numId w:val="1"/>
        </w:numPr>
        <w:spacing w:after="0"/>
      </w:pPr>
      <w:r w:rsidRPr="00052526">
        <w:rPr>
          <w:rtl/>
        </w:rPr>
        <w:t xml:space="preserve">ברוח הדברים האמורים, ובכל הנוגע לסוגיית </w:t>
      </w:r>
      <w:r w:rsidRPr="00052526">
        <w:rPr>
          <w:b/>
          <w:bCs/>
          <w:rtl/>
        </w:rPr>
        <w:t>מתחם הענישה</w:t>
      </w:r>
      <w:r w:rsidRPr="00052526">
        <w:rPr>
          <w:rtl/>
        </w:rPr>
        <w:t xml:space="preserve"> שיש לקבוע בעניינו של הנאשם אל מול מתחם הענישה שנקבע </w:t>
      </w:r>
      <w:r w:rsidRPr="00052526">
        <w:rPr>
          <w:b/>
          <w:bCs/>
          <w:rtl/>
        </w:rPr>
        <w:t>בעניינם של שני המסייעים בפרשה זו –</w:t>
      </w:r>
      <w:r w:rsidRPr="00052526">
        <w:rPr>
          <w:rtl/>
        </w:rPr>
        <w:t>כזכור,</w:t>
      </w:r>
      <w:r w:rsidRPr="00052526">
        <w:rPr>
          <w:b/>
          <w:bCs/>
          <w:rtl/>
        </w:rPr>
        <w:t xml:space="preserve"> </w:t>
      </w:r>
      <w:r w:rsidRPr="00052526">
        <w:rPr>
          <w:rtl/>
        </w:rPr>
        <w:t xml:space="preserve">עתרה המאשימה בענייננו כי בית המשפט יקבע מתחם עונש הולם שהינו כפול מהמתחם שנקבע בעניינם של המסייעים, ואילו ההגנה עתרה שלא ליצור פער ניכר בין המתחמים, וכל זאת בשל עקרון אחידות הענישה. בעניין זה יצוין, כי אין לקבוע בצורה אוטומטית כי מתחם העונש ההולם בעניינם של מסייעים הינו מחצית מהמתחם שהיה נקבע בעבירה המוגמרת. אכן, לפי </w:t>
      </w:r>
      <w:hyperlink r:id="rId55" w:history="1">
        <w:r w:rsidR="00777798" w:rsidRPr="00777798">
          <w:rPr>
            <w:rStyle w:val="Hyperlink"/>
            <w:rtl/>
          </w:rPr>
          <w:t>סעיף 31</w:t>
        </w:r>
      </w:hyperlink>
      <w:r w:rsidRPr="00052526">
        <w:rPr>
          <w:u w:val="single"/>
          <w:rtl/>
        </w:rPr>
        <w:t xml:space="preserve"> ל</w:t>
      </w:r>
      <w:hyperlink r:id="rId56" w:history="1">
        <w:r w:rsidR="00A83A3B" w:rsidRPr="00A83A3B">
          <w:rPr>
            <w:color w:val="0000FF"/>
            <w:u w:val="single"/>
            <w:rtl/>
          </w:rPr>
          <w:t>חוק העונשין</w:t>
        </w:r>
      </w:hyperlink>
      <w:r w:rsidRPr="00052526">
        <w:rPr>
          <w:u w:val="single"/>
          <w:rtl/>
        </w:rPr>
        <w:t>,</w:t>
      </w:r>
      <w:r w:rsidRPr="00052526">
        <w:rPr>
          <w:rtl/>
        </w:rPr>
        <w:t xml:space="preserve"> עונשו של המסייע לעבור עבירה הינו מחצית העונש שנקבע בחיקוק בשל ביצועה העיקרי. ואולם, ברי כי כשם שעונשו של כל נאשם בסיוע לעבירה זו אחרת צריך להיבחן לגופו, כך גם קביעת מתחם העונש ההולם בעניינו של מבצע העבירה המוגמרת צריכה להיעשות בהתאם לכלל הפרמטרים הנקובים </w:t>
      </w:r>
      <w:hyperlink r:id="rId57" w:history="1">
        <w:r w:rsidR="00777798" w:rsidRPr="00777798">
          <w:rPr>
            <w:rStyle w:val="Hyperlink"/>
            <w:rtl/>
          </w:rPr>
          <w:t>בסעיף 40ג(א)</w:t>
        </w:r>
      </w:hyperlink>
      <w:r w:rsidRPr="00052526">
        <w:rPr>
          <w:u w:val="single"/>
          <w:rtl/>
        </w:rPr>
        <w:t xml:space="preserve"> לחוק,</w:t>
      </w:r>
      <w:r w:rsidRPr="00052526">
        <w:rPr>
          <w:rtl/>
        </w:rPr>
        <w:t xml:space="preserve"> </w:t>
      </w:r>
      <w:r w:rsidRPr="00052526">
        <w:rPr>
          <w:b/>
          <w:bCs/>
          <w:rtl/>
        </w:rPr>
        <w:t>ובשים לב למאפייניו ומרכיביו של המעשה עצמו</w:t>
      </w:r>
      <w:r w:rsidRPr="00052526">
        <w:rPr>
          <w:rtl/>
        </w:rPr>
        <w:t xml:space="preserve">. כך למשל, בהנחה שלעבירת </w:t>
      </w:r>
      <w:r w:rsidRPr="00052526">
        <w:rPr>
          <w:b/>
          <w:bCs/>
          <w:rtl/>
        </w:rPr>
        <w:t>גידול סם</w:t>
      </w:r>
      <w:r w:rsidRPr="00052526">
        <w:rPr>
          <w:rtl/>
        </w:rPr>
        <w:t xml:space="preserve">, בנסיבות מסוימות נקבע מתחם עונש הולם כזה או אחר, הרי שעדיין לא ניתן לומר בצורה אוטומטית שבגין כל סיוע באשר הוא לביצועהּ של אותה עבירה ייקבע מחצית מהמתחם האמור. זאת כאשר ברי כי לעיתים הסיוע לעבירה הינו מינורי, ולעיתים משמעותי ומתקרב בחומרתו לעבירה המוגמרת. כידוע, על אף חשיבותו של עקרון אחדות הענישה, הרי שהוא אינו חזות הכול, אלא שיקול אחד במכלול השיקולים שעל בית המשפט לשקול על מנת להגיע לתוצאה העונשית הראויה </w:t>
      </w:r>
      <w:r w:rsidRPr="00052526">
        <w:rPr>
          <w:u w:val="single"/>
          <w:rtl/>
        </w:rPr>
        <w:t>(</w:t>
      </w:r>
      <w:hyperlink r:id="rId58" w:history="1">
        <w:r w:rsidR="00A83A3B" w:rsidRPr="00A83A3B">
          <w:rPr>
            <w:color w:val="0000FF"/>
            <w:u w:val="single"/>
            <w:rtl/>
          </w:rPr>
          <w:t>ע"פ 5065/16</w:t>
        </w:r>
      </w:hyperlink>
      <w:r w:rsidRPr="00052526">
        <w:rPr>
          <w:rtl/>
        </w:rPr>
        <w:t xml:space="preserve"> </w:t>
      </w:r>
      <w:r w:rsidRPr="00052526">
        <w:rPr>
          <w:b/>
          <w:bCs/>
          <w:rtl/>
        </w:rPr>
        <w:t>פלוני נ' מדינת ישראל</w:t>
      </w:r>
      <w:r w:rsidRPr="00052526">
        <w:rPr>
          <w:rtl/>
        </w:rPr>
        <w:t xml:space="preserve"> (פורסם בנבו, 22.12.2016)). ואולם, בנסיבות שלפני, מצאתי לקבל את טענת ההגנה לפיה, אין מקום לקבוע כבקשת המאשימה כי מתחם העונש בעבירה המוגמרת יהא כפול מהמתחם שנקבע בעניינם של המסייעים. </w:t>
      </w:r>
    </w:p>
    <w:p w14:paraId="435C4970" w14:textId="77777777" w:rsidR="00A503FC" w:rsidRPr="00052526" w:rsidRDefault="00A503FC" w:rsidP="009E78AA">
      <w:pPr>
        <w:pStyle w:val="ListParagraph1"/>
        <w:numPr>
          <w:ilvl w:val="0"/>
          <w:numId w:val="1"/>
        </w:numPr>
        <w:spacing w:after="0"/>
        <w:rPr>
          <w:b/>
          <w:bCs/>
        </w:rPr>
      </w:pPr>
      <w:r w:rsidRPr="00052526">
        <w:rPr>
          <w:b/>
          <w:bCs/>
          <w:rtl/>
        </w:rPr>
        <w:t xml:space="preserve">כללם של דברים, בשים לב לעקרון המנחה בענישה, לערכים המוגנים שנפגעו ולמידת הפגיעה בהם, למדיניות הענישה הנוהגת, ולנסיבות הקשורות בביצוע העבירה, הריני לקבוע כי מתחם העונש ההולם במקרה דנו ינוע בין 8 חודשים מאסר לבין 22 חודשים מאסר בפועל. </w:t>
      </w:r>
    </w:p>
    <w:p w14:paraId="467A20EF" w14:textId="77777777" w:rsidR="00A503FC" w:rsidRDefault="00A503FC" w:rsidP="009E78AA">
      <w:pPr>
        <w:pStyle w:val="1"/>
        <w:spacing w:before="0" w:line="360" w:lineRule="auto"/>
        <w:ind w:left="-58"/>
        <w:rPr>
          <w:rFonts w:ascii="David" w:hAnsi="David" w:cs="David"/>
          <w:bCs/>
          <w:noProof w:val="0"/>
          <w:color w:val="auto"/>
          <w:sz w:val="28"/>
          <w:szCs w:val="28"/>
          <w:u w:val="single"/>
          <w:rtl/>
        </w:rPr>
      </w:pPr>
    </w:p>
    <w:p w14:paraId="564E4318" w14:textId="77777777" w:rsidR="00A503FC" w:rsidRPr="00052526" w:rsidRDefault="00A503FC" w:rsidP="009E78AA">
      <w:pPr>
        <w:pStyle w:val="1"/>
        <w:spacing w:before="0" w:line="360" w:lineRule="auto"/>
        <w:ind w:left="-58"/>
        <w:rPr>
          <w:rFonts w:ascii="David" w:hAnsi="David" w:cs="David"/>
          <w:bCs/>
          <w:noProof w:val="0"/>
          <w:color w:val="auto"/>
          <w:sz w:val="28"/>
          <w:szCs w:val="28"/>
          <w:u w:val="single"/>
          <w:rtl/>
        </w:rPr>
      </w:pPr>
      <w:r w:rsidRPr="00052526">
        <w:rPr>
          <w:rFonts w:ascii="David" w:hAnsi="David" w:cs="David"/>
          <w:bCs/>
          <w:noProof w:val="0"/>
          <w:color w:val="auto"/>
          <w:sz w:val="28"/>
          <w:szCs w:val="28"/>
          <w:u w:val="single"/>
          <w:rtl/>
        </w:rPr>
        <w:t>גזירת העונש המתאים  לנאשם</w:t>
      </w:r>
    </w:p>
    <w:p w14:paraId="1370DA7F" w14:textId="77777777" w:rsidR="00A503FC" w:rsidRPr="00052526" w:rsidRDefault="00A503FC" w:rsidP="009E78AA">
      <w:pPr>
        <w:pStyle w:val="ListParagraph1"/>
        <w:numPr>
          <w:ilvl w:val="0"/>
          <w:numId w:val="1"/>
        </w:numPr>
        <w:spacing w:after="0"/>
        <w:rPr>
          <w:rtl/>
        </w:rPr>
      </w:pPr>
      <w:r w:rsidRPr="00052526">
        <w:rPr>
          <w:rtl/>
        </w:rPr>
        <w:t xml:space="preserve">כאמור </w:t>
      </w:r>
      <w:hyperlink r:id="rId59" w:history="1">
        <w:r w:rsidR="00777798" w:rsidRPr="00777798">
          <w:rPr>
            <w:rStyle w:val="Hyperlink"/>
            <w:rtl/>
          </w:rPr>
          <w:t>בסעיף 40ג(ב)</w:t>
        </w:r>
      </w:hyperlink>
      <w:r w:rsidRPr="00052526">
        <w:rPr>
          <w:u w:val="single"/>
          <w:rtl/>
        </w:rPr>
        <w:t xml:space="preserve"> ל</w:t>
      </w:r>
      <w:hyperlink r:id="rId60" w:history="1">
        <w:r w:rsidR="00A83A3B" w:rsidRPr="00A83A3B">
          <w:rPr>
            <w:color w:val="0000FF"/>
            <w:u w:val="single"/>
            <w:rtl/>
          </w:rPr>
          <w:t>חוק העונשין</w:t>
        </w:r>
      </w:hyperlink>
      <w:r w:rsidRPr="00052526">
        <w:rPr>
          <w:rtl/>
        </w:rPr>
        <w:t xml:space="preserve">, עובר לגזירת העונש המתאים לנאשם, בית המשפט ישקול את הנסיבות שאינן קשורות בביצוע העבירה. </w:t>
      </w:r>
    </w:p>
    <w:p w14:paraId="6B7AE764" w14:textId="77777777" w:rsidR="00A503FC" w:rsidRPr="00052526" w:rsidRDefault="00A503FC" w:rsidP="009E78AA">
      <w:pPr>
        <w:pStyle w:val="ListParagraph1"/>
        <w:numPr>
          <w:ilvl w:val="0"/>
          <w:numId w:val="1"/>
        </w:numPr>
        <w:spacing w:after="0"/>
      </w:pPr>
      <w:r w:rsidRPr="00052526">
        <w:rPr>
          <w:rtl/>
        </w:rPr>
        <w:t>בהקשר זה נתתי דעתי לנסיבותיו האישיות של הנאשם, ובכלל זה להיותו חף מהרשעות קודמות ולפגיעה שעלולה להיגרם לנאשם אם יושת עליו עונש מאסר, וזאת בשים לב לפגיעה הכלכלית הטמונה בכך ולנוכח העובדה כי למעט הסתבכותו בתיק זה, הקפיד הנאשם על ניהול אורח חיים נורמטיבי. בנוסף בית המשפט זוקף לזכותו של הנאשם  את העובדה שהוא הודה במיוחס לו, מה שהביא לחיסכון בזמן שיפוטי יקר. בנוסף, יש לייחס משקל לעובדה כי הנאשם הצטער על מעשיו והתרשמתי בצורה בלתי אמצעית מכנות החרטה שאותה הוא הביע. לדידי, יש בעצם כך כדי ללמד על כך שהנאשם הפנים את חומרת מעשיו ואת השלכותיהם, ולהפחית את הסיכון שמא אלה יישנו בעתיד.</w:t>
      </w:r>
    </w:p>
    <w:p w14:paraId="650BDC70" w14:textId="77777777" w:rsidR="00A503FC" w:rsidRPr="00052526" w:rsidRDefault="00A503FC" w:rsidP="009E78AA">
      <w:pPr>
        <w:pStyle w:val="ListParagraph1"/>
        <w:numPr>
          <w:ilvl w:val="0"/>
          <w:numId w:val="1"/>
        </w:numPr>
        <w:spacing w:after="0"/>
        <w:rPr>
          <w:u w:val="single"/>
        </w:rPr>
      </w:pPr>
      <w:r w:rsidRPr="00052526">
        <w:rPr>
          <w:rtl/>
        </w:rPr>
        <w:t xml:space="preserve">כמו כן, שקלתי את העובדה שהנאשם היה עצור לתקופה של מעל חודש, ובמשך תקופה ממושכת נוספת שהה תחת תנאים מגבילים בגין תיק זה. ברי כי הליך המעצר איננו "מקדמה על חשבון העונש", אולם נדמה כי ניתן ליתן לדברים משקל במסגרת הנסיבה הקבועה </w:t>
      </w:r>
      <w:hyperlink r:id="rId61" w:history="1">
        <w:r w:rsidR="00777798" w:rsidRPr="00777798">
          <w:rPr>
            <w:rStyle w:val="Hyperlink"/>
            <w:rtl/>
          </w:rPr>
          <w:t>בסעיף 40יא(3)</w:t>
        </w:r>
      </w:hyperlink>
      <w:r w:rsidRPr="00052526">
        <w:rPr>
          <w:u w:val="single"/>
          <w:rtl/>
        </w:rPr>
        <w:t xml:space="preserve"> ל</w:t>
      </w:r>
      <w:hyperlink r:id="rId62" w:history="1">
        <w:r w:rsidR="00A83A3B" w:rsidRPr="00A83A3B">
          <w:rPr>
            <w:color w:val="0000FF"/>
            <w:u w:val="single"/>
            <w:rtl/>
          </w:rPr>
          <w:t>חוק העונשין</w:t>
        </w:r>
      </w:hyperlink>
      <w:r w:rsidRPr="00052526">
        <w:rPr>
          <w:u w:val="single"/>
          <w:rtl/>
        </w:rPr>
        <w:t xml:space="preserve">. </w:t>
      </w:r>
    </w:p>
    <w:p w14:paraId="1314B14C" w14:textId="77777777" w:rsidR="00A503FC" w:rsidRPr="00052526" w:rsidRDefault="00A503FC" w:rsidP="009E78AA">
      <w:pPr>
        <w:pStyle w:val="ListParagraph1"/>
        <w:numPr>
          <w:ilvl w:val="0"/>
          <w:numId w:val="1"/>
        </w:numPr>
        <w:spacing w:after="0"/>
      </w:pPr>
      <w:r w:rsidRPr="00052526">
        <w:rPr>
          <w:rtl/>
        </w:rPr>
        <w:t>עוד ובמסגרת מכלול השיקולים, הבאתי בחשבון את גילו הצעיר של הנאשם הן בעת ביצוע העבירה והן כיום. כאשר הנאשם ביצע את העבירה בהיותו כבן 22 בלבד. כיום הנאשם בן 24 ואין חולק שהוא משתייך לקבוצת "</w:t>
      </w:r>
      <w:r w:rsidRPr="00052526">
        <w:rPr>
          <w:b/>
          <w:bCs/>
          <w:rtl/>
        </w:rPr>
        <w:t>הבגירים צעירים".</w:t>
      </w:r>
      <w:r w:rsidRPr="00052526">
        <w:rPr>
          <w:rtl/>
        </w:rPr>
        <w:t xml:space="preserve">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והיותו ב"גיל המעבר" מקטינות לבגירות הוא נתון שבהחלט יש להידרש אליו (ראו למשל לעניין זה, </w:t>
      </w:r>
      <w:hyperlink r:id="rId63" w:history="1">
        <w:r w:rsidR="00A83A3B" w:rsidRPr="00A83A3B">
          <w:rPr>
            <w:color w:val="0000FF"/>
            <w:u w:val="single"/>
            <w:rtl/>
          </w:rPr>
          <w:t>ע"פ 2669/00</w:t>
        </w:r>
      </w:hyperlink>
      <w:r w:rsidRPr="00052526">
        <w:rPr>
          <w:rtl/>
        </w:rPr>
        <w:t xml:space="preserve"> </w:t>
      </w:r>
      <w:r w:rsidRPr="00052526">
        <w:rPr>
          <w:b/>
          <w:bCs/>
          <w:rtl/>
        </w:rPr>
        <w:t>מדינת ישראל נ' פלוני</w:t>
      </w:r>
      <w:r w:rsidRPr="00052526">
        <w:rPr>
          <w:rtl/>
        </w:rPr>
        <w:t xml:space="preserve">, נד(3) 685 (2000)). כמו כן, לא התעלמתי מכך כי יכול והקשיים שעלו במסגרת הקשר של הנאשם עם שירות המבחן והערכת שירות המבחן לפיה, לא נוצר פתח ממשי להליך טיפולי, בשל כך שהנאשם מתקשה לבוא במגע עם עולמו הפנימי ונעדר כישורי חיים בסיסיים להתמודדות עם מצבים מורכבים, יכול ועולים בקנה אחד עם גילו הצעיר. </w:t>
      </w:r>
    </w:p>
    <w:p w14:paraId="1BE266B6" w14:textId="77777777" w:rsidR="00A503FC" w:rsidRPr="00052526" w:rsidRDefault="00A503FC" w:rsidP="009E78AA">
      <w:pPr>
        <w:pStyle w:val="ListParagraph1"/>
        <w:numPr>
          <w:ilvl w:val="0"/>
          <w:numId w:val="1"/>
        </w:numPr>
        <w:spacing w:after="0"/>
      </w:pPr>
      <w:r w:rsidRPr="00052526">
        <w:rPr>
          <w:rtl/>
        </w:rPr>
        <w:t xml:space="preserve">בנוסף לאמור, שקלתי את האמור בתסקירי שירות המבחן שהוגשו בעניינו של הנאשם. וכך בתסקירו מיום 19.03.2019, העריך שירות המבחן כי יתכן והנאשם זקוק לענישה מוחשית בדמות מאסר שירוצה בעבודות שירות להמחשת חומרת מעשיו. עוד לא נעלמה מעיני הערכת השירות לפיה, חייו של הנאשם התאפיינו בחוסר יציבות במסגרות החינוך והתעסוקה, כי הוא נעדר כישורי חיים בסיסיים להתמודדות עם מצבים מורכבים, לצד קושי בהצבת גבול להתנהגותו, ונטייה להתערות בחברה שולית, שעומדים ברקע למעשיו ומהווים גורמים מגבירי סיכון להישנות עבירות נוספות מצדו. לא זו בלבד, אלא שגורמי הטיפול התרשמו כי הנאשם אינו מביע נזקקות טיפולית ומחזיק בעמדות קונקרטיות שלא אפשרו העמקה הליך השיקום עמו. לפיכך, שירות המבחן התרשם (כאמור) כי לא נוצר פתח ממשי לשילוב האשם בהליך טיפולי, ומשכך, לא בא השירות בהמלצה טיפולית בעניינו. כאן אעיר, כי מתסקיר שירות המבחן שהוגש בעניינו של הנאשם ביום 19.06.2019, עדכן שירות המבחן כי הנאשם הביע רצון להשתלב בהליך טיפולי, אך שירות המבחן התרשם גם הפעם כי הנאשם אינו מזהה כל בעייתיות בהתנהלותו ולכן, השירות לא בא בהמלצה טיפולית בעניינו. </w:t>
      </w:r>
    </w:p>
    <w:p w14:paraId="578B0D23" w14:textId="77777777" w:rsidR="00A503FC" w:rsidRPr="00052526" w:rsidRDefault="00A503FC" w:rsidP="009E78AA">
      <w:pPr>
        <w:pStyle w:val="ListParagraph1"/>
        <w:numPr>
          <w:ilvl w:val="0"/>
          <w:numId w:val="1"/>
        </w:numPr>
        <w:spacing w:after="0"/>
      </w:pPr>
      <w:r w:rsidRPr="00052526">
        <w:rPr>
          <w:rtl/>
        </w:rPr>
        <w:t>ברוח הדברים האמורים, לא מצאתי כי בעניינו של הנאשם מתקיימים אותם שיקולי שיקום כבדי משקל שיהיה בהם כדי להצדיק סטייה לקולה ממתחם העונש ההולם אשר נקבע על ידי שכן, מהאמור בתסקירים אכן עולה כי הנאשם שיתף פעולה עם השירות תוך שהגיע למפגשים שנקבעו עמו, ומסר דגימות שתן הנקיות משרידי מסם. ואולם, וחרף המוטיבציה המילולית שהביע הנאשם להשתלב בטיפול, הלה  התקשה לבחון את התנהגותו באופן ביקורתי, ולזהות צרכים קונקרטיים בהם נדרש לו הסיוע והליווי המקצועי של שירות המבחן. משכך, שב שירות המבחן וציין, כי על אף ניסיונות רבים שניתנו לנאשם (כפי העולה מהתסקירים שהוגשו בעניינו של הנאשם מהימים: 09.07.2019, 12.11.2019, 03.02.2020 ו-07.06.2020), הנאשם התקשה להעמיק ולבחון את עצמו ואת נסיבות מעורבותו בפלילים, וכי שיתוף הפעולה של הנאשם עם שירות המבחן היה טכני וקונקרטי בלבד, ונבע בעיקר מאימת הדין ומחששו מפני ענישה בדמות מאסר מאחורי סורג ובריח שיכול ותושת עליו.</w:t>
      </w:r>
    </w:p>
    <w:p w14:paraId="0C83DA53" w14:textId="77777777" w:rsidR="00A503FC" w:rsidRPr="00052526" w:rsidRDefault="00A503FC" w:rsidP="009E78AA">
      <w:pPr>
        <w:pStyle w:val="ListParagraph1"/>
        <w:numPr>
          <w:ilvl w:val="0"/>
          <w:numId w:val="1"/>
        </w:numPr>
        <w:spacing w:after="0"/>
      </w:pPr>
      <w:r w:rsidRPr="00052526">
        <w:rPr>
          <w:rtl/>
        </w:rPr>
        <w:t>כן אציין, כי לא התעלמתי מכך שהנאשם השתלב בתחילת הדרך בקבוצת פיקוח מעצרים המיועדת לאנשים אשר נמצאים במעצר בית במסגרת שירות המבחן; הצליח לעמוד במסגרת הקבוצתית בכך שהגיע באופן סדיר ועקבי וכיבד את כללי הקבוצה; ומסר בדיקות שתן הנקיות משרידי סם. לצד זאת התרשם השירות כי הלה התקשה לבוא במגע עם עולמו הפנימי באופן שהעלה ספקות באשר ליכולתו להירתם ולהיתרם מהמשך הליך טיפולי.</w:t>
      </w:r>
    </w:p>
    <w:p w14:paraId="395B5721" w14:textId="77777777" w:rsidR="00A503FC" w:rsidRPr="00052526" w:rsidRDefault="00A503FC" w:rsidP="009E78AA">
      <w:pPr>
        <w:pStyle w:val="ListParagraph1"/>
        <w:numPr>
          <w:ilvl w:val="0"/>
          <w:numId w:val="1"/>
        </w:numPr>
        <w:spacing w:after="0"/>
        <w:rPr>
          <w:b/>
          <w:bCs/>
          <w:u w:val="single"/>
        </w:rPr>
      </w:pPr>
      <w:r w:rsidRPr="00052526">
        <w:rPr>
          <w:rtl/>
        </w:rPr>
        <w:t>לצד זאת ולקולה, נתתי דעתי לכך שלהתרשמות שרות המבחן ההליך הפלילי המתנהל כנגד הנאשם והשלכותיו, הכוללות הבנה לחומרה שבהתנהגותו ותחושות הבושה שחש, לצד פעולותיו לקידום מצבו באופן עצמאי, מהווים גורמים מצבי גבול עבורו מפני הישנות עבירות.</w:t>
      </w:r>
      <w:r w:rsidRPr="00052526">
        <w:rPr>
          <w:u w:val="single"/>
          <w:rtl/>
        </w:rPr>
        <w:t xml:space="preserve"> </w:t>
      </w:r>
      <w:r w:rsidRPr="00052526">
        <w:rPr>
          <w:rtl/>
        </w:rPr>
        <w:t xml:space="preserve">כן אציין, כי בהמלצתו העונשית של שירות המבחן (מיום 03.02.2020),  ציין שירות המבחן כי </w:t>
      </w:r>
      <w:r w:rsidRPr="00052526">
        <w:rPr>
          <w:b/>
          <w:bCs/>
          <w:rtl/>
        </w:rPr>
        <w:t>במידה ובית המשפט ישקול להטיל על הנאשם ענישה בדמות מאסר, מומלץ כי המאסר ירוצה בעבודות שירות, על מנת לשמור על תפקודו התקין של הנאשם ולהימנע מנסיגה במצבו.</w:t>
      </w:r>
    </w:p>
    <w:p w14:paraId="002A5094" w14:textId="77777777" w:rsidR="00A503FC" w:rsidRPr="00052526" w:rsidRDefault="00A503FC" w:rsidP="009E78AA">
      <w:pPr>
        <w:pStyle w:val="ListParagraph1"/>
        <w:numPr>
          <w:ilvl w:val="0"/>
          <w:numId w:val="1"/>
        </w:numPr>
        <w:spacing w:after="0"/>
      </w:pPr>
      <w:r w:rsidRPr="00052526">
        <w:rPr>
          <w:rtl/>
        </w:rPr>
        <w:t xml:space="preserve">בהמשך לאלו, וכידוע,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64" w:history="1">
        <w:r w:rsidR="00A83A3B" w:rsidRPr="00A83A3B">
          <w:rPr>
            <w:color w:val="0000FF"/>
            <w:u w:val="single"/>
            <w:rtl/>
          </w:rPr>
          <w:t>ע"פ 1903/13</w:t>
        </w:r>
      </w:hyperlink>
      <w:r w:rsidRPr="00052526">
        <w:rPr>
          <w:rtl/>
        </w:rPr>
        <w:t xml:space="preserve"> </w:t>
      </w:r>
      <w:r w:rsidRPr="00052526">
        <w:rPr>
          <w:b/>
          <w:bCs/>
          <w:rtl/>
        </w:rPr>
        <w:t>חמודה עיאשה נ' מדינת ישראל</w:t>
      </w:r>
      <w:r w:rsidRPr="00052526">
        <w:rPr>
          <w:rtl/>
        </w:rPr>
        <w:t xml:space="preserve">, (14.07.2013); </w:t>
      </w:r>
      <w:hyperlink r:id="rId65" w:history="1">
        <w:r w:rsidR="00A83A3B" w:rsidRPr="00A83A3B">
          <w:rPr>
            <w:color w:val="0000FF"/>
            <w:u w:val="single"/>
            <w:rtl/>
          </w:rPr>
          <w:t>רע"פ 7683/13</w:t>
        </w:r>
      </w:hyperlink>
      <w:r w:rsidRPr="00052526">
        <w:rPr>
          <w:rtl/>
        </w:rPr>
        <w:t xml:space="preserve"> </w:t>
      </w:r>
      <w:r w:rsidRPr="00052526">
        <w:rPr>
          <w:b/>
          <w:bCs/>
          <w:rtl/>
        </w:rPr>
        <w:t>דויד פרלמן נ' מדינת ישראל,</w:t>
      </w:r>
      <w:r w:rsidRPr="00052526">
        <w:rPr>
          <w:rtl/>
        </w:rPr>
        <w:t xml:space="preserve"> (23.02.2014); </w:t>
      </w:r>
      <w:hyperlink r:id="rId66" w:history="1">
        <w:r w:rsidR="00A83A3B" w:rsidRPr="00A83A3B">
          <w:rPr>
            <w:color w:val="0000FF"/>
            <w:u w:val="single"/>
            <w:rtl/>
          </w:rPr>
          <w:t>רע"פ 1441/14</w:t>
        </w:r>
      </w:hyperlink>
      <w:r w:rsidRPr="00052526">
        <w:rPr>
          <w:rtl/>
        </w:rPr>
        <w:t xml:space="preserve"> </w:t>
      </w:r>
      <w:r w:rsidRPr="00052526">
        <w:rPr>
          <w:b/>
          <w:bCs/>
          <w:rtl/>
        </w:rPr>
        <w:t>חמיס נ' מדינת ישראל,</w:t>
      </w:r>
      <w:r w:rsidRPr="00052526">
        <w:rPr>
          <w:rtl/>
        </w:rPr>
        <w:t xml:space="preserve"> (09.12.2014);</w:t>
      </w:r>
      <w:r w:rsidRPr="00052526">
        <w:t xml:space="preserve"> </w:t>
      </w:r>
      <w:hyperlink r:id="rId67" w:history="1">
        <w:r w:rsidR="00A83A3B" w:rsidRPr="00A83A3B">
          <w:rPr>
            <w:color w:val="0000FF"/>
            <w:u w:val="single"/>
            <w:rtl/>
          </w:rPr>
          <w:t>ע"פ 5341/13</w:t>
        </w:r>
      </w:hyperlink>
      <w:r w:rsidRPr="00052526">
        <w:rPr>
          <w:rtl/>
        </w:rPr>
        <w:t xml:space="preserve"> </w:t>
      </w:r>
      <w:r w:rsidRPr="00052526">
        <w:rPr>
          <w:b/>
          <w:bCs/>
          <w:rtl/>
        </w:rPr>
        <w:t>מדינת ישראל נ' מוחמד אלקרעאן</w:t>
      </w:r>
      <w:r w:rsidRPr="00052526">
        <w:rPr>
          <w:rtl/>
        </w:rPr>
        <w:t xml:space="preserve">, (08.12.2013); </w:t>
      </w:r>
      <w:r w:rsidRPr="00052526">
        <w:rPr>
          <w:u w:val="single"/>
          <w:rtl/>
        </w:rPr>
        <w:t>ו</w:t>
      </w:r>
      <w:hyperlink r:id="rId68" w:history="1">
        <w:r w:rsidR="00A83A3B" w:rsidRPr="00A83A3B">
          <w:rPr>
            <w:color w:val="0000FF"/>
            <w:u w:val="single"/>
            <w:rtl/>
          </w:rPr>
          <w:t>עפ"ג (מחוזי באר שבע) 37682-03-13</w:t>
        </w:r>
      </w:hyperlink>
      <w:r w:rsidRPr="00052526">
        <w:rPr>
          <w:rtl/>
        </w:rPr>
        <w:t xml:space="preserve"> </w:t>
      </w:r>
      <w:r w:rsidRPr="00052526">
        <w:rPr>
          <w:b/>
          <w:bCs/>
          <w:rtl/>
        </w:rPr>
        <w:t>גרניק נ' מדינת ישראל</w:t>
      </w:r>
      <w:r w:rsidRPr="00052526">
        <w:rPr>
          <w:rtl/>
        </w:rPr>
        <w:t xml:space="preserve">, (20.11.2013)). והרי שגם במקרה שלפני, עסקינן בנאשם, שמאז ביצוע העבירה שבגינה הוא נותן את הדין כעת, נמנע מלשוב ולבצע עבירות נוספות. מה עוד, שהנאשם היטיב את דרכיו, וערך שינויים משמעותיים בחייו, הן במישור האישי (יש בכוונתו של הלה להינשא) והן במישור התעסוקתי (הלה החל לעבוד בחברת "א.ה. נגב ירוק חקלאות בע"מ" בתפקיד של אחראי על קשרי לקוחות תוך שמעבידו ציין כי במהלך עבודתו הנאשם גילה נאמנות, חריצות, יכולת התאמה למצבים משתנים ויכולת תפקוד במצבי לחץ, כפי שעולה מתסקיר שירות המבחן שהוגש בעניינו של הנאשם ביום 09.07.2019) </w:t>
      </w:r>
      <w:r w:rsidRPr="00052526">
        <w:rPr>
          <w:b/>
          <w:bCs/>
          <w:rtl/>
        </w:rPr>
        <w:t>–</w:t>
      </w:r>
      <w:r w:rsidRPr="00052526">
        <w:rPr>
          <w:rtl/>
        </w:rPr>
        <w:t xml:space="preserve">וברי כי הדבר יישקל לזכותו לעניין העונש. </w:t>
      </w:r>
    </w:p>
    <w:p w14:paraId="7261EB18" w14:textId="77777777" w:rsidR="00A503FC" w:rsidRPr="00052526" w:rsidRDefault="00A503FC" w:rsidP="009E78AA">
      <w:pPr>
        <w:pStyle w:val="ListParagraph1"/>
        <w:numPr>
          <w:ilvl w:val="0"/>
          <w:numId w:val="1"/>
        </w:numPr>
        <w:spacing w:after="0"/>
      </w:pPr>
      <w:r w:rsidRPr="00052526">
        <w:rPr>
          <w:rtl/>
        </w:rPr>
        <w:t xml:space="preserve">עם זאת, וכאמור, הנאשם לא השכיל לנצל את ההליך הטיפולי במסגרת שירות המבחן כך שעודנו מקנן החשש שמא הוא יחזור לעבור עבירות מתחום הסמים, מה שבתורו עלול להוביל לביצוע עבירות נוספות. בנסיבות אלו, לא ניתן לומר כי שיקומו, יצדיק סטייה ממתחם העונש שקבעתי לעיל. כן יצוין, כי אף אם הייתי קובעת שהנאשם השתקם בצורה מלאה או שקיים סיכוי ממשי לכך (ואינני קובעת זאת), עדיין אין זה אומר כי בית המשפט בהכרח יסטה לקולה ממתחם הענישה, והרי לא בכדי נוקט </w:t>
      </w:r>
      <w:hyperlink r:id="rId69" w:history="1">
        <w:r w:rsidR="00777798" w:rsidRPr="00777798">
          <w:rPr>
            <w:rStyle w:val="Hyperlink"/>
            <w:rtl/>
          </w:rPr>
          <w:t>סעיף 40ד(א)</w:t>
        </w:r>
      </w:hyperlink>
      <w:r w:rsidRPr="00052526">
        <w:rPr>
          <w:u w:val="single"/>
          <w:rtl/>
        </w:rPr>
        <w:t xml:space="preserve"> ל</w:t>
      </w:r>
      <w:hyperlink r:id="rId70" w:history="1">
        <w:r w:rsidR="00A83A3B" w:rsidRPr="00A83A3B">
          <w:rPr>
            <w:color w:val="0000FF"/>
            <w:u w:val="single"/>
            <w:rtl/>
          </w:rPr>
          <w:t>חוק העונשין</w:t>
        </w:r>
      </w:hyperlink>
      <w:r w:rsidRPr="00052526">
        <w:rPr>
          <w:rtl/>
        </w:rPr>
        <w:t xml:space="preserve"> – בהתייחסו לאפשרות שבית המשפט יורה על סטייה לקולה ממתחם הענישה משיקולי שיקום – בלשון "רשאי" ולא "חייב". </w:t>
      </w:r>
    </w:p>
    <w:p w14:paraId="3184F3CD" w14:textId="77777777" w:rsidR="00A503FC" w:rsidRPr="00052526" w:rsidRDefault="00A503FC" w:rsidP="009E78AA">
      <w:pPr>
        <w:pStyle w:val="ListParagraph1"/>
        <w:numPr>
          <w:ilvl w:val="0"/>
          <w:numId w:val="1"/>
        </w:numPr>
        <w:overflowPunct w:val="0"/>
        <w:autoSpaceDE w:val="0"/>
        <w:autoSpaceDN w:val="0"/>
        <w:adjustRightInd w:val="0"/>
        <w:spacing w:after="0"/>
      </w:pPr>
      <w:r w:rsidRPr="00052526">
        <w:rPr>
          <w:rtl/>
        </w:rPr>
        <w:t xml:space="preserve">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באיזה שלב של ההליך השיקומי מצוי הנאשם, וכי רק במקרים נדירים שבהם קיימים סיכויי שיקום מובהקים המצדיקים, בבחינת יוצא מן הכלל – לסטות ממתחם העונש ההולם (ראו והשוו, </w:t>
      </w:r>
      <w:hyperlink r:id="rId71" w:history="1">
        <w:r w:rsidR="00A83A3B" w:rsidRPr="00A83A3B">
          <w:rPr>
            <w:color w:val="0000FF"/>
            <w:u w:val="single"/>
            <w:rtl/>
          </w:rPr>
          <w:t>ע"פ 1229/19</w:t>
        </w:r>
      </w:hyperlink>
      <w:r w:rsidRPr="00052526">
        <w:rPr>
          <w:u w:val="single"/>
          <w:rtl/>
        </w:rPr>
        <w:t xml:space="preserve"> </w:t>
      </w:r>
      <w:r w:rsidRPr="00052526">
        <w:rPr>
          <w:b/>
          <w:bCs/>
          <w:rtl/>
        </w:rPr>
        <w:t>יפתח סלומנסקי נ' מדינת ישראל</w:t>
      </w:r>
      <w:r w:rsidRPr="00052526">
        <w:rPr>
          <w:rtl/>
        </w:rPr>
        <w:t xml:space="preserve">, (01.07.2019). הנה כי כן,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72" w:history="1">
        <w:r w:rsidR="00A83A3B" w:rsidRPr="00A83A3B">
          <w:rPr>
            <w:color w:val="0000FF"/>
            <w:u w:val="single"/>
            <w:rtl/>
          </w:rPr>
          <w:t>ע"פ 1521/14</w:t>
        </w:r>
      </w:hyperlink>
      <w:r w:rsidRPr="00052526">
        <w:rPr>
          <w:rtl/>
        </w:rPr>
        <w:t xml:space="preserve"> </w:t>
      </w:r>
      <w:r w:rsidRPr="00052526">
        <w:rPr>
          <w:b/>
          <w:bCs/>
          <w:rtl/>
        </w:rPr>
        <w:t>יוסף אלפקיר נ' מדינת ישראל</w:t>
      </w:r>
      <w:r w:rsidRPr="00052526">
        <w:rPr>
          <w:rtl/>
        </w:rPr>
        <w:t xml:space="preserve">, (16.09.2015); </w:t>
      </w:r>
      <w:r w:rsidRPr="00052526">
        <w:rPr>
          <w:u w:val="single"/>
          <w:rtl/>
        </w:rPr>
        <w:t>ו</w:t>
      </w:r>
      <w:hyperlink r:id="rId73" w:history="1">
        <w:r w:rsidR="00A83A3B" w:rsidRPr="00A83A3B">
          <w:rPr>
            <w:color w:val="0000FF"/>
            <w:u w:val="single"/>
            <w:rtl/>
          </w:rPr>
          <w:t>רע"פ 4097/16</w:t>
        </w:r>
      </w:hyperlink>
      <w:r w:rsidRPr="00052526">
        <w:rPr>
          <w:rtl/>
        </w:rPr>
        <w:t xml:space="preserve"> </w:t>
      </w:r>
      <w:r w:rsidRPr="00052526">
        <w:rPr>
          <w:b/>
          <w:bCs/>
          <w:rtl/>
        </w:rPr>
        <w:t>מוחמד מחמוד נ' מדינת ישראל</w:t>
      </w:r>
      <w:r w:rsidRPr="00052526">
        <w:rPr>
          <w:rtl/>
        </w:rPr>
        <w:t xml:space="preserve">, (24.05.2016)). </w:t>
      </w:r>
    </w:p>
    <w:p w14:paraId="5489DFE8" w14:textId="77777777" w:rsidR="00A503FC" w:rsidRDefault="00A503FC" w:rsidP="00977DBD">
      <w:pPr>
        <w:pStyle w:val="ListParagraph1"/>
        <w:numPr>
          <w:ilvl w:val="0"/>
          <w:numId w:val="1"/>
        </w:numPr>
        <w:spacing w:after="0"/>
      </w:pPr>
      <w:r w:rsidRPr="00052526">
        <w:rPr>
          <w:rtl/>
        </w:rPr>
        <w:t xml:space="preserve">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יחד עם זאת, משנתתי דעתי למכלול הנסיבות שאינן קשורות לביצוע העבירה, ובייחוד בשים לב לעברו הפלילי הנקי; לעובדה כי הודה במיוחס לו; לנסיבות חייו של הנאשם ובכלל זה לגילו הצעיר; ולאור רצונו של הנאשם לחזור למוטב ומאמציו לעשות זאת (הגם אם לא באופן מוסדי), ולהמלצת שירות המבחן, מצאתי כי ניתן בזו הפעם להשית עליו ענישה המצויה ברף הנמוך למתחם אשר נקבע על ידי. </w:t>
      </w:r>
      <w:r>
        <w:rPr>
          <w:rtl/>
        </w:rPr>
        <w:t>עם זאת, לא מצאתי לנכון לנכות מעונש המאסר בעבודות שירות שיושת על הנאשם את ימי מעצרו (ראו לעניין זה את שיקול הדעת הנתון לבית המשפט בקיזוז ימי המעצר, וביתר שאת כאשר המאסר מושת בדרך של עבודות שירות ב</w:t>
      </w:r>
      <w:hyperlink r:id="rId74" w:history="1">
        <w:r w:rsidR="00A83A3B" w:rsidRPr="00A83A3B">
          <w:rPr>
            <w:color w:val="0000FF"/>
            <w:u w:val="single"/>
            <w:rtl/>
          </w:rPr>
          <w:t>רע"פ 7584/14</w:t>
        </w:r>
      </w:hyperlink>
      <w:r>
        <w:rPr>
          <w:rtl/>
        </w:rPr>
        <w:t xml:space="preserve"> </w:t>
      </w:r>
      <w:r w:rsidRPr="00977DBD">
        <w:rPr>
          <w:b/>
          <w:bCs/>
          <w:rtl/>
        </w:rPr>
        <w:t>פלוני נ' מדינת ישראל</w:t>
      </w:r>
      <w:r>
        <w:rPr>
          <w:rtl/>
        </w:rPr>
        <w:t xml:space="preserve"> (פורסם בנבו, 02.12.2014), וכן ב</w:t>
      </w:r>
      <w:hyperlink r:id="rId75" w:history="1">
        <w:r w:rsidR="00A83A3B" w:rsidRPr="00A83A3B">
          <w:rPr>
            <w:color w:val="0000FF"/>
            <w:u w:val="single"/>
            <w:rtl/>
          </w:rPr>
          <w:t>עפ"ג (מחוזי חי') 27209-08-15</w:t>
        </w:r>
      </w:hyperlink>
      <w:r>
        <w:rPr>
          <w:rtl/>
        </w:rPr>
        <w:t xml:space="preserve"> </w:t>
      </w:r>
      <w:r w:rsidRPr="00977DBD">
        <w:rPr>
          <w:b/>
          <w:bCs/>
          <w:rtl/>
        </w:rPr>
        <w:t>מדינת ישראל נ' יוסי קינן</w:t>
      </w:r>
      <w:r>
        <w:rPr>
          <w:rtl/>
        </w:rPr>
        <w:t xml:space="preserve"> (פורסם בנבו, 05.11.2015)</w:t>
      </w:r>
    </w:p>
    <w:p w14:paraId="485F985A" w14:textId="77777777" w:rsidR="00A503FC" w:rsidRDefault="00A503FC" w:rsidP="009E78AA">
      <w:pPr>
        <w:pStyle w:val="ListParagraph1"/>
        <w:numPr>
          <w:ilvl w:val="0"/>
          <w:numId w:val="1"/>
        </w:numPr>
        <w:spacing w:after="0"/>
      </w:pPr>
      <w:r w:rsidRPr="00052526">
        <w:rPr>
          <w:rtl/>
        </w:rPr>
        <w:t xml:space="preserve">בכל הנוגע לרכיב </w:t>
      </w:r>
      <w:r w:rsidRPr="00052526">
        <w:rPr>
          <w:b/>
          <w:bCs/>
          <w:rtl/>
        </w:rPr>
        <w:t>פסילת רישיון הנהיגה</w:t>
      </w:r>
      <w:r w:rsidRPr="00052526">
        <w:rPr>
          <w:rtl/>
        </w:rPr>
        <w:t xml:space="preserve"> של הנאשם, בשים לב לעובדה שהמדובר בנאשם הנקי מסמים, מצאתי כי ניתן בזו הפעם ללכת לקראתו בפן הזה ולהסתפק בפסילת רישיון מותנית בלבד. </w:t>
      </w:r>
    </w:p>
    <w:p w14:paraId="1664A311" w14:textId="77777777" w:rsidR="00A503FC" w:rsidRDefault="00A503FC" w:rsidP="009E78AA">
      <w:pPr>
        <w:pStyle w:val="ListParagraph1"/>
        <w:numPr>
          <w:ilvl w:val="0"/>
          <w:numId w:val="1"/>
        </w:numPr>
        <w:spacing w:after="0"/>
      </w:pPr>
      <w:r w:rsidRPr="00052526">
        <w:rPr>
          <w:b/>
          <w:bCs/>
          <w:rtl/>
        </w:rPr>
        <w:t>מכול המקובץ לעיל, הריני גוזרת על הנאשם את העונשים הבאים:</w:t>
      </w:r>
      <w:r w:rsidRPr="00052526">
        <w:rPr>
          <w:rtl/>
        </w:rPr>
        <w:t xml:space="preserve"> </w:t>
      </w:r>
    </w:p>
    <w:p w14:paraId="2DD08C02" w14:textId="77777777" w:rsidR="00A503FC" w:rsidRPr="00052526" w:rsidRDefault="00A503FC" w:rsidP="009E78AA">
      <w:pPr>
        <w:pStyle w:val="ListParagraph1"/>
        <w:numPr>
          <w:ilvl w:val="0"/>
          <w:numId w:val="5"/>
        </w:numPr>
        <w:rPr>
          <w:rtl/>
        </w:rPr>
      </w:pPr>
      <w:r w:rsidRPr="00052526">
        <w:rPr>
          <w:b/>
          <w:bCs/>
          <w:rtl/>
        </w:rPr>
        <w:t xml:space="preserve">9 חודשים מאסר בפועל, לריצוי </w:t>
      </w:r>
      <w:r>
        <w:rPr>
          <w:b/>
          <w:bCs/>
          <w:rtl/>
        </w:rPr>
        <w:t>בעבודות שירות.</w:t>
      </w:r>
    </w:p>
    <w:p w14:paraId="3497F17C" w14:textId="77777777" w:rsidR="00A503FC" w:rsidRPr="00052526" w:rsidRDefault="00A503FC" w:rsidP="009E78AA">
      <w:pPr>
        <w:pStyle w:val="ListParagraph1"/>
        <w:ind w:firstLine="0"/>
        <w:rPr>
          <w:rtl/>
        </w:rPr>
      </w:pPr>
      <w:r w:rsidRPr="00052526">
        <w:rPr>
          <w:rtl/>
        </w:rPr>
        <w:t xml:space="preserve">בהתאם לאמור בחוות דעת הממונה על עבודות השירות מיום 29.07.2020, הנאשם יחל בריצוי המאסר </w:t>
      </w:r>
      <w:r w:rsidRPr="00052526">
        <w:rPr>
          <w:b/>
          <w:bCs/>
          <w:rtl/>
        </w:rPr>
        <w:t xml:space="preserve">ביום 14.10.2020, </w:t>
      </w:r>
      <w:r w:rsidRPr="00052526">
        <w:rPr>
          <w:rtl/>
        </w:rPr>
        <w:t xml:space="preserve">אלא אם הממונה יודיעו אחרת. העבודות תבוצענה במועצה הדתית אופקים, בכתובת: אלי כהן 9, אופקים. </w:t>
      </w:r>
    </w:p>
    <w:p w14:paraId="4417E3D6" w14:textId="77777777" w:rsidR="00A503FC" w:rsidRPr="00052526" w:rsidRDefault="00A503FC" w:rsidP="009E78AA">
      <w:pPr>
        <w:pStyle w:val="ListParagraph1"/>
        <w:ind w:firstLine="0"/>
        <w:rPr>
          <w:rtl/>
        </w:rPr>
      </w:pPr>
      <w:r w:rsidRPr="00052526">
        <w:rPr>
          <w:rtl/>
        </w:rPr>
        <w:t>על הנאשם להתייצב לריצוי המאסר במפקדת גוש דרום של שב"ס ביחידה לעבודות השירות במועד הנקוב או בכל מועד אחר שייקבע הממונה על עבודות השירות.</w:t>
      </w:r>
    </w:p>
    <w:p w14:paraId="638C4EA6" w14:textId="77777777" w:rsidR="00A503FC" w:rsidRPr="00052526" w:rsidRDefault="00A503FC" w:rsidP="009E78AA">
      <w:pPr>
        <w:pStyle w:val="ListParagraph1"/>
        <w:ind w:firstLine="0"/>
        <w:rPr>
          <w:b/>
          <w:bCs/>
          <w:rtl/>
        </w:rPr>
      </w:pPr>
      <w:r w:rsidRPr="00052526">
        <w:rPr>
          <w:rtl/>
        </w:rPr>
        <w:t>מוסבר לנאשם כי עליו לעמוד בתנאי העבודה, וכי כל הפרה של תנאי עבודות השירות עלולה להביא להפסקה מנהלית של העבודות ולריצוי יתרת התקופה במאסר ממש</w:t>
      </w:r>
      <w:r w:rsidRPr="00052526">
        <w:rPr>
          <w:b/>
          <w:bCs/>
          <w:rtl/>
        </w:rPr>
        <w:t>.</w:t>
      </w:r>
    </w:p>
    <w:p w14:paraId="18B22234" w14:textId="77777777" w:rsidR="00A503FC" w:rsidRPr="00A06659" w:rsidRDefault="00A503FC" w:rsidP="009E78AA">
      <w:pPr>
        <w:pStyle w:val="ListParagraph1"/>
        <w:ind w:firstLine="0"/>
        <w:rPr>
          <w:u w:val="single"/>
          <w:rtl/>
        </w:rPr>
      </w:pPr>
      <w:r w:rsidRPr="00A06659">
        <w:rPr>
          <w:u w:val="single"/>
          <w:rtl/>
        </w:rPr>
        <w:t>העתק ההחלטה בדחיפות לממונה על עבודות השירות.</w:t>
      </w:r>
    </w:p>
    <w:p w14:paraId="04D6EDF3" w14:textId="77777777" w:rsidR="00A503FC" w:rsidRPr="00052526" w:rsidRDefault="00A503FC" w:rsidP="009E78AA">
      <w:pPr>
        <w:pStyle w:val="ListParagraph1"/>
        <w:numPr>
          <w:ilvl w:val="0"/>
          <w:numId w:val="5"/>
        </w:numPr>
        <w:rPr>
          <w:b/>
          <w:bCs/>
          <w:rtl/>
        </w:rPr>
      </w:pPr>
      <w:r w:rsidRPr="00052526">
        <w:rPr>
          <w:b/>
          <w:bCs/>
          <w:rtl/>
        </w:rPr>
        <w:t>מאסר מותנה למשך 8 חודשים, אשר יופעל אם תוך תקופה של 3 שנים מהיום הנאשם יעבור עבירה לפי פקודת הסמים, מסוג פשע.</w:t>
      </w:r>
    </w:p>
    <w:p w14:paraId="44733A93" w14:textId="77777777" w:rsidR="00A503FC" w:rsidRPr="00052526" w:rsidRDefault="00A503FC" w:rsidP="009E78AA">
      <w:pPr>
        <w:pStyle w:val="ListParagraph1"/>
        <w:numPr>
          <w:ilvl w:val="0"/>
          <w:numId w:val="5"/>
        </w:numPr>
        <w:rPr>
          <w:b/>
          <w:bCs/>
          <w:rtl/>
        </w:rPr>
      </w:pPr>
      <w:r w:rsidRPr="00052526">
        <w:rPr>
          <w:b/>
          <w:bCs/>
          <w:rtl/>
        </w:rPr>
        <w:t>מאסר מותנה למשך 3 חודשים, אשר יופעל אם תוך תקופה של 3 שנים מהיום הנאשם יעבור עבירה לפי פקודת הסמים, מסוג עוון.</w:t>
      </w:r>
    </w:p>
    <w:p w14:paraId="139AF531" w14:textId="77777777" w:rsidR="00A503FC" w:rsidRPr="00052526" w:rsidRDefault="00A503FC" w:rsidP="009E78AA">
      <w:pPr>
        <w:pStyle w:val="ListParagraph1"/>
        <w:numPr>
          <w:ilvl w:val="0"/>
          <w:numId w:val="5"/>
        </w:numPr>
        <w:rPr>
          <w:rtl/>
        </w:rPr>
      </w:pPr>
      <w:r w:rsidRPr="00052526">
        <w:rPr>
          <w:b/>
          <w:bCs/>
          <w:rtl/>
        </w:rPr>
        <w:t>קנס בסך 9,000 ₪ או 70 ימי מאסר תמורתו.</w:t>
      </w:r>
    </w:p>
    <w:p w14:paraId="3ABD1FD5" w14:textId="77777777" w:rsidR="00A503FC" w:rsidRDefault="00A503FC" w:rsidP="009E78AA">
      <w:pPr>
        <w:pStyle w:val="ListParagraph1"/>
        <w:ind w:firstLine="0"/>
        <w:rPr>
          <w:rtl/>
        </w:rPr>
      </w:pPr>
      <w:r w:rsidRPr="00052526">
        <w:rPr>
          <w:rtl/>
        </w:rPr>
        <w:t>הקנס יק</w:t>
      </w:r>
      <w:r>
        <w:rPr>
          <w:rtl/>
        </w:rPr>
        <w:t>וזז מסכום ההפקדה שהופקדה במסגרת הליך המעצר מושא תיק זה. היתרה תושב למפקיד/ה.</w:t>
      </w:r>
    </w:p>
    <w:p w14:paraId="047B0FB7" w14:textId="77777777" w:rsidR="00A503FC" w:rsidRPr="00052526" w:rsidRDefault="00A503FC" w:rsidP="00D4594E">
      <w:pPr>
        <w:pStyle w:val="ListParagraph1"/>
        <w:ind w:firstLine="0"/>
        <w:rPr>
          <w:rtl/>
        </w:rPr>
      </w:pPr>
      <w:r w:rsidRPr="00052526">
        <w:rPr>
          <w:rtl/>
        </w:rPr>
        <w:t>ככל שיוברר כי לא קיימת הפקדה בתיק או שלא ניתן מסיבה חוקית כזו או אחרת לקזז     מתוכה את הקנס שהושת או את חלקו, כי אז הקנס או יתרת הקנס ישולם ב</w:t>
      </w:r>
      <w:r>
        <w:rPr>
          <w:rtl/>
        </w:rPr>
        <w:t>- 10</w:t>
      </w:r>
      <w:r w:rsidRPr="00052526">
        <w:rPr>
          <w:rtl/>
        </w:rPr>
        <w:t xml:space="preserve"> שיעורים שווים ו</w:t>
      </w:r>
      <w:r>
        <w:rPr>
          <w:rtl/>
        </w:rPr>
        <w:t xml:space="preserve">רצופים, שהראשון שבהם בתוך 30 יום מהיום. </w:t>
      </w:r>
    </w:p>
    <w:p w14:paraId="00169116" w14:textId="77777777" w:rsidR="00A503FC" w:rsidRPr="00052526" w:rsidRDefault="00A503FC" w:rsidP="009E78AA">
      <w:pPr>
        <w:pStyle w:val="ListParagraph1"/>
        <w:numPr>
          <w:ilvl w:val="0"/>
          <w:numId w:val="5"/>
        </w:numPr>
        <w:rPr>
          <w:b/>
          <w:bCs/>
          <w:rtl/>
        </w:rPr>
      </w:pPr>
      <w:r w:rsidRPr="00F05ECF">
        <w:rPr>
          <w:b/>
          <w:bCs/>
          <w:rtl/>
        </w:rPr>
        <w:t>אני פוסלת את הנאשם מלקבל או מלהחזיק רישיון נהיגה למשך 6 חודשים</w:t>
      </w:r>
      <w:r w:rsidRPr="00052526">
        <w:rPr>
          <w:rtl/>
        </w:rPr>
        <w:t xml:space="preserve">, וזאת </w:t>
      </w:r>
      <w:r w:rsidRPr="00F05ECF">
        <w:rPr>
          <w:rtl/>
        </w:rPr>
        <w:t xml:space="preserve">על תנאי    </w:t>
      </w:r>
      <w:r w:rsidRPr="00052526">
        <w:rPr>
          <w:rtl/>
        </w:rPr>
        <w:t>שלא יעבור כל עבירה בניגוד ל</w:t>
      </w:r>
      <w:hyperlink r:id="rId76" w:history="1">
        <w:r w:rsidR="00A83A3B" w:rsidRPr="00A83A3B">
          <w:rPr>
            <w:color w:val="0000FF"/>
            <w:u w:val="single"/>
            <w:rtl/>
          </w:rPr>
          <w:t>פקודת הסמים המסוכנים</w:t>
        </w:r>
      </w:hyperlink>
      <w:r w:rsidRPr="00052526">
        <w:rPr>
          <w:rtl/>
        </w:rPr>
        <w:t xml:space="preserve"> במשך שנתיים מהיום.</w:t>
      </w:r>
      <w:r w:rsidRPr="00052526">
        <w:rPr>
          <w:b/>
          <w:bCs/>
          <w:rtl/>
        </w:rPr>
        <w:t xml:space="preserve"> </w:t>
      </w:r>
    </w:p>
    <w:p w14:paraId="7CC8B5E8" w14:textId="77777777" w:rsidR="00A503FC" w:rsidRPr="00052526" w:rsidRDefault="00A503FC" w:rsidP="009E78AA">
      <w:pPr>
        <w:pStyle w:val="ListParagraph1"/>
        <w:numPr>
          <w:ilvl w:val="0"/>
          <w:numId w:val="5"/>
        </w:numPr>
        <w:rPr>
          <w:b/>
          <w:bCs/>
          <w:u w:val="single"/>
          <w:rtl/>
        </w:rPr>
      </w:pPr>
      <w:r w:rsidRPr="00052526">
        <w:rPr>
          <w:b/>
          <w:bCs/>
          <w:rtl/>
        </w:rPr>
        <w:t>הנאשם יצהיר  על התחייבות כספית על סך 20,000 ₪  שלא לעבור כל עבירה בניגוד ל</w:t>
      </w:r>
      <w:hyperlink r:id="rId77" w:history="1">
        <w:r w:rsidR="00A83A3B" w:rsidRPr="00A83A3B">
          <w:rPr>
            <w:b/>
            <w:bCs/>
            <w:color w:val="0000FF"/>
            <w:u w:val="single"/>
            <w:rtl/>
          </w:rPr>
          <w:t>פקודת הסמים המסוכנים</w:t>
        </w:r>
      </w:hyperlink>
      <w:r w:rsidRPr="00052526">
        <w:rPr>
          <w:b/>
          <w:bCs/>
          <w:rtl/>
        </w:rPr>
        <w:t xml:space="preserve">, וזאת לתקופה של שלוש שנים מהיום. </w:t>
      </w:r>
    </w:p>
    <w:p w14:paraId="3AF778F9" w14:textId="77777777" w:rsidR="00A503FC" w:rsidRPr="00052526" w:rsidRDefault="00A503FC" w:rsidP="009E78AA">
      <w:pPr>
        <w:pStyle w:val="ListParagraph1"/>
        <w:spacing w:after="0"/>
        <w:ind w:left="1247" w:firstLine="0"/>
      </w:pPr>
    </w:p>
    <w:p w14:paraId="42E8BB1A" w14:textId="77777777" w:rsidR="00A503FC" w:rsidRDefault="00A503FC" w:rsidP="009E78AA">
      <w:pPr>
        <w:spacing w:line="360" w:lineRule="auto"/>
        <w:ind w:left="142" w:hanging="524"/>
        <w:rPr>
          <w:rFonts w:ascii="David" w:hAnsi="David"/>
          <w:b/>
          <w:bCs/>
          <w:noProof w:val="0"/>
          <w:rtl/>
        </w:rPr>
      </w:pPr>
      <w:r w:rsidRPr="00052526">
        <w:rPr>
          <w:rFonts w:ascii="David" w:hAnsi="David"/>
          <w:b/>
          <w:bCs/>
          <w:noProof w:val="0"/>
          <w:rtl/>
        </w:rPr>
        <w:t>זכות ערעור כחוק</w:t>
      </w:r>
      <w:r w:rsidRPr="00052526">
        <w:rPr>
          <w:rFonts w:ascii="David" w:hAnsi="David"/>
          <w:noProof w:val="0"/>
          <w:rtl/>
        </w:rPr>
        <w:t>.</w:t>
      </w:r>
    </w:p>
    <w:p w14:paraId="755EBBB2" w14:textId="77777777" w:rsidR="00A503FC" w:rsidRDefault="00A503FC" w:rsidP="009E78AA">
      <w:pPr>
        <w:spacing w:line="360" w:lineRule="auto"/>
        <w:ind w:left="142" w:hanging="524"/>
        <w:rPr>
          <w:rFonts w:ascii="David" w:hAnsi="David"/>
          <w:b/>
          <w:bCs/>
          <w:noProof w:val="0"/>
          <w:rtl/>
        </w:rPr>
      </w:pPr>
    </w:p>
    <w:p w14:paraId="4E53810B" w14:textId="77777777" w:rsidR="00A503FC" w:rsidRPr="00052526" w:rsidRDefault="00A503FC" w:rsidP="009E78AA">
      <w:pPr>
        <w:spacing w:line="360" w:lineRule="auto"/>
        <w:ind w:left="142" w:hanging="524"/>
        <w:rPr>
          <w:rFonts w:ascii="David" w:hAnsi="David"/>
          <w:b/>
          <w:bCs/>
          <w:noProof w:val="0"/>
          <w:rtl/>
        </w:rPr>
      </w:pPr>
      <w:r w:rsidRPr="00052526">
        <w:rPr>
          <w:rFonts w:ascii="David" w:hAnsi="David"/>
          <w:b/>
          <w:bCs/>
          <w:noProof w:val="0"/>
          <w:rtl/>
        </w:rPr>
        <w:t>נית</w:t>
      </w:r>
      <w:r>
        <w:rPr>
          <w:rFonts w:ascii="David" w:hAnsi="David"/>
          <w:b/>
          <w:bCs/>
          <w:noProof w:val="0"/>
          <w:rtl/>
        </w:rPr>
        <w:t>ן</w:t>
      </w:r>
      <w:r w:rsidRPr="00052526">
        <w:rPr>
          <w:rFonts w:ascii="David" w:hAnsi="David"/>
          <w:b/>
          <w:bCs/>
          <w:noProof w:val="0"/>
          <w:rtl/>
        </w:rPr>
        <w:t xml:space="preserve"> היום,  </w:t>
      </w:r>
      <w:r>
        <w:rPr>
          <w:rFonts w:ascii="David" w:hAnsi="David"/>
          <w:b/>
          <w:bCs/>
          <w:noProof w:val="0"/>
          <w:rtl/>
        </w:rPr>
        <w:t>י"ד אב תש"פ</w:t>
      </w:r>
      <w:r w:rsidRPr="00052526">
        <w:rPr>
          <w:rFonts w:ascii="David" w:hAnsi="David"/>
          <w:b/>
          <w:bCs/>
          <w:noProof w:val="0"/>
          <w:rtl/>
        </w:rPr>
        <w:t xml:space="preserve">, </w:t>
      </w:r>
      <w:r>
        <w:rPr>
          <w:rFonts w:ascii="David" w:hAnsi="David"/>
          <w:b/>
          <w:bCs/>
          <w:noProof w:val="0"/>
          <w:rtl/>
        </w:rPr>
        <w:t>04 אוגוסט 2020, במעמד</w:t>
      </w:r>
      <w:r w:rsidRPr="00052526">
        <w:rPr>
          <w:rFonts w:ascii="David" w:hAnsi="David"/>
          <w:b/>
          <w:bCs/>
          <w:noProof w:val="0"/>
          <w:rtl/>
        </w:rPr>
        <w:t xml:space="preserve"> הצדדים.</w:t>
      </w:r>
    </w:p>
    <w:p w14:paraId="748A53B1" w14:textId="77777777" w:rsidR="00A503FC" w:rsidRPr="00052526" w:rsidRDefault="00A503FC" w:rsidP="009E78AA">
      <w:pPr>
        <w:spacing w:line="360" w:lineRule="auto"/>
        <w:jc w:val="both"/>
        <w:rPr>
          <w:rFonts w:ascii="David" w:hAnsi="David"/>
          <w:noProof w:val="0"/>
          <w:rtl/>
        </w:rPr>
      </w:pPr>
    </w:p>
    <w:p w14:paraId="79B99F30" w14:textId="77777777" w:rsidR="00A503FC" w:rsidRPr="00052526" w:rsidRDefault="00A503FC" w:rsidP="009E78AA">
      <w:pPr>
        <w:spacing w:line="360" w:lineRule="auto"/>
        <w:ind w:left="3600" w:firstLine="720"/>
        <w:jc w:val="both"/>
      </w:pPr>
      <w:r w:rsidRPr="00865B4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78" o:title=""/>
          </v:shape>
        </w:pict>
      </w:r>
    </w:p>
    <w:p w14:paraId="611CF83C" w14:textId="77777777" w:rsidR="00A503FC" w:rsidRPr="00052526" w:rsidRDefault="00A503FC" w:rsidP="009E78AA">
      <w:pPr>
        <w:spacing w:line="360" w:lineRule="auto"/>
        <w:ind w:left="3600" w:firstLine="720"/>
        <w:jc w:val="both"/>
        <w:rPr>
          <w:rFonts w:ascii="David" w:hAnsi="David"/>
          <w:noProof w:val="0"/>
          <w:rtl/>
        </w:rPr>
      </w:pPr>
    </w:p>
    <w:p w14:paraId="2F6C031E" w14:textId="77777777" w:rsidR="00A503FC" w:rsidRPr="00052526" w:rsidRDefault="00A503FC" w:rsidP="009E78AA">
      <w:pPr>
        <w:spacing w:line="360" w:lineRule="auto"/>
        <w:jc w:val="both"/>
        <w:rPr>
          <w:rFonts w:ascii="David" w:hAnsi="David"/>
          <w:noProof w:val="0"/>
          <w:rtl/>
        </w:rPr>
      </w:pPr>
    </w:p>
    <w:p w14:paraId="5DC07043" w14:textId="77777777" w:rsidR="00A503FC" w:rsidRPr="00052526" w:rsidRDefault="00A503FC" w:rsidP="009E78AA">
      <w:pPr>
        <w:spacing w:line="360" w:lineRule="auto"/>
        <w:jc w:val="both"/>
        <w:rPr>
          <w:rFonts w:ascii="David" w:hAnsi="David"/>
          <w:noProof w:val="0"/>
          <w:rtl/>
        </w:rPr>
      </w:pPr>
    </w:p>
    <w:p w14:paraId="3A9F966D" w14:textId="77777777" w:rsidR="00A503FC" w:rsidRDefault="00A503FC" w:rsidP="009E78AA">
      <w:pPr>
        <w:spacing w:line="360" w:lineRule="auto"/>
        <w:rPr>
          <w:rFonts w:ascii="David" w:hAnsi="David"/>
          <w:b/>
          <w:bCs/>
          <w:noProof w:val="0"/>
          <w:u w:val="single"/>
          <w:rtl/>
        </w:rPr>
      </w:pPr>
    </w:p>
    <w:p w14:paraId="175AB681" w14:textId="77777777" w:rsidR="00A503FC" w:rsidRDefault="00A503FC" w:rsidP="009E78AA">
      <w:pPr>
        <w:spacing w:line="360" w:lineRule="auto"/>
        <w:rPr>
          <w:rFonts w:ascii="David" w:hAnsi="David"/>
          <w:b/>
          <w:bCs/>
          <w:noProof w:val="0"/>
          <w:u w:val="single"/>
          <w:rtl/>
        </w:rPr>
      </w:pPr>
    </w:p>
    <w:p w14:paraId="0E1843B7" w14:textId="77777777" w:rsidR="00A503FC" w:rsidRDefault="00A503FC" w:rsidP="009E78AA">
      <w:pPr>
        <w:spacing w:line="360" w:lineRule="auto"/>
        <w:rPr>
          <w:rFonts w:ascii="David" w:hAnsi="David"/>
          <w:b/>
          <w:bCs/>
          <w:noProof w:val="0"/>
          <w:u w:val="single"/>
          <w:rtl/>
        </w:rPr>
      </w:pPr>
    </w:p>
    <w:p w14:paraId="53EA7695" w14:textId="77777777" w:rsidR="00A503FC" w:rsidRDefault="00A503FC" w:rsidP="00A06659">
      <w:pPr>
        <w:spacing w:line="360" w:lineRule="auto"/>
        <w:jc w:val="both"/>
        <w:rPr>
          <w:rFonts w:ascii="David" w:hAnsi="David"/>
          <w:b/>
          <w:bCs/>
          <w:noProof w:val="0"/>
          <w:u w:val="single"/>
          <w:rtl/>
        </w:rPr>
      </w:pPr>
    </w:p>
    <w:p w14:paraId="64D40752" w14:textId="77777777" w:rsidR="00A503FC" w:rsidRDefault="00A503FC" w:rsidP="00A06659">
      <w:pPr>
        <w:spacing w:line="360" w:lineRule="auto"/>
        <w:jc w:val="both"/>
        <w:rPr>
          <w:rFonts w:ascii="David" w:hAnsi="David"/>
          <w:b/>
          <w:bCs/>
          <w:noProof w:val="0"/>
          <w:u w:val="single"/>
          <w:rtl/>
        </w:rPr>
      </w:pPr>
      <w:r>
        <w:rPr>
          <w:rFonts w:ascii="David" w:hAnsi="David"/>
          <w:b/>
          <w:bCs/>
          <w:noProof w:val="0"/>
          <w:u w:val="single"/>
          <w:rtl/>
        </w:rPr>
        <w:t>באת כח הנאשם:</w:t>
      </w:r>
    </w:p>
    <w:p w14:paraId="3529C2C9" w14:textId="77777777" w:rsidR="00A503FC" w:rsidRDefault="00A503FC" w:rsidP="00A06659">
      <w:pPr>
        <w:spacing w:line="360" w:lineRule="auto"/>
        <w:jc w:val="both"/>
        <w:rPr>
          <w:rFonts w:ascii="David" w:hAnsi="David"/>
          <w:noProof w:val="0"/>
          <w:rtl/>
        </w:rPr>
      </w:pPr>
      <w:r w:rsidRPr="00D4594E">
        <w:rPr>
          <w:rFonts w:ascii="David" w:hAnsi="David"/>
          <w:noProof w:val="0"/>
          <w:rtl/>
        </w:rPr>
        <w:t>אני מסכימה לחילוט/הפקדה של כל המוצגים בתיק למעט פלאפונים שככל שישנם יושבו לבעלים.</w:t>
      </w:r>
    </w:p>
    <w:p w14:paraId="1E226560" w14:textId="77777777" w:rsidR="00A503FC" w:rsidRDefault="00A503FC" w:rsidP="00D4594E">
      <w:pPr>
        <w:spacing w:line="360" w:lineRule="auto"/>
        <w:jc w:val="center"/>
        <w:rPr>
          <w:rFonts w:ascii="David" w:hAnsi="David"/>
          <w:b/>
          <w:bCs/>
          <w:noProof w:val="0"/>
          <w:sz w:val="28"/>
          <w:szCs w:val="28"/>
          <w:u w:val="single"/>
          <w:rtl/>
        </w:rPr>
      </w:pPr>
    </w:p>
    <w:p w14:paraId="2897CAE0" w14:textId="77777777" w:rsidR="00A503FC" w:rsidRPr="00D4594E" w:rsidRDefault="00A503FC" w:rsidP="00D4594E">
      <w:pPr>
        <w:spacing w:line="360" w:lineRule="auto"/>
        <w:jc w:val="center"/>
        <w:rPr>
          <w:rFonts w:ascii="David" w:hAnsi="David"/>
          <w:b/>
          <w:bCs/>
          <w:noProof w:val="0"/>
          <w:sz w:val="28"/>
          <w:szCs w:val="28"/>
          <w:u w:val="single"/>
          <w:rtl/>
        </w:rPr>
      </w:pPr>
      <w:r w:rsidRPr="00D4594E">
        <w:rPr>
          <w:rFonts w:ascii="David" w:hAnsi="David"/>
          <w:b/>
          <w:bCs/>
          <w:noProof w:val="0"/>
          <w:sz w:val="28"/>
          <w:szCs w:val="28"/>
          <w:u w:val="single"/>
          <w:rtl/>
        </w:rPr>
        <w:t>החלטה</w:t>
      </w:r>
    </w:p>
    <w:p w14:paraId="624EB349" w14:textId="77777777" w:rsidR="00A503FC" w:rsidRDefault="00A503FC" w:rsidP="00A06659">
      <w:pPr>
        <w:spacing w:line="360" w:lineRule="auto"/>
        <w:jc w:val="both"/>
        <w:rPr>
          <w:rFonts w:ascii="David" w:hAnsi="David"/>
          <w:noProof w:val="0"/>
          <w:rtl/>
        </w:rPr>
      </w:pPr>
      <w:r>
        <w:rPr>
          <w:rFonts w:ascii="David" w:hAnsi="David"/>
          <w:noProof w:val="0"/>
          <w:rtl/>
        </w:rPr>
        <w:t>ניתן צו לחילוט/השמדה לשיקול דעת הרשם של כל המוצגים בתיק.</w:t>
      </w:r>
    </w:p>
    <w:p w14:paraId="0040F567" w14:textId="77777777" w:rsidR="00A503FC" w:rsidRDefault="00A503FC" w:rsidP="00A06659">
      <w:pPr>
        <w:spacing w:line="360" w:lineRule="auto"/>
        <w:jc w:val="both"/>
        <w:rPr>
          <w:rFonts w:ascii="David" w:hAnsi="David"/>
          <w:noProof w:val="0"/>
          <w:rtl/>
        </w:rPr>
      </w:pPr>
      <w:r>
        <w:rPr>
          <w:rFonts w:ascii="David" w:hAnsi="David"/>
          <w:noProof w:val="0"/>
          <w:rtl/>
        </w:rPr>
        <w:t>ניתן צו להשבת הפלאפונים והכספים שנתפסו לבעלים.</w:t>
      </w:r>
    </w:p>
    <w:p w14:paraId="571329E3" w14:textId="77777777" w:rsidR="00A503FC" w:rsidRDefault="00A503FC" w:rsidP="00D4594E">
      <w:pPr>
        <w:tabs>
          <w:tab w:val="right" w:pos="7371"/>
        </w:tabs>
        <w:spacing w:line="360" w:lineRule="auto"/>
        <w:ind w:right="-625"/>
        <w:jc w:val="both"/>
        <w:rPr>
          <w:noProof w:val="0"/>
          <w:sz w:val="6"/>
          <w:szCs w:val="6"/>
          <w:rtl/>
        </w:rPr>
      </w:pPr>
      <w:r>
        <w:rPr>
          <w:b/>
          <w:bCs/>
          <w:noProof w:val="0"/>
          <w:rtl/>
        </w:rPr>
        <w:t xml:space="preserve">ניתנה והודעה היום י"ד אב תש"פ, </w:t>
      </w:r>
      <w:r>
        <w:rPr>
          <w:b/>
          <w:bCs/>
        </w:rPr>
        <w:t>04/08/2020</w:t>
      </w:r>
      <w:r>
        <w:rPr>
          <w:b/>
          <w:bCs/>
          <w:noProof w:val="0"/>
          <w:rtl/>
        </w:rPr>
        <w:t xml:space="preserve"> במעמד הנוכחים.</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A503FC" w14:paraId="0C37F251" w14:textId="77777777" w:rsidTr="00155DF7">
        <w:trPr>
          <w:trHeight w:val="316"/>
        </w:trPr>
        <w:tc>
          <w:tcPr>
            <w:tcW w:w="3936" w:type="dxa"/>
            <w:tcBorders>
              <w:top w:val="nil"/>
              <w:left w:val="nil"/>
              <w:right w:val="nil"/>
            </w:tcBorders>
          </w:tcPr>
          <w:p w14:paraId="153ACF86" w14:textId="77777777" w:rsidR="00A503FC" w:rsidRDefault="00A503FC" w:rsidP="00155DF7">
            <w:pPr>
              <w:jc w:val="center"/>
              <w:rPr>
                <w:noProof w:val="0"/>
                <w:rtl/>
              </w:rPr>
            </w:pPr>
            <w:r w:rsidRPr="00865B4C">
              <w:pict w14:anchorId="05B91C57">
                <v:shape id="תמונה 3" o:spid="_x0000_i1027" type="#_x0000_t75" style="width:157.5pt;height:27.75pt;visibility:visible">
                  <v:imagedata r:id="rId79" o:title=""/>
                </v:shape>
              </w:pict>
            </w:r>
          </w:p>
        </w:tc>
      </w:tr>
      <w:tr w:rsidR="00A503FC" w14:paraId="2C476B75" w14:textId="77777777" w:rsidTr="00155DF7">
        <w:trPr>
          <w:trHeight w:val="361"/>
        </w:trPr>
        <w:tc>
          <w:tcPr>
            <w:tcW w:w="3936" w:type="dxa"/>
            <w:tcBorders>
              <w:left w:val="nil"/>
              <w:bottom w:val="nil"/>
              <w:right w:val="nil"/>
            </w:tcBorders>
          </w:tcPr>
          <w:p w14:paraId="5957CE76" w14:textId="77777777" w:rsidR="00A503FC" w:rsidRPr="00155DF7" w:rsidRDefault="00A503FC" w:rsidP="00155DF7">
            <w:pPr>
              <w:jc w:val="center"/>
              <w:rPr>
                <w:b/>
                <w:bCs/>
                <w:noProof w:val="0"/>
                <w:rtl/>
              </w:rPr>
            </w:pPr>
            <w:r w:rsidRPr="00155DF7">
              <w:rPr>
                <w:b/>
                <w:bCs/>
                <w:noProof w:val="0"/>
                <w:rtl/>
              </w:rPr>
              <w:t xml:space="preserve">נגה שמואלי </w:t>
            </w:r>
            <w:r w:rsidRPr="00155DF7">
              <w:rPr>
                <w:b/>
                <w:bCs/>
                <w:noProof w:val="0"/>
                <w:vertAlign w:val="superscript"/>
                <w:rtl/>
              </w:rPr>
              <w:t>–</w:t>
            </w:r>
            <w:r w:rsidRPr="00155DF7">
              <w:rPr>
                <w:b/>
                <w:bCs/>
                <w:noProof w:val="0"/>
                <w:rtl/>
              </w:rPr>
              <w:t xml:space="preserve"> מאייר, שופטת </w:t>
            </w:r>
          </w:p>
          <w:p w14:paraId="1898782F" w14:textId="77777777" w:rsidR="00A503FC" w:rsidRPr="00155DF7" w:rsidRDefault="00A503FC" w:rsidP="00155DF7">
            <w:pPr>
              <w:jc w:val="center"/>
              <w:rPr>
                <w:b/>
                <w:bCs/>
              </w:rPr>
            </w:pPr>
            <w:r w:rsidRPr="00155DF7">
              <w:rPr>
                <w:b/>
                <w:bCs/>
                <w:noProof w:val="0"/>
                <w:rtl/>
              </w:rPr>
              <w:t>סגנית נשיא</w:t>
            </w:r>
          </w:p>
        </w:tc>
      </w:tr>
    </w:tbl>
    <w:p w14:paraId="4AF22CD0" w14:textId="77777777" w:rsidR="00A503FC" w:rsidRDefault="00A503FC" w:rsidP="00A06659">
      <w:pPr>
        <w:spacing w:line="360" w:lineRule="auto"/>
        <w:jc w:val="both"/>
        <w:rPr>
          <w:rFonts w:ascii="David" w:hAnsi="David"/>
          <w:b/>
          <w:bCs/>
          <w:noProof w:val="0"/>
          <w:u w:val="single"/>
          <w:rtl/>
        </w:rPr>
      </w:pPr>
      <w:r>
        <w:rPr>
          <w:rFonts w:ascii="David" w:hAnsi="David"/>
          <w:b/>
          <w:bCs/>
          <w:noProof w:val="0"/>
          <w:u w:val="single"/>
          <w:rtl/>
        </w:rPr>
        <w:t>ב"כ המאשימה:</w:t>
      </w:r>
    </w:p>
    <w:p w14:paraId="47AE0213" w14:textId="77777777" w:rsidR="00A503FC" w:rsidRPr="00F05ECF" w:rsidRDefault="00A503FC" w:rsidP="00F05ECF">
      <w:pPr>
        <w:spacing w:line="360" w:lineRule="auto"/>
        <w:jc w:val="both"/>
        <w:rPr>
          <w:rFonts w:ascii="David" w:hAnsi="David"/>
          <w:noProof w:val="0"/>
          <w:rtl/>
        </w:rPr>
      </w:pPr>
      <w:r w:rsidRPr="00F05ECF">
        <w:rPr>
          <w:rFonts w:ascii="David" w:hAnsi="David"/>
          <w:noProof w:val="0"/>
          <w:rtl/>
        </w:rPr>
        <w:t>לאור העובדה כי ממילא ביהמ"ש גזר על הנאשם כי עבודות השירות תחלנה בפרק זמן ממושך יותר מ- 45 יום אז אין צורך כי אעתור לעיכוב ביצוע ובכל מקרה נבקש כי הריצוי לא יהיה קודם לכן.</w:t>
      </w:r>
    </w:p>
    <w:p w14:paraId="79927CEC" w14:textId="77777777" w:rsidR="00A503FC" w:rsidRDefault="00A503FC" w:rsidP="00F05ECF">
      <w:pPr>
        <w:spacing w:line="360" w:lineRule="auto"/>
        <w:jc w:val="both"/>
        <w:rPr>
          <w:rFonts w:ascii="David" w:hAnsi="David"/>
          <w:b/>
          <w:bCs/>
          <w:noProof w:val="0"/>
          <w:u w:val="single"/>
          <w:rtl/>
        </w:rPr>
      </w:pPr>
    </w:p>
    <w:p w14:paraId="03CF6AC4" w14:textId="77777777" w:rsidR="00A503FC" w:rsidRDefault="00A503FC" w:rsidP="00A06659">
      <w:pPr>
        <w:spacing w:line="360" w:lineRule="auto"/>
        <w:jc w:val="both"/>
        <w:rPr>
          <w:rFonts w:ascii="David" w:hAnsi="David"/>
          <w:noProof w:val="0"/>
          <w:rtl/>
        </w:rPr>
      </w:pPr>
      <w:r w:rsidRPr="00052526">
        <w:rPr>
          <w:rFonts w:ascii="David" w:hAnsi="David"/>
          <w:b/>
          <w:bCs/>
          <w:noProof w:val="0"/>
          <w:u w:val="single"/>
          <w:rtl/>
        </w:rPr>
        <w:t>הנאשם</w:t>
      </w:r>
      <w:r>
        <w:rPr>
          <w:rFonts w:ascii="David" w:hAnsi="David"/>
          <w:noProof w:val="0"/>
          <w:rtl/>
        </w:rPr>
        <w:t>:</w:t>
      </w:r>
    </w:p>
    <w:p w14:paraId="473F8C96" w14:textId="77777777" w:rsidR="00A503FC" w:rsidRDefault="00A503FC" w:rsidP="00A06659">
      <w:pPr>
        <w:spacing w:line="360" w:lineRule="auto"/>
        <w:jc w:val="both"/>
        <w:rPr>
          <w:rFonts w:ascii="David" w:hAnsi="David"/>
          <w:b/>
          <w:bCs/>
          <w:noProof w:val="0"/>
          <w:rtl/>
        </w:rPr>
      </w:pPr>
      <w:r w:rsidRPr="00052526">
        <w:rPr>
          <w:rFonts w:ascii="David" w:hAnsi="David"/>
          <w:noProof w:val="0"/>
          <w:rtl/>
        </w:rPr>
        <w:t>כמפורט בגזר הדין, אני מתחייב להימנע במשך שלוש שנים מהיום מביצוע כל עבירה בניגוד ל</w:t>
      </w:r>
      <w:hyperlink r:id="rId80" w:history="1">
        <w:r w:rsidR="00A83A3B" w:rsidRPr="00A83A3B">
          <w:rPr>
            <w:rFonts w:ascii="David" w:hAnsi="David"/>
            <w:noProof w:val="0"/>
            <w:color w:val="0000FF"/>
            <w:u w:val="single"/>
            <w:rtl/>
          </w:rPr>
          <w:t>פקודת הסמים המסוכנים</w:t>
        </w:r>
      </w:hyperlink>
      <w:r w:rsidRPr="00052526">
        <w:rPr>
          <w:rFonts w:ascii="David" w:hAnsi="David"/>
          <w:noProof w:val="0"/>
          <w:rtl/>
        </w:rPr>
        <w:t>. הובהר לי כי ככל שאבצע כל עבירה בניגוד ל</w:t>
      </w:r>
      <w:hyperlink r:id="rId81" w:history="1">
        <w:r w:rsidR="00A83A3B" w:rsidRPr="00A83A3B">
          <w:rPr>
            <w:rFonts w:ascii="David" w:hAnsi="David"/>
            <w:noProof w:val="0"/>
            <w:color w:val="0000FF"/>
            <w:u w:val="single"/>
            <w:rtl/>
          </w:rPr>
          <w:t>פקודת הסמים המסוכנים</w:t>
        </w:r>
      </w:hyperlink>
      <w:r w:rsidRPr="00052526">
        <w:rPr>
          <w:rFonts w:ascii="David" w:hAnsi="David"/>
          <w:noProof w:val="0"/>
          <w:rtl/>
        </w:rPr>
        <w:t xml:space="preserve">, במשך שלוש שנים מהיום, יושת עלי סך של 20,000 ₪ במזומן. </w:t>
      </w:r>
    </w:p>
    <w:p w14:paraId="6C0136D9" w14:textId="77777777" w:rsidR="00A503FC" w:rsidRDefault="00A503FC" w:rsidP="009E78AA">
      <w:pPr>
        <w:spacing w:line="360" w:lineRule="auto"/>
        <w:jc w:val="center"/>
        <w:rPr>
          <w:rFonts w:ascii="David" w:hAnsi="David"/>
          <w:b/>
          <w:bCs/>
          <w:noProof w:val="0"/>
          <w:u w:val="single"/>
          <w:rtl/>
        </w:rPr>
      </w:pPr>
    </w:p>
    <w:p w14:paraId="05A2134E" w14:textId="77777777" w:rsidR="00A503FC" w:rsidRDefault="00A503FC" w:rsidP="00A21249">
      <w:pPr>
        <w:spacing w:line="360" w:lineRule="auto"/>
        <w:jc w:val="center"/>
        <w:rPr>
          <w:rFonts w:ascii="David" w:hAnsi="David"/>
          <w:b/>
          <w:bCs/>
          <w:noProof w:val="0"/>
          <w:u w:val="single"/>
          <w:rtl/>
        </w:rPr>
      </w:pPr>
      <w:r w:rsidRPr="009E78AA">
        <w:rPr>
          <w:rFonts w:ascii="David" w:hAnsi="David"/>
          <w:b/>
          <w:bCs/>
          <w:noProof w:val="0"/>
          <w:u w:val="single"/>
          <w:rtl/>
        </w:rPr>
        <w:t>החלטה</w:t>
      </w:r>
    </w:p>
    <w:p w14:paraId="35CB3D2D" w14:textId="77777777" w:rsidR="00A503FC" w:rsidRDefault="00A503FC" w:rsidP="00A21249">
      <w:pPr>
        <w:spacing w:line="360" w:lineRule="auto"/>
        <w:rPr>
          <w:rFonts w:ascii="David" w:hAnsi="David"/>
          <w:b/>
          <w:bCs/>
          <w:noProof w:val="0"/>
          <w:u w:val="single"/>
          <w:rtl/>
        </w:rPr>
      </w:pPr>
    </w:p>
    <w:p w14:paraId="50F6B6C5" w14:textId="77777777" w:rsidR="00A503FC" w:rsidRDefault="00A83A3B" w:rsidP="00A21249">
      <w:pPr>
        <w:spacing w:line="360" w:lineRule="auto"/>
        <w:rPr>
          <w:noProof w:val="0"/>
          <w:sz w:val="6"/>
          <w:szCs w:val="6"/>
          <w:rtl/>
        </w:rPr>
      </w:pPr>
      <w:r w:rsidRPr="00A83A3B">
        <w:rPr>
          <w:rFonts w:ascii="David" w:hAnsi="David"/>
          <w:b/>
          <w:bCs/>
          <w:noProof w:val="0"/>
          <w:color w:val="FFFFFF"/>
          <w:sz w:val="2"/>
          <w:szCs w:val="2"/>
          <w:rtl/>
        </w:rPr>
        <w:t>5129371</w:t>
      </w:r>
      <w:r w:rsidR="00A503FC" w:rsidRPr="00052526">
        <w:rPr>
          <w:rFonts w:ascii="David" w:hAnsi="David"/>
          <w:b/>
          <w:bCs/>
          <w:noProof w:val="0"/>
          <w:rtl/>
        </w:rPr>
        <w:t xml:space="preserve">נרשמה לפניי התחייבות הנאשם כמפורט בגזר הדין. </w:t>
      </w:r>
      <w:r w:rsidR="00A503FC">
        <w:rPr>
          <w:noProof w:val="0"/>
          <w:sz w:val="6"/>
          <w:szCs w:val="6"/>
          <w:rtl/>
        </w:rPr>
        <w:t>&lt;#3#&gt;</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A503FC" w14:paraId="46C72CC2" w14:textId="77777777" w:rsidTr="00155DF7">
        <w:trPr>
          <w:trHeight w:val="316"/>
        </w:trPr>
        <w:tc>
          <w:tcPr>
            <w:tcW w:w="3936" w:type="dxa"/>
            <w:tcBorders>
              <w:top w:val="nil"/>
              <w:left w:val="nil"/>
              <w:right w:val="nil"/>
            </w:tcBorders>
          </w:tcPr>
          <w:p w14:paraId="23CE9216" w14:textId="77777777" w:rsidR="00A503FC" w:rsidRDefault="00A83A3B" w:rsidP="00A83A3B">
            <w:pPr>
              <w:jc w:val="center"/>
              <w:rPr>
                <w:rFonts w:hint="cs"/>
                <w:noProof w:val="0"/>
                <w:rtl/>
              </w:rPr>
            </w:pPr>
            <w:bookmarkStart w:id="8" w:name="Nitan"/>
            <w:r w:rsidRPr="00A83A3B">
              <w:rPr>
                <w:b/>
                <w:bCs/>
                <w:noProof w:val="0"/>
                <w:color w:val="FFFFFF"/>
                <w:sz w:val="2"/>
                <w:szCs w:val="2"/>
                <w:rtl/>
              </w:rPr>
              <w:t>54678313</w:t>
            </w:r>
            <w:r>
              <w:rPr>
                <w:b/>
                <w:bCs/>
                <w:noProof w:val="0"/>
                <w:rtl/>
              </w:rPr>
              <w:t xml:space="preserve">ניתנה והודעה היום י"ד אב תש"פ, 04/08/2020 במעמד הנוכחים. </w:t>
            </w:r>
            <w:bookmarkEnd w:id="8"/>
          </w:p>
        </w:tc>
      </w:tr>
      <w:tr w:rsidR="00A503FC" w14:paraId="36C5BA73" w14:textId="77777777" w:rsidTr="00155DF7">
        <w:trPr>
          <w:trHeight w:val="361"/>
        </w:trPr>
        <w:tc>
          <w:tcPr>
            <w:tcW w:w="3936" w:type="dxa"/>
            <w:tcBorders>
              <w:left w:val="nil"/>
              <w:bottom w:val="nil"/>
              <w:right w:val="nil"/>
            </w:tcBorders>
          </w:tcPr>
          <w:p w14:paraId="620CF55A" w14:textId="77777777" w:rsidR="00A503FC" w:rsidRPr="00155DF7" w:rsidRDefault="00A503FC" w:rsidP="00155DF7">
            <w:pPr>
              <w:jc w:val="center"/>
              <w:rPr>
                <w:b/>
                <w:bCs/>
                <w:noProof w:val="0"/>
                <w:rtl/>
              </w:rPr>
            </w:pPr>
            <w:r w:rsidRPr="00155DF7">
              <w:rPr>
                <w:b/>
                <w:bCs/>
                <w:noProof w:val="0"/>
                <w:rtl/>
              </w:rPr>
              <w:t xml:space="preserve">נגה שמואלי </w:t>
            </w:r>
            <w:r w:rsidRPr="00155DF7">
              <w:rPr>
                <w:b/>
                <w:bCs/>
                <w:noProof w:val="0"/>
                <w:vertAlign w:val="superscript"/>
                <w:rtl/>
              </w:rPr>
              <w:t>–</w:t>
            </w:r>
            <w:r w:rsidRPr="00155DF7">
              <w:rPr>
                <w:b/>
                <w:bCs/>
                <w:noProof w:val="0"/>
                <w:rtl/>
              </w:rPr>
              <w:t xml:space="preserve"> מאייר, שופטת </w:t>
            </w:r>
          </w:p>
          <w:p w14:paraId="262D6699" w14:textId="77777777" w:rsidR="00A503FC" w:rsidRPr="00155DF7" w:rsidRDefault="00A503FC" w:rsidP="00155DF7">
            <w:pPr>
              <w:jc w:val="center"/>
              <w:rPr>
                <w:b/>
                <w:bCs/>
              </w:rPr>
            </w:pPr>
            <w:r w:rsidRPr="00155DF7">
              <w:rPr>
                <w:b/>
                <w:bCs/>
                <w:noProof w:val="0"/>
                <w:rtl/>
              </w:rPr>
              <w:t>סגנית נשיא</w:t>
            </w:r>
          </w:p>
        </w:tc>
      </w:tr>
    </w:tbl>
    <w:p w14:paraId="5A8E9076" w14:textId="77777777" w:rsidR="00A503FC" w:rsidRPr="00A83A3B" w:rsidRDefault="00A503FC" w:rsidP="00A83A3B">
      <w:pPr>
        <w:keepNext/>
        <w:spacing w:line="360" w:lineRule="auto"/>
        <w:rPr>
          <w:rFonts w:ascii="David" w:hAnsi="David" w:hint="cs"/>
          <w:noProof w:val="0"/>
          <w:color w:val="000000"/>
          <w:sz w:val="22"/>
          <w:szCs w:val="22"/>
          <w:rtl/>
        </w:rPr>
      </w:pPr>
    </w:p>
    <w:p w14:paraId="2A48F209" w14:textId="77777777" w:rsidR="00A83A3B" w:rsidRPr="00A83A3B" w:rsidRDefault="00A83A3B" w:rsidP="00A83A3B">
      <w:pPr>
        <w:keepNext/>
        <w:spacing w:line="360" w:lineRule="auto"/>
        <w:rPr>
          <w:rFonts w:ascii="David" w:hAnsi="David"/>
          <w:noProof w:val="0"/>
          <w:color w:val="000000"/>
          <w:sz w:val="22"/>
          <w:szCs w:val="22"/>
          <w:rtl/>
        </w:rPr>
      </w:pPr>
      <w:r w:rsidRPr="00A83A3B">
        <w:rPr>
          <w:rFonts w:ascii="David" w:hAnsi="David"/>
          <w:noProof w:val="0"/>
          <w:color w:val="000000"/>
          <w:sz w:val="22"/>
          <w:szCs w:val="22"/>
          <w:rtl/>
        </w:rPr>
        <w:t>נגה שמואלי מאייר 54678313</w:t>
      </w:r>
    </w:p>
    <w:p w14:paraId="4B79FDB7" w14:textId="77777777" w:rsidR="00A83A3B" w:rsidRDefault="00A83A3B" w:rsidP="00A83A3B">
      <w:pPr>
        <w:spacing w:line="360" w:lineRule="auto"/>
        <w:rPr>
          <w:rFonts w:ascii="David" w:hAnsi="David"/>
          <w:noProof w:val="0"/>
          <w:rtl/>
        </w:rPr>
      </w:pPr>
      <w:r w:rsidRPr="00A83A3B">
        <w:rPr>
          <w:rFonts w:ascii="David" w:hAnsi="David"/>
          <w:noProof w:val="0"/>
          <w:color w:val="000000"/>
          <w:rtl/>
        </w:rPr>
        <w:t>נוסח מסמך זה כפוף לשינויי ניסוח ועריכה</w:t>
      </w:r>
    </w:p>
    <w:p w14:paraId="22072309" w14:textId="77777777" w:rsidR="00A83A3B" w:rsidRDefault="00A83A3B" w:rsidP="00A83A3B">
      <w:pPr>
        <w:spacing w:line="360" w:lineRule="auto"/>
        <w:rPr>
          <w:rFonts w:ascii="David" w:hAnsi="David"/>
          <w:noProof w:val="0"/>
          <w:rtl/>
        </w:rPr>
      </w:pPr>
    </w:p>
    <w:p w14:paraId="06D7C3AD" w14:textId="77777777" w:rsidR="00A83A3B" w:rsidRDefault="00A83A3B" w:rsidP="00A83A3B">
      <w:pPr>
        <w:spacing w:line="360" w:lineRule="auto"/>
        <w:jc w:val="center"/>
        <w:rPr>
          <w:rFonts w:ascii="David" w:hAnsi="David"/>
          <w:noProof w:val="0"/>
          <w:color w:val="0000FF"/>
          <w:u w:val="single"/>
          <w:rtl/>
        </w:rPr>
      </w:pPr>
      <w:hyperlink r:id="rId82" w:history="1">
        <w:r>
          <w:rPr>
            <w:rFonts w:ascii="David" w:hAnsi="David"/>
            <w:noProof w:val="0"/>
            <w:color w:val="0000FF"/>
            <w:u w:val="single"/>
            <w:rtl/>
          </w:rPr>
          <w:t>בעניין עריכה ושינויים במסמכי פסיקה, חקיקה ועוד באתר נבו – הקש כאן</w:t>
        </w:r>
      </w:hyperlink>
    </w:p>
    <w:p w14:paraId="1E7A6831" w14:textId="77777777" w:rsidR="00A83A3B" w:rsidRPr="00A83A3B" w:rsidRDefault="00A83A3B" w:rsidP="00A83A3B">
      <w:pPr>
        <w:spacing w:line="360" w:lineRule="auto"/>
        <w:jc w:val="center"/>
        <w:rPr>
          <w:rFonts w:ascii="David" w:hAnsi="David" w:hint="cs"/>
          <w:noProof w:val="0"/>
          <w:color w:val="0000FF"/>
          <w:u w:val="single"/>
          <w:rtl/>
        </w:rPr>
      </w:pPr>
    </w:p>
    <w:sectPr w:rsidR="00A83A3B" w:rsidRPr="00A83A3B" w:rsidSect="00A83A3B">
      <w:headerReference w:type="even" r:id="rId83"/>
      <w:headerReference w:type="default" r:id="rId84"/>
      <w:footerReference w:type="even" r:id="rId85"/>
      <w:footerReference w:type="default" r:id="rId86"/>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B8027" w14:textId="77777777" w:rsidR="009F7E22" w:rsidRDefault="009F7E22">
      <w:r>
        <w:separator/>
      </w:r>
    </w:p>
  </w:endnote>
  <w:endnote w:type="continuationSeparator" w:id="0">
    <w:p w14:paraId="3D4B8476" w14:textId="77777777" w:rsidR="009F7E22" w:rsidRDefault="009F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5141" w14:textId="77777777" w:rsidR="00A83A3B" w:rsidRDefault="00A83A3B" w:rsidP="00A83A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73F1D8E" w14:textId="77777777" w:rsidR="00A83A3B" w:rsidRPr="00A83A3B" w:rsidRDefault="00A83A3B" w:rsidP="00A83A3B">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F0111" w14:textId="77777777" w:rsidR="00A83A3B" w:rsidRDefault="00A83A3B" w:rsidP="00A83A3B">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145A00">
      <w:rPr>
        <w:rStyle w:val="ab"/>
        <w:rFonts w:ascii="FrankRuehl" w:hAnsi="FrankRuehl" w:cs="FrankRuehl"/>
        <w:rtl/>
      </w:rPr>
      <w:t>1</w:t>
    </w:r>
    <w:r>
      <w:rPr>
        <w:rStyle w:val="ab"/>
        <w:rFonts w:ascii="FrankRuehl" w:hAnsi="FrankRuehl" w:cs="FrankRuehl"/>
        <w:rtl/>
      </w:rPr>
      <w:fldChar w:fldCharType="end"/>
    </w:r>
  </w:p>
  <w:p w14:paraId="3EE8B993" w14:textId="77777777" w:rsidR="00876620" w:rsidRPr="00A83A3B" w:rsidRDefault="00A83A3B" w:rsidP="00A83A3B">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35D0B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1F621" w14:textId="77777777" w:rsidR="009F7E22" w:rsidRDefault="009F7E22">
      <w:r>
        <w:separator/>
      </w:r>
    </w:p>
  </w:footnote>
  <w:footnote w:type="continuationSeparator" w:id="0">
    <w:p w14:paraId="69482DEC" w14:textId="77777777" w:rsidR="009F7E22" w:rsidRDefault="009F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5C9A3" w14:textId="77777777" w:rsidR="00A83A3B" w:rsidRPr="00A83A3B" w:rsidRDefault="00A83A3B" w:rsidP="00A83A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42779-07-18</w:t>
    </w:r>
    <w:r>
      <w:rPr>
        <w:rFonts w:ascii="David" w:hAnsi="David"/>
        <w:color w:val="000000"/>
        <w:sz w:val="22"/>
        <w:szCs w:val="22"/>
        <w:rtl/>
      </w:rPr>
      <w:tab/>
      <w:t xml:space="preserve"> מדינת ישראל נ' סברי אלעמראני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10229" w14:textId="77777777" w:rsidR="00876620" w:rsidRPr="00A83A3B" w:rsidRDefault="00A83A3B" w:rsidP="00A83A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42779-07-18</w:t>
    </w:r>
    <w:r>
      <w:rPr>
        <w:rFonts w:ascii="David" w:hAnsi="David"/>
        <w:color w:val="000000"/>
        <w:sz w:val="22"/>
        <w:szCs w:val="22"/>
        <w:rtl/>
      </w:rPr>
      <w:tab/>
      <w:t xml:space="preserve"> מדינת ישראל נ' סברי אלעמראני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04186"/>
    <w:multiLevelType w:val="hybridMultilevel"/>
    <w:tmpl w:val="C3CCFD16"/>
    <w:lvl w:ilvl="0" w:tplc="D012DAF4">
      <w:start w:val="4"/>
      <w:numFmt w:val="hebrew1"/>
      <w:lvlText w:val="%1."/>
      <w:lvlJc w:val="left"/>
      <w:pPr>
        <w:ind w:left="300" w:hanging="360"/>
      </w:pPr>
      <w:rPr>
        <w:rFonts w:ascii="Times New Roman" w:hAnsi="Times New Roman" w:cs="Times New Roman" w:hint="default"/>
        <w:szCs w:val="24"/>
      </w:rPr>
    </w:lvl>
    <w:lvl w:ilvl="1" w:tplc="04090019">
      <w:start w:val="1"/>
      <w:numFmt w:val="lowerLetter"/>
      <w:lvlText w:val="%2."/>
      <w:lvlJc w:val="left"/>
      <w:pPr>
        <w:ind w:left="1020" w:hanging="360"/>
      </w:pPr>
      <w:rPr>
        <w:rFonts w:cs="Times New Roman"/>
      </w:rPr>
    </w:lvl>
    <w:lvl w:ilvl="2" w:tplc="0409001B">
      <w:start w:val="1"/>
      <w:numFmt w:val="lowerRoman"/>
      <w:lvlText w:val="%3."/>
      <w:lvlJc w:val="right"/>
      <w:pPr>
        <w:ind w:left="1740" w:hanging="180"/>
      </w:pPr>
      <w:rPr>
        <w:rFonts w:cs="Times New Roman"/>
      </w:rPr>
    </w:lvl>
    <w:lvl w:ilvl="3" w:tplc="0409000F">
      <w:start w:val="1"/>
      <w:numFmt w:val="decimal"/>
      <w:lvlText w:val="%4."/>
      <w:lvlJc w:val="left"/>
      <w:pPr>
        <w:ind w:left="2460" w:hanging="360"/>
      </w:pPr>
      <w:rPr>
        <w:rFonts w:cs="Times New Roman"/>
      </w:rPr>
    </w:lvl>
    <w:lvl w:ilvl="4" w:tplc="04090019">
      <w:start w:val="1"/>
      <w:numFmt w:val="lowerLetter"/>
      <w:lvlText w:val="%5."/>
      <w:lvlJc w:val="left"/>
      <w:pPr>
        <w:ind w:left="3180" w:hanging="360"/>
      </w:pPr>
      <w:rPr>
        <w:rFonts w:cs="Times New Roman"/>
      </w:rPr>
    </w:lvl>
    <w:lvl w:ilvl="5" w:tplc="0409001B">
      <w:start w:val="1"/>
      <w:numFmt w:val="lowerRoman"/>
      <w:lvlText w:val="%6."/>
      <w:lvlJc w:val="right"/>
      <w:pPr>
        <w:ind w:left="3900" w:hanging="180"/>
      </w:pPr>
      <w:rPr>
        <w:rFonts w:cs="Times New Roman"/>
      </w:rPr>
    </w:lvl>
    <w:lvl w:ilvl="6" w:tplc="0409000F">
      <w:start w:val="1"/>
      <w:numFmt w:val="decimal"/>
      <w:lvlText w:val="%7."/>
      <w:lvlJc w:val="left"/>
      <w:pPr>
        <w:ind w:left="4620" w:hanging="360"/>
      </w:pPr>
      <w:rPr>
        <w:rFonts w:cs="Times New Roman"/>
      </w:rPr>
    </w:lvl>
    <w:lvl w:ilvl="7" w:tplc="04090019">
      <w:start w:val="1"/>
      <w:numFmt w:val="lowerLetter"/>
      <w:lvlText w:val="%8."/>
      <w:lvlJc w:val="left"/>
      <w:pPr>
        <w:ind w:left="5340" w:hanging="360"/>
      </w:pPr>
      <w:rPr>
        <w:rFonts w:cs="Times New Roman"/>
      </w:rPr>
    </w:lvl>
    <w:lvl w:ilvl="8" w:tplc="0409001B">
      <w:start w:val="1"/>
      <w:numFmt w:val="lowerRoman"/>
      <w:lvlText w:val="%9."/>
      <w:lvlJc w:val="right"/>
      <w:pPr>
        <w:ind w:left="6060" w:hanging="180"/>
      </w:pPr>
      <w:rPr>
        <w:rFonts w:cs="Times New Roman"/>
      </w:rPr>
    </w:lvl>
  </w:abstractNum>
  <w:abstractNum w:abstractNumId="1" w15:restartNumberingAfterBreak="0">
    <w:nsid w:val="35BF2148"/>
    <w:multiLevelType w:val="hybridMultilevel"/>
    <w:tmpl w:val="80C46972"/>
    <w:lvl w:ilvl="0" w:tplc="0DC0E6BC">
      <w:start w:val="1"/>
      <w:numFmt w:val="decimal"/>
      <w:lvlText w:val="%1."/>
      <w:lvlJc w:val="left"/>
      <w:pPr>
        <w:ind w:left="360" w:hanging="360"/>
      </w:pPr>
      <w:rPr>
        <w:rFonts w:ascii="David" w:eastAsia="Times New Roman" w:hAnsi="David" w:cs="David" w:hint="default"/>
        <w:b w:val="0"/>
        <w:bCs w:val="0"/>
        <w:color w:val="auto"/>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DA72A5C"/>
    <w:multiLevelType w:val="hybridMultilevel"/>
    <w:tmpl w:val="8EB2CB52"/>
    <w:lvl w:ilvl="0" w:tplc="93E096B2">
      <w:start w:val="1"/>
      <w:numFmt w:val="hebrew1"/>
      <w:lvlText w:val="%1."/>
      <w:lvlJc w:val="center"/>
      <w:pPr>
        <w:ind w:left="720" w:hanging="360"/>
      </w:pPr>
      <w:rPr>
        <w:rFonts w:cs="Times New Roman"/>
        <w:b/>
        <w:bCs/>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AB55F74"/>
    <w:multiLevelType w:val="hybridMultilevel"/>
    <w:tmpl w:val="A9F470BC"/>
    <w:lvl w:ilvl="0" w:tplc="3ED6FBC2">
      <w:start w:val="1"/>
      <w:numFmt w:val="hebrew1"/>
      <w:lvlText w:val="%1."/>
      <w:lvlJc w:val="center"/>
      <w:pPr>
        <w:ind w:left="644" w:hanging="360"/>
      </w:pPr>
      <w:rPr>
        <w:rFonts w:ascii="Times New Roman" w:hAnsi="Times New Roman" w:cs="Times New Roman" w:hint="default"/>
        <w:szCs w:val="24"/>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start w:val="1"/>
      <w:numFmt w:val="decimal"/>
      <w:lvlText w:val="%4."/>
      <w:lvlJc w:val="left"/>
      <w:pPr>
        <w:ind w:left="2804" w:hanging="360"/>
      </w:pPr>
      <w:rPr>
        <w:rFonts w:cs="Times New Roman"/>
      </w:rPr>
    </w:lvl>
    <w:lvl w:ilvl="4" w:tplc="04090019">
      <w:start w:val="1"/>
      <w:numFmt w:val="lowerLetter"/>
      <w:lvlText w:val="%5."/>
      <w:lvlJc w:val="left"/>
      <w:pPr>
        <w:ind w:left="3524" w:hanging="360"/>
      </w:pPr>
      <w:rPr>
        <w:rFonts w:cs="Times New Roman"/>
      </w:rPr>
    </w:lvl>
    <w:lvl w:ilvl="5" w:tplc="0409001B">
      <w:start w:val="1"/>
      <w:numFmt w:val="lowerRoman"/>
      <w:lvlText w:val="%6."/>
      <w:lvlJc w:val="right"/>
      <w:pPr>
        <w:ind w:left="4244" w:hanging="180"/>
      </w:pPr>
      <w:rPr>
        <w:rFonts w:cs="Times New Roman"/>
      </w:rPr>
    </w:lvl>
    <w:lvl w:ilvl="6" w:tplc="0409000F">
      <w:start w:val="1"/>
      <w:numFmt w:val="decimal"/>
      <w:lvlText w:val="%7."/>
      <w:lvlJc w:val="left"/>
      <w:pPr>
        <w:ind w:left="4964" w:hanging="360"/>
      </w:pPr>
      <w:rPr>
        <w:rFonts w:cs="Times New Roman"/>
      </w:rPr>
    </w:lvl>
    <w:lvl w:ilvl="7" w:tplc="04090019">
      <w:start w:val="1"/>
      <w:numFmt w:val="lowerLetter"/>
      <w:lvlText w:val="%8."/>
      <w:lvlJc w:val="left"/>
      <w:pPr>
        <w:ind w:left="5684" w:hanging="360"/>
      </w:pPr>
      <w:rPr>
        <w:rFonts w:cs="Times New Roman"/>
      </w:rPr>
    </w:lvl>
    <w:lvl w:ilvl="8" w:tplc="0409001B">
      <w:start w:val="1"/>
      <w:numFmt w:val="lowerRoman"/>
      <w:lvlText w:val="%9."/>
      <w:lvlJc w:val="right"/>
      <w:pPr>
        <w:ind w:left="6404" w:hanging="180"/>
      </w:pPr>
      <w:rPr>
        <w:rFonts w:cs="Times New Roman"/>
      </w:rPr>
    </w:lvl>
  </w:abstractNum>
  <w:num w:numId="1" w16cid:durableId="1151288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04020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158174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1507708">
    <w:abstractNumId w:val="0"/>
  </w:num>
  <w:num w:numId="5" w16cid:durableId="1977055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2526"/>
    <w:rsid w:val="00053154"/>
    <w:rsid w:val="000564AB"/>
    <w:rsid w:val="00064FBD"/>
    <w:rsid w:val="00072508"/>
    <w:rsid w:val="0009265E"/>
    <w:rsid w:val="00096AF7"/>
    <w:rsid w:val="000C3B0F"/>
    <w:rsid w:val="000F0BC8"/>
    <w:rsid w:val="00104B8B"/>
    <w:rsid w:val="00107E6D"/>
    <w:rsid w:val="00140153"/>
    <w:rsid w:val="00144D2A"/>
    <w:rsid w:val="00145A00"/>
    <w:rsid w:val="00155DF7"/>
    <w:rsid w:val="00180519"/>
    <w:rsid w:val="001C4003"/>
    <w:rsid w:val="002265FF"/>
    <w:rsid w:val="002C0AB4"/>
    <w:rsid w:val="00307A6A"/>
    <w:rsid w:val="00307C40"/>
    <w:rsid w:val="003176A8"/>
    <w:rsid w:val="00320433"/>
    <w:rsid w:val="0036743F"/>
    <w:rsid w:val="0043125D"/>
    <w:rsid w:val="0043502B"/>
    <w:rsid w:val="004C4BDF"/>
    <w:rsid w:val="004C7A30"/>
    <w:rsid w:val="004D1187"/>
    <w:rsid w:val="004E6E3C"/>
    <w:rsid w:val="005268F6"/>
    <w:rsid w:val="00547DB7"/>
    <w:rsid w:val="0058065D"/>
    <w:rsid w:val="0061449A"/>
    <w:rsid w:val="00622322"/>
    <w:rsid w:val="00622BAA"/>
    <w:rsid w:val="00624909"/>
    <w:rsid w:val="00634B9D"/>
    <w:rsid w:val="00671BD5"/>
    <w:rsid w:val="006805C1"/>
    <w:rsid w:val="00694556"/>
    <w:rsid w:val="006E1A53"/>
    <w:rsid w:val="007718F7"/>
    <w:rsid w:val="00772B77"/>
    <w:rsid w:val="00777798"/>
    <w:rsid w:val="007B5C46"/>
    <w:rsid w:val="007D69E2"/>
    <w:rsid w:val="007E6115"/>
    <w:rsid w:val="00820005"/>
    <w:rsid w:val="0085149E"/>
    <w:rsid w:val="00865B4C"/>
    <w:rsid w:val="00876620"/>
    <w:rsid w:val="00892FCF"/>
    <w:rsid w:val="00896889"/>
    <w:rsid w:val="008C5714"/>
    <w:rsid w:val="008F05BE"/>
    <w:rsid w:val="00903896"/>
    <w:rsid w:val="00906127"/>
    <w:rsid w:val="00906F3D"/>
    <w:rsid w:val="00961BAC"/>
    <w:rsid w:val="00977DBD"/>
    <w:rsid w:val="009E78AA"/>
    <w:rsid w:val="009F7E22"/>
    <w:rsid w:val="00A06659"/>
    <w:rsid w:val="00A07C19"/>
    <w:rsid w:val="00A21249"/>
    <w:rsid w:val="00A40F2F"/>
    <w:rsid w:val="00A503FC"/>
    <w:rsid w:val="00A83A3B"/>
    <w:rsid w:val="00A873C3"/>
    <w:rsid w:val="00A927FD"/>
    <w:rsid w:val="00A94B64"/>
    <w:rsid w:val="00AC5209"/>
    <w:rsid w:val="00B80CBD"/>
    <w:rsid w:val="00B86096"/>
    <w:rsid w:val="00BE790C"/>
    <w:rsid w:val="00BF1908"/>
    <w:rsid w:val="00C22D93"/>
    <w:rsid w:val="00C25B62"/>
    <w:rsid w:val="00C34482"/>
    <w:rsid w:val="00CB137E"/>
    <w:rsid w:val="00D33B86"/>
    <w:rsid w:val="00D4594E"/>
    <w:rsid w:val="00D53924"/>
    <w:rsid w:val="00D87F72"/>
    <w:rsid w:val="00D96D8C"/>
    <w:rsid w:val="00DA6649"/>
    <w:rsid w:val="00DF7CD7"/>
    <w:rsid w:val="00E54642"/>
    <w:rsid w:val="00E74E0D"/>
    <w:rsid w:val="00EC37E9"/>
    <w:rsid w:val="00F05ECF"/>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2A4DB5"/>
  <w15:chartTrackingRefBased/>
  <w15:docId w15:val="{AAFD3792-0C89-465D-9D41-F8A4872A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052526"/>
    <w:pPr>
      <w:keepNext/>
      <w:keepLines/>
      <w:spacing w:before="240"/>
      <w:outlineLvl w:val="0"/>
    </w:pPr>
    <w:rPr>
      <w:rFonts w:ascii="Cambria" w:hAnsi="Cambria" w:cs="Times New Roman"/>
      <w:color w:val="365F91"/>
      <w:sz w:val="32"/>
      <w:szCs w:val="32"/>
      <w:lang w:val="x-none" w:eastAsia="x-none"/>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052526"/>
    <w:rPr>
      <w:rFonts w:ascii="Cambria" w:hAnsi="Cambria" w:cs="Times New Roman"/>
      <w:noProof/>
      <w:color w:val="365F91"/>
      <w:sz w:val="32"/>
      <w:szCs w:val="32"/>
    </w:rPr>
  </w:style>
  <w:style w:type="character" w:styleId="Hyperlink">
    <w:name w:val="Hyperlink"/>
    <w:semiHidden/>
    <w:rsid w:val="00052526"/>
    <w:rPr>
      <w:rFonts w:cs="Times New Roman"/>
      <w:color w:val="0000FF"/>
      <w:u w:val="single"/>
    </w:rPr>
  </w:style>
  <w:style w:type="character" w:customStyle="1" w:styleId="ListParagraphChar1">
    <w:name w:val="List Paragraph Char1"/>
    <w:link w:val="ListParagraph1"/>
    <w:locked/>
    <w:rsid w:val="00052526"/>
    <w:rPr>
      <w:rFonts w:ascii="David" w:hAnsi="David"/>
      <w:sz w:val="24"/>
    </w:rPr>
  </w:style>
  <w:style w:type="paragraph" w:customStyle="1" w:styleId="ListParagraph1">
    <w:name w:val="List Paragraph1"/>
    <w:basedOn w:val="a"/>
    <w:link w:val="ListParagraphChar1"/>
    <w:qFormat/>
    <w:rsid w:val="00052526"/>
    <w:pPr>
      <w:spacing w:after="160" w:line="360" w:lineRule="auto"/>
      <w:ind w:left="720" w:hanging="357"/>
      <w:contextualSpacing/>
      <w:jc w:val="both"/>
    </w:pPr>
    <w:rPr>
      <w:rFonts w:ascii="David" w:hAnsi="David" w:cs="Times New Roman"/>
      <w:noProof w:val="0"/>
      <w:szCs w:val="20"/>
      <w:lang w:val="x-none" w:eastAsia="x-none"/>
    </w:rPr>
  </w:style>
  <w:style w:type="character" w:customStyle="1" w:styleId="ListParagraphChar">
    <w:name w:val="List Paragraph Char"/>
    <w:link w:val="12"/>
    <w:locked/>
    <w:rsid w:val="00052526"/>
  </w:style>
  <w:style w:type="paragraph" w:customStyle="1" w:styleId="12">
    <w:name w:val="פיסקת רשימה1"/>
    <w:basedOn w:val="a"/>
    <w:link w:val="ListParagraphChar"/>
    <w:rsid w:val="00052526"/>
    <w:pPr>
      <w:spacing w:after="160" w:line="360" w:lineRule="auto"/>
      <w:ind w:left="720" w:hanging="357"/>
      <w:contextualSpacing/>
      <w:jc w:val="both"/>
    </w:pPr>
    <w:rPr>
      <w:rFonts w:cs="Times New Roman"/>
      <w:noProof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1811916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3541922" TargetMode="External"/><Relationship Id="rId47" Type="http://schemas.openxmlformats.org/officeDocument/2006/relationships/hyperlink" Target="http://www.nevo.co.il/case/5880417" TargetMode="External"/><Relationship Id="rId63" Type="http://schemas.openxmlformats.org/officeDocument/2006/relationships/hyperlink" Target="http://www.nevo.co.il/case/5849797" TargetMode="External"/><Relationship Id="rId68" Type="http://schemas.openxmlformats.org/officeDocument/2006/relationships/hyperlink" Target="http://www.nevo.co.il/case/6848505" TargetMode="External"/><Relationship Id="rId84" Type="http://schemas.openxmlformats.org/officeDocument/2006/relationships/header" Target="header2.xml"/><Relationship Id="rId16" Type="http://schemas.openxmlformats.org/officeDocument/2006/relationships/hyperlink" Target="http://www.nevo.co.il/law/70301/40ja.3" TargetMode="External"/><Relationship Id="rId11" Type="http://schemas.openxmlformats.org/officeDocument/2006/relationships/hyperlink" Target="http://www.nevo.co.il/law/70301/31" TargetMode="External"/><Relationship Id="rId32" Type="http://schemas.openxmlformats.org/officeDocument/2006/relationships/hyperlink" Target="http://www.nevo.co.il/case/6230925" TargetMode="External"/><Relationship Id="rId37" Type="http://schemas.openxmlformats.org/officeDocument/2006/relationships/hyperlink" Target="http://www.nevo.co.il/case/20402486" TargetMode="External"/><Relationship Id="rId53" Type="http://schemas.openxmlformats.org/officeDocument/2006/relationships/hyperlink" Target="http://www.nevo.co.il/case/24393836" TargetMode="External"/><Relationship Id="rId58" Type="http://schemas.openxmlformats.org/officeDocument/2006/relationships/hyperlink" Target="http://www.nevo.co.il/case/22232081" TargetMode="External"/><Relationship Id="rId74" Type="http://schemas.openxmlformats.org/officeDocument/2006/relationships/hyperlink" Target="http://www.nevo.co.il/case/18653810" TargetMode="External"/><Relationship Id="rId79" Type="http://schemas.openxmlformats.org/officeDocument/2006/relationships/image" Target="media/image2.png"/><Relationship Id="rId5" Type="http://schemas.openxmlformats.org/officeDocument/2006/relationships/webSettings" Target="webSettings.xml"/><Relationship Id="rId19" Type="http://schemas.openxmlformats.org/officeDocument/2006/relationships/hyperlink" Target="http://www.nevo.co.il/law/4216"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540832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505600" TargetMode="External"/><Relationship Id="rId43" Type="http://schemas.openxmlformats.org/officeDocument/2006/relationships/hyperlink" Target="http://www.nevo.co.il/case/23631077" TargetMode="External"/><Relationship Id="rId48" Type="http://schemas.openxmlformats.org/officeDocument/2006/relationships/hyperlink" Target="http://www.nevo.co.il/case/6824952"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6824952" TargetMode="External"/><Relationship Id="rId69" Type="http://schemas.openxmlformats.org/officeDocument/2006/relationships/hyperlink" Target="http://www.nevo.co.il/law/70301/40d.a" TargetMode="External"/><Relationship Id="rId77" Type="http://schemas.openxmlformats.org/officeDocument/2006/relationships/hyperlink" Target="http://www.nevo.co.il/law/4216" TargetMode="External"/><Relationship Id="rId8" Type="http://schemas.openxmlformats.org/officeDocument/2006/relationships/hyperlink" Target="http://www.nevo.co.il/law/4216" TargetMode="External"/><Relationship Id="rId51" Type="http://schemas.openxmlformats.org/officeDocument/2006/relationships/hyperlink" Target="http://www.nevo.co.il/law/70301/31" TargetMode="External"/><Relationship Id="rId72" Type="http://schemas.openxmlformats.org/officeDocument/2006/relationships/hyperlink" Target="http://www.nevo.co.il/case/13015510" TargetMode="External"/><Relationship Id="rId80" Type="http://schemas.openxmlformats.org/officeDocument/2006/relationships/hyperlink" Target="http://www.nevo.co.il/law/4216"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70301/40c.a" TargetMode="External"/><Relationship Id="rId17" Type="http://schemas.openxmlformats.org/officeDocument/2006/relationships/hyperlink" Target="http://www.nevo.co.il/law/74903"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13104263" TargetMode="External"/><Relationship Id="rId38" Type="http://schemas.openxmlformats.org/officeDocument/2006/relationships/hyperlink" Target="http://www.nevo.co.il/case/17084501" TargetMode="External"/><Relationship Id="rId46" Type="http://schemas.openxmlformats.org/officeDocument/2006/relationships/hyperlink" Target="http://www.nevo.co.il/case/17941073" TargetMode="External"/><Relationship Id="rId59" Type="http://schemas.openxmlformats.org/officeDocument/2006/relationships/hyperlink" Target="http://www.nevo.co.il/law/70301/40c.b" TargetMode="External"/><Relationship Id="rId67" Type="http://schemas.openxmlformats.org/officeDocument/2006/relationships/hyperlink" Target="http://www.nevo.co.il/case/7821838" TargetMode="External"/><Relationship Id="rId20" Type="http://schemas.openxmlformats.org/officeDocument/2006/relationships/hyperlink" Target="http://www.nevo.co.il/law/70301/40c.a" TargetMode="External"/><Relationship Id="rId41" Type="http://schemas.openxmlformats.org/officeDocument/2006/relationships/hyperlink" Target="http://www.nevo.co.il/case/26516436" TargetMode="External"/><Relationship Id="rId54" Type="http://schemas.openxmlformats.org/officeDocument/2006/relationships/hyperlink" Target="http://www.nevo.co.il/case/24393852"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20507947" TargetMode="External"/><Relationship Id="rId83" Type="http://schemas.openxmlformats.org/officeDocument/2006/relationships/header" Target="header1.xml"/><Relationship Id="rId88"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20881083" TargetMode="External"/><Relationship Id="rId36" Type="http://schemas.openxmlformats.org/officeDocument/2006/relationships/hyperlink" Target="http://www.nevo.co.il/case/20770504" TargetMode="External"/><Relationship Id="rId49" Type="http://schemas.openxmlformats.org/officeDocument/2006/relationships/hyperlink" Target="http://www.nevo.co.il/law/4216/6" TargetMode="External"/><Relationship Id="rId57" Type="http://schemas.openxmlformats.org/officeDocument/2006/relationships/hyperlink" Target="http://www.nevo.co.il/law/70301/40c.a"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4903" TargetMode="External"/><Relationship Id="rId44" Type="http://schemas.openxmlformats.org/officeDocument/2006/relationships/hyperlink" Target="http://www.nevo.co.il/case/24908953"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10459128" TargetMode="External"/><Relationship Id="rId73" Type="http://schemas.openxmlformats.org/officeDocument/2006/relationships/hyperlink" Target="http://www.nevo.co.il/case/21474481" TargetMode="External"/><Relationship Id="rId78" Type="http://schemas.openxmlformats.org/officeDocument/2006/relationships/image" Target="media/image1.jpeg"/><Relationship Id="rId81" Type="http://schemas.openxmlformats.org/officeDocument/2006/relationships/hyperlink" Target="http://www.nevo.co.il/law/4216" TargetMode="External"/><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4216/6"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4216/6" TargetMode="External"/><Relationship Id="rId39" Type="http://schemas.openxmlformats.org/officeDocument/2006/relationships/hyperlink" Target="http://www.nevo.co.il/case/8291661" TargetMode="External"/><Relationship Id="rId34" Type="http://schemas.openxmlformats.org/officeDocument/2006/relationships/hyperlink" Target="http://www.nevo.co.il/case/7977312" TargetMode="External"/><Relationship Id="rId50" Type="http://schemas.openxmlformats.org/officeDocument/2006/relationships/hyperlink" Target="http://www.nevo.co.il/law/4216" TargetMode="External"/><Relationship Id="rId55" Type="http://schemas.openxmlformats.org/officeDocument/2006/relationships/hyperlink" Target="http://www.nevo.co.il/law/70301/31" TargetMode="External"/><Relationship Id="rId76" Type="http://schemas.openxmlformats.org/officeDocument/2006/relationships/hyperlink" Target="http://www.nevo.co.il/law/4216" TargetMode="External"/><Relationship Id="rId7" Type="http://schemas.openxmlformats.org/officeDocument/2006/relationships/endnotes" Target="endnotes.xml"/><Relationship Id="rId71" Type="http://schemas.openxmlformats.org/officeDocument/2006/relationships/hyperlink" Target="http://www.nevo.co.il/case/25459244" TargetMode="External"/><Relationship Id="rId2" Type="http://schemas.openxmlformats.org/officeDocument/2006/relationships/numbering" Target="numbering.xml"/><Relationship Id="rId29" Type="http://schemas.openxmlformats.org/officeDocument/2006/relationships/hyperlink" Target="http://www.nevo.co.il/law/70301/275" TargetMode="External"/><Relationship Id="rId24" Type="http://schemas.openxmlformats.org/officeDocument/2006/relationships/hyperlink" Target="http://www.nevo.co.il/case/5738608" TargetMode="External"/><Relationship Id="rId40" Type="http://schemas.openxmlformats.org/officeDocument/2006/relationships/hyperlink" Target="http://www.nevo.co.il/case/22238304" TargetMode="External"/><Relationship Id="rId45" Type="http://schemas.openxmlformats.org/officeDocument/2006/relationships/hyperlink" Target="http://www.nevo.co.il/case/6032057" TargetMode="External"/><Relationship Id="rId66" Type="http://schemas.openxmlformats.org/officeDocument/2006/relationships/hyperlink" Target="http://www.nevo.co.il/case/12930657" TargetMode="External"/><Relationship Id="rId87" Type="http://schemas.openxmlformats.org/officeDocument/2006/relationships/fontTable" Target="fontTable.xml"/><Relationship Id="rId61" Type="http://schemas.openxmlformats.org/officeDocument/2006/relationships/hyperlink" Target="http://www.nevo.co.il/law/70301/40ja.3"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4783</Words>
  <Characters>23920</Characters>
  <Application>Microsoft Office Word</Application>
  <DocSecurity>0</DocSecurity>
  <Lines>199</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28646</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8257637</vt:i4>
      </vt:variant>
      <vt:variant>
        <vt:i4>213</vt:i4>
      </vt:variant>
      <vt:variant>
        <vt:i4>0</vt:i4>
      </vt:variant>
      <vt:variant>
        <vt:i4>5</vt:i4>
      </vt:variant>
      <vt:variant>
        <vt:lpwstr>http://www.nevo.co.il/law/4216</vt:lpwstr>
      </vt:variant>
      <vt:variant>
        <vt:lpwstr/>
      </vt:variant>
      <vt:variant>
        <vt:i4>8257637</vt:i4>
      </vt:variant>
      <vt:variant>
        <vt:i4>210</vt:i4>
      </vt:variant>
      <vt:variant>
        <vt:i4>0</vt:i4>
      </vt:variant>
      <vt:variant>
        <vt:i4>5</vt:i4>
      </vt:variant>
      <vt:variant>
        <vt:lpwstr>http://www.nevo.co.il/law/4216</vt:lpwstr>
      </vt:variant>
      <vt:variant>
        <vt:lpwstr/>
      </vt:variant>
      <vt:variant>
        <vt:i4>8257637</vt:i4>
      </vt:variant>
      <vt:variant>
        <vt:i4>207</vt:i4>
      </vt:variant>
      <vt:variant>
        <vt:i4>0</vt:i4>
      </vt:variant>
      <vt:variant>
        <vt:i4>5</vt:i4>
      </vt:variant>
      <vt:variant>
        <vt:lpwstr>http://www.nevo.co.il/law/4216</vt:lpwstr>
      </vt:variant>
      <vt:variant>
        <vt:lpwstr/>
      </vt:variant>
      <vt:variant>
        <vt:i4>8257637</vt:i4>
      </vt:variant>
      <vt:variant>
        <vt:i4>204</vt:i4>
      </vt:variant>
      <vt:variant>
        <vt:i4>0</vt:i4>
      </vt:variant>
      <vt:variant>
        <vt:i4>5</vt:i4>
      </vt:variant>
      <vt:variant>
        <vt:lpwstr>http://www.nevo.co.il/law/4216</vt:lpwstr>
      </vt:variant>
      <vt:variant>
        <vt:lpwstr/>
      </vt:variant>
      <vt:variant>
        <vt:i4>3407997</vt:i4>
      </vt:variant>
      <vt:variant>
        <vt:i4>201</vt:i4>
      </vt:variant>
      <vt:variant>
        <vt:i4>0</vt:i4>
      </vt:variant>
      <vt:variant>
        <vt:i4>5</vt:i4>
      </vt:variant>
      <vt:variant>
        <vt:lpwstr>http://www.nevo.co.il/case/20507947</vt:lpwstr>
      </vt:variant>
      <vt:variant>
        <vt:lpwstr/>
      </vt:variant>
      <vt:variant>
        <vt:i4>3473521</vt:i4>
      </vt:variant>
      <vt:variant>
        <vt:i4>198</vt:i4>
      </vt:variant>
      <vt:variant>
        <vt:i4>0</vt:i4>
      </vt:variant>
      <vt:variant>
        <vt:i4>5</vt:i4>
      </vt:variant>
      <vt:variant>
        <vt:lpwstr>http://www.nevo.co.il/case/18653810</vt:lpwstr>
      </vt:variant>
      <vt:variant>
        <vt:lpwstr/>
      </vt:variant>
      <vt:variant>
        <vt:i4>3801206</vt:i4>
      </vt:variant>
      <vt:variant>
        <vt:i4>195</vt:i4>
      </vt:variant>
      <vt:variant>
        <vt:i4>0</vt:i4>
      </vt:variant>
      <vt:variant>
        <vt:i4>5</vt:i4>
      </vt:variant>
      <vt:variant>
        <vt:lpwstr>http://www.nevo.co.il/case/21474481</vt:lpwstr>
      </vt:variant>
      <vt:variant>
        <vt:lpwstr/>
      </vt:variant>
      <vt:variant>
        <vt:i4>3473523</vt:i4>
      </vt:variant>
      <vt:variant>
        <vt:i4>192</vt:i4>
      </vt:variant>
      <vt:variant>
        <vt:i4>0</vt:i4>
      </vt:variant>
      <vt:variant>
        <vt:i4>5</vt:i4>
      </vt:variant>
      <vt:variant>
        <vt:lpwstr>http://www.nevo.co.il/case/13015510</vt:lpwstr>
      </vt:variant>
      <vt:variant>
        <vt:lpwstr/>
      </vt:variant>
      <vt:variant>
        <vt:i4>3866742</vt:i4>
      </vt:variant>
      <vt:variant>
        <vt:i4>189</vt:i4>
      </vt:variant>
      <vt:variant>
        <vt:i4>0</vt:i4>
      </vt:variant>
      <vt:variant>
        <vt:i4>5</vt:i4>
      </vt:variant>
      <vt:variant>
        <vt:lpwstr>http://www.nevo.co.il/case/25459244</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4915205</vt:i4>
      </vt:variant>
      <vt:variant>
        <vt:i4>183</vt:i4>
      </vt:variant>
      <vt:variant>
        <vt:i4>0</vt:i4>
      </vt:variant>
      <vt:variant>
        <vt:i4>5</vt:i4>
      </vt:variant>
      <vt:variant>
        <vt:lpwstr>http://www.nevo.co.il/law/70301/40d.a</vt:lpwstr>
      </vt:variant>
      <vt:variant>
        <vt:lpwstr/>
      </vt:variant>
      <vt:variant>
        <vt:i4>3276916</vt:i4>
      </vt:variant>
      <vt:variant>
        <vt:i4>180</vt:i4>
      </vt:variant>
      <vt:variant>
        <vt:i4>0</vt:i4>
      </vt:variant>
      <vt:variant>
        <vt:i4>5</vt:i4>
      </vt:variant>
      <vt:variant>
        <vt:lpwstr>http://www.nevo.co.il/case/6848505</vt:lpwstr>
      </vt:variant>
      <vt:variant>
        <vt:lpwstr/>
      </vt:variant>
      <vt:variant>
        <vt:i4>3473534</vt:i4>
      </vt:variant>
      <vt:variant>
        <vt:i4>177</vt:i4>
      </vt:variant>
      <vt:variant>
        <vt:i4>0</vt:i4>
      </vt:variant>
      <vt:variant>
        <vt:i4>5</vt:i4>
      </vt:variant>
      <vt:variant>
        <vt:lpwstr>http://www.nevo.co.il/case/7821838</vt:lpwstr>
      </vt:variant>
      <vt:variant>
        <vt:lpwstr/>
      </vt:variant>
      <vt:variant>
        <vt:i4>3997811</vt:i4>
      </vt:variant>
      <vt:variant>
        <vt:i4>174</vt:i4>
      </vt:variant>
      <vt:variant>
        <vt:i4>0</vt:i4>
      </vt:variant>
      <vt:variant>
        <vt:i4>5</vt:i4>
      </vt:variant>
      <vt:variant>
        <vt:lpwstr>http://www.nevo.co.il/case/12930657</vt:lpwstr>
      </vt:variant>
      <vt:variant>
        <vt:lpwstr/>
      </vt:variant>
      <vt:variant>
        <vt:i4>4063344</vt:i4>
      </vt:variant>
      <vt:variant>
        <vt:i4>171</vt:i4>
      </vt:variant>
      <vt:variant>
        <vt:i4>0</vt:i4>
      </vt:variant>
      <vt:variant>
        <vt:i4>5</vt:i4>
      </vt:variant>
      <vt:variant>
        <vt:lpwstr>http://www.nevo.co.il/case/10459128</vt:lpwstr>
      </vt:variant>
      <vt:variant>
        <vt:lpwstr/>
      </vt:variant>
      <vt:variant>
        <vt:i4>4128893</vt:i4>
      </vt:variant>
      <vt:variant>
        <vt:i4>168</vt:i4>
      </vt:variant>
      <vt:variant>
        <vt:i4>0</vt:i4>
      </vt:variant>
      <vt:variant>
        <vt:i4>5</vt:i4>
      </vt:variant>
      <vt:variant>
        <vt:lpwstr>http://www.nevo.co.il/case/6824952</vt:lpwstr>
      </vt:variant>
      <vt:variant>
        <vt:lpwstr/>
      </vt:variant>
      <vt:variant>
        <vt:i4>3211388</vt:i4>
      </vt:variant>
      <vt:variant>
        <vt:i4>165</vt:i4>
      </vt:variant>
      <vt:variant>
        <vt:i4>0</vt:i4>
      </vt:variant>
      <vt:variant>
        <vt:i4>5</vt:i4>
      </vt:variant>
      <vt:variant>
        <vt:lpwstr>http://www.nevo.co.il/case/5849797</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3604517</vt:i4>
      </vt:variant>
      <vt:variant>
        <vt:i4>159</vt:i4>
      </vt:variant>
      <vt:variant>
        <vt:i4>0</vt:i4>
      </vt:variant>
      <vt:variant>
        <vt:i4>5</vt:i4>
      </vt:variant>
      <vt:variant>
        <vt:lpwstr>http://www.nevo.co.il/law/70301/40ja.3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4915202</vt:i4>
      </vt:variant>
      <vt:variant>
        <vt:i4>153</vt:i4>
      </vt:variant>
      <vt:variant>
        <vt:i4>0</vt:i4>
      </vt:variant>
      <vt:variant>
        <vt:i4>5</vt:i4>
      </vt:variant>
      <vt:variant>
        <vt:lpwstr>http://www.nevo.co.il/law/70301/40c.b</vt:lpwstr>
      </vt:variant>
      <vt:variant>
        <vt:lpwstr/>
      </vt:variant>
      <vt:variant>
        <vt:i4>3801205</vt:i4>
      </vt:variant>
      <vt:variant>
        <vt:i4>150</vt:i4>
      </vt:variant>
      <vt:variant>
        <vt:i4>0</vt:i4>
      </vt:variant>
      <vt:variant>
        <vt:i4>5</vt:i4>
      </vt:variant>
      <vt:variant>
        <vt:lpwstr>http://www.nevo.co.il/case/22232081</vt:lpwstr>
      </vt:variant>
      <vt:variant>
        <vt:lpwstr/>
      </vt:variant>
      <vt:variant>
        <vt:i4>4915202</vt:i4>
      </vt:variant>
      <vt:variant>
        <vt:i4>147</vt:i4>
      </vt:variant>
      <vt:variant>
        <vt:i4>0</vt:i4>
      </vt:variant>
      <vt:variant>
        <vt:i4>5</vt:i4>
      </vt:variant>
      <vt:variant>
        <vt:lpwstr>http://www.nevo.co.il/law/70301/40c.a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6553702</vt:i4>
      </vt:variant>
      <vt:variant>
        <vt:i4>141</vt:i4>
      </vt:variant>
      <vt:variant>
        <vt:i4>0</vt:i4>
      </vt:variant>
      <vt:variant>
        <vt:i4>5</vt:i4>
      </vt:variant>
      <vt:variant>
        <vt:lpwstr>http://www.nevo.co.il/law/70301/31</vt:lpwstr>
      </vt:variant>
      <vt:variant>
        <vt:lpwstr/>
      </vt:variant>
      <vt:variant>
        <vt:i4>3604593</vt:i4>
      </vt:variant>
      <vt:variant>
        <vt:i4>138</vt:i4>
      </vt:variant>
      <vt:variant>
        <vt:i4>0</vt:i4>
      </vt:variant>
      <vt:variant>
        <vt:i4>5</vt:i4>
      </vt:variant>
      <vt:variant>
        <vt:lpwstr>http://www.nevo.co.il/case/24393852</vt:lpwstr>
      </vt:variant>
      <vt:variant>
        <vt:lpwstr/>
      </vt:variant>
      <vt:variant>
        <vt:i4>3211377</vt:i4>
      </vt:variant>
      <vt:variant>
        <vt:i4>135</vt:i4>
      </vt:variant>
      <vt:variant>
        <vt:i4>0</vt:i4>
      </vt:variant>
      <vt:variant>
        <vt:i4>5</vt:i4>
      </vt:variant>
      <vt:variant>
        <vt:lpwstr>http://www.nevo.co.il/case/24393836</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6553702</vt:i4>
      </vt:variant>
      <vt:variant>
        <vt:i4>129</vt:i4>
      </vt:variant>
      <vt:variant>
        <vt:i4>0</vt:i4>
      </vt:variant>
      <vt:variant>
        <vt:i4>5</vt:i4>
      </vt:variant>
      <vt:variant>
        <vt:lpwstr>http://www.nevo.co.il/law/70301/31</vt:lpwstr>
      </vt:variant>
      <vt:variant>
        <vt:lpwstr/>
      </vt:variant>
      <vt:variant>
        <vt:i4>8257637</vt:i4>
      </vt:variant>
      <vt:variant>
        <vt:i4>126</vt:i4>
      </vt:variant>
      <vt:variant>
        <vt:i4>0</vt:i4>
      </vt:variant>
      <vt:variant>
        <vt:i4>5</vt:i4>
      </vt:variant>
      <vt:variant>
        <vt:lpwstr>http://www.nevo.co.il/law/4216</vt:lpwstr>
      </vt:variant>
      <vt:variant>
        <vt:lpwstr/>
      </vt:variant>
      <vt:variant>
        <vt:i4>4718666</vt:i4>
      </vt:variant>
      <vt:variant>
        <vt:i4>123</vt:i4>
      </vt:variant>
      <vt:variant>
        <vt:i4>0</vt:i4>
      </vt:variant>
      <vt:variant>
        <vt:i4>5</vt:i4>
      </vt:variant>
      <vt:variant>
        <vt:lpwstr>http://www.nevo.co.il/law/4216/6</vt:lpwstr>
      </vt:variant>
      <vt:variant>
        <vt:lpwstr/>
      </vt:variant>
      <vt:variant>
        <vt:i4>4128893</vt:i4>
      </vt:variant>
      <vt:variant>
        <vt:i4>120</vt:i4>
      </vt:variant>
      <vt:variant>
        <vt:i4>0</vt:i4>
      </vt:variant>
      <vt:variant>
        <vt:i4>5</vt:i4>
      </vt:variant>
      <vt:variant>
        <vt:lpwstr>http://www.nevo.co.il/case/6824952</vt:lpwstr>
      </vt:variant>
      <vt:variant>
        <vt:lpwstr/>
      </vt:variant>
      <vt:variant>
        <vt:i4>4063357</vt:i4>
      </vt:variant>
      <vt:variant>
        <vt:i4>117</vt:i4>
      </vt:variant>
      <vt:variant>
        <vt:i4>0</vt:i4>
      </vt:variant>
      <vt:variant>
        <vt:i4>5</vt:i4>
      </vt:variant>
      <vt:variant>
        <vt:lpwstr>http://www.nevo.co.il/case/5880417</vt:lpwstr>
      </vt:variant>
      <vt:variant>
        <vt:lpwstr/>
      </vt:variant>
      <vt:variant>
        <vt:i4>4063351</vt:i4>
      </vt:variant>
      <vt:variant>
        <vt:i4>114</vt:i4>
      </vt:variant>
      <vt:variant>
        <vt:i4>0</vt:i4>
      </vt:variant>
      <vt:variant>
        <vt:i4>5</vt:i4>
      </vt:variant>
      <vt:variant>
        <vt:lpwstr>http://www.nevo.co.il/case/17941073</vt:lpwstr>
      </vt:variant>
      <vt:variant>
        <vt:lpwstr/>
      </vt:variant>
      <vt:variant>
        <vt:i4>3276915</vt:i4>
      </vt:variant>
      <vt:variant>
        <vt:i4>111</vt:i4>
      </vt:variant>
      <vt:variant>
        <vt:i4>0</vt:i4>
      </vt:variant>
      <vt:variant>
        <vt:i4>5</vt:i4>
      </vt:variant>
      <vt:variant>
        <vt:lpwstr>http://www.nevo.co.il/case/6032057</vt:lpwstr>
      </vt:variant>
      <vt:variant>
        <vt:lpwstr/>
      </vt:variant>
      <vt:variant>
        <vt:i4>3539065</vt:i4>
      </vt:variant>
      <vt:variant>
        <vt:i4>108</vt:i4>
      </vt:variant>
      <vt:variant>
        <vt:i4>0</vt:i4>
      </vt:variant>
      <vt:variant>
        <vt:i4>5</vt:i4>
      </vt:variant>
      <vt:variant>
        <vt:lpwstr>http://www.nevo.co.il/case/24908953</vt:lpwstr>
      </vt:variant>
      <vt:variant>
        <vt:lpwstr/>
      </vt:variant>
      <vt:variant>
        <vt:i4>3276916</vt:i4>
      </vt:variant>
      <vt:variant>
        <vt:i4>105</vt:i4>
      </vt:variant>
      <vt:variant>
        <vt:i4>0</vt:i4>
      </vt:variant>
      <vt:variant>
        <vt:i4>5</vt:i4>
      </vt:variant>
      <vt:variant>
        <vt:lpwstr>http://www.nevo.co.il/case/23631077</vt:lpwstr>
      </vt:variant>
      <vt:variant>
        <vt:lpwstr/>
      </vt:variant>
      <vt:variant>
        <vt:i4>3407994</vt:i4>
      </vt:variant>
      <vt:variant>
        <vt:i4>102</vt:i4>
      </vt:variant>
      <vt:variant>
        <vt:i4>0</vt:i4>
      </vt:variant>
      <vt:variant>
        <vt:i4>5</vt:i4>
      </vt:variant>
      <vt:variant>
        <vt:lpwstr>http://www.nevo.co.il/case/23541922</vt:lpwstr>
      </vt:variant>
      <vt:variant>
        <vt:lpwstr/>
      </vt:variant>
      <vt:variant>
        <vt:i4>3276919</vt:i4>
      </vt:variant>
      <vt:variant>
        <vt:i4>99</vt:i4>
      </vt:variant>
      <vt:variant>
        <vt:i4>0</vt:i4>
      </vt:variant>
      <vt:variant>
        <vt:i4>5</vt:i4>
      </vt:variant>
      <vt:variant>
        <vt:lpwstr>http://www.nevo.co.il/case/26516436</vt:lpwstr>
      </vt:variant>
      <vt:variant>
        <vt:lpwstr/>
      </vt:variant>
      <vt:variant>
        <vt:i4>3670134</vt:i4>
      </vt:variant>
      <vt:variant>
        <vt:i4>96</vt:i4>
      </vt:variant>
      <vt:variant>
        <vt:i4>0</vt:i4>
      </vt:variant>
      <vt:variant>
        <vt:i4>5</vt:i4>
      </vt:variant>
      <vt:variant>
        <vt:lpwstr>http://www.nevo.co.il/case/22238304</vt:lpwstr>
      </vt:variant>
      <vt:variant>
        <vt:lpwstr/>
      </vt:variant>
      <vt:variant>
        <vt:i4>3539057</vt:i4>
      </vt:variant>
      <vt:variant>
        <vt:i4>93</vt:i4>
      </vt:variant>
      <vt:variant>
        <vt:i4>0</vt:i4>
      </vt:variant>
      <vt:variant>
        <vt:i4>5</vt:i4>
      </vt:variant>
      <vt:variant>
        <vt:lpwstr>http://www.nevo.co.il/case/8291661</vt:lpwstr>
      </vt:variant>
      <vt:variant>
        <vt:lpwstr/>
      </vt:variant>
      <vt:variant>
        <vt:i4>3473534</vt:i4>
      </vt:variant>
      <vt:variant>
        <vt:i4>90</vt:i4>
      </vt:variant>
      <vt:variant>
        <vt:i4>0</vt:i4>
      </vt:variant>
      <vt:variant>
        <vt:i4>5</vt:i4>
      </vt:variant>
      <vt:variant>
        <vt:lpwstr>http://www.nevo.co.il/case/17084501</vt:lpwstr>
      </vt:variant>
      <vt:variant>
        <vt:lpwstr/>
      </vt:variant>
      <vt:variant>
        <vt:i4>3932272</vt:i4>
      </vt:variant>
      <vt:variant>
        <vt:i4>87</vt:i4>
      </vt:variant>
      <vt:variant>
        <vt:i4>0</vt:i4>
      </vt:variant>
      <vt:variant>
        <vt:i4>5</vt:i4>
      </vt:variant>
      <vt:variant>
        <vt:lpwstr>http://www.nevo.co.il/case/20402486</vt:lpwstr>
      </vt:variant>
      <vt:variant>
        <vt:lpwstr/>
      </vt:variant>
      <vt:variant>
        <vt:i4>3473526</vt:i4>
      </vt:variant>
      <vt:variant>
        <vt:i4>84</vt:i4>
      </vt:variant>
      <vt:variant>
        <vt:i4>0</vt:i4>
      </vt:variant>
      <vt:variant>
        <vt:i4>5</vt:i4>
      </vt:variant>
      <vt:variant>
        <vt:lpwstr>http://www.nevo.co.il/case/20770504</vt:lpwstr>
      </vt:variant>
      <vt:variant>
        <vt:lpwstr/>
      </vt:variant>
      <vt:variant>
        <vt:i4>3276912</vt:i4>
      </vt:variant>
      <vt:variant>
        <vt:i4>81</vt:i4>
      </vt:variant>
      <vt:variant>
        <vt:i4>0</vt:i4>
      </vt:variant>
      <vt:variant>
        <vt:i4>5</vt:i4>
      </vt:variant>
      <vt:variant>
        <vt:lpwstr>http://www.nevo.co.il/case/22505600</vt:lpwstr>
      </vt:variant>
      <vt:variant>
        <vt:lpwstr/>
      </vt:variant>
      <vt:variant>
        <vt:i4>3211387</vt:i4>
      </vt:variant>
      <vt:variant>
        <vt:i4>78</vt:i4>
      </vt:variant>
      <vt:variant>
        <vt:i4>0</vt:i4>
      </vt:variant>
      <vt:variant>
        <vt:i4>5</vt:i4>
      </vt:variant>
      <vt:variant>
        <vt:lpwstr>http://www.nevo.co.il/case/7977312</vt:lpwstr>
      </vt:variant>
      <vt:variant>
        <vt:lpwstr/>
      </vt:variant>
      <vt:variant>
        <vt:i4>3276917</vt:i4>
      </vt:variant>
      <vt:variant>
        <vt:i4>75</vt:i4>
      </vt:variant>
      <vt:variant>
        <vt:i4>0</vt:i4>
      </vt:variant>
      <vt:variant>
        <vt:i4>5</vt:i4>
      </vt:variant>
      <vt:variant>
        <vt:lpwstr>http://www.nevo.co.il/case/13104263</vt:lpwstr>
      </vt:variant>
      <vt:variant>
        <vt:lpwstr/>
      </vt:variant>
      <vt:variant>
        <vt:i4>3735668</vt:i4>
      </vt:variant>
      <vt:variant>
        <vt:i4>72</vt:i4>
      </vt:variant>
      <vt:variant>
        <vt:i4>0</vt:i4>
      </vt:variant>
      <vt:variant>
        <vt:i4>5</vt:i4>
      </vt:variant>
      <vt:variant>
        <vt:lpwstr>http://www.nevo.co.il/case/6230925</vt:lpwstr>
      </vt:variant>
      <vt:variant>
        <vt:lpwstr/>
      </vt:variant>
      <vt:variant>
        <vt:i4>8257646</vt:i4>
      </vt:variant>
      <vt:variant>
        <vt:i4>69</vt:i4>
      </vt:variant>
      <vt:variant>
        <vt:i4>0</vt:i4>
      </vt:variant>
      <vt:variant>
        <vt:i4>5</vt:i4>
      </vt:variant>
      <vt:variant>
        <vt:lpwstr>http://www.nevo.co.il/law/74903</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3932274</vt:i4>
      </vt:variant>
      <vt:variant>
        <vt:i4>57</vt:i4>
      </vt:variant>
      <vt:variant>
        <vt:i4>0</vt:i4>
      </vt:variant>
      <vt:variant>
        <vt:i4>5</vt:i4>
      </vt:variant>
      <vt:variant>
        <vt:lpwstr>http://www.nevo.co.il/case/25408321</vt:lpwstr>
      </vt:variant>
      <vt:variant>
        <vt:lpwstr/>
      </vt:variant>
      <vt:variant>
        <vt:i4>4128892</vt:i4>
      </vt:variant>
      <vt:variant>
        <vt:i4>54</vt:i4>
      </vt:variant>
      <vt:variant>
        <vt:i4>0</vt:i4>
      </vt:variant>
      <vt:variant>
        <vt:i4>5</vt:i4>
      </vt:variant>
      <vt:variant>
        <vt:lpwstr>http://www.nevo.co.il/case/18119161</vt:lpwstr>
      </vt:variant>
      <vt:variant>
        <vt:lpwstr/>
      </vt:variant>
      <vt:variant>
        <vt:i4>3997809</vt:i4>
      </vt:variant>
      <vt:variant>
        <vt:i4>51</vt:i4>
      </vt:variant>
      <vt:variant>
        <vt:i4>0</vt:i4>
      </vt:variant>
      <vt:variant>
        <vt:i4>5</vt:i4>
      </vt:variant>
      <vt:variant>
        <vt:lpwstr>http://www.nevo.co.il/case/5583030</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3145848</vt:i4>
      </vt:variant>
      <vt:variant>
        <vt:i4>45</vt:i4>
      </vt:variant>
      <vt:variant>
        <vt:i4>0</vt:i4>
      </vt:variant>
      <vt:variant>
        <vt:i4>5</vt:i4>
      </vt:variant>
      <vt:variant>
        <vt:lpwstr>http://www.nevo.co.il/case/17939812</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8257646</vt:i4>
      </vt:variant>
      <vt:variant>
        <vt:i4>27</vt:i4>
      </vt:variant>
      <vt:variant>
        <vt:i4>0</vt:i4>
      </vt:variant>
      <vt:variant>
        <vt:i4>5</vt:i4>
      </vt:variant>
      <vt:variant>
        <vt:lpwstr>http://www.nevo.co.il/law/74903</vt:lpwstr>
      </vt:variant>
      <vt:variant>
        <vt:lpwstr/>
      </vt:variant>
      <vt:variant>
        <vt:i4>3604517</vt:i4>
      </vt:variant>
      <vt:variant>
        <vt:i4>24</vt:i4>
      </vt:variant>
      <vt:variant>
        <vt:i4>0</vt:i4>
      </vt:variant>
      <vt:variant>
        <vt:i4>5</vt:i4>
      </vt:variant>
      <vt:variant>
        <vt:lpwstr>http://www.nevo.co.il/law/70301/40ja.3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2020-08-04T06:15:00Z</cp:lastPrinted>
  <dcterms:created xsi:type="dcterms:W3CDTF">2025-04-22T23:50:00Z</dcterms:created>
  <dcterms:modified xsi:type="dcterms:W3CDTF">2025-04-22T23:50:00Z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42779</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סברי אלעמראני</vt:lpwstr>
  </property>
  <property fmtid="{D5CDD505-2E9C-101B-9397-08002B2CF9AE}" pid="10" name="LAWYER">
    <vt:lpwstr>עמית חומרי;יונת בן חיים ( אחמד ווותד)</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20200804</vt:lpwstr>
  </property>
  <property fmtid="{D5CDD505-2E9C-101B-9397-08002B2CF9AE}" pid="14" name="TYPE_N_DATE">
    <vt:lpwstr>38020200804</vt:lpwstr>
  </property>
  <property fmtid="{D5CDD505-2E9C-101B-9397-08002B2CF9AE}" pid="15" name="WORDNUMPAGES">
    <vt:lpwstr>12</vt:lpwstr>
  </property>
  <property fmtid="{D5CDD505-2E9C-101B-9397-08002B2CF9AE}" pid="16" name="TYPE_ABS_DATE">
    <vt:lpwstr>380020200804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17939812;5738608;5583030;18119161;25408321;20881083;6230925;13104263;7977312;22505600;20770504;20402486;17084501;8291661;22238304;26516436;23541922;23631077;24908953;6032057;17941073;5880417;6824952:2;24393836;24393852;22232081;5849797;10459128;12930657</vt:lpwstr>
  </property>
  <property fmtid="{D5CDD505-2E9C-101B-9397-08002B2CF9AE}" pid="36" name="CASESLISTTMP2">
    <vt:lpwstr>7821838;6848505;25459244;13015510;21474481;18653810;20507947</vt:lpwstr>
  </property>
  <property fmtid="{D5CDD505-2E9C-101B-9397-08002B2CF9AE}" pid="37" name="LAWLISTTMP1">
    <vt:lpwstr>4216/006:2</vt:lpwstr>
  </property>
  <property fmtid="{D5CDD505-2E9C-101B-9397-08002B2CF9AE}" pid="38" name="LAWLISTTMP2">
    <vt:lpwstr>70301/040c.a:2;275;031:2;040c.b;40ja.3;040d.a</vt:lpwstr>
  </property>
  <property fmtid="{D5CDD505-2E9C-101B-9397-08002B2CF9AE}" pid="39" name="LAWLISTTMP3">
    <vt:lpwstr>74903</vt:lpwstr>
  </property>
</Properties>
</file>