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CA41A5" w:rsidRPr="0050017A" w14:paraId="61C4CF85" w14:textId="77777777" w:rsidTr="00532E65">
        <w:trPr>
          <w:trHeight w:hRule="exact" w:val="418"/>
          <w:jc w:val="center"/>
        </w:trPr>
        <w:tc>
          <w:tcPr>
            <w:tcW w:w="8721" w:type="dxa"/>
            <w:gridSpan w:val="2"/>
          </w:tcPr>
          <w:p w14:paraId="5D640947" w14:textId="77777777" w:rsidR="00CA41A5" w:rsidRPr="0050017A" w:rsidRDefault="00CA41A5" w:rsidP="00A3025E">
            <w:pPr>
              <w:pStyle w:val="a3"/>
              <w:jc w:val="center"/>
              <w:rPr>
                <w:rFonts w:ascii="Tahoma" w:hAnsi="Tahoma" w:cs="Tahoma"/>
                <w:color w:val="000080"/>
                <w:rtl/>
              </w:rPr>
            </w:pPr>
            <w:bookmarkStart w:id="0" w:name="LastJudge"/>
            <w:r w:rsidRPr="0050017A">
              <w:rPr>
                <w:rFonts w:ascii="Tahoma" w:hAnsi="Tahoma" w:cs="Tahoma"/>
                <w:b/>
                <w:bCs/>
                <w:color w:val="000080"/>
                <w:rtl/>
              </w:rPr>
              <w:t>בית משפט השלום בקריות</w:t>
            </w:r>
          </w:p>
        </w:tc>
      </w:tr>
      <w:tr w:rsidR="00CA41A5" w:rsidRPr="0050017A" w14:paraId="6597166C" w14:textId="77777777" w:rsidTr="00532E65">
        <w:trPr>
          <w:trHeight w:val="337"/>
          <w:jc w:val="center"/>
        </w:trPr>
        <w:tc>
          <w:tcPr>
            <w:tcW w:w="5062" w:type="dxa"/>
          </w:tcPr>
          <w:p w14:paraId="5659FC47" w14:textId="77777777" w:rsidR="00CA41A5" w:rsidRPr="0050017A" w:rsidRDefault="00CA41A5" w:rsidP="00A3025E">
            <w:pPr>
              <w:rPr>
                <w:rFonts w:cs="FrankRuehl"/>
                <w:sz w:val="28"/>
                <w:szCs w:val="28"/>
                <w:rtl/>
              </w:rPr>
            </w:pPr>
            <w:r w:rsidRPr="0050017A">
              <w:rPr>
                <w:rFonts w:cs="FrankRuehl"/>
                <w:sz w:val="28"/>
                <w:szCs w:val="28"/>
                <w:rtl/>
              </w:rPr>
              <w:t>ת"פ</w:t>
            </w:r>
            <w:r w:rsidRPr="0050017A">
              <w:rPr>
                <w:rFonts w:cs="FrankRuehl" w:hint="cs"/>
                <w:sz w:val="28"/>
                <w:szCs w:val="28"/>
                <w:rtl/>
              </w:rPr>
              <w:t xml:space="preserve"> </w:t>
            </w:r>
            <w:r w:rsidRPr="0050017A">
              <w:rPr>
                <w:rFonts w:cs="FrankRuehl"/>
                <w:sz w:val="28"/>
                <w:szCs w:val="28"/>
                <w:rtl/>
              </w:rPr>
              <w:t>16599-08-18</w:t>
            </w:r>
            <w:r w:rsidRPr="0050017A">
              <w:rPr>
                <w:rFonts w:cs="FrankRuehl" w:hint="cs"/>
                <w:sz w:val="28"/>
                <w:szCs w:val="28"/>
                <w:rtl/>
              </w:rPr>
              <w:t xml:space="preserve"> </w:t>
            </w:r>
            <w:r w:rsidRPr="0050017A">
              <w:rPr>
                <w:rFonts w:cs="FrankRuehl"/>
                <w:sz w:val="28"/>
                <w:szCs w:val="28"/>
                <w:rtl/>
              </w:rPr>
              <w:t>מדינת ישראל נ' טבצ'ניקוב(עציר)</w:t>
            </w:r>
          </w:p>
          <w:p w14:paraId="55301D43" w14:textId="77777777" w:rsidR="00CA41A5" w:rsidRPr="0050017A" w:rsidRDefault="00CA41A5" w:rsidP="00A3025E">
            <w:pPr>
              <w:pStyle w:val="a3"/>
              <w:rPr>
                <w:rFonts w:cs="FrankRuehl"/>
                <w:sz w:val="28"/>
                <w:szCs w:val="28"/>
                <w:rtl/>
              </w:rPr>
            </w:pPr>
          </w:p>
        </w:tc>
        <w:tc>
          <w:tcPr>
            <w:tcW w:w="3659" w:type="dxa"/>
          </w:tcPr>
          <w:p w14:paraId="31DF7BA4" w14:textId="77777777" w:rsidR="00CA41A5" w:rsidRPr="0050017A" w:rsidRDefault="00CA41A5" w:rsidP="00A3025E">
            <w:pPr>
              <w:pStyle w:val="a3"/>
              <w:jc w:val="right"/>
              <w:rPr>
                <w:rFonts w:cs="FrankRuehl"/>
                <w:sz w:val="28"/>
                <w:szCs w:val="28"/>
                <w:rtl/>
              </w:rPr>
            </w:pPr>
          </w:p>
        </w:tc>
      </w:tr>
    </w:tbl>
    <w:p w14:paraId="704410E3" w14:textId="77777777" w:rsidR="00CA41A5" w:rsidRPr="0050017A" w:rsidRDefault="00CA41A5" w:rsidP="00CA41A5">
      <w:pPr>
        <w:pStyle w:val="a3"/>
        <w:rPr>
          <w:rtl/>
        </w:rPr>
      </w:pPr>
      <w:r w:rsidRPr="0050017A">
        <w:rPr>
          <w:rFonts w:hint="cs"/>
          <w:rtl/>
        </w:rPr>
        <w:t xml:space="preserve"> </w:t>
      </w:r>
    </w:p>
    <w:p w14:paraId="7E48C4A1" w14:textId="77777777" w:rsidR="00CA41A5" w:rsidRPr="0050017A" w:rsidRDefault="00CA41A5" w:rsidP="00CA41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41A5" w:rsidRPr="0050017A" w14:paraId="3EA1A4E8" w14:textId="77777777" w:rsidTr="00CA41A5">
        <w:trPr>
          <w:trHeight w:val="295"/>
          <w:jc w:val="center"/>
        </w:trPr>
        <w:tc>
          <w:tcPr>
            <w:tcW w:w="923" w:type="dxa"/>
            <w:tcBorders>
              <w:top w:val="nil"/>
              <w:left w:val="nil"/>
              <w:bottom w:val="nil"/>
              <w:right w:val="nil"/>
            </w:tcBorders>
            <w:shd w:val="clear" w:color="auto" w:fill="auto"/>
          </w:tcPr>
          <w:p w14:paraId="48AC518B" w14:textId="77777777" w:rsidR="00CA41A5" w:rsidRPr="0050017A" w:rsidRDefault="00CA41A5" w:rsidP="00CA41A5">
            <w:pPr>
              <w:jc w:val="both"/>
              <w:rPr>
                <w:rFonts w:ascii="David" w:hAnsi="David"/>
                <w:b/>
                <w:bCs/>
              </w:rPr>
            </w:pPr>
            <w:r w:rsidRPr="0050017A">
              <w:rPr>
                <w:rFonts w:ascii="David" w:hAnsi="David"/>
                <w:b/>
                <w:bCs/>
                <w:rtl/>
              </w:rPr>
              <w:t xml:space="preserve">בפני </w:t>
            </w:r>
          </w:p>
        </w:tc>
        <w:tc>
          <w:tcPr>
            <w:tcW w:w="7897" w:type="dxa"/>
            <w:gridSpan w:val="2"/>
            <w:tcBorders>
              <w:top w:val="nil"/>
              <w:left w:val="nil"/>
              <w:bottom w:val="nil"/>
              <w:right w:val="nil"/>
            </w:tcBorders>
            <w:shd w:val="clear" w:color="auto" w:fill="auto"/>
          </w:tcPr>
          <w:p w14:paraId="15C1217B" w14:textId="77777777" w:rsidR="00CA41A5" w:rsidRPr="0050017A" w:rsidRDefault="00CA41A5" w:rsidP="00A3025E">
            <w:pPr>
              <w:rPr>
                <w:rFonts w:ascii="David" w:hAnsi="David"/>
                <w:b/>
                <w:bCs/>
                <w:rtl/>
              </w:rPr>
            </w:pPr>
            <w:r w:rsidRPr="0050017A">
              <w:rPr>
                <w:rFonts w:ascii="David" w:hAnsi="David"/>
                <w:b/>
                <w:bCs/>
                <w:rtl/>
              </w:rPr>
              <w:t>כבוד השופט  יוסי טורס</w:t>
            </w:r>
          </w:p>
          <w:p w14:paraId="2D2E3950" w14:textId="77777777" w:rsidR="00CA41A5" w:rsidRPr="0050017A" w:rsidRDefault="00CA41A5" w:rsidP="00A3025E">
            <w:pPr>
              <w:rPr>
                <w:rFonts w:ascii="David" w:hAnsi="David"/>
                <w:b/>
                <w:bCs/>
                <w:rtl/>
              </w:rPr>
            </w:pPr>
          </w:p>
          <w:p w14:paraId="61596C6E" w14:textId="77777777" w:rsidR="00CA41A5" w:rsidRPr="0050017A" w:rsidRDefault="00CA41A5" w:rsidP="00CA41A5">
            <w:pPr>
              <w:jc w:val="both"/>
              <w:rPr>
                <w:rFonts w:ascii="David" w:hAnsi="David"/>
                <w:b/>
                <w:bCs/>
              </w:rPr>
            </w:pPr>
          </w:p>
        </w:tc>
      </w:tr>
      <w:tr w:rsidR="00CA41A5" w:rsidRPr="0050017A" w14:paraId="363C593B" w14:textId="77777777" w:rsidTr="00CA41A5">
        <w:trPr>
          <w:trHeight w:val="355"/>
          <w:jc w:val="center"/>
        </w:trPr>
        <w:tc>
          <w:tcPr>
            <w:tcW w:w="923" w:type="dxa"/>
            <w:tcBorders>
              <w:top w:val="nil"/>
              <w:left w:val="nil"/>
              <w:bottom w:val="nil"/>
              <w:right w:val="nil"/>
            </w:tcBorders>
            <w:shd w:val="clear" w:color="auto" w:fill="auto"/>
          </w:tcPr>
          <w:p w14:paraId="5A40362A" w14:textId="77777777" w:rsidR="00CA41A5" w:rsidRPr="0050017A" w:rsidRDefault="00CA41A5" w:rsidP="00CA41A5">
            <w:pPr>
              <w:jc w:val="both"/>
              <w:rPr>
                <w:rFonts w:ascii="David" w:hAnsi="David"/>
                <w:b/>
                <w:bCs/>
              </w:rPr>
            </w:pPr>
            <w:bookmarkStart w:id="1" w:name="FirstAppellant"/>
            <w:r w:rsidRPr="0050017A">
              <w:rPr>
                <w:rFonts w:ascii="David" w:hAnsi="David"/>
                <w:b/>
                <w:bCs/>
                <w:rtl/>
              </w:rPr>
              <w:t>בעניין:</w:t>
            </w:r>
          </w:p>
        </w:tc>
        <w:tc>
          <w:tcPr>
            <w:tcW w:w="4126" w:type="dxa"/>
            <w:tcBorders>
              <w:top w:val="nil"/>
              <w:left w:val="nil"/>
              <w:bottom w:val="nil"/>
              <w:right w:val="nil"/>
            </w:tcBorders>
            <w:shd w:val="clear" w:color="auto" w:fill="auto"/>
          </w:tcPr>
          <w:p w14:paraId="6C6AD9F3" w14:textId="77777777" w:rsidR="00CA41A5" w:rsidRPr="0050017A" w:rsidRDefault="00CA41A5" w:rsidP="00A3025E">
            <w:pPr>
              <w:rPr>
                <w:rFonts w:ascii="David" w:hAnsi="David"/>
                <w:b/>
                <w:bCs/>
              </w:rPr>
            </w:pPr>
            <w:r w:rsidRPr="0050017A">
              <w:rPr>
                <w:rFonts w:ascii="David" w:hAnsi="David"/>
                <w:b/>
                <w:bCs/>
                <w:rtl/>
              </w:rPr>
              <w:t>מדינת ישראל</w:t>
            </w:r>
          </w:p>
        </w:tc>
        <w:tc>
          <w:tcPr>
            <w:tcW w:w="3771" w:type="dxa"/>
            <w:tcBorders>
              <w:top w:val="nil"/>
              <w:left w:val="nil"/>
              <w:bottom w:val="nil"/>
              <w:right w:val="nil"/>
            </w:tcBorders>
            <w:shd w:val="clear" w:color="auto" w:fill="auto"/>
          </w:tcPr>
          <w:p w14:paraId="5A38204F" w14:textId="77777777" w:rsidR="00CA41A5" w:rsidRPr="0050017A" w:rsidRDefault="00CA41A5" w:rsidP="00CA41A5">
            <w:pPr>
              <w:jc w:val="both"/>
              <w:rPr>
                <w:rFonts w:ascii="David" w:hAnsi="David"/>
                <w:b/>
                <w:bCs/>
              </w:rPr>
            </w:pPr>
          </w:p>
        </w:tc>
      </w:tr>
      <w:bookmarkEnd w:id="1"/>
      <w:tr w:rsidR="00CA41A5" w:rsidRPr="0050017A" w14:paraId="731B2C2A" w14:textId="77777777" w:rsidTr="00CA41A5">
        <w:trPr>
          <w:trHeight w:val="355"/>
          <w:jc w:val="center"/>
        </w:trPr>
        <w:tc>
          <w:tcPr>
            <w:tcW w:w="923" w:type="dxa"/>
            <w:tcBorders>
              <w:top w:val="nil"/>
              <w:left w:val="nil"/>
              <w:bottom w:val="nil"/>
              <w:right w:val="nil"/>
            </w:tcBorders>
            <w:shd w:val="clear" w:color="auto" w:fill="auto"/>
          </w:tcPr>
          <w:p w14:paraId="443800CE" w14:textId="77777777" w:rsidR="00CA41A5" w:rsidRPr="0050017A" w:rsidRDefault="00CA41A5" w:rsidP="00CA41A5">
            <w:pPr>
              <w:jc w:val="both"/>
              <w:rPr>
                <w:rFonts w:ascii="David" w:hAnsi="David"/>
                <w:b/>
                <w:bCs/>
                <w:rtl/>
              </w:rPr>
            </w:pPr>
          </w:p>
        </w:tc>
        <w:tc>
          <w:tcPr>
            <w:tcW w:w="4126" w:type="dxa"/>
            <w:tcBorders>
              <w:top w:val="nil"/>
              <w:left w:val="nil"/>
              <w:bottom w:val="nil"/>
              <w:right w:val="nil"/>
            </w:tcBorders>
            <w:shd w:val="clear" w:color="auto" w:fill="auto"/>
          </w:tcPr>
          <w:p w14:paraId="3383A68B" w14:textId="77777777" w:rsidR="00CA41A5" w:rsidRPr="0050017A" w:rsidRDefault="00CA41A5" w:rsidP="00CA41A5">
            <w:pPr>
              <w:jc w:val="both"/>
              <w:rPr>
                <w:rFonts w:ascii="David" w:hAnsi="David"/>
                <w:b/>
                <w:bCs/>
                <w:rtl/>
              </w:rPr>
            </w:pPr>
          </w:p>
        </w:tc>
        <w:tc>
          <w:tcPr>
            <w:tcW w:w="3771" w:type="dxa"/>
            <w:tcBorders>
              <w:top w:val="nil"/>
              <w:left w:val="nil"/>
              <w:bottom w:val="nil"/>
              <w:right w:val="nil"/>
            </w:tcBorders>
            <w:shd w:val="clear" w:color="auto" w:fill="auto"/>
          </w:tcPr>
          <w:p w14:paraId="5C98F5D1" w14:textId="77777777" w:rsidR="00CA41A5" w:rsidRPr="0050017A" w:rsidRDefault="00CA41A5" w:rsidP="00CA41A5">
            <w:pPr>
              <w:jc w:val="right"/>
              <w:rPr>
                <w:rFonts w:ascii="David" w:hAnsi="David"/>
                <w:b/>
                <w:bCs/>
                <w:rtl/>
              </w:rPr>
            </w:pPr>
            <w:r w:rsidRPr="0050017A">
              <w:rPr>
                <w:rFonts w:ascii="David" w:hAnsi="David"/>
                <w:b/>
                <w:bCs/>
                <w:rtl/>
              </w:rPr>
              <w:t>המאשימה</w:t>
            </w:r>
          </w:p>
        </w:tc>
      </w:tr>
      <w:tr w:rsidR="00CA41A5" w:rsidRPr="0050017A" w14:paraId="45494981" w14:textId="77777777" w:rsidTr="00CA41A5">
        <w:trPr>
          <w:trHeight w:val="355"/>
          <w:jc w:val="center"/>
        </w:trPr>
        <w:tc>
          <w:tcPr>
            <w:tcW w:w="923" w:type="dxa"/>
            <w:tcBorders>
              <w:top w:val="nil"/>
              <w:left w:val="nil"/>
              <w:bottom w:val="nil"/>
              <w:right w:val="nil"/>
            </w:tcBorders>
            <w:shd w:val="clear" w:color="auto" w:fill="auto"/>
          </w:tcPr>
          <w:p w14:paraId="747A2DE8" w14:textId="77777777" w:rsidR="00CA41A5" w:rsidRPr="0050017A" w:rsidRDefault="00CA41A5" w:rsidP="00CA41A5">
            <w:pPr>
              <w:jc w:val="both"/>
              <w:rPr>
                <w:rFonts w:ascii="David" w:hAnsi="David"/>
                <w:b/>
                <w:bCs/>
                <w:rtl/>
              </w:rPr>
            </w:pPr>
          </w:p>
        </w:tc>
        <w:tc>
          <w:tcPr>
            <w:tcW w:w="7897" w:type="dxa"/>
            <w:gridSpan w:val="2"/>
            <w:tcBorders>
              <w:top w:val="nil"/>
              <w:left w:val="nil"/>
              <w:bottom w:val="nil"/>
              <w:right w:val="nil"/>
            </w:tcBorders>
            <w:shd w:val="clear" w:color="auto" w:fill="auto"/>
          </w:tcPr>
          <w:p w14:paraId="0E4017CB" w14:textId="77777777" w:rsidR="00CA41A5" w:rsidRPr="0050017A" w:rsidRDefault="00CA41A5" w:rsidP="00CA41A5">
            <w:pPr>
              <w:jc w:val="center"/>
              <w:rPr>
                <w:rFonts w:ascii="David" w:hAnsi="David"/>
                <w:b/>
                <w:bCs/>
                <w:rtl/>
              </w:rPr>
            </w:pPr>
          </w:p>
          <w:p w14:paraId="4BDD799F" w14:textId="77777777" w:rsidR="00CA41A5" w:rsidRPr="0050017A" w:rsidRDefault="00CA41A5" w:rsidP="00CA41A5">
            <w:pPr>
              <w:jc w:val="center"/>
              <w:rPr>
                <w:rFonts w:ascii="David" w:hAnsi="David"/>
                <w:b/>
                <w:bCs/>
                <w:rtl/>
              </w:rPr>
            </w:pPr>
            <w:r w:rsidRPr="0050017A">
              <w:rPr>
                <w:rFonts w:ascii="David" w:hAnsi="David"/>
                <w:b/>
                <w:bCs/>
                <w:rtl/>
              </w:rPr>
              <w:t>נגד</w:t>
            </w:r>
          </w:p>
          <w:p w14:paraId="0A8FAF6B" w14:textId="77777777" w:rsidR="00CA41A5" w:rsidRPr="0050017A" w:rsidRDefault="00CA41A5" w:rsidP="00CA41A5">
            <w:pPr>
              <w:jc w:val="both"/>
              <w:rPr>
                <w:rFonts w:ascii="David" w:hAnsi="David"/>
                <w:b/>
                <w:bCs/>
              </w:rPr>
            </w:pPr>
          </w:p>
        </w:tc>
      </w:tr>
      <w:tr w:rsidR="00CA41A5" w:rsidRPr="0050017A" w14:paraId="1AB94694" w14:textId="77777777" w:rsidTr="00CA41A5">
        <w:trPr>
          <w:trHeight w:val="355"/>
          <w:jc w:val="center"/>
        </w:trPr>
        <w:tc>
          <w:tcPr>
            <w:tcW w:w="923" w:type="dxa"/>
            <w:tcBorders>
              <w:top w:val="nil"/>
              <w:left w:val="nil"/>
              <w:bottom w:val="nil"/>
              <w:right w:val="nil"/>
            </w:tcBorders>
            <w:shd w:val="clear" w:color="auto" w:fill="auto"/>
          </w:tcPr>
          <w:p w14:paraId="2795A518" w14:textId="77777777" w:rsidR="00CA41A5" w:rsidRPr="0050017A" w:rsidRDefault="00CA41A5" w:rsidP="00A3025E">
            <w:pPr>
              <w:rPr>
                <w:rFonts w:ascii="David" w:hAnsi="David"/>
                <w:b/>
                <w:bCs/>
                <w:rtl/>
              </w:rPr>
            </w:pPr>
          </w:p>
        </w:tc>
        <w:tc>
          <w:tcPr>
            <w:tcW w:w="4126" w:type="dxa"/>
            <w:tcBorders>
              <w:top w:val="nil"/>
              <w:left w:val="nil"/>
              <w:bottom w:val="nil"/>
              <w:right w:val="nil"/>
            </w:tcBorders>
            <w:shd w:val="clear" w:color="auto" w:fill="auto"/>
          </w:tcPr>
          <w:p w14:paraId="32EB4B48" w14:textId="77777777" w:rsidR="00CA41A5" w:rsidRPr="0050017A" w:rsidRDefault="00CA41A5" w:rsidP="00A3025E">
            <w:pPr>
              <w:rPr>
                <w:rFonts w:ascii="David" w:hAnsi="David"/>
                <w:b/>
                <w:bCs/>
                <w:rtl/>
              </w:rPr>
            </w:pPr>
            <w:r w:rsidRPr="0050017A">
              <w:rPr>
                <w:rFonts w:ascii="David" w:hAnsi="David"/>
                <w:b/>
                <w:bCs/>
                <w:rtl/>
              </w:rPr>
              <w:t xml:space="preserve">דוד טבצ'ניקוב </w:t>
            </w:r>
          </w:p>
        </w:tc>
        <w:tc>
          <w:tcPr>
            <w:tcW w:w="3771" w:type="dxa"/>
            <w:tcBorders>
              <w:top w:val="nil"/>
              <w:left w:val="nil"/>
              <w:bottom w:val="nil"/>
              <w:right w:val="nil"/>
            </w:tcBorders>
            <w:shd w:val="clear" w:color="auto" w:fill="auto"/>
          </w:tcPr>
          <w:p w14:paraId="07B3E087" w14:textId="77777777" w:rsidR="00CA41A5" w:rsidRPr="0050017A" w:rsidRDefault="00CA41A5" w:rsidP="00CA41A5">
            <w:pPr>
              <w:jc w:val="right"/>
              <w:rPr>
                <w:rFonts w:ascii="David" w:hAnsi="David"/>
                <w:b/>
                <w:bCs/>
              </w:rPr>
            </w:pPr>
          </w:p>
        </w:tc>
      </w:tr>
      <w:tr w:rsidR="00CA41A5" w:rsidRPr="0050017A" w14:paraId="4CBBBF2A" w14:textId="77777777" w:rsidTr="00CA41A5">
        <w:trPr>
          <w:trHeight w:val="355"/>
          <w:jc w:val="center"/>
        </w:trPr>
        <w:tc>
          <w:tcPr>
            <w:tcW w:w="923" w:type="dxa"/>
            <w:tcBorders>
              <w:top w:val="nil"/>
              <w:left w:val="nil"/>
              <w:bottom w:val="nil"/>
              <w:right w:val="nil"/>
            </w:tcBorders>
            <w:shd w:val="clear" w:color="auto" w:fill="auto"/>
          </w:tcPr>
          <w:p w14:paraId="50D563B2" w14:textId="77777777" w:rsidR="00CA41A5" w:rsidRPr="0050017A" w:rsidRDefault="00CA41A5" w:rsidP="00CA41A5">
            <w:pPr>
              <w:jc w:val="both"/>
              <w:rPr>
                <w:rFonts w:ascii="David" w:hAnsi="David"/>
                <w:b/>
                <w:bCs/>
                <w:rtl/>
              </w:rPr>
            </w:pPr>
          </w:p>
        </w:tc>
        <w:tc>
          <w:tcPr>
            <w:tcW w:w="4126" w:type="dxa"/>
            <w:tcBorders>
              <w:top w:val="nil"/>
              <w:left w:val="nil"/>
              <w:bottom w:val="nil"/>
              <w:right w:val="nil"/>
            </w:tcBorders>
            <w:shd w:val="clear" w:color="auto" w:fill="auto"/>
          </w:tcPr>
          <w:p w14:paraId="255E8BE4" w14:textId="77777777" w:rsidR="00CA41A5" w:rsidRPr="0050017A" w:rsidRDefault="00CA41A5" w:rsidP="00CA41A5">
            <w:pPr>
              <w:jc w:val="both"/>
              <w:rPr>
                <w:rFonts w:ascii="David" w:hAnsi="David"/>
                <w:b/>
                <w:bCs/>
                <w:rtl/>
              </w:rPr>
            </w:pPr>
          </w:p>
        </w:tc>
        <w:tc>
          <w:tcPr>
            <w:tcW w:w="3771" w:type="dxa"/>
            <w:tcBorders>
              <w:top w:val="nil"/>
              <w:left w:val="nil"/>
              <w:bottom w:val="nil"/>
              <w:right w:val="nil"/>
            </w:tcBorders>
            <w:shd w:val="clear" w:color="auto" w:fill="auto"/>
          </w:tcPr>
          <w:p w14:paraId="372976B5" w14:textId="77777777" w:rsidR="00CA41A5" w:rsidRPr="0050017A" w:rsidRDefault="00CA41A5" w:rsidP="00CA41A5">
            <w:pPr>
              <w:jc w:val="right"/>
              <w:rPr>
                <w:rFonts w:ascii="David" w:hAnsi="David"/>
                <w:b/>
                <w:bCs/>
              </w:rPr>
            </w:pPr>
            <w:r w:rsidRPr="0050017A">
              <w:rPr>
                <w:rFonts w:ascii="David" w:hAnsi="David"/>
                <w:b/>
                <w:bCs/>
                <w:rtl/>
              </w:rPr>
              <w:t>הנאשם</w:t>
            </w:r>
          </w:p>
        </w:tc>
      </w:tr>
    </w:tbl>
    <w:p w14:paraId="59A19E0D" w14:textId="77777777" w:rsidR="00532E65" w:rsidRDefault="00532E65" w:rsidP="00CA41A5">
      <w:pPr>
        <w:rPr>
          <w:rtl/>
        </w:rPr>
      </w:pPr>
      <w:bookmarkStart w:id="2" w:name="LawTable"/>
      <w:bookmarkEnd w:id="2"/>
    </w:p>
    <w:p w14:paraId="283932DD" w14:textId="77777777" w:rsidR="00532E65" w:rsidRPr="00532E65" w:rsidRDefault="00532E65" w:rsidP="00532E65">
      <w:pPr>
        <w:spacing w:after="120" w:line="240" w:lineRule="exact"/>
        <w:ind w:left="283" w:hanging="283"/>
        <w:jc w:val="both"/>
        <w:rPr>
          <w:rFonts w:ascii="FrankRuehl" w:hAnsi="FrankRuehl" w:cs="FrankRuehl"/>
          <w:rtl/>
        </w:rPr>
      </w:pPr>
    </w:p>
    <w:p w14:paraId="35610F78" w14:textId="77777777" w:rsidR="00532E65" w:rsidRPr="00532E65" w:rsidRDefault="00532E65" w:rsidP="00532E65">
      <w:pPr>
        <w:spacing w:after="120" w:line="240" w:lineRule="exact"/>
        <w:ind w:left="283" w:hanging="283"/>
        <w:jc w:val="both"/>
        <w:rPr>
          <w:rFonts w:ascii="FrankRuehl" w:hAnsi="FrankRuehl" w:cs="FrankRuehl"/>
          <w:rtl/>
        </w:rPr>
      </w:pPr>
      <w:r w:rsidRPr="00532E65">
        <w:rPr>
          <w:rFonts w:ascii="FrankRuehl" w:hAnsi="FrankRuehl" w:cs="FrankRuehl"/>
          <w:rtl/>
        </w:rPr>
        <w:t xml:space="preserve">חקיקה שאוזכרה: </w:t>
      </w:r>
    </w:p>
    <w:p w14:paraId="679B377F" w14:textId="77777777" w:rsidR="00532E65" w:rsidRPr="00532E65" w:rsidRDefault="00532E65" w:rsidP="00532E65">
      <w:pPr>
        <w:spacing w:after="120" w:line="240" w:lineRule="exact"/>
        <w:ind w:left="283" w:hanging="283"/>
        <w:jc w:val="both"/>
        <w:rPr>
          <w:rFonts w:ascii="FrankRuehl" w:hAnsi="FrankRuehl" w:cs="FrankRuehl"/>
          <w:rtl/>
        </w:rPr>
      </w:pPr>
      <w:hyperlink r:id="rId7" w:history="1">
        <w:r w:rsidRPr="00532E65">
          <w:rPr>
            <w:rFonts w:ascii="FrankRuehl" w:hAnsi="FrankRuehl" w:cs="FrankRuehl"/>
            <w:color w:val="0000FF"/>
            <w:u w:val="single"/>
            <w:rtl/>
          </w:rPr>
          <w:t>פקודת הסמים המסוכנים [נוסח חדש], תשל"ג-1973</w:t>
        </w:r>
      </w:hyperlink>
      <w:r w:rsidRPr="00532E65">
        <w:rPr>
          <w:rFonts w:ascii="FrankRuehl" w:hAnsi="FrankRuehl" w:cs="FrankRuehl"/>
          <w:rtl/>
        </w:rPr>
        <w:t xml:space="preserve">: סע'  </w:t>
      </w:r>
      <w:hyperlink r:id="rId8" w:history="1">
        <w:r w:rsidRPr="00532E65">
          <w:rPr>
            <w:rFonts w:ascii="FrankRuehl" w:hAnsi="FrankRuehl" w:cs="FrankRuehl"/>
            <w:color w:val="0000FF"/>
            <w:u w:val="single"/>
            <w:rtl/>
          </w:rPr>
          <w:t>7(א)(ג)</w:t>
        </w:r>
      </w:hyperlink>
      <w:r w:rsidRPr="00532E65">
        <w:rPr>
          <w:rFonts w:ascii="FrankRuehl" w:hAnsi="FrankRuehl" w:cs="FrankRuehl"/>
          <w:rtl/>
        </w:rPr>
        <w:t xml:space="preserve">, </w:t>
      </w:r>
      <w:hyperlink r:id="rId9" w:history="1">
        <w:r w:rsidRPr="00532E65">
          <w:rPr>
            <w:rFonts w:ascii="FrankRuehl" w:hAnsi="FrankRuehl" w:cs="FrankRuehl"/>
            <w:color w:val="0000FF"/>
            <w:u w:val="single"/>
            <w:rtl/>
          </w:rPr>
          <w:t>10</w:t>
        </w:r>
      </w:hyperlink>
    </w:p>
    <w:p w14:paraId="48ACF939" w14:textId="77777777" w:rsidR="00532E65" w:rsidRPr="00532E65" w:rsidRDefault="00532E65" w:rsidP="00532E65">
      <w:pPr>
        <w:spacing w:after="120" w:line="240" w:lineRule="exact"/>
        <w:ind w:left="283" w:hanging="283"/>
        <w:jc w:val="both"/>
        <w:rPr>
          <w:rFonts w:ascii="FrankRuehl" w:hAnsi="FrankRuehl" w:cs="FrankRuehl"/>
          <w:rtl/>
        </w:rPr>
      </w:pPr>
      <w:hyperlink r:id="rId10" w:history="1">
        <w:r w:rsidRPr="00532E65">
          <w:rPr>
            <w:rFonts w:ascii="FrankRuehl" w:hAnsi="FrankRuehl" w:cs="FrankRuehl"/>
            <w:color w:val="0000FF"/>
            <w:u w:val="single"/>
            <w:rtl/>
          </w:rPr>
          <w:t>חוק העונשין, תשל"ז-1977</w:t>
        </w:r>
      </w:hyperlink>
      <w:r w:rsidRPr="00532E65">
        <w:rPr>
          <w:rFonts w:ascii="FrankRuehl" w:hAnsi="FrankRuehl" w:cs="FrankRuehl"/>
          <w:rtl/>
        </w:rPr>
        <w:t xml:space="preserve">: סע'  </w:t>
      </w:r>
      <w:hyperlink r:id="rId11" w:history="1">
        <w:r w:rsidRPr="00532E65">
          <w:rPr>
            <w:rFonts w:ascii="FrankRuehl" w:hAnsi="FrankRuehl" w:cs="FrankRuehl"/>
            <w:color w:val="0000FF"/>
            <w:u w:val="single"/>
            <w:rtl/>
          </w:rPr>
          <w:t>40א</w:t>
        </w:r>
      </w:hyperlink>
      <w:r w:rsidRPr="00532E65">
        <w:rPr>
          <w:rFonts w:ascii="FrankRuehl" w:hAnsi="FrankRuehl" w:cs="FrankRuehl"/>
          <w:rtl/>
        </w:rPr>
        <w:t xml:space="preserve">, </w:t>
      </w:r>
      <w:hyperlink r:id="rId12" w:history="1">
        <w:r w:rsidRPr="00532E65">
          <w:rPr>
            <w:rFonts w:ascii="FrankRuehl" w:hAnsi="FrankRuehl" w:cs="FrankRuehl"/>
            <w:color w:val="0000FF"/>
            <w:u w:val="single"/>
            <w:rtl/>
          </w:rPr>
          <w:t>40ב</w:t>
        </w:r>
      </w:hyperlink>
      <w:r w:rsidRPr="00532E65">
        <w:rPr>
          <w:rFonts w:ascii="FrankRuehl" w:hAnsi="FrankRuehl" w:cs="FrankRuehl"/>
          <w:rtl/>
        </w:rPr>
        <w:t xml:space="preserve">, </w:t>
      </w:r>
      <w:hyperlink r:id="rId13" w:history="1">
        <w:r w:rsidRPr="00532E65">
          <w:rPr>
            <w:rFonts w:ascii="FrankRuehl" w:hAnsi="FrankRuehl" w:cs="FrankRuehl"/>
            <w:color w:val="0000FF"/>
            <w:u w:val="single"/>
            <w:rtl/>
          </w:rPr>
          <w:t>40ג</w:t>
        </w:r>
      </w:hyperlink>
      <w:r w:rsidRPr="00532E65">
        <w:rPr>
          <w:rFonts w:ascii="FrankRuehl" w:hAnsi="FrankRuehl" w:cs="FrankRuehl"/>
          <w:rtl/>
        </w:rPr>
        <w:t xml:space="preserve">, </w:t>
      </w:r>
      <w:hyperlink r:id="rId14" w:history="1">
        <w:r w:rsidRPr="00532E65">
          <w:rPr>
            <w:rFonts w:ascii="FrankRuehl" w:hAnsi="FrankRuehl" w:cs="FrankRuehl"/>
            <w:color w:val="0000FF"/>
            <w:u w:val="single"/>
            <w:rtl/>
          </w:rPr>
          <w:t>40ד</w:t>
        </w:r>
      </w:hyperlink>
      <w:r w:rsidRPr="00532E65">
        <w:rPr>
          <w:rFonts w:ascii="FrankRuehl" w:hAnsi="FrankRuehl" w:cs="FrankRuehl"/>
          <w:rtl/>
        </w:rPr>
        <w:t xml:space="preserve">, </w:t>
      </w:r>
      <w:hyperlink r:id="rId15" w:history="1">
        <w:r w:rsidRPr="00532E65">
          <w:rPr>
            <w:rFonts w:ascii="FrankRuehl" w:hAnsi="FrankRuehl" w:cs="FrankRuehl"/>
            <w:color w:val="0000FF"/>
            <w:u w:val="single"/>
            <w:rtl/>
          </w:rPr>
          <w:t>40ה</w:t>
        </w:r>
      </w:hyperlink>
      <w:r w:rsidRPr="00532E65">
        <w:rPr>
          <w:rFonts w:ascii="FrankRuehl" w:hAnsi="FrankRuehl" w:cs="FrankRuehl"/>
          <w:rtl/>
        </w:rPr>
        <w:t xml:space="preserve">, </w:t>
      </w:r>
      <w:hyperlink r:id="rId16" w:history="1">
        <w:r w:rsidRPr="00532E65">
          <w:rPr>
            <w:rFonts w:ascii="FrankRuehl" w:hAnsi="FrankRuehl" w:cs="FrankRuehl"/>
            <w:color w:val="0000FF"/>
            <w:u w:val="single"/>
            <w:rtl/>
          </w:rPr>
          <w:t>40ו</w:t>
        </w:r>
      </w:hyperlink>
      <w:r w:rsidRPr="00532E65">
        <w:rPr>
          <w:rFonts w:ascii="FrankRuehl" w:hAnsi="FrankRuehl" w:cs="FrankRuehl"/>
          <w:rtl/>
        </w:rPr>
        <w:t xml:space="preserve">, </w:t>
      </w:r>
      <w:hyperlink r:id="rId17" w:history="1">
        <w:r w:rsidRPr="00532E65">
          <w:rPr>
            <w:rFonts w:ascii="FrankRuehl" w:hAnsi="FrankRuehl" w:cs="FrankRuehl"/>
            <w:color w:val="0000FF"/>
            <w:u w:val="single"/>
            <w:rtl/>
          </w:rPr>
          <w:t>40ז</w:t>
        </w:r>
      </w:hyperlink>
      <w:r w:rsidRPr="00532E65">
        <w:rPr>
          <w:rFonts w:ascii="FrankRuehl" w:hAnsi="FrankRuehl" w:cs="FrankRuehl"/>
          <w:rtl/>
        </w:rPr>
        <w:t xml:space="preserve">, </w:t>
      </w:r>
      <w:hyperlink r:id="rId18" w:history="1">
        <w:r w:rsidRPr="00532E65">
          <w:rPr>
            <w:rFonts w:ascii="FrankRuehl" w:hAnsi="FrankRuehl" w:cs="FrankRuehl"/>
            <w:color w:val="0000FF"/>
            <w:u w:val="single"/>
            <w:rtl/>
          </w:rPr>
          <w:t>40ח</w:t>
        </w:r>
      </w:hyperlink>
      <w:r w:rsidRPr="00532E65">
        <w:rPr>
          <w:rFonts w:ascii="FrankRuehl" w:hAnsi="FrankRuehl" w:cs="FrankRuehl"/>
          <w:rtl/>
        </w:rPr>
        <w:t xml:space="preserve">, </w:t>
      </w:r>
      <w:hyperlink r:id="rId19" w:history="1">
        <w:r w:rsidRPr="00532E65">
          <w:rPr>
            <w:rFonts w:ascii="FrankRuehl" w:hAnsi="FrankRuehl" w:cs="FrankRuehl"/>
            <w:color w:val="0000FF"/>
            <w:u w:val="single"/>
            <w:rtl/>
          </w:rPr>
          <w:t>40ט</w:t>
        </w:r>
      </w:hyperlink>
    </w:p>
    <w:p w14:paraId="2EE1E3BD" w14:textId="77777777" w:rsidR="00532E65" w:rsidRPr="00532E65" w:rsidRDefault="00532E65" w:rsidP="00532E65">
      <w:pPr>
        <w:spacing w:after="120" w:line="240" w:lineRule="exact"/>
        <w:ind w:left="283" w:hanging="283"/>
        <w:jc w:val="both"/>
        <w:rPr>
          <w:rFonts w:ascii="FrankRuehl" w:hAnsi="FrankRuehl" w:cs="FrankRuehl"/>
          <w:rtl/>
        </w:rPr>
      </w:pPr>
      <w:hyperlink r:id="rId20" w:history="1">
        <w:r w:rsidRPr="00532E65">
          <w:rPr>
            <w:rFonts w:ascii="FrankRuehl" w:hAnsi="FrankRuehl" w:cs="FrankRuehl"/>
            <w:color w:val="0000FF"/>
            <w:u w:val="single"/>
            <w:rtl/>
          </w:rPr>
          <w:t>פקודת התעבורה [נוסח חדש]</w:t>
        </w:r>
      </w:hyperlink>
      <w:r w:rsidRPr="00532E65">
        <w:rPr>
          <w:rFonts w:ascii="FrankRuehl" w:hAnsi="FrankRuehl" w:cs="FrankRuehl"/>
          <w:rtl/>
        </w:rPr>
        <w:t xml:space="preserve">: סע'  </w:t>
      </w:r>
      <w:hyperlink r:id="rId21" w:history="1">
        <w:r w:rsidRPr="00532E65">
          <w:rPr>
            <w:rFonts w:ascii="FrankRuehl" w:hAnsi="FrankRuehl" w:cs="FrankRuehl"/>
            <w:color w:val="0000FF"/>
            <w:u w:val="single"/>
            <w:rtl/>
          </w:rPr>
          <w:t>42 (ג)(2)</w:t>
        </w:r>
      </w:hyperlink>
    </w:p>
    <w:p w14:paraId="2AEA8FF2" w14:textId="77777777" w:rsidR="00532E65" w:rsidRPr="00532E65" w:rsidRDefault="00532E65" w:rsidP="00532E65">
      <w:pPr>
        <w:spacing w:after="120" w:line="240" w:lineRule="exact"/>
        <w:ind w:left="283" w:hanging="283"/>
        <w:jc w:val="both"/>
        <w:rPr>
          <w:rFonts w:ascii="FrankRuehl" w:hAnsi="FrankRuehl" w:cs="FrankRuehl"/>
          <w:rtl/>
        </w:rPr>
      </w:pPr>
    </w:p>
    <w:p w14:paraId="03A0F8EE" w14:textId="77777777" w:rsidR="00532E65" w:rsidRPr="00532E65" w:rsidRDefault="00532E65" w:rsidP="00CA41A5">
      <w:pPr>
        <w:rPr>
          <w:rtl/>
        </w:rPr>
      </w:pPr>
      <w:bookmarkStart w:id="3" w:name="LawTable_End"/>
      <w:bookmarkEnd w:id="3"/>
    </w:p>
    <w:p w14:paraId="517A76E9" w14:textId="77777777" w:rsidR="00CA41A5" w:rsidRPr="0050017A" w:rsidRDefault="00CA41A5" w:rsidP="00CA41A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41A5" w14:paraId="39651BED" w14:textId="77777777" w:rsidTr="00CA41A5">
        <w:trPr>
          <w:trHeight w:val="355"/>
          <w:jc w:val="center"/>
        </w:trPr>
        <w:tc>
          <w:tcPr>
            <w:tcW w:w="8820" w:type="dxa"/>
            <w:tcBorders>
              <w:top w:val="nil"/>
              <w:left w:val="nil"/>
              <w:bottom w:val="nil"/>
              <w:right w:val="nil"/>
            </w:tcBorders>
            <w:shd w:val="clear" w:color="auto" w:fill="auto"/>
          </w:tcPr>
          <w:p w14:paraId="6230A82D" w14:textId="77777777" w:rsidR="0050017A" w:rsidRPr="0050017A" w:rsidRDefault="0050017A" w:rsidP="0050017A">
            <w:pPr>
              <w:jc w:val="center"/>
              <w:rPr>
                <w:rFonts w:ascii="David" w:hAnsi="David"/>
                <w:b/>
                <w:bCs/>
                <w:sz w:val="32"/>
                <w:szCs w:val="32"/>
                <w:u w:val="single"/>
                <w:rtl/>
              </w:rPr>
            </w:pPr>
            <w:bookmarkStart w:id="4" w:name="PsakDin" w:colFirst="0" w:colLast="0"/>
            <w:bookmarkEnd w:id="0"/>
            <w:r w:rsidRPr="0050017A">
              <w:rPr>
                <w:rFonts w:ascii="David" w:hAnsi="David"/>
                <w:b/>
                <w:bCs/>
                <w:sz w:val="32"/>
                <w:szCs w:val="32"/>
                <w:u w:val="single"/>
                <w:rtl/>
              </w:rPr>
              <w:t>גזר דין</w:t>
            </w:r>
          </w:p>
          <w:p w14:paraId="7FB0B6E3" w14:textId="77777777" w:rsidR="00CA41A5" w:rsidRPr="0050017A" w:rsidRDefault="00CA41A5" w:rsidP="0050017A">
            <w:pPr>
              <w:jc w:val="center"/>
              <w:rPr>
                <w:rFonts w:ascii="David" w:hAnsi="David"/>
                <w:bCs/>
                <w:sz w:val="32"/>
                <w:szCs w:val="32"/>
                <w:u w:val="single"/>
                <w:rtl/>
              </w:rPr>
            </w:pPr>
          </w:p>
        </w:tc>
      </w:tr>
      <w:bookmarkEnd w:id="4"/>
    </w:tbl>
    <w:p w14:paraId="76ED1781" w14:textId="77777777" w:rsidR="00CA41A5" w:rsidRPr="00B05847" w:rsidRDefault="00CA41A5" w:rsidP="00CA41A5">
      <w:pPr>
        <w:rPr>
          <w:rFonts w:ascii="Arial" w:hAnsi="Arial"/>
        </w:rPr>
      </w:pPr>
    </w:p>
    <w:p w14:paraId="00ABA9DA" w14:textId="77777777" w:rsidR="00CA41A5" w:rsidRPr="00B05847" w:rsidRDefault="00CA41A5" w:rsidP="00CA41A5">
      <w:pPr>
        <w:rPr>
          <w:rFonts w:ascii="Arial" w:hAnsi="Arial"/>
          <w:rtl/>
        </w:rPr>
      </w:pPr>
    </w:p>
    <w:p w14:paraId="549FB895" w14:textId="77777777" w:rsidR="00CA41A5" w:rsidRDefault="00CA41A5" w:rsidP="00CA41A5">
      <w:pPr>
        <w:rPr>
          <w:rtl/>
        </w:rPr>
      </w:pPr>
    </w:p>
    <w:p w14:paraId="0E79024D" w14:textId="77777777" w:rsidR="00CA41A5" w:rsidRPr="00786517" w:rsidRDefault="00CA41A5" w:rsidP="00CA41A5">
      <w:pPr>
        <w:pStyle w:val="a9"/>
        <w:spacing w:line="360" w:lineRule="auto"/>
        <w:jc w:val="both"/>
        <w:rPr>
          <w:b/>
          <w:bCs/>
          <w:u w:val="single"/>
          <w:rtl/>
        </w:rPr>
      </w:pPr>
      <w:r w:rsidRPr="00786517">
        <w:rPr>
          <w:rFonts w:hint="cs"/>
          <w:b/>
          <w:bCs/>
          <w:u w:val="single"/>
          <w:rtl/>
        </w:rPr>
        <w:t>כתב האישום וההליכים</w:t>
      </w:r>
    </w:p>
    <w:p w14:paraId="5359FE91" w14:textId="77777777" w:rsidR="00CA41A5" w:rsidRDefault="00CA41A5" w:rsidP="00CA41A5">
      <w:pPr>
        <w:pStyle w:val="a9"/>
        <w:spacing w:line="360" w:lineRule="auto"/>
        <w:jc w:val="both"/>
      </w:pPr>
    </w:p>
    <w:p w14:paraId="3E87DC2A" w14:textId="77777777" w:rsidR="00CA41A5" w:rsidRDefault="00CA41A5" w:rsidP="00CA41A5">
      <w:pPr>
        <w:pStyle w:val="a9"/>
        <w:numPr>
          <w:ilvl w:val="0"/>
          <w:numId w:val="1"/>
        </w:numPr>
        <w:spacing w:line="360" w:lineRule="auto"/>
        <w:jc w:val="both"/>
      </w:pPr>
      <w:bookmarkStart w:id="5" w:name="ABSTRACT_START"/>
      <w:bookmarkEnd w:id="5"/>
      <w:r>
        <w:rPr>
          <w:rFonts w:hint="cs"/>
          <w:rtl/>
        </w:rPr>
        <w:t xml:space="preserve">הנאשם הורשע, במסגרת הסדר טיעון, בעבירות של החזקת סם שלא לשימוש עצמי בלבד, עבירה לפי </w:t>
      </w:r>
      <w:hyperlink r:id="rId22" w:history="1">
        <w:r w:rsidR="00532E65" w:rsidRPr="00532E65">
          <w:rPr>
            <w:color w:val="0000FF"/>
            <w:u w:val="single"/>
            <w:rtl/>
          </w:rPr>
          <w:t>סעיף 7(א)(ג)</w:t>
        </w:r>
      </w:hyperlink>
      <w:r>
        <w:rPr>
          <w:rFonts w:hint="cs"/>
          <w:rtl/>
        </w:rPr>
        <w:t xml:space="preserve"> רישא ל</w:t>
      </w:r>
      <w:hyperlink r:id="rId23" w:history="1">
        <w:r w:rsidR="0050017A" w:rsidRPr="0050017A">
          <w:rPr>
            <w:color w:val="0000FF"/>
            <w:u w:val="single"/>
            <w:rtl/>
          </w:rPr>
          <w:t>פקודת הסמים המסוכנים</w:t>
        </w:r>
      </w:hyperlink>
      <w:r>
        <w:rPr>
          <w:rFonts w:hint="cs"/>
          <w:rtl/>
        </w:rPr>
        <w:t xml:space="preserve"> (נוסח חדש), תשל"ג-1973 (להלן </w:t>
      </w:r>
      <w:r>
        <w:rPr>
          <w:rtl/>
        </w:rPr>
        <w:t>–</w:t>
      </w:r>
      <w:r>
        <w:rPr>
          <w:rFonts w:hint="cs"/>
          <w:rtl/>
        </w:rPr>
        <w:t xml:space="preserve"> </w:t>
      </w:r>
      <w:r w:rsidRPr="00A96722">
        <w:rPr>
          <w:rFonts w:ascii="Miriam" w:hAnsi="Miriam" w:cs="Miriam"/>
          <w:rtl/>
        </w:rPr>
        <w:t>פקודת הסמים</w:t>
      </w:r>
      <w:r>
        <w:rPr>
          <w:rFonts w:hint="cs"/>
          <w:rtl/>
        </w:rPr>
        <w:t xml:space="preserve">) וכן החזקת כלים להכנת סם שלא לשימוש עצמי בלבד, עבירה לפי </w:t>
      </w:r>
      <w:hyperlink r:id="rId24" w:history="1">
        <w:r w:rsidR="00532E65" w:rsidRPr="00532E65">
          <w:rPr>
            <w:color w:val="0000FF"/>
            <w:u w:val="single"/>
            <w:rtl/>
          </w:rPr>
          <w:t>סעיף 10</w:t>
        </w:r>
      </w:hyperlink>
      <w:r>
        <w:rPr>
          <w:rFonts w:hint="cs"/>
          <w:rtl/>
        </w:rPr>
        <w:t xml:space="preserve"> רישא לפקודת הסמים.</w:t>
      </w:r>
    </w:p>
    <w:p w14:paraId="7D1608C7" w14:textId="77777777" w:rsidR="00CA41A5" w:rsidRDefault="00CA41A5" w:rsidP="00CA41A5">
      <w:pPr>
        <w:pStyle w:val="a9"/>
        <w:spacing w:line="360" w:lineRule="auto"/>
        <w:jc w:val="both"/>
      </w:pPr>
    </w:p>
    <w:p w14:paraId="515BAC1C" w14:textId="77777777" w:rsidR="00CA41A5" w:rsidRDefault="00CA41A5" w:rsidP="00CA41A5">
      <w:pPr>
        <w:pStyle w:val="a9"/>
        <w:numPr>
          <w:ilvl w:val="0"/>
          <w:numId w:val="1"/>
        </w:numPr>
        <w:spacing w:line="360" w:lineRule="auto"/>
        <w:jc w:val="both"/>
      </w:pPr>
      <w:r>
        <w:rPr>
          <w:rFonts w:hint="cs"/>
          <w:rtl/>
        </w:rPr>
        <w:t xml:space="preserve">בהתאם לעובדות כתב האישום המתוקן, ביום 2.8.18 בשעה 03.26 החזיק הנאשם ברכב בו שהה, סם מסוכן מסוג קוקאין במשקל 5.604 ג' המחולק לשבע מנות. כן החזיק הנאשם בתא המטען של הרכב 47 שקיות קטנות וריקות המיועדות להכיל מנות סם. </w:t>
      </w:r>
    </w:p>
    <w:p w14:paraId="44E684B7" w14:textId="77777777" w:rsidR="00CA41A5" w:rsidRDefault="00CA41A5" w:rsidP="00CA41A5">
      <w:pPr>
        <w:pStyle w:val="a9"/>
        <w:rPr>
          <w:rtl/>
        </w:rPr>
      </w:pPr>
    </w:p>
    <w:p w14:paraId="5A7E3273" w14:textId="77777777" w:rsidR="00CA41A5" w:rsidRDefault="00CA41A5" w:rsidP="00CA41A5">
      <w:pPr>
        <w:pStyle w:val="a9"/>
        <w:numPr>
          <w:ilvl w:val="0"/>
          <w:numId w:val="1"/>
        </w:numPr>
        <w:spacing w:line="360" w:lineRule="auto"/>
        <w:jc w:val="both"/>
      </w:pPr>
      <w:r>
        <w:rPr>
          <w:rFonts w:hint="cs"/>
          <w:rtl/>
        </w:rPr>
        <w:lastRenderedPageBreak/>
        <w:t>להשלמת התמונה יצוין כי במסגרת הסדר טיעון, הגבילה עצמה המאשימה לעתור לעונש מאסר בן 9 חודשים ולהפעלת המאסר המותנה התלוי ועומד נגד הנאשם במצטבר. הנאשם, מנגד, רשאי במסגרת ההסדר לטעון באופן חופשי. כן הסכימו הצדדים שהנאשם יופנה לקבלת תסקיר.</w:t>
      </w:r>
    </w:p>
    <w:p w14:paraId="36625B0B" w14:textId="77777777" w:rsidR="00CA41A5" w:rsidRDefault="00CA41A5" w:rsidP="00CA41A5">
      <w:pPr>
        <w:pStyle w:val="a9"/>
        <w:rPr>
          <w:rtl/>
        </w:rPr>
      </w:pPr>
      <w:bookmarkStart w:id="6" w:name="ABSTRACT_END"/>
      <w:bookmarkEnd w:id="6"/>
    </w:p>
    <w:p w14:paraId="764B72BC" w14:textId="77777777" w:rsidR="00CA41A5" w:rsidRPr="00786517" w:rsidRDefault="00CA41A5" w:rsidP="00CA41A5">
      <w:pPr>
        <w:pStyle w:val="a9"/>
        <w:rPr>
          <w:b/>
          <w:bCs/>
          <w:u w:val="single"/>
          <w:rtl/>
        </w:rPr>
      </w:pPr>
      <w:r w:rsidRPr="00786517">
        <w:rPr>
          <w:rFonts w:hint="cs"/>
          <w:b/>
          <w:bCs/>
          <w:u w:val="single"/>
          <w:rtl/>
        </w:rPr>
        <w:t xml:space="preserve">תסקיר שירות המבחן </w:t>
      </w:r>
    </w:p>
    <w:p w14:paraId="477D89E9" w14:textId="77777777" w:rsidR="00CA41A5" w:rsidRDefault="00CA41A5" w:rsidP="00CA41A5">
      <w:pPr>
        <w:pStyle w:val="a9"/>
        <w:rPr>
          <w:rtl/>
        </w:rPr>
      </w:pPr>
    </w:p>
    <w:p w14:paraId="362093F9" w14:textId="77777777" w:rsidR="00CA41A5" w:rsidRDefault="00CA41A5" w:rsidP="00CA41A5">
      <w:pPr>
        <w:pStyle w:val="a9"/>
        <w:numPr>
          <w:ilvl w:val="0"/>
          <w:numId w:val="1"/>
        </w:numPr>
        <w:spacing w:line="360" w:lineRule="auto"/>
        <w:jc w:val="both"/>
      </w:pPr>
      <w:r>
        <w:rPr>
          <w:rFonts w:hint="cs"/>
          <w:rtl/>
        </w:rPr>
        <w:t xml:space="preserve">שירות המבחן פגש בנאשם בבית המעצר, בשל היותו עצור. מהתסקיר עולה כי הנאשם הוא רווק כבן 21 אשר התגורר בבית הוריו עובר למעצרו. עוד צוין כי הנאשם שוחרר לאחרונה ממאסר בן 15 חודשים, אותו חווה כטראומתי. שירות המבחן סקר את תולדות חייו של הנאשם ומפאת צנעת הפרט לא אחזור על הדברים. הנאשם טען בפני שירות המבחן כי החזיק בסמים לשימושו האישי ושירות המבחן התרשם בשל כך מלקיחת אחריות חלקית. שירות המבחן התרשם כי הנאשם הוא בחור נבון ובעל יכולת להתבוננות ביקורתית על חייו, אך בשלב זה בעל בשלות נפשית ברמה נמוכה. עם זאת התרשם שירות המבחן כי הנאשם מעוניין לפתוח דף חדש בחייו, אך נעדר כוחות מתאימים כמו גם תמיכה משפחתית. לאור כך סבר שירות המבחן כי הפרוגנוזה השיקומית היא נמוכה ולא בא בהמלצה טיפולית בעניינו. </w:t>
      </w:r>
    </w:p>
    <w:p w14:paraId="1AD9999E" w14:textId="77777777" w:rsidR="00CA41A5" w:rsidRDefault="00CA41A5" w:rsidP="00CA41A5">
      <w:pPr>
        <w:pStyle w:val="a9"/>
        <w:spacing w:line="360" w:lineRule="auto"/>
        <w:jc w:val="both"/>
        <w:rPr>
          <w:rtl/>
        </w:rPr>
      </w:pPr>
    </w:p>
    <w:p w14:paraId="28E6F3EE" w14:textId="77777777" w:rsidR="00CA41A5" w:rsidRDefault="00CA41A5" w:rsidP="00CA41A5">
      <w:pPr>
        <w:pStyle w:val="a9"/>
        <w:spacing w:line="360" w:lineRule="auto"/>
        <w:jc w:val="both"/>
        <w:rPr>
          <w:b/>
          <w:bCs/>
          <w:u w:val="single"/>
          <w:rtl/>
        </w:rPr>
      </w:pPr>
      <w:r w:rsidRPr="00355515">
        <w:rPr>
          <w:rFonts w:hint="cs"/>
          <w:b/>
          <w:bCs/>
          <w:u w:val="single"/>
          <w:rtl/>
        </w:rPr>
        <w:t>טיעוני הצדדים לעונש</w:t>
      </w:r>
    </w:p>
    <w:p w14:paraId="3F28A769" w14:textId="77777777" w:rsidR="00CA41A5" w:rsidRPr="00355515" w:rsidRDefault="00CA41A5" w:rsidP="00CA41A5">
      <w:pPr>
        <w:pStyle w:val="a9"/>
        <w:spacing w:line="360" w:lineRule="auto"/>
        <w:jc w:val="both"/>
        <w:rPr>
          <w:b/>
          <w:bCs/>
          <w:u w:val="single"/>
        </w:rPr>
      </w:pPr>
    </w:p>
    <w:p w14:paraId="15AB3898" w14:textId="77777777" w:rsidR="00CA41A5" w:rsidRDefault="00CA41A5" w:rsidP="00CA41A5">
      <w:pPr>
        <w:pStyle w:val="a9"/>
        <w:numPr>
          <w:ilvl w:val="0"/>
          <w:numId w:val="1"/>
        </w:numPr>
        <w:spacing w:line="360" w:lineRule="auto"/>
        <w:jc w:val="both"/>
      </w:pPr>
      <w:r>
        <w:rPr>
          <w:rFonts w:hint="cs"/>
          <w:rtl/>
        </w:rPr>
        <w:t>ב"כ המאשימה הפנה לעובדות כתב האישום וציין את מספרן הרב של השקיות הריקות שנמצאו ברכב כנסיבה לחומרה. נטען כי הרף העליון של הסדר הטיעון שהוצג ראוי ומאוזן ביחס לעבירות בהן הורשע הנאשם והמאשימה ביקשה לאמצו. בעניין זה צוין כי מדובר בנאשם בעל עבר פלילי לא מבוטל אשר ריצה מאסר בפועל ממנו שוחרר זמן קצר טרם מעצרו בתיק זה. ביחס למתחם הענישה צוין כי הוא נע בין 8 חודשי מאסר ועד 20 חודשי מאסר ומשכך ביקש ב"כ המאשימה לאמץ את הגבול העליון של המתחם וכן להפעיל את המאסר המותנה במצטבר. כן ביקשה המאשימה להטיל על הנאשם קנס, מאסר מותנה ופסילת רישיון.</w:t>
      </w:r>
    </w:p>
    <w:p w14:paraId="64A6E3B4" w14:textId="77777777" w:rsidR="00CA41A5" w:rsidRDefault="00CA41A5" w:rsidP="00CA41A5">
      <w:pPr>
        <w:pStyle w:val="a9"/>
        <w:spacing w:line="360" w:lineRule="auto"/>
        <w:jc w:val="both"/>
      </w:pPr>
    </w:p>
    <w:p w14:paraId="717A4AFA" w14:textId="77777777" w:rsidR="00CA41A5" w:rsidRDefault="00CA41A5" w:rsidP="00CA41A5">
      <w:pPr>
        <w:pStyle w:val="a9"/>
        <w:numPr>
          <w:ilvl w:val="0"/>
          <w:numId w:val="1"/>
        </w:numPr>
        <w:spacing w:line="360" w:lineRule="auto"/>
        <w:jc w:val="both"/>
      </w:pPr>
      <w:r>
        <w:rPr>
          <w:rFonts w:hint="cs"/>
          <w:rtl/>
        </w:rPr>
        <w:t xml:space="preserve">ב"כ הנאשם ציין כי מדובר בעבירה של החזקה בלבד המצויה ברף נמוך של חומרה, כמו גם שכמות הסם אינה גבוהה. לאור כך נטען כי מתחם הענישה ההולם עבירה זו בנסיבותיה נע בין מספר חודשי מאסר, שניתן לשאת בעבודות שירות ועד שישה חודשי מאסר. ביחס לעונש ההולם, צוין כי מדובר בנאשם צעיר אשר קיבל אחריות למעשיו, הודה בהזדמנות הראשונה ומעוניין לשקם את חייו. כן פירט הסנגור את נסיבות חייו הקשות של הנאשם ואת העובדה שאביו נפטר לאחרונה במהלך מעצרו. לאור כל זאת ביקש הסנגור לאפשר לנאשם לשאת </w:t>
      </w:r>
      <w:r>
        <w:rPr>
          <w:rFonts w:hint="cs"/>
          <w:rtl/>
        </w:rPr>
        <w:lastRenderedPageBreak/>
        <w:t xml:space="preserve">בעונש המאסר שיוטל עליו בדרך של עבודות שירות, להימנע מהטלת קנס ולהקל בעונש הפסילה. </w:t>
      </w:r>
    </w:p>
    <w:p w14:paraId="7B9B49CF" w14:textId="77777777" w:rsidR="00CA41A5" w:rsidRDefault="00CA41A5" w:rsidP="00CA41A5">
      <w:pPr>
        <w:pStyle w:val="a9"/>
        <w:rPr>
          <w:rtl/>
        </w:rPr>
      </w:pPr>
    </w:p>
    <w:p w14:paraId="0F6B871C" w14:textId="77777777" w:rsidR="00CA41A5" w:rsidRDefault="00CA41A5" w:rsidP="00CA41A5">
      <w:pPr>
        <w:pStyle w:val="a9"/>
        <w:numPr>
          <w:ilvl w:val="0"/>
          <w:numId w:val="1"/>
        </w:numPr>
        <w:spacing w:line="360" w:lineRule="auto"/>
        <w:jc w:val="both"/>
      </w:pPr>
      <w:r>
        <w:rPr>
          <w:rFonts w:hint="cs"/>
          <w:rtl/>
        </w:rPr>
        <w:t>הנאשם הביע חרטה על מעשיו ותיאר את קשייה של משפחתו בעת מעצרו. כן טען הנאשם כי הוא מאמין בעצמו וביקש הזמנות להוכיח את עצמו.</w:t>
      </w:r>
    </w:p>
    <w:p w14:paraId="2B2AE8DB" w14:textId="77777777" w:rsidR="00CA41A5" w:rsidRDefault="00CA41A5" w:rsidP="00CA41A5">
      <w:pPr>
        <w:pStyle w:val="a9"/>
        <w:rPr>
          <w:rtl/>
        </w:rPr>
      </w:pPr>
    </w:p>
    <w:p w14:paraId="2833EF6E" w14:textId="77777777" w:rsidR="00CA41A5" w:rsidRDefault="00CA41A5" w:rsidP="00CA41A5">
      <w:pPr>
        <w:pStyle w:val="a9"/>
        <w:rPr>
          <w:rtl/>
        </w:rPr>
      </w:pPr>
    </w:p>
    <w:p w14:paraId="6B750894" w14:textId="77777777" w:rsidR="00CA41A5" w:rsidRDefault="00CA41A5" w:rsidP="00CA41A5">
      <w:pPr>
        <w:pStyle w:val="a9"/>
        <w:rPr>
          <w:rtl/>
        </w:rPr>
      </w:pPr>
    </w:p>
    <w:p w14:paraId="03D709C2" w14:textId="77777777" w:rsidR="00CA41A5" w:rsidRDefault="00CA41A5" w:rsidP="00CA41A5">
      <w:pPr>
        <w:pStyle w:val="a9"/>
        <w:rPr>
          <w:rtl/>
        </w:rPr>
      </w:pPr>
    </w:p>
    <w:p w14:paraId="6B9E11D8" w14:textId="77777777" w:rsidR="00CA41A5" w:rsidRDefault="00CA41A5" w:rsidP="00CA41A5">
      <w:pPr>
        <w:pStyle w:val="a9"/>
        <w:rPr>
          <w:rtl/>
        </w:rPr>
      </w:pPr>
    </w:p>
    <w:p w14:paraId="2A1F786B" w14:textId="77777777" w:rsidR="00CA41A5" w:rsidRDefault="00CA41A5" w:rsidP="00CA41A5">
      <w:pPr>
        <w:pStyle w:val="a9"/>
        <w:rPr>
          <w:rtl/>
        </w:rPr>
      </w:pPr>
    </w:p>
    <w:p w14:paraId="145B588C" w14:textId="77777777" w:rsidR="00CA41A5" w:rsidRDefault="00CA41A5" w:rsidP="00CA41A5">
      <w:pPr>
        <w:pStyle w:val="a9"/>
        <w:rPr>
          <w:rtl/>
        </w:rPr>
      </w:pPr>
    </w:p>
    <w:p w14:paraId="0F60A4C4" w14:textId="77777777" w:rsidR="00CA41A5" w:rsidRPr="00B05847" w:rsidRDefault="00CA41A5" w:rsidP="00CA41A5">
      <w:pPr>
        <w:rPr>
          <w:rtl/>
        </w:rPr>
      </w:pPr>
    </w:p>
    <w:p w14:paraId="099DA5A2" w14:textId="77777777" w:rsidR="00CA41A5" w:rsidRPr="004870F7" w:rsidRDefault="00CA41A5" w:rsidP="00CA41A5">
      <w:pPr>
        <w:spacing w:line="360" w:lineRule="auto"/>
        <w:ind w:firstLine="360"/>
        <w:jc w:val="both"/>
        <w:rPr>
          <w:b/>
          <w:bCs/>
          <w:u w:val="single"/>
          <w:rtl/>
        </w:rPr>
      </w:pPr>
      <w:r w:rsidRPr="004870F7">
        <w:rPr>
          <w:rFonts w:hint="cs"/>
          <w:b/>
          <w:bCs/>
          <w:u w:val="single"/>
          <w:rtl/>
        </w:rPr>
        <w:t>דיון והכרעה</w:t>
      </w:r>
    </w:p>
    <w:p w14:paraId="7FE7F4B1" w14:textId="77777777" w:rsidR="00CA41A5" w:rsidRPr="004870F7" w:rsidRDefault="00CA41A5" w:rsidP="00CA41A5">
      <w:pPr>
        <w:spacing w:line="360" w:lineRule="auto"/>
        <w:ind w:firstLine="360"/>
        <w:jc w:val="both"/>
        <w:rPr>
          <w:b/>
          <w:bCs/>
          <w:u w:val="single"/>
          <w:rtl/>
        </w:rPr>
      </w:pPr>
      <w:r w:rsidRPr="004870F7">
        <w:rPr>
          <w:rFonts w:hint="cs"/>
          <w:b/>
          <w:bCs/>
          <w:u w:val="single"/>
          <w:rtl/>
        </w:rPr>
        <w:t>קביעת מתחם העונש</w:t>
      </w:r>
    </w:p>
    <w:p w14:paraId="00A31707" w14:textId="77777777" w:rsidR="00CA41A5" w:rsidRDefault="00CA41A5" w:rsidP="00CA41A5">
      <w:pPr>
        <w:pStyle w:val="a9"/>
        <w:rPr>
          <w:rtl/>
        </w:rPr>
      </w:pPr>
    </w:p>
    <w:p w14:paraId="0BB70A3D" w14:textId="77777777" w:rsidR="00CA41A5" w:rsidRDefault="00CA41A5" w:rsidP="00CA41A5">
      <w:pPr>
        <w:numPr>
          <w:ilvl w:val="0"/>
          <w:numId w:val="1"/>
        </w:numPr>
        <w:spacing w:line="360" w:lineRule="auto"/>
        <w:contextualSpacing/>
        <w:jc w:val="both"/>
      </w:pPr>
      <w:r>
        <w:rPr>
          <w:rFonts w:hint="cs"/>
          <w:rtl/>
        </w:rPr>
        <w:t xml:space="preserve">כאמור הצדדים הציגו הסדר טיעון הכולל טווח ענישה מוסכם וטענו כל אחד למתחם הענישה ההולם לשיטתו. </w:t>
      </w:r>
      <w:r w:rsidRPr="00580DE0">
        <w:rPr>
          <w:rtl/>
        </w:rPr>
        <w:t xml:space="preserve">טרם בואי לקבוע אם לאמץ את הסדר הטיעון, </w:t>
      </w:r>
      <w:r>
        <w:rPr>
          <w:rFonts w:hint="cs"/>
          <w:rtl/>
        </w:rPr>
        <w:t xml:space="preserve">אציין כי </w:t>
      </w:r>
      <w:r w:rsidRPr="00580DE0">
        <w:rPr>
          <w:rtl/>
        </w:rPr>
        <w:t xml:space="preserve">בבית המשפט העליון הובעו דעות שונות בעניין </w:t>
      </w:r>
      <w:r>
        <w:rPr>
          <w:rFonts w:hint="cs"/>
          <w:rtl/>
        </w:rPr>
        <w:t xml:space="preserve">השאלה האם יש צורך לקבוע מתחם ענישה מקום בו קיים הסדר טיעון </w:t>
      </w:r>
      <w:r w:rsidRPr="00580DE0">
        <w:rPr>
          <w:rtl/>
        </w:rPr>
        <w:t>ו"</w:t>
      </w:r>
      <w:r w:rsidRPr="00580DE0">
        <w:rPr>
          <w:rFonts w:ascii="Arial TUR" w:hAnsi="Arial TUR" w:cs="Miriam"/>
          <w:spacing w:val="10"/>
          <w:rtl/>
        </w:rPr>
        <w:t>נראה שטרם נקבעה הלכה מחייבת בנדון</w:t>
      </w:r>
      <w:r>
        <w:rPr>
          <w:rFonts w:hint="cs"/>
          <w:rtl/>
        </w:rPr>
        <w:t xml:space="preserve">" </w:t>
      </w:r>
      <w:r w:rsidRPr="00163755">
        <w:rPr>
          <w:rFonts w:hint="cs"/>
          <w:rtl/>
        </w:rPr>
        <w:t>(</w:t>
      </w:r>
      <w:hyperlink r:id="rId25" w:history="1">
        <w:r w:rsidR="0050017A" w:rsidRPr="0050017A">
          <w:rPr>
            <w:color w:val="0000FF"/>
            <w:u w:val="single"/>
            <w:rtl/>
          </w:rPr>
          <w:t>ע"פ 8109/15</w:t>
        </w:r>
      </w:hyperlink>
      <w:r w:rsidRPr="00163755">
        <w:rPr>
          <w:rFonts w:hint="cs"/>
          <w:rtl/>
        </w:rPr>
        <w:t xml:space="preserve"> </w:t>
      </w:r>
      <w:r w:rsidRPr="0065077E">
        <w:rPr>
          <w:rFonts w:hint="cs"/>
          <w:b/>
          <w:bCs/>
          <w:rtl/>
        </w:rPr>
        <w:t>אהרון אביטן נ' מדינת ישראל</w:t>
      </w:r>
      <w:r w:rsidRPr="00163755">
        <w:rPr>
          <w:rFonts w:hint="cs"/>
          <w:rtl/>
        </w:rPr>
        <w:t xml:space="preserve"> (9.6.16)</w:t>
      </w:r>
      <w:r>
        <w:rPr>
          <w:rFonts w:hint="cs"/>
          <w:rtl/>
        </w:rPr>
        <w:t>).</w:t>
      </w:r>
      <w:r w:rsidRPr="0065077E">
        <w:rPr>
          <w:rFonts w:ascii="Arial TUR" w:hAnsi="Arial TUR" w:cs="FrankRuehl" w:hint="cs"/>
          <w:spacing w:val="10"/>
          <w:sz w:val="28"/>
          <w:szCs w:val="28"/>
          <w:rtl/>
        </w:rPr>
        <w:t xml:space="preserve"> </w:t>
      </w:r>
      <w:r>
        <w:rPr>
          <w:rFonts w:hint="cs"/>
          <w:rtl/>
        </w:rPr>
        <w:t xml:space="preserve">עם זאת, מוסכם על הכל שמתחם הענישה ההולם וטווח הענישה המוסכם, אינם מונחים זהים, שהרי הראשון מבטא קביעה נורמטיבית של בית המשפט, בהתאם לשיקולים הקבועים </w:t>
      </w:r>
      <w:hyperlink r:id="rId26" w:history="1">
        <w:r w:rsidR="00532E65" w:rsidRPr="00532E65">
          <w:rPr>
            <w:color w:val="0000FF"/>
            <w:u w:val="single"/>
            <w:rtl/>
          </w:rPr>
          <w:t>בסעיפים 40א-40ט</w:t>
        </w:r>
      </w:hyperlink>
      <w:r>
        <w:rPr>
          <w:rFonts w:hint="cs"/>
          <w:rtl/>
        </w:rPr>
        <w:t xml:space="preserve"> ל</w:t>
      </w:r>
      <w:hyperlink r:id="rId27" w:history="1">
        <w:r w:rsidR="0050017A" w:rsidRPr="0050017A">
          <w:rPr>
            <w:color w:val="0000FF"/>
            <w:u w:val="single"/>
            <w:rtl/>
          </w:rPr>
          <w:t>חוק העונשין</w:t>
        </w:r>
      </w:hyperlink>
      <w:r>
        <w:rPr>
          <w:rFonts w:hint="cs"/>
          <w:rtl/>
        </w:rPr>
        <w:t>, בעוד שטווח הענישה הוא יציר הצדדים ומושפע לא אחת מכוח המיקוח שלהם ואינו מבטא בהכרח קביעה ערכית נורמטיבית נכונה (</w:t>
      </w:r>
      <w:hyperlink r:id="rId28" w:history="1">
        <w:r w:rsidR="0050017A" w:rsidRPr="0050017A">
          <w:rPr>
            <w:color w:val="0000FF"/>
            <w:u w:val="single"/>
            <w:rtl/>
          </w:rPr>
          <w:t>ע"פ 512/13</w:t>
        </w:r>
      </w:hyperlink>
      <w:r w:rsidRPr="00052C8B">
        <w:rPr>
          <w:rFonts w:hint="cs"/>
          <w:rtl/>
        </w:rPr>
        <w:t xml:space="preserve"> </w:t>
      </w:r>
      <w:r w:rsidRPr="0065077E">
        <w:rPr>
          <w:rFonts w:hint="cs"/>
          <w:b/>
          <w:bCs/>
          <w:rtl/>
        </w:rPr>
        <w:t>פלוני נ' מדינת ישראל</w:t>
      </w:r>
      <w:r w:rsidRPr="00052C8B">
        <w:rPr>
          <w:rFonts w:hint="cs"/>
          <w:rtl/>
        </w:rPr>
        <w:t xml:space="preserve"> (4.12.13))</w:t>
      </w:r>
      <w:r>
        <w:rPr>
          <w:rFonts w:hint="cs"/>
          <w:rtl/>
        </w:rPr>
        <w:t xml:space="preserve">. כמו כן ברי כי </w:t>
      </w:r>
      <w:r w:rsidRPr="007338C3">
        <w:rPr>
          <w:rFonts w:cs="Miriam" w:hint="cs"/>
          <w:rtl/>
        </w:rPr>
        <w:t>"</w:t>
      </w:r>
      <w:r w:rsidRPr="0065077E">
        <w:rPr>
          <w:rFonts w:cs="Miriam" w:hint="eastAsia"/>
          <w:rtl/>
        </w:rPr>
        <w:t>אין</w:t>
      </w:r>
      <w:r w:rsidRPr="0065077E">
        <w:rPr>
          <w:rFonts w:cs="Miriam"/>
          <w:rtl/>
        </w:rPr>
        <w:t xml:space="preserve"> </w:t>
      </w:r>
      <w:r w:rsidRPr="0065077E">
        <w:rPr>
          <w:rFonts w:cs="Miriam" w:hint="eastAsia"/>
          <w:rtl/>
        </w:rPr>
        <w:t>בית</w:t>
      </w:r>
      <w:r w:rsidRPr="0065077E">
        <w:rPr>
          <w:rFonts w:cs="Miriam"/>
          <w:rtl/>
        </w:rPr>
        <w:t xml:space="preserve"> </w:t>
      </w:r>
      <w:r w:rsidRPr="0065077E">
        <w:rPr>
          <w:rFonts w:cs="Miriam" w:hint="eastAsia"/>
          <w:rtl/>
        </w:rPr>
        <w:t>המשפט</w:t>
      </w:r>
      <w:r w:rsidRPr="0065077E">
        <w:rPr>
          <w:rFonts w:cs="Miriam"/>
          <w:rtl/>
        </w:rPr>
        <w:t xml:space="preserve"> </w:t>
      </w:r>
      <w:r w:rsidRPr="0065077E">
        <w:rPr>
          <w:rFonts w:cs="Miriam" w:hint="eastAsia"/>
          <w:rtl/>
        </w:rPr>
        <w:t>כבול</w:t>
      </w:r>
      <w:r w:rsidRPr="0065077E">
        <w:rPr>
          <w:rFonts w:cs="Miriam"/>
          <w:rtl/>
        </w:rPr>
        <w:t xml:space="preserve"> </w:t>
      </w:r>
      <w:r w:rsidRPr="0065077E">
        <w:rPr>
          <w:rFonts w:cs="Miriam" w:hint="eastAsia"/>
          <w:rtl/>
        </w:rPr>
        <w:t>לעונש</w:t>
      </w:r>
      <w:r w:rsidRPr="0065077E">
        <w:rPr>
          <w:rFonts w:cs="Miriam"/>
          <w:rtl/>
        </w:rPr>
        <w:t xml:space="preserve"> </w:t>
      </w:r>
      <w:r w:rsidRPr="0065077E">
        <w:rPr>
          <w:rFonts w:cs="Miriam" w:hint="eastAsia"/>
          <w:rtl/>
        </w:rPr>
        <w:t>או</w:t>
      </w:r>
      <w:r w:rsidRPr="0065077E">
        <w:rPr>
          <w:rFonts w:cs="Miriam"/>
          <w:rtl/>
        </w:rPr>
        <w:t xml:space="preserve"> </w:t>
      </w:r>
      <w:r w:rsidRPr="0065077E">
        <w:rPr>
          <w:rFonts w:cs="Miriam" w:hint="eastAsia"/>
          <w:rtl/>
        </w:rPr>
        <w:t>לטווח</w:t>
      </w:r>
      <w:r w:rsidRPr="0065077E">
        <w:rPr>
          <w:rFonts w:cs="Miriam"/>
          <w:rtl/>
        </w:rPr>
        <w:t xml:space="preserve"> </w:t>
      </w:r>
      <w:r w:rsidRPr="0065077E">
        <w:rPr>
          <w:rFonts w:cs="Miriam" w:hint="eastAsia"/>
          <w:rtl/>
        </w:rPr>
        <w:t>ענישה</w:t>
      </w:r>
      <w:r w:rsidRPr="0065077E">
        <w:rPr>
          <w:rFonts w:cs="Miriam"/>
          <w:rtl/>
        </w:rPr>
        <w:t xml:space="preserve"> </w:t>
      </w:r>
      <w:r w:rsidRPr="0065077E">
        <w:rPr>
          <w:rFonts w:cs="Miriam" w:hint="eastAsia"/>
          <w:rtl/>
        </w:rPr>
        <w:t>שהוסכם</w:t>
      </w:r>
      <w:r w:rsidRPr="0065077E">
        <w:rPr>
          <w:rFonts w:cs="Miriam"/>
          <w:rtl/>
        </w:rPr>
        <w:t xml:space="preserve"> </w:t>
      </w:r>
      <w:r w:rsidRPr="0065077E">
        <w:rPr>
          <w:rFonts w:cs="Miriam" w:hint="eastAsia"/>
          <w:rtl/>
        </w:rPr>
        <w:t>בין</w:t>
      </w:r>
      <w:r w:rsidRPr="0065077E">
        <w:rPr>
          <w:rFonts w:cs="Miriam"/>
          <w:rtl/>
        </w:rPr>
        <w:t xml:space="preserve"> </w:t>
      </w:r>
      <w:r w:rsidRPr="0065077E">
        <w:rPr>
          <w:rFonts w:cs="Miriam" w:hint="eastAsia"/>
          <w:rtl/>
        </w:rPr>
        <w:t>הצדדים</w:t>
      </w:r>
      <w:r w:rsidRPr="0065077E">
        <w:rPr>
          <w:rFonts w:cs="Miriam"/>
          <w:rtl/>
        </w:rPr>
        <w:t xml:space="preserve"> </w:t>
      </w:r>
      <w:r w:rsidRPr="0065077E">
        <w:rPr>
          <w:rFonts w:cs="Miriam" w:hint="eastAsia"/>
          <w:rtl/>
        </w:rPr>
        <w:t>בהסדר</w:t>
      </w:r>
      <w:r w:rsidRPr="0065077E">
        <w:rPr>
          <w:rFonts w:cs="Miriam"/>
          <w:rtl/>
        </w:rPr>
        <w:t xml:space="preserve"> </w:t>
      </w:r>
      <w:r w:rsidRPr="0065077E">
        <w:rPr>
          <w:rFonts w:cs="Miriam" w:hint="eastAsia"/>
          <w:rtl/>
        </w:rPr>
        <w:t>טיעון</w:t>
      </w:r>
      <w:r w:rsidRPr="0065077E">
        <w:rPr>
          <w:rFonts w:cs="Miriam"/>
          <w:rtl/>
        </w:rPr>
        <w:t xml:space="preserve">, </w:t>
      </w:r>
      <w:r w:rsidRPr="0065077E">
        <w:rPr>
          <w:rFonts w:cs="Miriam" w:hint="eastAsia"/>
          <w:rtl/>
        </w:rPr>
        <w:t>ועליו</w:t>
      </w:r>
      <w:r w:rsidRPr="0065077E">
        <w:rPr>
          <w:rFonts w:cs="Miriam"/>
          <w:rtl/>
        </w:rPr>
        <w:t xml:space="preserve"> </w:t>
      </w:r>
      <w:r w:rsidRPr="0065077E">
        <w:rPr>
          <w:rFonts w:cs="Miriam" w:hint="eastAsia"/>
          <w:rtl/>
        </w:rPr>
        <w:t>להחליט</w:t>
      </w:r>
      <w:r w:rsidRPr="0065077E">
        <w:rPr>
          <w:rFonts w:cs="Miriam"/>
          <w:rtl/>
        </w:rPr>
        <w:t xml:space="preserve"> </w:t>
      </w:r>
      <w:r w:rsidRPr="0065077E">
        <w:rPr>
          <w:rFonts w:cs="Miriam" w:hint="eastAsia"/>
          <w:rtl/>
        </w:rPr>
        <w:t>בהתאם</w:t>
      </w:r>
      <w:r w:rsidRPr="0065077E">
        <w:rPr>
          <w:rFonts w:cs="Miriam"/>
          <w:rtl/>
        </w:rPr>
        <w:t xml:space="preserve"> </w:t>
      </w:r>
      <w:r w:rsidRPr="0065077E">
        <w:rPr>
          <w:rFonts w:cs="Miriam" w:hint="eastAsia"/>
          <w:rtl/>
        </w:rPr>
        <w:t>לשיקול</w:t>
      </w:r>
      <w:r w:rsidRPr="0065077E">
        <w:rPr>
          <w:rFonts w:cs="Miriam"/>
          <w:rtl/>
        </w:rPr>
        <w:t xml:space="preserve"> </w:t>
      </w:r>
      <w:r w:rsidRPr="0065077E">
        <w:rPr>
          <w:rFonts w:cs="Miriam" w:hint="eastAsia"/>
          <w:rtl/>
        </w:rPr>
        <w:t>דעתו</w:t>
      </w:r>
      <w:r w:rsidRPr="0065077E">
        <w:rPr>
          <w:rFonts w:cs="Miriam"/>
          <w:rtl/>
        </w:rPr>
        <w:t xml:space="preserve"> </w:t>
      </w:r>
      <w:r w:rsidRPr="0065077E">
        <w:rPr>
          <w:rFonts w:cs="Miriam" w:hint="eastAsia"/>
          <w:rtl/>
        </w:rPr>
        <w:t>אם</w:t>
      </w:r>
      <w:r w:rsidRPr="0065077E">
        <w:rPr>
          <w:rFonts w:cs="Miriam"/>
          <w:rtl/>
        </w:rPr>
        <w:t xml:space="preserve"> </w:t>
      </w:r>
      <w:r w:rsidRPr="0065077E">
        <w:rPr>
          <w:rFonts w:cs="Miriam" w:hint="eastAsia"/>
          <w:rtl/>
        </w:rPr>
        <w:t>לכבד</w:t>
      </w:r>
      <w:r w:rsidRPr="0065077E">
        <w:rPr>
          <w:rFonts w:cs="Miriam"/>
          <w:rtl/>
        </w:rPr>
        <w:t xml:space="preserve"> </w:t>
      </w:r>
      <w:r w:rsidRPr="0065077E">
        <w:rPr>
          <w:rFonts w:cs="Miriam" w:hint="eastAsia"/>
          <w:rtl/>
        </w:rPr>
        <w:t>הסכמות</w:t>
      </w:r>
      <w:r w:rsidRPr="0065077E">
        <w:rPr>
          <w:rFonts w:cs="Miriam"/>
          <w:rtl/>
        </w:rPr>
        <w:t xml:space="preserve"> </w:t>
      </w:r>
      <w:r w:rsidRPr="0065077E">
        <w:rPr>
          <w:rFonts w:cs="Miriam" w:hint="eastAsia"/>
          <w:rtl/>
        </w:rPr>
        <w:t>אלה</w:t>
      </w:r>
      <w:r w:rsidRPr="0065077E">
        <w:rPr>
          <w:rFonts w:cs="Miriam"/>
          <w:rtl/>
        </w:rPr>
        <w:t xml:space="preserve"> </w:t>
      </w:r>
      <w:r w:rsidRPr="0065077E">
        <w:rPr>
          <w:rFonts w:cs="Miriam" w:hint="eastAsia"/>
          <w:rtl/>
        </w:rPr>
        <w:t>אם</w:t>
      </w:r>
      <w:r w:rsidRPr="0065077E">
        <w:rPr>
          <w:rFonts w:cs="Miriam"/>
          <w:rtl/>
        </w:rPr>
        <w:t xml:space="preserve"> </w:t>
      </w:r>
      <w:r w:rsidRPr="0065077E">
        <w:rPr>
          <w:rFonts w:cs="Miriam" w:hint="eastAsia"/>
          <w:rtl/>
        </w:rPr>
        <w:t>לאו</w:t>
      </w:r>
      <w:r w:rsidRPr="0065077E">
        <w:rPr>
          <w:rFonts w:cs="Miriam"/>
          <w:rtl/>
        </w:rPr>
        <w:t xml:space="preserve">. </w:t>
      </w:r>
      <w:r w:rsidRPr="0065077E">
        <w:rPr>
          <w:rFonts w:cs="Miriam" w:hint="eastAsia"/>
          <w:rtl/>
        </w:rPr>
        <w:t>זאת</w:t>
      </w:r>
      <w:r w:rsidRPr="0065077E">
        <w:rPr>
          <w:rFonts w:cs="Miriam"/>
          <w:rtl/>
        </w:rPr>
        <w:t xml:space="preserve">, </w:t>
      </w:r>
      <w:r w:rsidRPr="0065077E">
        <w:rPr>
          <w:rFonts w:cs="Miriam" w:hint="eastAsia"/>
          <w:rtl/>
        </w:rPr>
        <w:t>בהתחשב</w:t>
      </w:r>
      <w:r w:rsidRPr="0065077E">
        <w:rPr>
          <w:rFonts w:cs="Miriam"/>
          <w:rtl/>
        </w:rPr>
        <w:t xml:space="preserve"> </w:t>
      </w:r>
      <w:r w:rsidRPr="0065077E">
        <w:rPr>
          <w:rFonts w:cs="Miriam" w:hint="eastAsia"/>
          <w:rtl/>
        </w:rPr>
        <w:t>עם</w:t>
      </w:r>
      <w:r w:rsidRPr="0065077E">
        <w:rPr>
          <w:rFonts w:cs="Miriam"/>
          <w:rtl/>
        </w:rPr>
        <w:t xml:space="preserve"> </w:t>
      </w:r>
      <w:r w:rsidRPr="0065077E">
        <w:rPr>
          <w:rFonts w:cs="Miriam" w:hint="eastAsia"/>
          <w:rtl/>
        </w:rPr>
        <w:t>סבירות</w:t>
      </w:r>
      <w:r w:rsidRPr="0065077E">
        <w:rPr>
          <w:rFonts w:cs="Miriam"/>
          <w:rtl/>
        </w:rPr>
        <w:t xml:space="preserve"> </w:t>
      </w:r>
      <w:r w:rsidRPr="0065077E">
        <w:rPr>
          <w:rFonts w:cs="Miriam" w:hint="eastAsia"/>
          <w:rtl/>
        </w:rPr>
        <w:t>ההקלות</w:t>
      </w:r>
      <w:r w:rsidRPr="0065077E">
        <w:rPr>
          <w:rFonts w:cs="Miriam"/>
          <w:rtl/>
        </w:rPr>
        <w:t xml:space="preserve"> </w:t>
      </w:r>
      <w:r w:rsidRPr="0065077E">
        <w:rPr>
          <w:rFonts w:cs="Miriam" w:hint="eastAsia"/>
          <w:rtl/>
        </w:rPr>
        <w:t>שניתנו</w:t>
      </w:r>
      <w:r w:rsidRPr="0065077E">
        <w:rPr>
          <w:rFonts w:cs="Miriam"/>
          <w:rtl/>
        </w:rPr>
        <w:t xml:space="preserve"> </w:t>
      </w:r>
      <w:r w:rsidRPr="0065077E">
        <w:rPr>
          <w:rFonts w:cs="Miriam" w:hint="eastAsia"/>
          <w:rtl/>
        </w:rPr>
        <w:t>לנאשם</w:t>
      </w:r>
      <w:r w:rsidRPr="0065077E">
        <w:rPr>
          <w:rFonts w:cs="Miriam"/>
          <w:rtl/>
        </w:rPr>
        <w:t xml:space="preserve"> </w:t>
      </w:r>
      <w:r w:rsidRPr="0065077E">
        <w:rPr>
          <w:rFonts w:cs="Miriam" w:hint="eastAsia"/>
          <w:rtl/>
        </w:rPr>
        <w:t>בהסדר</w:t>
      </w:r>
      <w:r w:rsidRPr="0065077E">
        <w:rPr>
          <w:rFonts w:cs="Miriam"/>
          <w:rtl/>
        </w:rPr>
        <w:t xml:space="preserve"> </w:t>
      </w:r>
      <w:r w:rsidRPr="0065077E">
        <w:rPr>
          <w:rFonts w:cs="Miriam" w:hint="eastAsia"/>
          <w:rtl/>
        </w:rPr>
        <w:t>הטיעון</w:t>
      </w:r>
      <w:r w:rsidRPr="0065077E">
        <w:rPr>
          <w:rFonts w:cs="Miriam"/>
          <w:rtl/>
        </w:rPr>
        <w:t xml:space="preserve"> </w:t>
      </w:r>
      <w:r w:rsidRPr="0065077E">
        <w:rPr>
          <w:rFonts w:cs="Miriam" w:hint="eastAsia"/>
          <w:rtl/>
        </w:rPr>
        <w:t>והשיקולים</w:t>
      </w:r>
      <w:r w:rsidRPr="0065077E">
        <w:rPr>
          <w:rFonts w:cs="Miriam"/>
          <w:rtl/>
        </w:rPr>
        <w:t xml:space="preserve"> </w:t>
      </w:r>
      <w:r w:rsidRPr="0065077E">
        <w:rPr>
          <w:rFonts w:cs="Miriam" w:hint="eastAsia"/>
          <w:rtl/>
        </w:rPr>
        <w:t>שעמדו</w:t>
      </w:r>
      <w:r w:rsidRPr="0065077E">
        <w:rPr>
          <w:rFonts w:cs="Miriam"/>
          <w:rtl/>
        </w:rPr>
        <w:t xml:space="preserve"> </w:t>
      </w:r>
      <w:r w:rsidRPr="0065077E">
        <w:rPr>
          <w:rFonts w:cs="Miriam" w:hint="eastAsia"/>
          <w:rtl/>
        </w:rPr>
        <w:t>ביסוד</w:t>
      </w:r>
      <w:r w:rsidRPr="0065077E">
        <w:rPr>
          <w:rFonts w:cs="Miriam"/>
          <w:rtl/>
        </w:rPr>
        <w:t xml:space="preserve"> </w:t>
      </w:r>
      <w:r w:rsidRPr="0065077E">
        <w:rPr>
          <w:rFonts w:cs="Miriam" w:hint="eastAsia"/>
          <w:rtl/>
        </w:rPr>
        <w:t>הקלות</w:t>
      </w:r>
      <w:r w:rsidRPr="0065077E">
        <w:rPr>
          <w:rFonts w:cs="Miriam"/>
          <w:rtl/>
        </w:rPr>
        <w:t xml:space="preserve"> </w:t>
      </w:r>
      <w:r w:rsidRPr="0065077E">
        <w:rPr>
          <w:rFonts w:cs="Miriam" w:hint="eastAsia"/>
          <w:rtl/>
        </w:rPr>
        <w:t>אלה</w:t>
      </w:r>
      <w:r w:rsidRPr="0065077E">
        <w:rPr>
          <w:rFonts w:cs="Miriam"/>
          <w:rtl/>
        </w:rPr>
        <w:t xml:space="preserve">, </w:t>
      </w:r>
      <w:r w:rsidRPr="0065077E">
        <w:rPr>
          <w:rFonts w:cs="Miriam" w:hint="eastAsia"/>
          <w:rtl/>
        </w:rPr>
        <w:t>מבחינת</w:t>
      </w:r>
      <w:r w:rsidRPr="0065077E">
        <w:rPr>
          <w:rFonts w:cs="Miriam"/>
          <w:rtl/>
        </w:rPr>
        <w:t xml:space="preserve"> </w:t>
      </w:r>
      <w:r w:rsidRPr="0065077E">
        <w:rPr>
          <w:rFonts w:cs="Miriam" w:hint="eastAsia"/>
          <w:rtl/>
        </w:rPr>
        <w:t>התאמתם</w:t>
      </w:r>
      <w:r w:rsidRPr="0065077E">
        <w:rPr>
          <w:rFonts w:cs="Miriam"/>
          <w:rtl/>
        </w:rPr>
        <w:t xml:space="preserve"> </w:t>
      </w:r>
      <w:r w:rsidRPr="0065077E">
        <w:rPr>
          <w:rFonts w:cs="Miriam" w:hint="eastAsia"/>
          <w:rtl/>
        </w:rPr>
        <w:t>לאינטרס</w:t>
      </w:r>
      <w:r w:rsidRPr="0065077E">
        <w:rPr>
          <w:rFonts w:cs="Miriam"/>
          <w:rtl/>
        </w:rPr>
        <w:t xml:space="preserve"> </w:t>
      </w:r>
      <w:r w:rsidRPr="0065077E">
        <w:rPr>
          <w:rFonts w:cs="Miriam" w:hint="eastAsia"/>
          <w:rtl/>
        </w:rPr>
        <w:t>הציבורי</w:t>
      </w:r>
      <w:r w:rsidRPr="0065077E">
        <w:rPr>
          <w:rFonts w:cs="Miriam"/>
          <w:rtl/>
        </w:rPr>
        <w:t xml:space="preserve"> </w:t>
      </w:r>
      <w:r w:rsidRPr="0065077E">
        <w:rPr>
          <w:rFonts w:cs="Miriam" w:hint="eastAsia"/>
          <w:rtl/>
        </w:rPr>
        <w:t>ולקידום</w:t>
      </w:r>
      <w:r w:rsidRPr="0065077E">
        <w:rPr>
          <w:rFonts w:cs="Miriam"/>
          <w:rtl/>
        </w:rPr>
        <w:t xml:space="preserve"> </w:t>
      </w:r>
      <w:r w:rsidRPr="0065077E">
        <w:rPr>
          <w:rFonts w:cs="Miriam" w:hint="eastAsia"/>
          <w:rtl/>
        </w:rPr>
        <w:t>תכליות</w:t>
      </w:r>
      <w:r w:rsidRPr="0065077E">
        <w:rPr>
          <w:rFonts w:cs="Miriam"/>
          <w:rtl/>
        </w:rPr>
        <w:t xml:space="preserve"> </w:t>
      </w:r>
      <w:r w:rsidRPr="0065077E">
        <w:rPr>
          <w:rFonts w:cs="Miriam" w:hint="eastAsia"/>
          <w:rtl/>
        </w:rPr>
        <w:t>המשפט</w:t>
      </w:r>
      <w:r w:rsidRPr="0065077E">
        <w:rPr>
          <w:rFonts w:cs="Miriam"/>
          <w:rtl/>
        </w:rPr>
        <w:t xml:space="preserve"> </w:t>
      </w:r>
      <w:r w:rsidRPr="0065077E">
        <w:rPr>
          <w:rFonts w:cs="Miriam" w:hint="eastAsia"/>
          <w:rtl/>
        </w:rPr>
        <w:t>הפלילי</w:t>
      </w:r>
      <w:r>
        <w:rPr>
          <w:rFonts w:ascii="Calibri" w:hAnsi="Calibri" w:cs="Miriam" w:hint="cs"/>
          <w:rtl/>
        </w:rPr>
        <w:t xml:space="preserve">" </w:t>
      </w:r>
      <w:r w:rsidRPr="0065077E">
        <w:rPr>
          <w:rFonts w:ascii="Calibri" w:hAnsi="Calibri" w:hint="cs"/>
          <w:rtl/>
        </w:rPr>
        <w:t>(</w:t>
      </w:r>
      <w:hyperlink r:id="rId29" w:history="1">
        <w:r w:rsidR="0050017A" w:rsidRPr="0050017A">
          <w:rPr>
            <w:color w:val="0000FF"/>
            <w:u w:val="single"/>
            <w:rtl/>
          </w:rPr>
          <w:t>ע"פ 4301/15</w:t>
        </w:r>
      </w:hyperlink>
      <w:r w:rsidRPr="009044A3">
        <w:rPr>
          <w:rFonts w:hint="cs"/>
          <w:rtl/>
        </w:rPr>
        <w:t xml:space="preserve"> </w:t>
      </w:r>
      <w:r w:rsidRPr="0065077E">
        <w:rPr>
          <w:rFonts w:hint="cs"/>
          <w:b/>
          <w:bCs/>
          <w:rtl/>
        </w:rPr>
        <w:t>יאשיהו יוסף פינטו נ' מדינת ישראל</w:t>
      </w:r>
      <w:r w:rsidRPr="009044A3">
        <w:rPr>
          <w:rFonts w:hint="cs"/>
          <w:rtl/>
        </w:rPr>
        <w:t xml:space="preserve"> (5.1.16))</w:t>
      </w:r>
      <w:r w:rsidRPr="006B3C12">
        <w:rPr>
          <w:rFonts w:hint="cs"/>
          <w:rtl/>
        </w:rPr>
        <w:t xml:space="preserve">. </w:t>
      </w:r>
      <w:r w:rsidRPr="00257546">
        <w:rPr>
          <w:rFonts w:hint="cs"/>
          <w:rtl/>
        </w:rPr>
        <w:t>אציין כי</w:t>
      </w:r>
      <w:r w:rsidRPr="006B3C12">
        <w:rPr>
          <w:rFonts w:hint="cs"/>
          <w:rtl/>
        </w:rPr>
        <w:t xml:space="preserve"> בשל הצורך לבחון את סבירות ההקלה לה זכה הנאשם, בעטיו של הסדר הטיעון</w:t>
      </w:r>
      <w:r w:rsidRPr="0065077E">
        <w:rPr>
          <w:rFonts w:cs="Miriam" w:hint="cs"/>
          <w:rtl/>
        </w:rPr>
        <w:t xml:space="preserve">, </w:t>
      </w:r>
      <w:r w:rsidRPr="006B3C12">
        <w:rPr>
          <w:rFonts w:hint="cs"/>
          <w:rtl/>
        </w:rPr>
        <w:t>נומקה העמדה המצדדת בצורך</w:t>
      </w:r>
      <w:r w:rsidRPr="0065077E">
        <w:rPr>
          <w:rFonts w:cs="Miriam" w:hint="cs"/>
          <w:rtl/>
        </w:rPr>
        <w:t xml:space="preserve"> </w:t>
      </w:r>
      <w:r w:rsidRPr="00A3542C">
        <w:rPr>
          <w:rFonts w:hint="cs"/>
          <w:rtl/>
        </w:rPr>
        <w:t>בקביעת מתחם ענישה גם במקרה של הסדר טיעון, בכך שהדבר יוצר שקיפות, כך שהציבור זוכה לדעת בבירור את מידת ההקלה לה זכה הנאשם בשל הסדר הטיעון (עמדת השופט מלצר ב</w:t>
      </w:r>
      <w:hyperlink r:id="rId30" w:history="1">
        <w:r w:rsidR="0050017A" w:rsidRPr="0050017A">
          <w:rPr>
            <w:color w:val="0000FF"/>
            <w:u w:val="single"/>
            <w:rtl/>
          </w:rPr>
          <w:t>ע"פ 512/13</w:t>
        </w:r>
      </w:hyperlink>
      <w:r w:rsidRPr="00052C8B">
        <w:rPr>
          <w:rFonts w:hint="cs"/>
          <w:rtl/>
        </w:rPr>
        <w:t xml:space="preserve"> </w:t>
      </w:r>
      <w:r w:rsidRPr="0065077E">
        <w:rPr>
          <w:rFonts w:hint="cs"/>
          <w:b/>
          <w:bCs/>
          <w:rtl/>
        </w:rPr>
        <w:t>פלוני נ' מדינת ישראל</w:t>
      </w:r>
      <w:r w:rsidRPr="00052C8B">
        <w:rPr>
          <w:rFonts w:hint="cs"/>
          <w:rtl/>
        </w:rPr>
        <w:t xml:space="preserve"> (4.12.13))</w:t>
      </w:r>
      <w:r>
        <w:rPr>
          <w:rFonts w:hint="cs"/>
          <w:rtl/>
        </w:rPr>
        <w:t xml:space="preserve">. כמו כן נומקה עמדה זו בכך שהדבר </w:t>
      </w:r>
      <w:r w:rsidRPr="00A3542C">
        <w:rPr>
          <w:rFonts w:hint="cs"/>
          <w:rtl/>
        </w:rPr>
        <w:t>מעמיד בפני בית המשפט כלי מדידה יעיל לבחינת סבירות הסדר הטיעון</w:t>
      </w:r>
      <w:r w:rsidRPr="0065077E">
        <w:rPr>
          <w:rFonts w:cs="Miriam" w:hint="cs"/>
          <w:rtl/>
        </w:rPr>
        <w:t xml:space="preserve"> "</w:t>
      </w:r>
      <w:r w:rsidRPr="0065077E">
        <w:rPr>
          <w:rFonts w:ascii="Calibri" w:hAnsi="Calibri" w:cs="Miriam" w:hint="eastAsia"/>
          <w:rtl/>
        </w:rPr>
        <w:t>לפחות</w:t>
      </w:r>
      <w:r w:rsidRPr="0065077E">
        <w:rPr>
          <w:rFonts w:ascii="Calibri" w:hAnsi="Calibri" w:cs="Miriam"/>
          <w:rtl/>
        </w:rPr>
        <w:t xml:space="preserve"> </w:t>
      </w:r>
      <w:r w:rsidRPr="0065077E">
        <w:rPr>
          <w:rFonts w:ascii="Calibri" w:hAnsi="Calibri" w:cs="Miriam" w:hint="eastAsia"/>
          <w:rtl/>
        </w:rPr>
        <w:t>במקרים</w:t>
      </w:r>
      <w:r w:rsidRPr="0065077E">
        <w:rPr>
          <w:rFonts w:ascii="Calibri" w:hAnsi="Calibri" w:cs="Miriam"/>
          <w:rtl/>
        </w:rPr>
        <w:t xml:space="preserve"> </w:t>
      </w:r>
      <w:r w:rsidRPr="0065077E">
        <w:rPr>
          <w:rFonts w:ascii="Calibri" w:hAnsi="Calibri" w:cs="Miriam" w:hint="eastAsia"/>
          <w:rtl/>
        </w:rPr>
        <w:t>בהם</w:t>
      </w:r>
      <w:r w:rsidRPr="0065077E">
        <w:rPr>
          <w:rFonts w:ascii="Calibri" w:hAnsi="Calibri" w:cs="Miriam"/>
          <w:rtl/>
        </w:rPr>
        <w:t xml:space="preserve"> </w:t>
      </w:r>
      <w:r w:rsidRPr="0065077E">
        <w:rPr>
          <w:rFonts w:ascii="Calibri" w:hAnsi="Calibri" w:cs="Miriam" w:hint="eastAsia"/>
          <w:rtl/>
        </w:rPr>
        <w:t>סבירות</w:t>
      </w:r>
      <w:r w:rsidRPr="0065077E">
        <w:rPr>
          <w:rFonts w:ascii="Calibri" w:hAnsi="Calibri" w:cs="Miriam"/>
          <w:rtl/>
        </w:rPr>
        <w:t xml:space="preserve"> </w:t>
      </w:r>
      <w:r w:rsidRPr="0065077E">
        <w:rPr>
          <w:rFonts w:ascii="Calibri" w:hAnsi="Calibri" w:cs="Miriam" w:hint="eastAsia"/>
          <w:rtl/>
        </w:rPr>
        <w:t>הסדר</w:t>
      </w:r>
      <w:r w:rsidRPr="0065077E">
        <w:rPr>
          <w:rFonts w:ascii="Calibri" w:hAnsi="Calibri" w:cs="Miriam"/>
          <w:rtl/>
        </w:rPr>
        <w:t xml:space="preserve"> </w:t>
      </w:r>
      <w:r w:rsidRPr="0065077E">
        <w:rPr>
          <w:rFonts w:ascii="Calibri" w:hAnsi="Calibri" w:cs="Miriam" w:hint="eastAsia"/>
          <w:rtl/>
        </w:rPr>
        <w:t>הטיעון</w:t>
      </w:r>
      <w:r w:rsidRPr="0065077E">
        <w:rPr>
          <w:rFonts w:ascii="Calibri" w:hAnsi="Calibri" w:cs="Miriam"/>
          <w:rtl/>
        </w:rPr>
        <w:t xml:space="preserve"> </w:t>
      </w:r>
      <w:r w:rsidRPr="0065077E">
        <w:rPr>
          <w:rFonts w:ascii="Calibri" w:hAnsi="Calibri" w:cs="Miriam" w:hint="eastAsia"/>
          <w:rtl/>
        </w:rPr>
        <w:t>אינה</w:t>
      </w:r>
      <w:r w:rsidRPr="0065077E">
        <w:rPr>
          <w:rFonts w:ascii="Calibri" w:hAnsi="Calibri" w:cs="Miriam"/>
          <w:rtl/>
        </w:rPr>
        <w:t xml:space="preserve"> </w:t>
      </w:r>
      <w:r w:rsidRPr="0065077E">
        <w:rPr>
          <w:rFonts w:ascii="Calibri" w:hAnsi="Calibri" w:cs="Miriam" w:hint="eastAsia"/>
          <w:rtl/>
        </w:rPr>
        <w:t>ברורה</w:t>
      </w:r>
      <w:r w:rsidRPr="0065077E">
        <w:rPr>
          <w:rFonts w:ascii="Calibri" w:hAnsi="Calibri" w:cs="Miriam"/>
          <w:rtl/>
        </w:rPr>
        <w:t xml:space="preserve"> </w:t>
      </w:r>
      <w:r w:rsidRPr="0065077E">
        <w:rPr>
          <w:rFonts w:ascii="Calibri" w:hAnsi="Calibri" w:cs="Miriam" w:hint="eastAsia"/>
          <w:rtl/>
        </w:rPr>
        <w:t>על</w:t>
      </w:r>
      <w:r w:rsidRPr="0065077E">
        <w:rPr>
          <w:rFonts w:ascii="Calibri" w:hAnsi="Calibri" w:cs="Miriam"/>
          <w:rtl/>
        </w:rPr>
        <w:t xml:space="preserve"> </w:t>
      </w:r>
      <w:r w:rsidRPr="0065077E">
        <w:rPr>
          <w:rFonts w:ascii="Calibri" w:hAnsi="Calibri" w:cs="Miriam" w:hint="eastAsia"/>
          <w:rtl/>
        </w:rPr>
        <w:t>פניה</w:t>
      </w:r>
      <w:r w:rsidRPr="0065077E">
        <w:rPr>
          <w:rFonts w:ascii="Calibri" w:hAnsi="Calibri" w:cs="Miriam" w:hint="cs"/>
          <w:rtl/>
        </w:rPr>
        <w:t>"</w:t>
      </w:r>
      <w:r w:rsidRPr="0065077E">
        <w:rPr>
          <w:rFonts w:ascii="Calibri" w:hAnsi="Calibri" w:cs="Arial" w:hint="cs"/>
          <w:sz w:val="22"/>
          <w:szCs w:val="22"/>
          <w:rtl/>
        </w:rPr>
        <w:t xml:space="preserve"> </w:t>
      </w:r>
      <w:r w:rsidRPr="00A3542C">
        <w:rPr>
          <w:rFonts w:hint="cs"/>
          <w:rtl/>
        </w:rPr>
        <w:t>(עמדת השופט מזוז ב</w:t>
      </w:r>
      <w:hyperlink r:id="rId31" w:history="1">
        <w:r w:rsidR="0050017A" w:rsidRPr="0050017A">
          <w:rPr>
            <w:color w:val="0000FF"/>
            <w:u w:val="single"/>
            <w:rtl/>
          </w:rPr>
          <w:t>ע"פ 4301/15</w:t>
        </w:r>
      </w:hyperlink>
      <w:r w:rsidRPr="009044A3">
        <w:rPr>
          <w:rFonts w:hint="cs"/>
          <w:rtl/>
        </w:rPr>
        <w:t xml:space="preserve"> </w:t>
      </w:r>
      <w:r w:rsidRPr="0065077E">
        <w:rPr>
          <w:rFonts w:hint="cs"/>
          <w:b/>
          <w:bCs/>
          <w:rtl/>
        </w:rPr>
        <w:t>יאשיהו יוסף פינטו נ' מדינת ישראל</w:t>
      </w:r>
      <w:r w:rsidRPr="009044A3">
        <w:rPr>
          <w:rFonts w:hint="cs"/>
          <w:rtl/>
        </w:rPr>
        <w:t xml:space="preserve"> (5.1.16))</w:t>
      </w:r>
      <w:r w:rsidRPr="006B3C12">
        <w:rPr>
          <w:rFonts w:hint="cs"/>
          <w:rtl/>
        </w:rPr>
        <w:t>.</w:t>
      </w:r>
      <w:r w:rsidRPr="0065077E">
        <w:rPr>
          <w:rFonts w:ascii="Calibri" w:hAnsi="Calibri" w:cs="Arial"/>
          <w:sz w:val="22"/>
          <w:szCs w:val="22"/>
          <w:rtl/>
        </w:rPr>
        <w:t xml:space="preserve"> </w:t>
      </w:r>
      <w:r w:rsidRPr="00917FC8">
        <w:rPr>
          <w:rFonts w:hint="eastAsia"/>
          <w:rtl/>
        </w:rPr>
        <w:t>וראו</w:t>
      </w:r>
      <w:r w:rsidRPr="00917FC8">
        <w:rPr>
          <w:rtl/>
        </w:rPr>
        <w:t xml:space="preserve"> </w:t>
      </w:r>
      <w:r w:rsidRPr="00917FC8">
        <w:rPr>
          <w:rFonts w:hint="eastAsia"/>
          <w:rtl/>
        </w:rPr>
        <w:t>גם</w:t>
      </w:r>
      <w:r w:rsidRPr="00917FC8">
        <w:rPr>
          <w:rtl/>
        </w:rPr>
        <w:t xml:space="preserve">: </w:t>
      </w:r>
      <w:r w:rsidRPr="00917FC8">
        <w:rPr>
          <w:rFonts w:hint="eastAsia"/>
          <w:rtl/>
        </w:rPr>
        <w:t>אורן</w:t>
      </w:r>
      <w:r w:rsidRPr="00917FC8">
        <w:rPr>
          <w:rtl/>
        </w:rPr>
        <w:t xml:space="preserve"> </w:t>
      </w:r>
      <w:r w:rsidRPr="00917FC8">
        <w:rPr>
          <w:rFonts w:hint="eastAsia"/>
          <w:rtl/>
        </w:rPr>
        <w:t>איל</w:t>
      </w:r>
      <w:r w:rsidRPr="00917FC8">
        <w:rPr>
          <w:rtl/>
        </w:rPr>
        <w:t>-</w:t>
      </w:r>
      <w:r w:rsidRPr="00917FC8">
        <w:rPr>
          <w:rFonts w:hint="eastAsia"/>
          <w:rtl/>
        </w:rPr>
        <w:t>גזל</w:t>
      </w:r>
      <w:r w:rsidRPr="00917FC8">
        <w:rPr>
          <w:rtl/>
        </w:rPr>
        <w:t xml:space="preserve"> </w:t>
      </w:r>
      <w:r w:rsidRPr="0065077E">
        <w:rPr>
          <w:b/>
          <w:bCs/>
          <w:rtl/>
        </w:rPr>
        <w:t>"</w:t>
      </w:r>
      <w:r w:rsidRPr="0065077E">
        <w:rPr>
          <w:rFonts w:hint="eastAsia"/>
          <w:b/>
          <w:bCs/>
          <w:rtl/>
        </w:rPr>
        <w:t>העונש</w:t>
      </w:r>
      <w:r w:rsidRPr="0065077E">
        <w:rPr>
          <w:b/>
          <w:bCs/>
          <w:rtl/>
        </w:rPr>
        <w:t xml:space="preserve"> </w:t>
      </w:r>
      <w:r w:rsidRPr="0065077E">
        <w:rPr>
          <w:rFonts w:hint="eastAsia"/>
          <w:b/>
          <w:bCs/>
          <w:rtl/>
        </w:rPr>
        <w:t>ההולם</w:t>
      </w:r>
      <w:r w:rsidRPr="0065077E">
        <w:rPr>
          <w:b/>
          <w:bCs/>
          <w:rtl/>
        </w:rPr>
        <w:t xml:space="preserve"> </w:t>
      </w:r>
      <w:r w:rsidRPr="0065077E">
        <w:rPr>
          <w:rFonts w:hint="eastAsia"/>
          <w:b/>
          <w:bCs/>
          <w:rtl/>
        </w:rPr>
        <w:t>לא</w:t>
      </w:r>
      <w:r w:rsidRPr="0065077E">
        <w:rPr>
          <w:b/>
          <w:bCs/>
          <w:rtl/>
        </w:rPr>
        <w:t xml:space="preserve"> </w:t>
      </w:r>
      <w:r w:rsidRPr="0065077E">
        <w:rPr>
          <w:rFonts w:hint="eastAsia"/>
          <w:b/>
          <w:bCs/>
          <w:rtl/>
        </w:rPr>
        <w:t>תמיד</w:t>
      </w:r>
      <w:r w:rsidRPr="0065077E">
        <w:rPr>
          <w:b/>
          <w:bCs/>
          <w:rtl/>
        </w:rPr>
        <w:t xml:space="preserve"> </w:t>
      </w:r>
      <w:r w:rsidRPr="0065077E">
        <w:rPr>
          <w:rFonts w:hint="eastAsia"/>
          <w:b/>
          <w:bCs/>
          <w:rtl/>
        </w:rPr>
        <w:t>יהלום</w:t>
      </w:r>
      <w:r w:rsidRPr="0065077E">
        <w:rPr>
          <w:b/>
          <w:bCs/>
          <w:rtl/>
        </w:rPr>
        <w:t>"</w:t>
      </w:r>
      <w:r>
        <w:rPr>
          <w:rFonts w:hint="cs"/>
          <w:rtl/>
        </w:rPr>
        <w:t>,</w:t>
      </w:r>
      <w:r w:rsidRPr="00917FC8">
        <w:rPr>
          <w:rtl/>
        </w:rPr>
        <w:t xml:space="preserve"> </w:t>
      </w:r>
      <w:r w:rsidRPr="00917FC8">
        <w:rPr>
          <w:rFonts w:hint="eastAsia"/>
          <w:rtl/>
        </w:rPr>
        <w:t>עורך</w:t>
      </w:r>
      <w:r w:rsidRPr="00917FC8">
        <w:rPr>
          <w:rtl/>
        </w:rPr>
        <w:t xml:space="preserve"> </w:t>
      </w:r>
      <w:r w:rsidRPr="00917FC8">
        <w:rPr>
          <w:rFonts w:hint="eastAsia"/>
          <w:rtl/>
        </w:rPr>
        <w:t>הדין</w:t>
      </w:r>
      <w:r w:rsidRPr="00917FC8">
        <w:rPr>
          <w:rtl/>
        </w:rPr>
        <w:t xml:space="preserve"> 70 (</w:t>
      </w:r>
      <w:r w:rsidRPr="00917FC8">
        <w:rPr>
          <w:rFonts w:hint="eastAsia"/>
          <w:rtl/>
        </w:rPr>
        <w:t>אוקטובר</w:t>
      </w:r>
      <w:r w:rsidRPr="00917FC8">
        <w:rPr>
          <w:rtl/>
        </w:rPr>
        <w:t xml:space="preserve"> 2013)).</w:t>
      </w:r>
      <w:r>
        <w:rPr>
          <w:rFonts w:hint="cs"/>
          <w:rtl/>
        </w:rPr>
        <w:t xml:space="preserve"> עם זאת, כאמור, אין מדובר בהלכה מחייבת והנושא טרם הוכרע. </w:t>
      </w:r>
    </w:p>
    <w:p w14:paraId="08107D76" w14:textId="77777777" w:rsidR="00CA41A5" w:rsidRDefault="00CA41A5" w:rsidP="00CA41A5">
      <w:pPr>
        <w:spacing w:line="360" w:lineRule="auto"/>
        <w:ind w:left="720"/>
        <w:contextualSpacing/>
        <w:jc w:val="both"/>
      </w:pPr>
    </w:p>
    <w:p w14:paraId="7BA9D8CA" w14:textId="77777777" w:rsidR="00CA41A5" w:rsidRDefault="00CA41A5" w:rsidP="00CA41A5">
      <w:pPr>
        <w:spacing w:line="360" w:lineRule="auto"/>
        <w:ind w:left="720"/>
        <w:contextualSpacing/>
        <w:jc w:val="both"/>
      </w:pPr>
      <w:r>
        <w:rPr>
          <w:rFonts w:hint="cs"/>
          <w:rtl/>
        </w:rPr>
        <w:t xml:space="preserve">בנסיבות עניינו נראה על פני הדברים כי טווח הענישה אליו הגיעו הצדדים אינו בלתי סביר ומשכך, אדרש בקצרה בלבד לשאלת מתחם הענישה ההולם. </w:t>
      </w:r>
    </w:p>
    <w:p w14:paraId="3DEEB96D" w14:textId="77777777" w:rsidR="00CA41A5" w:rsidRPr="0065077E" w:rsidRDefault="00CA41A5" w:rsidP="00CA41A5">
      <w:pPr>
        <w:pStyle w:val="a9"/>
        <w:spacing w:line="360" w:lineRule="auto"/>
        <w:jc w:val="both"/>
        <w:rPr>
          <w:rtl/>
        </w:rPr>
      </w:pPr>
    </w:p>
    <w:p w14:paraId="0A4C6C62" w14:textId="77777777" w:rsidR="00CA41A5" w:rsidRDefault="00CA41A5" w:rsidP="00CA41A5">
      <w:pPr>
        <w:pStyle w:val="a9"/>
        <w:numPr>
          <w:ilvl w:val="0"/>
          <w:numId w:val="1"/>
        </w:numPr>
        <w:spacing w:line="360" w:lineRule="auto"/>
        <w:jc w:val="both"/>
      </w:pPr>
      <w:r>
        <w:rPr>
          <w:rFonts w:ascii="David" w:hAnsi="David" w:hint="cs"/>
          <w:rtl/>
        </w:rPr>
        <w:t xml:space="preserve">כידוע, בעת קביעת מתחם הענישה </w:t>
      </w:r>
      <w:r w:rsidRPr="004870F7">
        <w:rPr>
          <w:rFonts w:hint="cs"/>
          <w:rtl/>
        </w:rPr>
        <w:t>ההולם מתחשב בית המשפט בעקרון המנחה בענישה</w:t>
      </w:r>
      <w:r>
        <w:rPr>
          <w:rFonts w:hint="cs"/>
          <w:rtl/>
        </w:rPr>
        <w:t>, שהוא</w:t>
      </w:r>
      <w:r w:rsidRPr="004870F7">
        <w:rPr>
          <w:rFonts w:hint="cs"/>
          <w:rtl/>
        </w:rPr>
        <w:t xml:space="preserve">  הלימה, </w:t>
      </w:r>
      <w:r>
        <w:rPr>
          <w:rFonts w:hint="cs"/>
          <w:rtl/>
        </w:rPr>
        <w:t xml:space="preserve">כמו גם </w:t>
      </w:r>
      <w:r w:rsidRPr="004870F7">
        <w:rPr>
          <w:rFonts w:hint="cs"/>
          <w:rtl/>
        </w:rPr>
        <w:t xml:space="preserve">בערך החברתי שנפגע, במידת הפגיעה בו, במדיניות הענישה הנוהגת ובנסיבות הקשורות בביצוע העבירה, </w:t>
      </w:r>
      <w:r>
        <w:rPr>
          <w:rFonts w:hint="cs"/>
          <w:rtl/>
        </w:rPr>
        <w:t xml:space="preserve">כאמור </w:t>
      </w:r>
      <w:hyperlink r:id="rId32" w:history="1">
        <w:r w:rsidR="00532E65" w:rsidRPr="00532E65">
          <w:rPr>
            <w:color w:val="0000FF"/>
            <w:u w:val="single"/>
            <w:rtl/>
          </w:rPr>
          <w:t>בסעיף 40ט'</w:t>
        </w:r>
      </w:hyperlink>
      <w:r w:rsidRPr="00DA5399">
        <w:rPr>
          <w:rFonts w:ascii="David" w:hAnsi="David" w:hint="cs"/>
          <w:rtl/>
        </w:rPr>
        <w:t xml:space="preserve"> ל</w:t>
      </w:r>
      <w:hyperlink r:id="rId33" w:history="1">
        <w:r w:rsidR="0050017A" w:rsidRPr="0050017A">
          <w:rPr>
            <w:color w:val="0000FF"/>
            <w:u w:val="single"/>
            <w:rtl/>
          </w:rPr>
          <w:t>חוק העונשין</w:t>
        </w:r>
      </w:hyperlink>
      <w:r w:rsidRPr="00DA5399">
        <w:rPr>
          <w:rFonts w:ascii="David" w:hAnsi="David" w:hint="cs"/>
          <w:rtl/>
        </w:rPr>
        <w:t>.</w:t>
      </w:r>
      <w:r w:rsidRPr="0065077E">
        <w:rPr>
          <w:rFonts w:hint="cs"/>
          <w:rtl/>
        </w:rPr>
        <w:t xml:space="preserve"> </w:t>
      </w:r>
      <w:r w:rsidRPr="004870F7">
        <w:rPr>
          <w:rFonts w:hint="cs"/>
          <w:rtl/>
        </w:rPr>
        <w:t>לאחר קביעת המתחם יש להחליט אם ראוי לסטות ממנו, לקולה או לחומרה, שאחרת ייגזר העונש בגדרי המתחם שנקבע.</w:t>
      </w:r>
    </w:p>
    <w:p w14:paraId="30E6A0A7" w14:textId="77777777" w:rsidR="00CA41A5" w:rsidRDefault="00CA41A5" w:rsidP="00CA41A5">
      <w:pPr>
        <w:pStyle w:val="a9"/>
        <w:rPr>
          <w:rtl/>
        </w:rPr>
      </w:pPr>
    </w:p>
    <w:p w14:paraId="1AADF139" w14:textId="77777777" w:rsidR="00CA41A5" w:rsidRPr="0067764C" w:rsidRDefault="00CA41A5" w:rsidP="00CA41A5">
      <w:pPr>
        <w:pStyle w:val="a9"/>
        <w:numPr>
          <w:ilvl w:val="0"/>
          <w:numId w:val="1"/>
        </w:numPr>
        <w:spacing w:line="360" w:lineRule="auto"/>
        <w:jc w:val="both"/>
        <w:rPr>
          <w:rFonts w:ascii="David" w:hAnsi="David"/>
        </w:rPr>
      </w:pPr>
      <w:r w:rsidRPr="004870F7">
        <w:rPr>
          <w:rFonts w:ascii="David" w:hAnsi="David" w:hint="eastAsia"/>
          <w:b/>
          <w:bCs/>
          <w:rtl/>
        </w:rPr>
        <w:t>הערכים</w:t>
      </w:r>
      <w:r w:rsidRPr="004870F7">
        <w:rPr>
          <w:rFonts w:ascii="David" w:hAnsi="David"/>
          <w:b/>
          <w:bCs/>
          <w:rtl/>
        </w:rPr>
        <w:t xml:space="preserve"> </w:t>
      </w:r>
      <w:r w:rsidRPr="004870F7">
        <w:rPr>
          <w:rFonts w:ascii="David" w:hAnsi="David" w:hint="eastAsia"/>
          <w:b/>
          <w:bCs/>
          <w:rtl/>
        </w:rPr>
        <w:t>המוגנים</w:t>
      </w:r>
      <w:r w:rsidRPr="004870F7">
        <w:rPr>
          <w:rFonts w:ascii="David" w:hAnsi="David"/>
          <w:b/>
          <w:bCs/>
          <w:rtl/>
        </w:rPr>
        <w:t xml:space="preserve"> </w:t>
      </w:r>
      <w:r w:rsidRPr="004870F7">
        <w:rPr>
          <w:rFonts w:ascii="David" w:hAnsi="David" w:hint="eastAsia"/>
          <w:b/>
          <w:bCs/>
          <w:rtl/>
        </w:rPr>
        <w:t>בבסיס</w:t>
      </w:r>
      <w:r w:rsidRPr="004870F7">
        <w:rPr>
          <w:rFonts w:ascii="David" w:hAnsi="David"/>
          <w:b/>
          <w:bCs/>
          <w:rtl/>
        </w:rPr>
        <w:t xml:space="preserve"> </w:t>
      </w:r>
      <w:r w:rsidRPr="004870F7">
        <w:rPr>
          <w:rFonts w:ascii="David" w:hAnsi="David" w:hint="eastAsia"/>
          <w:b/>
          <w:bCs/>
          <w:rtl/>
        </w:rPr>
        <w:t>העבירה</w:t>
      </w:r>
      <w:r>
        <w:rPr>
          <w:rFonts w:ascii="David" w:hAnsi="David" w:hint="cs"/>
          <w:b/>
          <w:bCs/>
          <w:rtl/>
        </w:rPr>
        <w:t>:</w:t>
      </w:r>
      <w:r w:rsidRPr="004870F7">
        <w:rPr>
          <w:rFonts w:ascii="David" w:hAnsi="David" w:hint="cs"/>
          <w:b/>
          <w:bCs/>
          <w:rtl/>
        </w:rPr>
        <w:t xml:space="preserve"> </w:t>
      </w:r>
      <w:r w:rsidRPr="004870F7">
        <w:rPr>
          <w:rFonts w:ascii="David" w:hAnsi="David" w:hint="cs"/>
          <w:rtl/>
        </w:rPr>
        <w:t xml:space="preserve"> </w:t>
      </w:r>
      <w:r w:rsidRPr="004870F7">
        <w:rPr>
          <w:rFonts w:ascii="David" w:hAnsi="David" w:hint="eastAsia"/>
          <w:rtl/>
        </w:rPr>
        <w:t>הסכנות</w:t>
      </w:r>
      <w:r w:rsidRPr="004870F7">
        <w:rPr>
          <w:rFonts w:ascii="David" w:hAnsi="David"/>
          <w:rtl/>
        </w:rPr>
        <w:t xml:space="preserve"> </w:t>
      </w:r>
      <w:r w:rsidRPr="004870F7">
        <w:rPr>
          <w:rFonts w:ascii="David" w:hAnsi="David" w:hint="eastAsia"/>
          <w:rtl/>
        </w:rPr>
        <w:t>הטמונות</w:t>
      </w:r>
      <w:r w:rsidRPr="004870F7">
        <w:rPr>
          <w:rFonts w:ascii="David" w:hAnsi="David"/>
          <w:rtl/>
        </w:rPr>
        <w:t xml:space="preserve"> </w:t>
      </w:r>
      <w:r w:rsidRPr="004870F7">
        <w:rPr>
          <w:rFonts w:ascii="David" w:hAnsi="David" w:hint="eastAsia"/>
          <w:rtl/>
        </w:rPr>
        <w:t>בהחזקת</w:t>
      </w:r>
      <w:r w:rsidRPr="004870F7">
        <w:rPr>
          <w:rFonts w:ascii="David" w:hAnsi="David"/>
          <w:rtl/>
        </w:rPr>
        <w:t xml:space="preserve"> </w:t>
      </w:r>
      <w:r w:rsidRPr="004870F7">
        <w:rPr>
          <w:rFonts w:ascii="David" w:hAnsi="David" w:hint="eastAsia"/>
          <w:rtl/>
        </w:rPr>
        <w:t>סם</w:t>
      </w:r>
      <w:r w:rsidRPr="004870F7">
        <w:rPr>
          <w:rFonts w:ascii="David" w:hAnsi="David"/>
          <w:rtl/>
        </w:rPr>
        <w:t xml:space="preserve"> </w:t>
      </w:r>
      <w:r w:rsidRPr="004870F7">
        <w:rPr>
          <w:rFonts w:ascii="David" w:hAnsi="David" w:hint="eastAsia"/>
          <w:rtl/>
        </w:rPr>
        <w:t>מסוכן</w:t>
      </w:r>
      <w:r w:rsidRPr="004870F7">
        <w:rPr>
          <w:rFonts w:ascii="David" w:hAnsi="David"/>
          <w:rtl/>
        </w:rPr>
        <w:t xml:space="preserve"> </w:t>
      </w:r>
      <w:r w:rsidRPr="004870F7">
        <w:rPr>
          <w:rFonts w:ascii="David" w:hAnsi="David" w:hint="eastAsia"/>
          <w:rtl/>
        </w:rPr>
        <w:t>מסוג</w:t>
      </w:r>
      <w:r>
        <w:rPr>
          <w:rFonts w:ascii="David" w:hAnsi="David" w:hint="cs"/>
          <w:rtl/>
        </w:rPr>
        <w:t xml:space="preserve"> קוקאין וסמים דומים בחומרתם</w:t>
      </w:r>
      <w:r w:rsidRPr="004870F7">
        <w:rPr>
          <w:rFonts w:ascii="David" w:hAnsi="David"/>
          <w:rtl/>
        </w:rPr>
        <w:t xml:space="preserve">, </w:t>
      </w:r>
      <w:r w:rsidRPr="004870F7">
        <w:rPr>
          <w:rFonts w:ascii="David" w:hAnsi="David" w:hint="eastAsia"/>
          <w:rtl/>
        </w:rPr>
        <w:t>שלא</w:t>
      </w:r>
      <w:r w:rsidRPr="004870F7">
        <w:rPr>
          <w:rFonts w:ascii="David" w:hAnsi="David"/>
          <w:rtl/>
        </w:rPr>
        <w:t xml:space="preserve"> </w:t>
      </w:r>
      <w:r w:rsidRPr="004870F7">
        <w:rPr>
          <w:rFonts w:ascii="David" w:hAnsi="David" w:hint="eastAsia"/>
          <w:rtl/>
        </w:rPr>
        <w:t>לשימוש</w:t>
      </w:r>
      <w:r w:rsidRPr="004870F7">
        <w:rPr>
          <w:rFonts w:ascii="David" w:hAnsi="David"/>
          <w:rtl/>
        </w:rPr>
        <w:t xml:space="preserve"> </w:t>
      </w:r>
      <w:r w:rsidRPr="004870F7">
        <w:rPr>
          <w:rFonts w:ascii="David" w:hAnsi="David" w:hint="eastAsia"/>
          <w:rtl/>
        </w:rPr>
        <w:t>עצמי</w:t>
      </w:r>
      <w:r w:rsidRPr="004870F7">
        <w:rPr>
          <w:rFonts w:ascii="David" w:hAnsi="David"/>
          <w:rtl/>
        </w:rPr>
        <w:t xml:space="preserve"> </w:t>
      </w:r>
      <w:r w:rsidRPr="004870F7">
        <w:rPr>
          <w:rFonts w:ascii="David" w:hAnsi="David" w:hint="eastAsia"/>
          <w:rtl/>
        </w:rPr>
        <w:t>בלבד</w:t>
      </w:r>
      <w:r w:rsidRPr="004870F7">
        <w:rPr>
          <w:rFonts w:ascii="David" w:hAnsi="David"/>
          <w:rtl/>
        </w:rPr>
        <w:t xml:space="preserve">, </w:t>
      </w:r>
      <w:r w:rsidRPr="004870F7">
        <w:rPr>
          <w:rFonts w:ascii="David" w:hAnsi="David" w:hint="eastAsia"/>
          <w:rtl/>
        </w:rPr>
        <w:t>ידועות</w:t>
      </w:r>
      <w:r w:rsidRPr="004870F7">
        <w:rPr>
          <w:rFonts w:ascii="David" w:hAnsi="David"/>
          <w:rtl/>
        </w:rPr>
        <w:t xml:space="preserve"> </w:t>
      </w:r>
      <w:r w:rsidRPr="004870F7">
        <w:rPr>
          <w:rFonts w:ascii="David" w:hAnsi="David" w:hint="eastAsia"/>
          <w:rtl/>
        </w:rPr>
        <w:t>ואין</w:t>
      </w:r>
      <w:r w:rsidRPr="004870F7">
        <w:rPr>
          <w:rFonts w:ascii="David" w:hAnsi="David"/>
          <w:rtl/>
        </w:rPr>
        <w:t xml:space="preserve"> </w:t>
      </w:r>
      <w:r w:rsidRPr="004870F7">
        <w:rPr>
          <w:rFonts w:ascii="David" w:hAnsi="David" w:hint="eastAsia"/>
          <w:rtl/>
        </w:rPr>
        <w:t>צורך</w:t>
      </w:r>
      <w:r w:rsidRPr="004870F7">
        <w:rPr>
          <w:rFonts w:ascii="David" w:hAnsi="David"/>
          <w:rtl/>
        </w:rPr>
        <w:t xml:space="preserve"> </w:t>
      </w:r>
      <w:r w:rsidRPr="004870F7">
        <w:rPr>
          <w:rFonts w:ascii="David" w:hAnsi="David" w:hint="eastAsia"/>
          <w:rtl/>
        </w:rPr>
        <w:t>להכביר</w:t>
      </w:r>
      <w:r w:rsidRPr="004870F7">
        <w:rPr>
          <w:rFonts w:ascii="David" w:hAnsi="David"/>
          <w:rtl/>
        </w:rPr>
        <w:t xml:space="preserve"> </w:t>
      </w:r>
      <w:r w:rsidRPr="004870F7">
        <w:rPr>
          <w:rFonts w:ascii="David" w:hAnsi="David" w:hint="eastAsia"/>
          <w:rtl/>
        </w:rPr>
        <w:t>מילים</w:t>
      </w:r>
      <w:r w:rsidRPr="004870F7">
        <w:rPr>
          <w:rFonts w:ascii="David" w:hAnsi="David"/>
          <w:rtl/>
        </w:rPr>
        <w:t xml:space="preserve"> </w:t>
      </w:r>
      <w:r w:rsidRPr="004870F7">
        <w:rPr>
          <w:rFonts w:ascii="David" w:hAnsi="David" w:hint="eastAsia"/>
          <w:rtl/>
        </w:rPr>
        <w:t>על</w:t>
      </w:r>
      <w:r w:rsidRPr="004870F7">
        <w:rPr>
          <w:rFonts w:ascii="David" w:hAnsi="David"/>
          <w:rtl/>
        </w:rPr>
        <w:t xml:space="preserve"> </w:t>
      </w:r>
      <w:r w:rsidRPr="004870F7">
        <w:rPr>
          <w:rFonts w:ascii="David" w:hAnsi="David" w:hint="eastAsia"/>
          <w:rtl/>
        </w:rPr>
        <w:t>הנזקים</w:t>
      </w:r>
      <w:r w:rsidRPr="004870F7">
        <w:rPr>
          <w:rFonts w:ascii="David" w:hAnsi="David"/>
          <w:rtl/>
        </w:rPr>
        <w:t xml:space="preserve"> </w:t>
      </w:r>
      <w:r w:rsidRPr="004870F7">
        <w:rPr>
          <w:rFonts w:ascii="David" w:hAnsi="David" w:hint="eastAsia"/>
          <w:rtl/>
        </w:rPr>
        <w:t>העקיפים</w:t>
      </w:r>
      <w:r w:rsidRPr="004870F7">
        <w:rPr>
          <w:rFonts w:ascii="David" w:hAnsi="David"/>
          <w:rtl/>
        </w:rPr>
        <w:t xml:space="preserve"> </w:t>
      </w:r>
      <w:r w:rsidRPr="004870F7">
        <w:rPr>
          <w:rFonts w:ascii="David" w:hAnsi="David" w:hint="eastAsia"/>
          <w:rtl/>
        </w:rPr>
        <w:t>והישירים</w:t>
      </w:r>
      <w:r w:rsidRPr="004870F7">
        <w:rPr>
          <w:rFonts w:ascii="David" w:hAnsi="David"/>
          <w:rtl/>
        </w:rPr>
        <w:t xml:space="preserve"> </w:t>
      </w:r>
      <w:r w:rsidRPr="004870F7">
        <w:rPr>
          <w:rFonts w:ascii="David" w:hAnsi="David" w:hint="eastAsia"/>
          <w:rtl/>
        </w:rPr>
        <w:t>שעלולים</w:t>
      </w:r>
      <w:r w:rsidRPr="004870F7">
        <w:rPr>
          <w:rFonts w:ascii="David" w:hAnsi="David"/>
          <w:rtl/>
        </w:rPr>
        <w:t xml:space="preserve"> </w:t>
      </w:r>
      <w:r w:rsidRPr="004870F7">
        <w:rPr>
          <w:rFonts w:ascii="David" w:hAnsi="David" w:hint="eastAsia"/>
          <w:rtl/>
        </w:rPr>
        <w:t>להיגרם</w:t>
      </w:r>
      <w:r w:rsidRPr="004870F7">
        <w:rPr>
          <w:rFonts w:ascii="David" w:hAnsi="David"/>
          <w:rtl/>
        </w:rPr>
        <w:t xml:space="preserve"> </w:t>
      </w:r>
      <w:r w:rsidRPr="004870F7">
        <w:rPr>
          <w:rFonts w:ascii="David" w:hAnsi="David" w:hint="eastAsia"/>
          <w:rtl/>
        </w:rPr>
        <w:t>לחברה</w:t>
      </w:r>
      <w:r w:rsidRPr="004870F7">
        <w:rPr>
          <w:rFonts w:ascii="David" w:hAnsi="David"/>
          <w:rtl/>
        </w:rPr>
        <w:t xml:space="preserve"> </w:t>
      </w:r>
      <w:r w:rsidRPr="004870F7">
        <w:rPr>
          <w:rFonts w:ascii="David" w:hAnsi="David" w:hint="eastAsia"/>
          <w:rtl/>
        </w:rPr>
        <w:t>ולפרט</w:t>
      </w:r>
      <w:r w:rsidRPr="004870F7">
        <w:rPr>
          <w:rFonts w:ascii="David" w:hAnsi="David"/>
          <w:rtl/>
        </w:rPr>
        <w:t xml:space="preserve"> </w:t>
      </w:r>
      <w:r w:rsidRPr="004870F7">
        <w:rPr>
          <w:rFonts w:ascii="David" w:hAnsi="David" w:hint="eastAsia"/>
          <w:rtl/>
        </w:rPr>
        <w:t>מעבירות</w:t>
      </w:r>
      <w:r w:rsidRPr="004870F7">
        <w:rPr>
          <w:rFonts w:ascii="David" w:hAnsi="David"/>
          <w:rtl/>
        </w:rPr>
        <w:t xml:space="preserve"> </w:t>
      </w:r>
      <w:r w:rsidRPr="004870F7">
        <w:rPr>
          <w:rFonts w:ascii="David" w:hAnsi="David" w:hint="eastAsia"/>
          <w:rtl/>
        </w:rPr>
        <w:t>הסמים</w:t>
      </w:r>
      <w:r w:rsidRPr="004870F7">
        <w:rPr>
          <w:rFonts w:ascii="David" w:hAnsi="David"/>
          <w:rtl/>
        </w:rPr>
        <w:t xml:space="preserve"> (</w:t>
      </w:r>
      <w:r w:rsidRPr="004870F7">
        <w:rPr>
          <w:rFonts w:ascii="David" w:hAnsi="David" w:hint="eastAsia"/>
          <w:rtl/>
        </w:rPr>
        <w:t>ראה</w:t>
      </w:r>
      <w:r w:rsidRPr="004870F7">
        <w:rPr>
          <w:rFonts w:ascii="David" w:hAnsi="David"/>
          <w:rtl/>
        </w:rPr>
        <w:t xml:space="preserve">: </w:t>
      </w:r>
      <w:hyperlink r:id="rId34" w:history="1">
        <w:r w:rsidR="0050017A" w:rsidRPr="0050017A">
          <w:rPr>
            <w:rFonts w:ascii="David" w:hAnsi="David"/>
            <w:color w:val="0000FF"/>
            <w:u w:val="single"/>
            <w:rtl/>
          </w:rPr>
          <w:t>ע"פ 11220/03</w:t>
        </w:r>
      </w:hyperlink>
      <w:r w:rsidRPr="004870F7">
        <w:rPr>
          <w:rFonts w:ascii="David" w:hAnsi="David"/>
          <w:rtl/>
        </w:rPr>
        <w:t xml:space="preserve"> </w:t>
      </w:r>
      <w:r w:rsidRPr="004870F7">
        <w:rPr>
          <w:rFonts w:ascii="David" w:hAnsi="David" w:hint="eastAsia"/>
          <w:b/>
          <w:bCs/>
          <w:rtl/>
        </w:rPr>
        <w:t>פלוני</w:t>
      </w:r>
      <w:r w:rsidRPr="004870F7">
        <w:rPr>
          <w:rFonts w:ascii="David" w:hAnsi="David"/>
          <w:b/>
          <w:bCs/>
          <w:rtl/>
        </w:rPr>
        <w:t xml:space="preserve"> </w:t>
      </w:r>
      <w:r w:rsidRPr="004870F7">
        <w:rPr>
          <w:rFonts w:ascii="David" w:hAnsi="David" w:hint="eastAsia"/>
          <w:b/>
          <w:bCs/>
          <w:rtl/>
        </w:rPr>
        <w:t>נ</w:t>
      </w:r>
      <w:r w:rsidRPr="004870F7">
        <w:rPr>
          <w:rFonts w:ascii="David" w:hAnsi="David"/>
          <w:b/>
          <w:bCs/>
          <w:rtl/>
        </w:rPr>
        <w:t xml:space="preserve">' </w:t>
      </w:r>
      <w:r w:rsidRPr="004870F7">
        <w:rPr>
          <w:rFonts w:ascii="David" w:hAnsi="David" w:hint="eastAsia"/>
          <w:b/>
          <w:bCs/>
          <w:rtl/>
        </w:rPr>
        <w:t>מדינת</w:t>
      </w:r>
      <w:r w:rsidRPr="004870F7">
        <w:rPr>
          <w:rFonts w:ascii="David" w:hAnsi="David"/>
          <w:b/>
          <w:bCs/>
          <w:rtl/>
        </w:rPr>
        <w:t xml:space="preserve"> </w:t>
      </w:r>
      <w:r w:rsidRPr="004870F7">
        <w:rPr>
          <w:rFonts w:ascii="David" w:hAnsi="David" w:hint="eastAsia"/>
          <w:b/>
          <w:bCs/>
          <w:rtl/>
        </w:rPr>
        <w:t>ישראל</w:t>
      </w:r>
      <w:r w:rsidRPr="004870F7">
        <w:rPr>
          <w:rFonts w:ascii="David" w:hAnsi="David"/>
          <w:rtl/>
        </w:rPr>
        <w:t xml:space="preserve"> (6.7.05); </w:t>
      </w:r>
      <w:hyperlink r:id="rId35" w:history="1">
        <w:r w:rsidR="0050017A" w:rsidRPr="0050017A">
          <w:rPr>
            <w:rFonts w:ascii="David" w:hAnsi="David"/>
            <w:color w:val="0000FF"/>
            <w:u w:val="single"/>
            <w:rtl/>
          </w:rPr>
          <w:t>ע"פ 4484/05</w:t>
        </w:r>
      </w:hyperlink>
      <w:r w:rsidRPr="004870F7">
        <w:rPr>
          <w:rFonts w:ascii="David" w:hAnsi="David"/>
          <w:rtl/>
        </w:rPr>
        <w:t xml:space="preserve"> </w:t>
      </w:r>
      <w:r w:rsidRPr="004870F7">
        <w:rPr>
          <w:rFonts w:ascii="David" w:hAnsi="David" w:hint="eastAsia"/>
          <w:b/>
          <w:bCs/>
          <w:rtl/>
        </w:rPr>
        <w:t>שגב</w:t>
      </w:r>
      <w:r w:rsidRPr="004870F7">
        <w:rPr>
          <w:rFonts w:ascii="David" w:hAnsi="David"/>
          <w:b/>
          <w:bCs/>
          <w:rtl/>
        </w:rPr>
        <w:t xml:space="preserve"> </w:t>
      </w:r>
      <w:r w:rsidRPr="004870F7">
        <w:rPr>
          <w:rFonts w:ascii="David" w:hAnsi="David" w:hint="eastAsia"/>
          <w:b/>
          <w:bCs/>
          <w:rtl/>
        </w:rPr>
        <w:t>נ</w:t>
      </w:r>
      <w:r w:rsidRPr="004870F7">
        <w:rPr>
          <w:rFonts w:ascii="David" w:hAnsi="David"/>
          <w:b/>
          <w:bCs/>
          <w:rtl/>
        </w:rPr>
        <w:t xml:space="preserve">' </w:t>
      </w:r>
      <w:r w:rsidRPr="004870F7">
        <w:rPr>
          <w:rFonts w:ascii="David" w:hAnsi="David" w:hint="eastAsia"/>
          <w:b/>
          <w:bCs/>
          <w:rtl/>
        </w:rPr>
        <w:t>מדינת</w:t>
      </w:r>
      <w:r w:rsidRPr="004870F7">
        <w:rPr>
          <w:rFonts w:ascii="David" w:hAnsi="David"/>
          <w:b/>
          <w:bCs/>
          <w:rtl/>
        </w:rPr>
        <w:t xml:space="preserve"> </w:t>
      </w:r>
      <w:r w:rsidRPr="004870F7">
        <w:rPr>
          <w:rFonts w:ascii="David" w:hAnsi="David" w:hint="eastAsia"/>
          <w:b/>
          <w:bCs/>
          <w:rtl/>
        </w:rPr>
        <w:t>ישראל</w:t>
      </w:r>
      <w:r w:rsidRPr="004870F7">
        <w:rPr>
          <w:rFonts w:ascii="David" w:hAnsi="David"/>
          <w:rtl/>
        </w:rPr>
        <w:t xml:space="preserve"> (8.8.</w:t>
      </w:r>
      <w:r>
        <w:rPr>
          <w:rFonts w:ascii="David" w:hAnsi="David" w:hint="cs"/>
          <w:rtl/>
        </w:rPr>
        <w:t>06</w:t>
      </w:r>
      <w:r w:rsidRPr="004870F7">
        <w:rPr>
          <w:rFonts w:ascii="David" w:hAnsi="David"/>
          <w:rtl/>
        </w:rPr>
        <w:t xml:space="preserve">); </w:t>
      </w:r>
      <w:hyperlink r:id="rId36" w:history="1">
        <w:r w:rsidR="0050017A" w:rsidRPr="0050017A">
          <w:rPr>
            <w:rFonts w:ascii="David" w:hAnsi="David"/>
            <w:color w:val="0000FF"/>
            <w:u w:val="single"/>
            <w:rtl/>
          </w:rPr>
          <w:t>ע"פ 10228/05</w:t>
        </w:r>
      </w:hyperlink>
      <w:r w:rsidRPr="004870F7">
        <w:rPr>
          <w:rFonts w:ascii="David" w:hAnsi="David"/>
          <w:rtl/>
        </w:rPr>
        <w:t xml:space="preserve"> </w:t>
      </w:r>
      <w:r w:rsidRPr="004870F7">
        <w:rPr>
          <w:rFonts w:ascii="David" w:hAnsi="David" w:hint="eastAsia"/>
          <w:b/>
          <w:bCs/>
          <w:rtl/>
        </w:rPr>
        <w:t>רובאעי</w:t>
      </w:r>
      <w:r w:rsidRPr="004870F7">
        <w:rPr>
          <w:rFonts w:ascii="David" w:hAnsi="David"/>
          <w:b/>
          <w:bCs/>
          <w:rtl/>
        </w:rPr>
        <w:t xml:space="preserve"> </w:t>
      </w:r>
      <w:r w:rsidRPr="004870F7">
        <w:rPr>
          <w:rFonts w:ascii="David" w:hAnsi="David" w:hint="eastAsia"/>
          <w:b/>
          <w:bCs/>
          <w:rtl/>
        </w:rPr>
        <w:t>נ</w:t>
      </w:r>
      <w:r w:rsidRPr="004870F7">
        <w:rPr>
          <w:rFonts w:ascii="David" w:hAnsi="David"/>
          <w:b/>
          <w:bCs/>
          <w:rtl/>
        </w:rPr>
        <w:t xml:space="preserve">' </w:t>
      </w:r>
      <w:r w:rsidRPr="004870F7">
        <w:rPr>
          <w:rFonts w:ascii="David" w:hAnsi="David" w:hint="eastAsia"/>
          <w:b/>
          <w:bCs/>
          <w:rtl/>
        </w:rPr>
        <w:t>מדינת</w:t>
      </w:r>
      <w:r w:rsidRPr="004870F7">
        <w:rPr>
          <w:rFonts w:ascii="David" w:hAnsi="David"/>
          <w:b/>
          <w:bCs/>
          <w:rtl/>
        </w:rPr>
        <w:t xml:space="preserve"> </w:t>
      </w:r>
      <w:r w:rsidRPr="004870F7">
        <w:rPr>
          <w:rFonts w:ascii="David" w:hAnsi="David" w:hint="eastAsia"/>
          <w:b/>
          <w:bCs/>
          <w:rtl/>
        </w:rPr>
        <w:t>ישראל</w:t>
      </w:r>
      <w:r w:rsidRPr="004870F7">
        <w:rPr>
          <w:rFonts w:ascii="David" w:hAnsi="David"/>
          <w:rtl/>
        </w:rPr>
        <w:t xml:space="preserve"> (26.6.</w:t>
      </w:r>
      <w:r>
        <w:rPr>
          <w:rFonts w:ascii="David" w:hAnsi="David" w:hint="cs"/>
          <w:rtl/>
        </w:rPr>
        <w:t>06</w:t>
      </w:r>
      <w:r w:rsidRPr="004870F7">
        <w:rPr>
          <w:rFonts w:ascii="David" w:hAnsi="David"/>
          <w:rtl/>
        </w:rPr>
        <w:t xml:space="preserve">); </w:t>
      </w:r>
      <w:hyperlink r:id="rId37" w:history="1">
        <w:r w:rsidR="0050017A" w:rsidRPr="0050017A">
          <w:rPr>
            <w:rFonts w:ascii="David" w:hAnsi="David"/>
            <w:color w:val="0000FF"/>
            <w:u w:val="single"/>
            <w:rtl/>
          </w:rPr>
          <w:t>ע"פ 3578/12</w:t>
        </w:r>
      </w:hyperlink>
      <w:r w:rsidRPr="004870F7">
        <w:rPr>
          <w:rFonts w:ascii="David" w:hAnsi="David"/>
          <w:rtl/>
        </w:rPr>
        <w:t xml:space="preserve"> </w:t>
      </w:r>
      <w:r w:rsidRPr="004870F7">
        <w:rPr>
          <w:rFonts w:ascii="David" w:hAnsi="David" w:hint="eastAsia"/>
          <w:b/>
          <w:bCs/>
          <w:rtl/>
        </w:rPr>
        <w:t>עזמה</w:t>
      </w:r>
      <w:r w:rsidRPr="004870F7">
        <w:rPr>
          <w:rFonts w:ascii="David" w:hAnsi="David"/>
          <w:b/>
          <w:bCs/>
          <w:rtl/>
        </w:rPr>
        <w:t xml:space="preserve"> </w:t>
      </w:r>
      <w:r w:rsidRPr="004870F7">
        <w:rPr>
          <w:rFonts w:ascii="David" w:hAnsi="David" w:hint="eastAsia"/>
          <w:b/>
          <w:bCs/>
          <w:rtl/>
        </w:rPr>
        <w:t>נ</w:t>
      </w:r>
      <w:r w:rsidRPr="004870F7">
        <w:rPr>
          <w:rFonts w:ascii="David" w:hAnsi="David"/>
          <w:b/>
          <w:bCs/>
          <w:rtl/>
        </w:rPr>
        <w:t xml:space="preserve">' </w:t>
      </w:r>
      <w:r w:rsidRPr="004870F7">
        <w:rPr>
          <w:rFonts w:ascii="David" w:hAnsi="David" w:hint="eastAsia"/>
          <w:b/>
          <w:bCs/>
          <w:rtl/>
        </w:rPr>
        <w:t>מדינת</w:t>
      </w:r>
      <w:r w:rsidRPr="004870F7">
        <w:rPr>
          <w:rFonts w:ascii="David" w:hAnsi="David"/>
          <w:b/>
          <w:bCs/>
          <w:rtl/>
        </w:rPr>
        <w:t xml:space="preserve"> </w:t>
      </w:r>
      <w:r w:rsidRPr="004870F7">
        <w:rPr>
          <w:rFonts w:ascii="David" w:hAnsi="David" w:hint="eastAsia"/>
          <w:b/>
          <w:bCs/>
          <w:rtl/>
        </w:rPr>
        <w:t>ישראל</w:t>
      </w:r>
      <w:r w:rsidRPr="004870F7">
        <w:rPr>
          <w:rFonts w:ascii="David" w:hAnsi="David"/>
          <w:b/>
          <w:bCs/>
          <w:rtl/>
        </w:rPr>
        <w:t xml:space="preserve"> </w:t>
      </w:r>
      <w:r w:rsidRPr="004870F7">
        <w:rPr>
          <w:rFonts w:ascii="David" w:hAnsi="David"/>
          <w:rtl/>
        </w:rPr>
        <w:t xml:space="preserve">(17.1.13); </w:t>
      </w:r>
      <w:hyperlink r:id="rId38" w:history="1">
        <w:r w:rsidR="0050017A" w:rsidRPr="0050017A">
          <w:rPr>
            <w:rFonts w:ascii="David" w:hAnsi="David"/>
            <w:color w:val="0000FF"/>
            <w:u w:val="single"/>
            <w:rtl/>
          </w:rPr>
          <w:t>רע"פ 7996/12</w:t>
        </w:r>
      </w:hyperlink>
      <w:r w:rsidRPr="004870F7">
        <w:rPr>
          <w:rFonts w:ascii="David" w:hAnsi="David"/>
          <w:rtl/>
        </w:rPr>
        <w:t xml:space="preserve"> </w:t>
      </w:r>
      <w:r w:rsidRPr="004870F7">
        <w:rPr>
          <w:rFonts w:ascii="David" w:hAnsi="David" w:hint="eastAsia"/>
          <w:b/>
          <w:bCs/>
          <w:rtl/>
        </w:rPr>
        <w:t>יוסף</w:t>
      </w:r>
      <w:r w:rsidRPr="004870F7">
        <w:rPr>
          <w:rFonts w:ascii="David" w:hAnsi="David"/>
          <w:b/>
          <w:bCs/>
          <w:rtl/>
        </w:rPr>
        <w:t xml:space="preserve"> </w:t>
      </w:r>
      <w:r w:rsidRPr="004870F7">
        <w:rPr>
          <w:rFonts w:ascii="David" w:hAnsi="David" w:hint="eastAsia"/>
          <w:b/>
          <w:bCs/>
          <w:rtl/>
        </w:rPr>
        <w:t>נ</w:t>
      </w:r>
      <w:r w:rsidRPr="004870F7">
        <w:rPr>
          <w:rFonts w:ascii="David" w:hAnsi="David"/>
          <w:b/>
          <w:bCs/>
          <w:rtl/>
        </w:rPr>
        <w:t xml:space="preserve">' </w:t>
      </w:r>
      <w:r w:rsidRPr="004870F7">
        <w:rPr>
          <w:rFonts w:ascii="David" w:hAnsi="David" w:hint="eastAsia"/>
          <w:b/>
          <w:bCs/>
          <w:rtl/>
        </w:rPr>
        <w:t>מדינת</w:t>
      </w:r>
      <w:r w:rsidRPr="004870F7">
        <w:rPr>
          <w:rFonts w:ascii="David" w:hAnsi="David"/>
          <w:b/>
          <w:bCs/>
          <w:rtl/>
        </w:rPr>
        <w:t xml:space="preserve"> </w:t>
      </w:r>
      <w:r w:rsidRPr="004870F7">
        <w:rPr>
          <w:rFonts w:ascii="David" w:hAnsi="David" w:hint="eastAsia"/>
          <w:b/>
          <w:bCs/>
          <w:rtl/>
        </w:rPr>
        <w:t>ישראל</w:t>
      </w:r>
      <w:r w:rsidRPr="004870F7">
        <w:rPr>
          <w:rFonts w:ascii="David" w:hAnsi="David"/>
          <w:b/>
          <w:bCs/>
          <w:rtl/>
        </w:rPr>
        <w:t xml:space="preserve"> </w:t>
      </w:r>
      <w:r w:rsidRPr="004870F7">
        <w:rPr>
          <w:rFonts w:ascii="David" w:hAnsi="David"/>
          <w:rtl/>
        </w:rPr>
        <w:t xml:space="preserve">( 23.1.13)). </w:t>
      </w:r>
      <w:r w:rsidRPr="004870F7">
        <w:rPr>
          <w:rFonts w:ascii="David" w:hAnsi="David" w:hint="cs"/>
          <w:rtl/>
        </w:rPr>
        <w:t xml:space="preserve">כמו כן, </w:t>
      </w:r>
      <w:r w:rsidRPr="004870F7">
        <w:rPr>
          <w:rFonts w:hint="cs"/>
          <w:rtl/>
        </w:rPr>
        <w:t>הצורך בסם, מוליד מספר נזקי משנה ובהם נזקים לגופו של המשתמש בסם, ובעקיפין גם לשלום הציבור, בשל כך שלא אחת מכורי הסם מבצעים עבירות רכוש על מנת לממנו.</w:t>
      </w:r>
    </w:p>
    <w:p w14:paraId="1E0BE749" w14:textId="77777777" w:rsidR="00CA41A5" w:rsidRDefault="00CA41A5" w:rsidP="00CA41A5">
      <w:pPr>
        <w:pStyle w:val="a9"/>
        <w:rPr>
          <w:rFonts w:ascii="David" w:hAnsi="David"/>
          <w:rtl/>
        </w:rPr>
      </w:pPr>
    </w:p>
    <w:p w14:paraId="49B48B40" w14:textId="77777777" w:rsidR="00CA41A5" w:rsidRPr="0067764C" w:rsidRDefault="00CA41A5" w:rsidP="00CA41A5">
      <w:pPr>
        <w:pStyle w:val="a9"/>
        <w:numPr>
          <w:ilvl w:val="0"/>
          <w:numId w:val="1"/>
        </w:numPr>
        <w:spacing w:line="360" w:lineRule="auto"/>
        <w:jc w:val="both"/>
        <w:rPr>
          <w:b/>
          <w:bCs/>
        </w:rPr>
      </w:pPr>
      <w:r w:rsidRPr="0067764C">
        <w:rPr>
          <w:rFonts w:ascii="David" w:hAnsi="David" w:hint="cs"/>
          <w:b/>
          <w:bCs/>
          <w:rtl/>
        </w:rPr>
        <w:t>נסיבות הקשורות בביצוע העבירה</w:t>
      </w:r>
      <w:r w:rsidRPr="0067764C">
        <w:rPr>
          <w:rFonts w:ascii="David" w:hAnsi="David" w:hint="cs"/>
          <w:rtl/>
        </w:rPr>
        <w:t>: הסם בו עסקינן הוא סם המוגדר כקשה. במקרה שלפנינו החזיק הנאשם בכמות בלתי מבוטלת של סם (</w:t>
      </w:r>
      <w:r w:rsidRPr="0067764C">
        <w:rPr>
          <w:rFonts w:ascii="Arial" w:hAnsi="Arial" w:hint="cs"/>
          <w:rtl/>
        </w:rPr>
        <w:t>5.6</w:t>
      </w:r>
      <w:r w:rsidRPr="0067764C">
        <w:rPr>
          <w:rFonts w:ascii="Arial" w:hAnsi="Arial"/>
          <w:rtl/>
        </w:rPr>
        <w:t xml:space="preserve"> גרם נט</w:t>
      </w:r>
      <w:r w:rsidRPr="0067764C">
        <w:rPr>
          <w:rFonts w:ascii="Arial" w:hAnsi="Arial" w:hint="cs"/>
          <w:rtl/>
        </w:rPr>
        <w:t>ו</w:t>
      </w:r>
      <w:r w:rsidRPr="0067764C">
        <w:rPr>
          <w:rFonts w:ascii="David" w:hAnsi="David" w:hint="cs"/>
          <w:rtl/>
        </w:rPr>
        <w:t xml:space="preserve">) </w:t>
      </w:r>
      <w:r w:rsidRPr="004870F7">
        <w:rPr>
          <w:rFonts w:hint="cs"/>
          <w:rtl/>
        </w:rPr>
        <w:t>ו</w:t>
      </w:r>
      <w:r w:rsidRPr="004870F7">
        <w:rPr>
          <w:rtl/>
        </w:rPr>
        <w:t xml:space="preserve">הודה כי מדובר בהחזקה שלא לשימוש עצמי בלבד ומכאן שהנזק שצפוי להיגרם מביצוע העבירה </w:t>
      </w:r>
      <w:r>
        <w:rPr>
          <w:rFonts w:hint="cs"/>
          <w:rtl/>
        </w:rPr>
        <w:t>הוא רב</w:t>
      </w:r>
      <w:r w:rsidRPr="004870F7">
        <w:rPr>
          <w:rtl/>
        </w:rPr>
        <w:t xml:space="preserve">. </w:t>
      </w:r>
      <w:r>
        <w:rPr>
          <w:rFonts w:hint="cs"/>
          <w:rtl/>
        </w:rPr>
        <w:t xml:space="preserve">כן יש להביא בחשבון כי הסם היה מחולק ל-7 מנות וכי בצדו הוחזקו אף מספר רב של שקיות קטנות וריקות </w:t>
      </w:r>
      <w:r w:rsidRPr="0067764C">
        <w:rPr>
          <w:rFonts w:ascii="David" w:hAnsi="David" w:hint="cs"/>
          <w:rtl/>
        </w:rPr>
        <w:t>המיועדות להכיל מנת סם.</w:t>
      </w:r>
    </w:p>
    <w:p w14:paraId="2E4EE4C7" w14:textId="77777777" w:rsidR="00CA41A5" w:rsidRPr="0067764C" w:rsidRDefault="00CA41A5" w:rsidP="00CA41A5">
      <w:pPr>
        <w:pStyle w:val="a9"/>
        <w:spacing w:line="360" w:lineRule="auto"/>
        <w:jc w:val="both"/>
        <w:rPr>
          <w:b/>
          <w:bCs/>
        </w:rPr>
      </w:pPr>
    </w:p>
    <w:p w14:paraId="23AB678F" w14:textId="77777777" w:rsidR="00CA41A5" w:rsidRPr="000B2C7B" w:rsidRDefault="00CA41A5" w:rsidP="00CA41A5">
      <w:pPr>
        <w:pStyle w:val="a9"/>
        <w:numPr>
          <w:ilvl w:val="0"/>
          <w:numId w:val="1"/>
        </w:numPr>
        <w:spacing w:line="360" w:lineRule="auto"/>
        <w:jc w:val="both"/>
        <w:rPr>
          <w:b/>
          <w:bCs/>
        </w:rPr>
      </w:pPr>
      <w:r w:rsidRPr="0067764C">
        <w:rPr>
          <w:rFonts w:hint="cs"/>
          <w:b/>
          <w:bCs/>
          <w:rtl/>
        </w:rPr>
        <w:t>מדיניות הענישה</w:t>
      </w:r>
      <w:r>
        <w:rPr>
          <w:rFonts w:hint="cs"/>
          <w:b/>
          <w:bCs/>
          <w:rtl/>
        </w:rPr>
        <w:t xml:space="preserve">: </w:t>
      </w:r>
      <w:r w:rsidRPr="0067764C">
        <w:rPr>
          <w:rFonts w:ascii="David" w:hAnsi="David" w:hint="eastAsia"/>
          <w:rtl/>
        </w:rPr>
        <w:t>מדיניות</w:t>
      </w:r>
      <w:r w:rsidRPr="0067764C">
        <w:rPr>
          <w:rFonts w:ascii="David" w:hAnsi="David"/>
          <w:rtl/>
        </w:rPr>
        <w:t xml:space="preserve"> </w:t>
      </w:r>
      <w:r w:rsidRPr="0067764C">
        <w:rPr>
          <w:rFonts w:ascii="David" w:hAnsi="David" w:hint="eastAsia"/>
          <w:rtl/>
        </w:rPr>
        <w:t>הענישה</w:t>
      </w:r>
      <w:r w:rsidRPr="0067764C">
        <w:rPr>
          <w:rFonts w:ascii="David" w:hAnsi="David"/>
          <w:rtl/>
        </w:rPr>
        <w:t xml:space="preserve"> </w:t>
      </w:r>
      <w:r w:rsidRPr="004870F7">
        <w:rPr>
          <w:rtl/>
        </w:rPr>
        <w:t xml:space="preserve">ביחס לעבירה של החזקת סם שלא לצריכה עצמית משתנה ממקרה למקרה ותלויה בין היתר בסוג הסם, בכמות, ובנסיבותיו של הנאשם (עבר פלילי, שיקום, תסקיר וכיוצב). לצורך בחינת מדיניות הענישה הנוהגת </w:t>
      </w:r>
      <w:r>
        <w:rPr>
          <w:rFonts w:hint="cs"/>
          <w:rtl/>
        </w:rPr>
        <w:t xml:space="preserve">במקרים דומים לענייננו, </w:t>
      </w:r>
      <w:r w:rsidRPr="004870F7">
        <w:rPr>
          <w:rtl/>
        </w:rPr>
        <w:t>ניתן להפנות לפסקי הדין הבאים:</w:t>
      </w:r>
      <w:r w:rsidRPr="004870F7">
        <w:rPr>
          <w:rFonts w:hint="cs"/>
          <w:rtl/>
        </w:rPr>
        <w:t xml:space="preserve"> </w:t>
      </w:r>
      <w:hyperlink r:id="rId39" w:history="1">
        <w:r w:rsidR="0050017A" w:rsidRPr="0050017A">
          <w:rPr>
            <w:color w:val="0000FF"/>
            <w:u w:val="single"/>
            <w:rtl/>
          </w:rPr>
          <w:t>רע"פ 747/14</w:t>
        </w:r>
      </w:hyperlink>
      <w:r w:rsidRPr="004870F7">
        <w:rPr>
          <w:rtl/>
        </w:rPr>
        <w:t xml:space="preserve"> </w:t>
      </w:r>
      <w:r w:rsidRPr="0067764C">
        <w:rPr>
          <w:b/>
          <w:bCs/>
          <w:rtl/>
        </w:rPr>
        <w:t>אלי לוי נ' מדינת ישראל</w:t>
      </w:r>
      <w:r w:rsidRPr="004870F7">
        <w:rPr>
          <w:rtl/>
        </w:rPr>
        <w:t xml:space="preserve"> (11.2.</w:t>
      </w:r>
      <w:r w:rsidRPr="004870F7">
        <w:rPr>
          <w:rFonts w:hint="cs"/>
          <w:rtl/>
        </w:rPr>
        <w:t>14</w:t>
      </w:r>
      <w:r w:rsidRPr="004870F7">
        <w:rPr>
          <w:rtl/>
        </w:rPr>
        <w:t xml:space="preserve">) </w:t>
      </w:r>
      <w:r w:rsidRPr="004870F7">
        <w:rPr>
          <w:rFonts w:hint="cs"/>
          <w:rtl/>
        </w:rPr>
        <w:t>בו הורשע נאשם</w:t>
      </w:r>
      <w:r w:rsidRPr="004870F7">
        <w:rPr>
          <w:rtl/>
        </w:rPr>
        <w:t xml:space="preserve"> בהחזקת</w:t>
      </w:r>
      <w:r w:rsidRPr="004870F7">
        <w:rPr>
          <w:rFonts w:hint="cs"/>
          <w:rtl/>
        </w:rPr>
        <w:t xml:space="preserve"> סם מסוג הרואין במשקל של</w:t>
      </w:r>
      <w:r w:rsidRPr="004870F7">
        <w:rPr>
          <w:rtl/>
        </w:rPr>
        <w:t xml:space="preserve"> </w:t>
      </w:r>
      <w:r>
        <w:rPr>
          <w:rFonts w:hint="cs"/>
          <w:rtl/>
        </w:rPr>
        <w:t xml:space="preserve">כ- </w:t>
      </w:r>
      <w:r w:rsidRPr="004870F7">
        <w:rPr>
          <w:rtl/>
        </w:rPr>
        <w:t>5 גרם</w:t>
      </w:r>
      <w:r w:rsidRPr="004870F7">
        <w:rPr>
          <w:rFonts w:hint="cs"/>
          <w:rtl/>
        </w:rPr>
        <w:t xml:space="preserve"> ונגזרו עליו 8 חודשי מאסר בפועל; </w:t>
      </w:r>
      <w:hyperlink r:id="rId40" w:history="1">
        <w:r w:rsidR="0050017A" w:rsidRPr="0050017A">
          <w:rPr>
            <w:color w:val="0000FF"/>
            <w:u w:val="single"/>
            <w:rtl/>
          </w:rPr>
          <w:t>רע"פ 7572/12</w:t>
        </w:r>
      </w:hyperlink>
      <w:r w:rsidRPr="004870F7">
        <w:rPr>
          <w:rtl/>
        </w:rPr>
        <w:t xml:space="preserve"> </w:t>
      </w:r>
      <w:r w:rsidRPr="0067764C">
        <w:rPr>
          <w:b/>
          <w:bCs/>
          <w:rtl/>
        </w:rPr>
        <w:t>הוזייל נ' מדינת ישראל</w:t>
      </w:r>
      <w:r w:rsidRPr="004870F7">
        <w:rPr>
          <w:rtl/>
        </w:rPr>
        <w:t xml:space="preserve"> (23.10.</w:t>
      </w:r>
      <w:r w:rsidRPr="004870F7">
        <w:rPr>
          <w:rFonts w:hint="cs"/>
          <w:rtl/>
        </w:rPr>
        <w:t>12</w:t>
      </w:r>
      <w:r w:rsidRPr="004870F7">
        <w:rPr>
          <w:rtl/>
        </w:rPr>
        <w:t xml:space="preserve">) </w:t>
      </w:r>
      <w:r w:rsidRPr="004870F7">
        <w:rPr>
          <w:rFonts w:hint="cs"/>
          <w:rtl/>
        </w:rPr>
        <w:t xml:space="preserve">בו </w:t>
      </w:r>
      <w:r w:rsidRPr="004870F7">
        <w:rPr>
          <w:rtl/>
        </w:rPr>
        <w:t>הורשע</w:t>
      </w:r>
      <w:r w:rsidRPr="004870F7">
        <w:rPr>
          <w:rFonts w:hint="cs"/>
          <w:rtl/>
        </w:rPr>
        <w:t xml:space="preserve"> נאשם</w:t>
      </w:r>
      <w:r w:rsidRPr="004870F7">
        <w:rPr>
          <w:rtl/>
        </w:rPr>
        <w:t xml:space="preserve"> </w:t>
      </w:r>
      <w:r>
        <w:rPr>
          <w:rFonts w:hint="cs"/>
          <w:rtl/>
        </w:rPr>
        <w:t xml:space="preserve">בהחזקת </w:t>
      </w:r>
      <w:r w:rsidRPr="004870F7">
        <w:rPr>
          <w:rtl/>
        </w:rPr>
        <w:t xml:space="preserve"> 8 יחידות של סם מסוכן מסוג הרואין במשקל כולל של כ-5.3 גרם נטו</w:t>
      </w:r>
      <w:r w:rsidRPr="004870F7">
        <w:rPr>
          <w:rFonts w:hint="cs"/>
          <w:rtl/>
        </w:rPr>
        <w:t xml:space="preserve"> </w:t>
      </w:r>
      <w:r>
        <w:rPr>
          <w:rFonts w:hint="cs"/>
          <w:rtl/>
        </w:rPr>
        <w:t xml:space="preserve">וכן בהפרעה לשוטר, </w:t>
      </w:r>
      <w:r w:rsidRPr="004870F7">
        <w:rPr>
          <w:rFonts w:hint="cs"/>
          <w:rtl/>
        </w:rPr>
        <w:t xml:space="preserve">ונגזרו עליו </w:t>
      </w:r>
      <w:r w:rsidRPr="004870F7">
        <w:rPr>
          <w:rtl/>
        </w:rPr>
        <w:t xml:space="preserve">12 חודשי מאסר </w:t>
      </w:r>
      <w:r w:rsidRPr="004870F7">
        <w:rPr>
          <w:rFonts w:hint="cs"/>
          <w:rtl/>
        </w:rPr>
        <w:t xml:space="preserve">בפועל; </w:t>
      </w:r>
      <w:hyperlink r:id="rId41" w:history="1">
        <w:r w:rsidR="0050017A" w:rsidRPr="0050017A">
          <w:rPr>
            <w:color w:val="0000FF"/>
            <w:u w:val="single"/>
            <w:rtl/>
          </w:rPr>
          <w:t>ע"פ 27588-07-16</w:t>
        </w:r>
      </w:hyperlink>
      <w:r w:rsidRPr="004870F7">
        <w:rPr>
          <w:rtl/>
        </w:rPr>
        <w:t xml:space="preserve"> </w:t>
      </w:r>
      <w:r w:rsidRPr="0067764C">
        <w:rPr>
          <w:b/>
          <w:bCs/>
          <w:rtl/>
        </w:rPr>
        <w:t>מסארוה נ' מדינת ישראל</w:t>
      </w:r>
      <w:r w:rsidRPr="004870F7">
        <w:rPr>
          <w:rFonts w:hint="cs"/>
          <w:rtl/>
        </w:rPr>
        <w:t xml:space="preserve"> (6.11.16) בו נידון עניינו של נאשם שהורשע בהחזקת 3.3 גרם של סם מסוג הרואין ונגזרו עליו 8 חודשי מאסר בפועל וכן הופעלו מאסרים מותנים כך שסה"כ ירצה 20 חודשי מאסר. ערכאת הערעור הקלה בעונשו באופן זה שחלק מהמאסרים המותנים הופעלו בחופף, ולא במצטבר כפי שנגזר עליו בבית משפא קמא; </w:t>
      </w:r>
      <w:hyperlink r:id="rId42" w:history="1">
        <w:r w:rsidR="0050017A" w:rsidRPr="0050017A">
          <w:rPr>
            <w:color w:val="0000FF"/>
            <w:u w:val="single"/>
            <w:rtl/>
          </w:rPr>
          <w:t>ת"פ 22160-02-14</w:t>
        </w:r>
      </w:hyperlink>
      <w:r w:rsidRPr="004870F7">
        <w:rPr>
          <w:rtl/>
        </w:rPr>
        <w:t xml:space="preserve"> </w:t>
      </w:r>
      <w:r w:rsidRPr="0067764C">
        <w:rPr>
          <w:rFonts w:hint="cs"/>
          <w:b/>
          <w:bCs/>
          <w:rtl/>
        </w:rPr>
        <w:t xml:space="preserve">מדינת </w:t>
      </w:r>
      <w:r w:rsidRPr="0067764C">
        <w:rPr>
          <w:b/>
          <w:bCs/>
          <w:rtl/>
        </w:rPr>
        <w:t xml:space="preserve"> ישראל </w:t>
      </w:r>
      <w:r w:rsidRPr="0067764C">
        <w:rPr>
          <w:rFonts w:hint="cs"/>
          <w:b/>
          <w:bCs/>
          <w:rtl/>
        </w:rPr>
        <w:t>נ</w:t>
      </w:r>
      <w:r w:rsidRPr="0067764C">
        <w:rPr>
          <w:b/>
          <w:bCs/>
          <w:rtl/>
        </w:rPr>
        <w:t>' אביקסיס</w:t>
      </w:r>
      <w:r w:rsidRPr="004870F7">
        <w:rPr>
          <w:rFonts w:hint="cs"/>
          <w:rtl/>
        </w:rPr>
        <w:t xml:space="preserve"> (11.11.14) בו נידון נאשם שהחזיק 4 גרם של סם מסוג קוקאין ל-6 חודשי מאסר בעבודות שירות; </w:t>
      </w:r>
      <w:hyperlink r:id="rId43" w:history="1">
        <w:r w:rsidR="0050017A" w:rsidRPr="0050017A">
          <w:rPr>
            <w:color w:val="0000FF"/>
            <w:u w:val="single"/>
            <w:rtl/>
          </w:rPr>
          <w:t>עפ"ג 42943-08-11</w:t>
        </w:r>
      </w:hyperlink>
      <w:r w:rsidRPr="004870F7">
        <w:rPr>
          <w:rtl/>
        </w:rPr>
        <w:t xml:space="preserve"> </w:t>
      </w:r>
      <w:r w:rsidRPr="0067764C">
        <w:rPr>
          <w:b/>
          <w:bCs/>
          <w:rtl/>
        </w:rPr>
        <w:t>בן שושה</w:t>
      </w:r>
      <w:r w:rsidRPr="0067764C">
        <w:rPr>
          <w:rFonts w:hint="cs"/>
          <w:b/>
          <w:bCs/>
          <w:rtl/>
        </w:rPr>
        <w:t xml:space="preserve"> </w:t>
      </w:r>
      <w:r w:rsidRPr="0067764C">
        <w:rPr>
          <w:b/>
          <w:bCs/>
          <w:rtl/>
        </w:rPr>
        <w:t>נ' מדינת ישראל</w:t>
      </w:r>
      <w:r w:rsidRPr="004870F7">
        <w:rPr>
          <w:rFonts w:hint="cs"/>
          <w:rtl/>
        </w:rPr>
        <w:t xml:space="preserve"> (24.11.11) בו נידון עניינו של נאשם שהורשע בהחזקת כ-7</w:t>
      </w:r>
      <w:r w:rsidRPr="004870F7">
        <w:rPr>
          <w:rtl/>
        </w:rPr>
        <w:t xml:space="preserve"> גרם</w:t>
      </w:r>
      <w:r w:rsidRPr="004870F7">
        <w:rPr>
          <w:rFonts w:hint="cs"/>
          <w:rtl/>
        </w:rPr>
        <w:t xml:space="preserve"> של סם מסוג הרואין ונגזרו עליו 18 חודשי מאסר בפועל; </w:t>
      </w:r>
      <w:hyperlink r:id="rId44" w:history="1">
        <w:r w:rsidR="0050017A" w:rsidRPr="0050017A">
          <w:rPr>
            <w:color w:val="0000FF"/>
            <w:u w:val="single"/>
            <w:rtl/>
          </w:rPr>
          <w:t>עפ"ג 26655-04-14</w:t>
        </w:r>
      </w:hyperlink>
      <w:r w:rsidRPr="004870F7">
        <w:rPr>
          <w:rtl/>
        </w:rPr>
        <w:t xml:space="preserve"> </w:t>
      </w:r>
      <w:r w:rsidRPr="0067764C">
        <w:rPr>
          <w:b/>
          <w:bCs/>
          <w:rtl/>
        </w:rPr>
        <w:t>חמדאן</w:t>
      </w:r>
      <w:r w:rsidRPr="004870F7">
        <w:rPr>
          <w:rtl/>
        </w:rPr>
        <w:t xml:space="preserve"> </w:t>
      </w:r>
      <w:r w:rsidRPr="0067764C">
        <w:rPr>
          <w:b/>
          <w:bCs/>
          <w:rtl/>
        </w:rPr>
        <w:t xml:space="preserve">נ' מדינת ישראל </w:t>
      </w:r>
      <w:r w:rsidRPr="004870F7">
        <w:rPr>
          <w:rtl/>
        </w:rPr>
        <w:t xml:space="preserve">(10.9.14) בו נידון עניינו של נאשם שהורשע בהחזקת סם מסוג קוקאין במשקל של 5.24 גרם ונגזרו עליו 8 חודשי מאסר בפועל; </w:t>
      </w:r>
      <w:hyperlink r:id="rId45" w:history="1">
        <w:r w:rsidR="0050017A" w:rsidRPr="0050017A">
          <w:rPr>
            <w:color w:val="0000FF"/>
            <w:u w:val="single"/>
            <w:rtl/>
          </w:rPr>
          <w:t>ת.פ 46051-06-15</w:t>
        </w:r>
      </w:hyperlink>
      <w:r w:rsidRPr="004870F7">
        <w:rPr>
          <w:rtl/>
        </w:rPr>
        <w:t xml:space="preserve"> </w:t>
      </w:r>
      <w:r w:rsidRPr="0067764C">
        <w:rPr>
          <w:b/>
          <w:bCs/>
          <w:rtl/>
        </w:rPr>
        <w:t>מדינת ישראל נ' יוסי בג'רנו</w:t>
      </w:r>
      <w:r w:rsidRPr="004870F7">
        <w:rPr>
          <w:rtl/>
        </w:rPr>
        <w:t xml:space="preserve"> (20.9.16) בו נידון נאשם שהחזיק 5 גרם קוקאין שלא לשימוש עצמי ונקבע מתחם ענישה הנע בין 4 חודשי מאסר בפועל ועד 18 חודשי מאסר.</w:t>
      </w:r>
    </w:p>
    <w:p w14:paraId="01B09472" w14:textId="77777777" w:rsidR="00CA41A5" w:rsidRPr="000B2C7B" w:rsidRDefault="00CA41A5" w:rsidP="00CA41A5">
      <w:pPr>
        <w:pStyle w:val="a9"/>
        <w:spacing w:line="360" w:lineRule="auto"/>
        <w:jc w:val="both"/>
        <w:rPr>
          <w:b/>
          <w:bCs/>
        </w:rPr>
      </w:pPr>
    </w:p>
    <w:p w14:paraId="6E3B956E" w14:textId="77777777" w:rsidR="00CA41A5" w:rsidRPr="0004716C" w:rsidRDefault="00CA41A5" w:rsidP="00CA41A5">
      <w:pPr>
        <w:pStyle w:val="a9"/>
        <w:numPr>
          <w:ilvl w:val="0"/>
          <w:numId w:val="1"/>
        </w:numPr>
        <w:spacing w:line="360" w:lineRule="auto"/>
        <w:jc w:val="both"/>
      </w:pPr>
      <w:r w:rsidRPr="004870F7">
        <w:rPr>
          <w:rFonts w:hint="cs"/>
          <w:rtl/>
        </w:rPr>
        <w:t xml:space="preserve">לאור כל זאת, אני בדעה כי מתחם הענישה ההולם את העבירות </w:t>
      </w:r>
      <w:r>
        <w:rPr>
          <w:rFonts w:hint="cs"/>
          <w:rtl/>
        </w:rPr>
        <w:t xml:space="preserve">בהן הורשע הנאשם </w:t>
      </w:r>
      <w:r w:rsidRPr="004870F7">
        <w:rPr>
          <w:rtl/>
        </w:rPr>
        <w:t>נע בין מספר חודשי מאסר</w:t>
      </w:r>
      <w:r w:rsidRPr="004870F7">
        <w:rPr>
          <w:rFonts w:hint="cs"/>
          <w:rtl/>
        </w:rPr>
        <w:t>,</w:t>
      </w:r>
      <w:r w:rsidRPr="004870F7">
        <w:rPr>
          <w:rtl/>
        </w:rPr>
        <w:t xml:space="preserve"> שניתן לשאת בהם בעבודות שירות</w:t>
      </w:r>
      <w:r w:rsidRPr="004870F7">
        <w:rPr>
          <w:rFonts w:hint="cs"/>
          <w:rtl/>
        </w:rPr>
        <w:t>,</w:t>
      </w:r>
      <w:r w:rsidRPr="004870F7">
        <w:rPr>
          <w:rtl/>
        </w:rPr>
        <w:t xml:space="preserve"> ועד 18 חודשי מאסר בפועל.</w:t>
      </w:r>
      <w:r>
        <w:rPr>
          <w:rFonts w:hint="cs"/>
          <w:rtl/>
        </w:rPr>
        <w:t xml:space="preserve"> </w:t>
      </w:r>
      <w:r w:rsidRPr="0004716C">
        <w:rPr>
          <w:rFonts w:hint="cs"/>
          <w:rtl/>
        </w:rPr>
        <w:t>המסקנה היא אפוא שטווח הענישה המוסכם על הצדדים מצוי בגדרי מתחם הענישה ומשכך יש לכבדו.</w:t>
      </w:r>
    </w:p>
    <w:p w14:paraId="7EE089C1" w14:textId="77777777" w:rsidR="00CA41A5" w:rsidRDefault="00CA41A5" w:rsidP="00CA41A5">
      <w:pPr>
        <w:pStyle w:val="a9"/>
        <w:rPr>
          <w:b/>
          <w:bCs/>
          <w:rtl/>
        </w:rPr>
      </w:pPr>
    </w:p>
    <w:p w14:paraId="0711BE82" w14:textId="77777777" w:rsidR="00CA41A5" w:rsidRDefault="00CA41A5" w:rsidP="00CA41A5">
      <w:pPr>
        <w:pStyle w:val="a9"/>
        <w:rPr>
          <w:b/>
          <w:bCs/>
          <w:u w:val="single"/>
          <w:rtl/>
        </w:rPr>
      </w:pPr>
      <w:r>
        <w:rPr>
          <w:rFonts w:hint="cs"/>
          <w:b/>
          <w:bCs/>
          <w:u w:val="single"/>
          <w:rtl/>
        </w:rPr>
        <w:t xml:space="preserve">קביעת עונשו של </w:t>
      </w:r>
      <w:r w:rsidRPr="000B2C7B">
        <w:rPr>
          <w:rFonts w:hint="cs"/>
          <w:b/>
          <w:bCs/>
          <w:u w:val="single"/>
          <w:rtl/>
        </w:rPr>
        <w:t xml:space="preserve">הנאשם </w:t>
      </w:r>
    </w:p>
    <w:p w14:paraId="4EC62B69" w14:textId="77777777" w:rsidR="00CA41A5" w:rsidRPr="000B2C7B" w:rsidRDefault="00CA41A5" w:rsidP="00CA41A5">
      <w:pPr>
        <w:pStyle w:val="a9"/>
        <w:rPr>
          <w:b/>
          <w:bCs/>
          <w:u w:val="single"/>
          <w:rtl/>
        </w:rPr>
      </w:pPr>
    </w:p>
    <w:p w14:paraId="237C3F1A" w14:textId="77777777" w:rsidR="00CA41A5" w:rsidRPr="000B2C7B" w:rsidRDefault="00CA41A5" w:rsidP="00CA41A5">
      <w:pPr>
        <w:pStyle w:val="a9"/>
        <w:rPr>
          <w:b/>
          <w:bCs/>
          <w:rtl/>
        </w:rPr>
      </w:pPr>
    </w:p>
    <w:p w14:paraId="708D87C2" w14:textId="77777777" w:rsidR="00CA41A5" w:rsidRDefault="00CA41A5" w:rsidP="00CA41A5">
      <w:pPr>
        <w:pStyle w:val="a9"/>
        <w:numPr>
          <w:ilvl w:val="0"/>
          <w:numId w:val="1"/>
        </w:numPr>
        <w:spacing w:line="360" w:lineRule="auto"/>
        <w:jc w:val="both"/>
      </w:pPr>
      <w:r w:rsidRPr="0004716C">
        <w:rPr>
          <w:rFonts w:hint="cs"/>
          <w:rtl/>
        </w:rPr>
        <w:t xml:space="preserve">למרבה הצער </w:t>
      </w:r>
      <w:r>
        <w:rPr>
          <w:rFonts w:hint="cs"/>
          <w:rtl/>
        </w:rPr>
        <w:t xml:space="preserve">אין בידי לקבוע שקיימים בעניינו של הנאשם, לעת הזו, סיכויי שיקום ממשיים. חרף גילו הצעיר של הנאשם עברו כולל שורת עבירות חמורות ובהן שוד מזוין, פציעה כשהעבריין מזויין, רכישת נשק שלא כדין ועוד. הוא אף ריצה בעברו שני מאסרים. שירות המבחן התרשם אמנם משינוי שחל בהתייחסותו לחייו ולצורך בשינוי, ואולם הנאשם אינו בעל כוחות פנימיים לביצוע שינוי זה כיום. יש לקוות כי הנאשם יצליח לגייס את כוחותיו לשם כך ויפה שעה אחת קודם. בהיעדר סיכויי שיקום, אין מקום לסטות ממתחם הענישה והעונש אמור להיגזר בגדרי מתחם הענישה, וכמובן בתוך טווח הענישה המוסכם על הצדדים. </w:t>
      </w:r>
    </w:p>
    <w:p w14:paraId="009E09FA" w14:textId="77777777" w:rsidR="00CA41A5" w:rsidRDefault="00CA41A5" w:rsidP="00CA41A5">
      <w:pPr>
        <w:pStyle w:val="a9"/>
        <w:spacing w:line="360" w:lineRule="auto"/>
        <w:jc w:val="both"/>
      </w:pPr>
    </w:p>
    <w:p w14:paraId="49F16FE5" w14:textId="77777777" w:rsidR="00CA41A5" w:rsidRDefault="00CA41A5" w:rsidP="00CA41A5">
      <w:pPr>
        <w:pStyle w:val="a9"/>
        <w:numPr>
          <w:ilvl w:val="0"/>
          <w:numId w:val="1"/>
        </w:numPr>
        <w:spacing w:line="360" w:lineRule="auto"/>
        <w:jc w:val="both"/>
      </w:pPr>
      <w:r>
        <w:rPr>
          <w:rFonts w:hint="cs"/>
          <w:rtl/>
        </w:rPr>
        <w:t xml:space="preserve">לצורך קביעת עונשו של הנאשם הבאתי בחשבון לקולה את גילו הצעיר ואת הודאתו בעבירה אשר ביטאה חרטה והפנמת הפסול. כן הבאתי בחשבון את חלקיו החיוביים של התסקיר בעניינו של הנאשם ואת הפגיעה שתגרם לנאשם ולבני משפחתו בשל עונש מאסר. מנגד, לחומרה, הבאתי בחשבון את עברו הפלילי המכביד של הנאשם. </w:t>
      </w:r>
    </w:p>
    <w:p w14:paraId="4E5E873F" w14:textId="77777777" w:rsidR="00CA41A5" w:rsidRDefault="00CA41A5" w:rsidP="00CA41A5">
      <w:pPr>
        <w:pStyle w:val="a9"/>
        <w:rPr>
          <w:rtl/>
        </w:rPr>
      </w:pPr>
    </w:p>
    <w:p w14:paraId="1B776623" w14:textId="77777777" w:rsidR="00CA41A5" w:rsidRDefault="00CA41A5" w:rsidP="00CA41A5">
      <w:pPr>
        <w:pStyle w:val="a9"/>
        <w:numPr>
          <w:ilvl w:val="0"/>
          <w:numId w:val="1"/>
        </w:numPr>
        <w:spacing w:line="360" w:lineRule="auto"/>
        <w:jc w:val="both"/>
      </w:pPr>
      <w:r>
        <w:rPr>
          <w:rFonts w:hint="cs"/>
          <w:rtl/>
        </w:rPr>
        <w:t>ביחס לעונש המותנה, הבאתי בחשבון את הכלל לפיו בהיעדר נסיבות מיוחדות, יש להפעיל עונש מאסר מותנה במצטבר (</w:t>
      </w:r>
      <w:hyperlink r:id="rId46" w:history="1">
        <w:r w:rsidR="0050017A" w:rsidRPr="0050017A">
          <w:rPr>
            <w:color w:val="0000FF"/>
            <w:u w:val="single"/>
            <w:rtl/>
          </w:rPr>
          <w:t>ע"פ 8265/13</w:t>
        </w:r>
      </w:hyperlink>
      <w:r>
        <w:rPr>
          <w:rFonts w:hint="cs"/>
          <w:rtl/>
        </w:rPr>
        <w:t xml:space="preserve"> </w:t>
      </w:r>
      <w:r w:rsidRPr="00C91611">
        <w:rPr>
          <w:rFonts w:hint="cs"/>
          <w:b/>
          <w:bCs/>
          <w:rtl/>
        </w:rPr>
        <w:t>דמיטרי מלכיאל נ' מדינת ישראל</w:t>
      </w:r>
      <w:r>
        <w:rPr>
          <w:rFonts w:hint="cs"/>
          <w:rtl/>
        </w:rPr>
        <w:t xml:space="preserve"> (10.3.16)) ומנגד, הבאתי בחשבון כי העונש הוטל על עבירה של החזקת סם לשימוש עצמי בלבד. האיזון בין שני שיקולים מביא למסקנה לפיה ראוי לחפוף חלקית עונש זה לעונש שיוטל על הנאשם.</w:t>
      </w:r>
    </w:p>
    <w:p w14:paraId="4E9615EB" w14:textId="77777777" w:rsidR="00CA41A5" w:rsidRDefault="00CA41A5" w:rsidP="00CA41A5">
      <w:pPr>
        <w:pStyle w:val="a9"/>
        <w:rPr>
          <w:rtl/>
        </w:rPr>
      </w:pPr>
    </w:p>
    <w:p w14:paraId="6ED3C3F7" w14:textId="77777777" w:rsidR="00CA41A5" w:rsidRDefault="00CA41A5" w:rsidP="00CA41A5">
      <w:pPr>
        <w:pStyle w:val="a9"/>
        <w:rPr>
          <w:rtl/>
        </w:rPr>
      </w:pPr>
    </w:p>
    <w:p w14:paraId="4D11D4A3" w14:textId="77777777" w:rsidR="00CA41A5" w:rsidRDefault="00CA41A5" w:rsidP="00CA41A5">
      <w:pPr>
        <w:pStyle w:val="a9"/>
        <w:rPr>
          <w:rtl/>
        </w:rPr>
      </w:pPr>
    </w:p>
    <w:p w14:paraId="40175F6F" w14:textId="77777777" w:rsidR="00CA41A5" w:rsidRDefault="00CA41A5" w:rsidP="00CA41A5">
      <w:pPr>
        <w:pStyle w:val="a9"/>
        <w:rPr>
          <w:rtl/>
        </w:rPr>
      </w:pPr>
    </w:p>
    <w:p w14:paraId="5BB50694" w14:textId="77777777" w:rsidR="00CA41A5" w:rsidRDefault="00CA41A5" w:rsidP="00CA41A5">
      <w:pPr>
        <w:pStyle w:val="a9"/>
        <w:rPr>
          <w:rtl/>
        </w:rPr>
      </w:pPr>
    </w:p>
    <w:p w14:paraId="4ACA5320" w14:textId="77777777" w:rsidR="00CA41A5" w:rsidRDefault="00CA41A5" w:rsidP="00CA41A5">
      <w:pPr>
        <w:pStyle w:val="a9"/>
        <w:rPr>
          <w:rtl/>
        </w:rPr>
      </w:pPr>
    </w:p>
    <w:p w14:paraId="4EE3DA07" w14:textId="77777777" w:rsidR="00CA41A5" w:rsidRDefault="00CA41A5" w:rsidP="00CA41A5">
      <w:pPr>
        <w:pStyle w:val="a9"/>
        <w:rPr>
          <w:rtl/>
        </w:rPr>
      </w:pPr>
    </w:p>
    <w:p w14:paraId="16300B7F" w14:textId="77777777" w:rsidR="00CA41A5" w:rsidRDefault="00CA41A5" w:rsidP="00CA41A5">
      <w:pPr>
        <w:pStyle w:val="a9"/>
        <w:rPr>
          <w:rtl/>
        </w:rPr>
      </w:pPr>
    </w:p>
    <w:p w14:paraId="4C35CF84" w14:textId="77777777" w:rsidR="00CA41A5" w:rsidRDefault="00CA41A5" w:rsidP="00CA41A5">
      <w:pPr>
        <w:pStyle w:val="a9"/>
        <w:numPr>
          <w:ilvl w:val="0"/>
          <w:numId w:val="1"/>
        </w:numPr>
        <w:spacing w:line="360" w:lineRule="auto"/>
        <w:jc w:val="both"/>
      </w:pPr>
      <w:r>
        <w:rPr>
          <w:rFonts w:hint="cs"/>
          <w:rtl/>
        </w:rPr>
        <w:t xml:space="preserve">לאור כך, ולאחר שנתתי דעתי לטיעוני הצדדים ולשיקולים לחומרה ולקולה, אני מטיל על הנאשם את העונשים הבאים: </w:t>
      </w:r>
    </w:p>
    <w:p w14:paraId="4766E6A0" w14:textId="77777777" w:rsidR="00CA41A5" w:rsidRDefault="00CA41A5" w:rsidP="00CA41A5">
      <w:pPr>
        <w:pStyle w:val="a9"/>
        <w:rPr>
          <w:rtl/>
        </w:rPr>
      </w:pPr>
    </w:p>
    <w:p w14:paraId="51AA62A3" w14:textId="77777777" w:rsidR="00CA41A5" w:rsidRDefault="00CA41A5" w:rsidP="00CA41A5">
      <w:pPr>
        <w:pStyle w:val="a9"/>
        <w:numPr>
          <w:ilvl w:val="0"/>
          <w:numId w:val="2"/>
        </w:numPr>
        <w:spacing w:line="360" w:lineRule="auto"/>
        <w:jc w:val="both"/>
      </w:pPr>
      <w:r>
        <w:rPr>
          <w:rFonts w:hint="cs"/>
          <w:rtl/>
        </w:rPr>
        <w:t xml:space="preserve">מאסר בפועל לתקופה בת 6 חודשים. </w:t>
      </w:r>
    </w:p>
    <w:p w14:paraId="1096F13E" w14:textId="77777777" w:rsidR="00CA41A5" w:rsidRDefault="00CA41A5" w:rsidP="00CA41A5">
      <w:pPr>
        <w:pStyle w:val="a9"/>
        <w:spacing w:line="360" w:lineRule="auto"/>
        <w:ind w:left="1440"/>
        <w:jc w:val="both"/>
      </w:pPr>
    </w:p>
    <w:p w14:paraId="09B18BD4" w14:textId="77777777" w:rsidR="00CA41A5" w:rsidRDefault="00CA41A5" w:rsidP="00CA41A5">
      <w:pPr>
        <w:pStyle w:val="a9"/>
        <w:numPr>
          <w:ilvl w:val="0"/>
          <w:numId w:val="2"/>
        </w:numPr>
        <w:spacing w:line="360" w:lineRule="auto"/>
        <w:jc w:val="both"/>
      </w:pPr>
      <w:r>
        <w:rPr>
          <w:rFonts w:hint="cs"/>
          <w:rtl/>
        </w:rPr>
        <w:t>אני מפעיל עונש מאסר מותנה בן 3 חודשים מ</w:t>
      </w:r>
      <w:hyperlink r:id="rId47" w:history="1">
        <w:r w:rsidR="0050017A" w:rsidRPr="0050017A">
          <w:rPr>
            <w:color w:val="0000FF"/>
            <w:u w:val="single"/>
            <w:rtl/>
          </w:rPr>
          <w:t>ת.פ 58318-03-17</w:t>
        </w:r>
      </w:hyperlink>
      <w:r>
        <w:rPr>
          <w:rFonts w:hint="cs"/>
          <w:rtl/>
        </w:rPr>
        <w:t xml:space="preserve"> (שלום קריות מיום 8.11.17) באופן שחודש ממנו יצטבר לעונש אותו הטלתי ואילו יתרתו תחפוף לו. </w:t>
      </w:r>
    </w:p>
    <w:p w14:paraId="7B4DEF3F" w14:textId="77777777" w:rsidR="00CA41A5" w:rsidRDefault="00CA41A5" w:rsidP="00CA41A5">
      <w:pPr>
        <w:pStyle w:val="a9"/>
        <w:spacing w:line="360" w:lineRule="auto"/>
        <w:ind w:left="1440"/>
        <w:jc w:val="both"/>
        <w:rPr>
          <w:rtl/>
        </w:rPr>
      </w:pPr>
    </w:p>
    <w:p w14:paraId="77E03CAB" w14:textId="77777777" w:rsidR="00CA41A5" w:rsidRDefault="00CA41A5" w:rsidP="00CA41A5">
      <w:pPr>
        <w:pStyle w:val="a9"/>
        <w:spacing w:line="360" w:lineRule="auto"/>
        <w:ind w:left="1440"/>
        <w:jc w:val="both"/>
        <w:rPr>
          <w:b/>
          <w:bCs/>
          <w:rtl/>
        </w:rPr>
      </w:pPr>
      <w:r w:rsidRPr="00D0016F">
        <w:rPr>
          <w:rFonts w:hint="cs"/>
          <w:b/>
          <w:bCs/>
          <w:rtl/>
        </w:rPr>
        <w:t>סה"כ יישא הנאשם בשבעה חודשי מאסר וזאת החל</w:t>
      </w:r>
      <w:r>
        <w:rPr>
          <w:rFonts w:hint="cs"/>
          <w:b/>
          <w:bCs/>
          <w:rtl/>
        </w:rPr>
        <w:t xml:space="preserve"> </w:t>
      </w:r>
      <w:r w:rsidRPr="00D0016F">
        <w:rPr>
          <w:rFonts w:hint="cs"/>
          <w:b/>
          <w:bCs/>
          <w:rtl/>
        </w:rPr>
        <w:t xml:space="preserve">מיום מעצרו </w:t>
      </w:r>
      <w:r w:rsidRPr="00D0016F">
        <w:rPr>
          <w:b/>
          <w:bCs/>
          <w:rtl/>
        </w:rPr>
        <w:t>–</w:t>
      </w:r>
      <w:r w:rsidRPr="00D0016F">
        <w:rPr>
          <w:rFonts w:hint="cs"/>
          <w:b/>
          <w:bCs/>
          <w:rtl/>
        </w:rPr>
        <w:t xml:space="preserve"> 2.8.18 </w:t>
      </w:r>
    </w:p>
    <w:p w14:paraId="708464D4" w14:textId="77777777" w:rsidR="00CA41A5" w:rsidRPr="00D0016F" w:rsidRDefault="00CA41A5" w:rsidP="00CA41A5">
      <w:pPr>
        <w:pStyle w:val="a9"/>
        <w:spacing w:line="360" w:lineRule="auto"/>
        <w:ind w:left="1440"/>
        <w:jc w:val="both"/>
        <w:rPr>
          <w:b/>
          <w:bCs/>
        </w:rPr>
      </w:pPr>
    </w:p>
    <w:p w14:paraId="221D0AD5" w14:textId="77777777" w:rsidR="00CA41A5" w:rsidRDefault="00CA41A5" w:rsidP="00CA41A5">
      <w:pPr>
        <w:pStyle w:val="a9"/>
        <w:numPr>
          <w:ilvl w:val="0"/>
          <w:numId w:val="2"/>
        </w:numPr>
        <w:spacing w:line="360" w:lineRule="auto"/>
        <w:jc w:val="both"/>
      </w:pPr>
      <w:r>
        <w:rPr>
          <w:rFonts w:hint="cs"/>
          <w:rtl/>
        </w:rPr>
        <w:t xml:space="preserve">מאסר על תנאי למשך 6 חודשים והתנאי  הוא שהנאשם לא יעבור בתוך שנתיים מיום שחרורו כל עבירה על פקודת הסמים שהיא פשע. </w:t>
      </w:r>
    </w:p>
    <w:p w14:paraId="4F3563EC" w14:textId="77777777" w:rsidR="00CA41A5" w:rsidRDefault="00CA41A5" w:rsidP="00CA41A5">
      <w:pPr>
        <w:pStyle w:val="a9"/>
        <w:spacing w:line="360" w:lineRule="auto"/>
        <w:ind w:left="1440"/>
        <w:jc w:val="both"/>
      </w:pPr>
    </w:p>
    <w:p w14:paraId="4E4726B5" w14:textId="77777777" w:rsidR="00CA41A5" w:rsidRDefault="00CA41A5" w:rsidP="00CA41A5">
      <w:pPr>
        <w:pStyle w:val="a9"/>
        <w:numPr>
          <w:ilvl w:val="0"/>
          <w:numId w:val="2"/>
        </w:numPr>
        <w:spacing w:line="360" w:lineRule="auto"/>
        <w:jc w:val="both"/>
      </w:pPr>
      <w:r>
        <w:rPr>
          <w:rFonts w:hint="cs"/>
          <w:rtl/>
        </w:rPr>
        <w:t xml:space="preserve">קנס בסך 2,000 ₪ או 10 ימי מאסר תחתיו. הקנס ישולם בחמישה תשלומים שווים ורצופים החל מיום 1.1.19 ובכל 1 לחודש אחריו. לא ישולם אחד התשלומים במועד, תעמוד היתרה לפירעון מידי. </w:t>
      </w:r>
    </w:p>
    <w:p w14:paraId="1AA4BCA8" w14:textId="77777777" w:rsidR="00CA41A5" w:rsidRPr="009B1361" w:rsidRDefault="00CA41A5" w:rsidP="00CA41A5">
      <w:pPr>
        <w:pStyle w:val="a9"/>
        <w:rPr>
          <w:rtl/>
        </w:rPr>
      </w:pPr>
    </w:p>
    <w:p w14:paraId="3CE636C6" w14:textId="77777777" w:rsidR="00CA41A5" w:rsidRDefault="00CA41A5" w:rsidP="00CA41A5">
      <w:pPr>
        <w:pStyle w:val="a9"/>
        <w:numPr>
          <w:ilvl w:val="0"/>
          <w:numId w:val="2"/>
        </w:numPr>
        <w:spacing w:line="360" w:lineRule="auto"/>
        <w:jc w:val="both"/>
      </w:pPr>
      <w:r>
        <w:rPr>
          <w:rFonts w:hint="cs"/>
          <w:rtl/>
        </w:rPr>
        <w:t xml:space="preserve">אני פוסל את הנאשם מלקבל או להחזיק ברישיון נהיגה וזאת לתקופה בת 4 חודשים. מובהר לנאשם כי עליו להפקיד את רישיון הנהיגה שלו על מנת שמניין הפסילה יחל. כן תשומת הלב כי התקופה בה ישהה הנאשם במאסר לא תובא במניין התקופה כאמור </w:t>
      </w:r>
      <w:hyperlink r:id="rId48" w:history="1">
        <w:r w:rsidR="00532E65" w:rsidRPr="00532E65">
          <w:rPr>
            <w:color w:val="0000FF"/>
            <w:u w:val="single"/>
            <w:rtl/>
          </w:rPr>
          <w:t>בסעיף 42 (ג)(2)</w:t>
        </w:r>
      </w:hyperlink>
      <w:r>
        <w:rPr>
          <w:rFonts w:hint="cs"/>
          <w:rtl/>
        </w:rPr>
        <w:t xml:space="preserve"> ל</w:t>
      </w:r>
      <w:hyperlink r:id="rId49" w:history="1">
        <w:r w:rsidR="0050017A" w:rsidRPr="0050017A">
          <w:rPr>
            <w:color w:val="0000FF"/>
            <w:u w:val="single"/>
            <w:rtl/>
          </w:rPr>
          <w:t>פקודת התעבורה</w:t>
        </w:r>
      </w:hyperlink>
      <w:r>
        <w:rPr>
          <w:rFonts w:hint="cs"/>
          <w:rtl/>
        </w:rPr>
        <w:t xml:space="preserve">. </w:t>
      </w:r>
    </w:p>
    <w:p w14:paraId="66D0172E" w14:textId="77777777" w:rsidR="00CA41A5" w:rsidRPr="009B1361" w:rsidRDefault="00CA41A5" w:rsidP="00CA41A5">
      <w:pPr>
        <w:pStyle w:val="a9"/>
        <w:rPr>
          <w:rtl/>
        </w:rPr>
      </w:pPr>
    </w:p>
    <w:p w14:paraId="581623F7" w14:textId="77777777" w:rsidR="00CA41A5" w:rsidRDefault="00CA41A5" w:rsidP="00CA41A5">
      <w:pPr>
        <w:pStyle w:val="a9"/>
        <w:rPr>
          <w:rtl/>
        </w:rPr>
      </w:pPr>
    </w:p>
    <w:p w14:paraId="646E95EB" w14:textId="77777777" w:rsidR="00CA41A5" w:rsidRPr="00F350BC" w:rsidRDefault="00CA41A5" w:rsidP="00CA41A5">
      <w:pPr>
        <w:pStyle w:val="a9"/>
        <w:rPr>
          <w:b/>
          <w:bCs/>
          <w:rtl/>
        </w:rPr>
      </w:pPr>
      <w:r w:rsidRPr="00F350BC">
        <w:rPr>
          <w:rFonts w:hint="cs"/>
          <w:b/>
          <w:bCs/>
          <w:rtl/>
        </w:rPr>
        <w:t>הסמים והכלים</w:t>
      </w:r>
      <w:r>
        <w:rPr>
          <w:rFonts w:hint="cs"/>
          <w:b/>
          <w:bCs/>
          <w:rtl/>
        </w:rPr>
        <w:t>,</w:t>
      </w:r>
      <w:r w:rsidRPr="00F350BC">
        <w:rPr>
          <w:rFonts w:hint="cs"/>
          <w:b/>
          <w:bCs/>
          <w:rtl/>
        </w:rPr>
        <w:t xml:space="preserve"> להשמיד בחלוף תקופת הערעור. </w:t>
      </w:r>
    </w:p>
    <w:p w14:paraId="017A3463" w14:textId="77777777" w:rsidR="00CA41A5" w:rsidRDefault="00CA41A5" w:rsidP="00CA41A5">
      <w:pPr>
        <w:spacing w:line="360" w:lineRule="auto"/>
        <w:jc w:val="both"/>
        <w:rPr>
          <w:rtl/>
        </w:rPr>
      </w:pPr>
    </w:p>
    <w:p w14:paraId="48386F8A" w14:textId="77777777" w:rsidR="00CA41A5" w:rsidRPr="00F350BC" w:rsidRDefault="00CA41A5" w:rsidP="00CA41A5">
      <w:pPr>
        <w:spacing w:line="360" w:lineRule="auto"/>
        <w:ind w:left="720"/>
        <w:jc w:val="both"/>
        <w:rPr>
          <w:b/>
          <w:bCs/>
          <w:u w:val="single"/>
          <w:rtl/>
        </w:rPr>
      </w:pPr>
      <w:r w:rsidRPr="00F350BC">
        <w:rPr>
          <w:rFonts w:hint="cs"/>
          <w:b/>
          <w:bCs/>
          <w:u w:val="single"/>
          <w:rtl/>
        </w:rPr>
        <w:t xml:space="preserve">זכות ערעור בתוך 45 יום. </w:t>
      </w:r>
    </w:p>
    <w:p w14:paraId="381BD61A" w14:textId="77777777" w:rsidR="00CA41A5" w:rsidRPr="00B05847" w:rsidRDefault="00CA41A5" w:rsidP="00CA41A5">
      <w:pPr>
        <w:rPr>
          <w:rtl/>
        </w:rPr>
      </w:pPr>
    </w:p>
    <w:p w14:paraId="1EF18800" w14:textId="77777777" w:rsidR="00CA41A5" w:rsidRPr="0050017A" w:rsidRDefault="0050017A" w:rsidP="00CA41A5">
      <w:pPr>
        <w:rPr>
          <w:color w:val="FFFFFF"/>
          <w:sz w:val="2"/>
          <w:szCs w:val="2"/>
          <w:rtl/>
        </w:rPr>
      </w:pPr>
      <w:r w:rsidRPr="0050017A">
        <w:rPr>
          <w:color w:val="FFFFFF"/>
          <w:sz w:val="2"/>
          <w:szCs w:val="2"/>
          <w:rtl/>
        </w:rPr>
        <w:t>5129371</w:t>
      </w:r>
    </w:p>
    <w:p w14:paraId="32FB38B3" w14:textId="77777777" w:rsidR="00CA41A5" w:rsidRDefault="0050017A" w:rsidP="00CA41A5">
      <w:pPr>
        <w:rPr>
          <w:rFonts w:cs="FrankRuehl"/>
          <w:sz w:val="28"/>
          <w:szCs w:val="28"/>
          <w:rtl/>
        </w:rPr>
      </w:pPr>
      <w:r w:rsidRPr="0050017A">
        <w:rPr>
          <w:rFonts w:ascii="Arial" w:hAnsi="Arial"/>
          <w:color w:val="FFFFFF"/>
          <w:sz w:val="2"/>
          <w:szCs w:val="2"/>
          <w:rtl/>
        </w:rPr>
        <w:t>54678313</w:t>
      </w:r>
      <w:r>
        <w:rPr>
          <w:rFonts w:ascii="Arial" w:hAnsi="Arial"/>
          <w:rtl/>
        </w:rPr>
        <w:t xml:space="preserve">ניתן היום,  כ"ג חשוון תשע"ט, 01 נובמבר 2018, במעמד הצדדים. </w:t>
      </w:r>
    </w:p>
    <w:p w14:paraId="6ABAF68E" w14:textId="77777777" w:rsidR="00CA41A5" w:rsidRDefault="00CA41A5" w:rsidP="00CA41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1918306" w14:textId="77777777" w:rsidR="00CA41A5" w:rsidRDefault="00CA41A5" w:rsidP="00CA41A5">
      <w:pPr>
        <w:jc w:val="center"/>
        <w:rPr>
          <w:rFonts w:ascii="Arial" w:hAnsi="Arial" w:cs="FrankRuehl"/>
          <w:sz w:val="28"/>
          <w:szCs w:val="28"/>
          <w:rtl/>
        </w:rPr>
      </w:pPr>
    </w:p>
    <w:p w14:paraId="665C440F" w14:textId="77777777" w:rsidR="00CA41A5" w:rsidRDefault="00CA41A5" w:rsidP="00CA41A5">
      <w:pPr>
        <w:rPr>
          <w:rFonts w:cs="FrankRuehl"/>
          <w:sz w:val="28"/>
          <w:szCs w:val="28"/>
          <w:rtl/>
        </w:rPr>
      </w:pPr>
    </w:p>
    <w:p w14:paraId="7CABED34" w14:textId="77777777" w:rsidR="00CA41A5" w:rsidRDefault="00CA41A5" w:rsidP="00CA41A5">
      <w:pPr>
        <w:pStyle w:val="a3"/>
        <w:jc w:val="center"/>
        <w:rPr>
          <w:rtl/>
        </w:rPr>
      </w:pPr>
    </w:p>
    <w:p w14:paraId="6AB7EA76" w14:textId="77777777" w:rsidR="00CB6CE3" w:rsidRPr="0050017A" w:rsidRDefault="00CB6CE3" w:rsidP="0050017A">
      <w:pPr>
        <w:keepNext/>
        <w:rPr>
          <w:rFonts w:ascii="David" w:hAnsi="David"/>
          <w:color w:val="000000"/>
          <w:sz w:val="22"/>
          <w:szCs w:val="22"/>
          <w:rtl/>
        </w:rPr>
      </w:pPr>
    </w:p>
    <w:p w14:paraId="2CAA9366" w14:textId="77777777" w:rsidR="0050017A" w:rsidRPr="0050017A" w:rsidRDefault="0050017A" w:rsidP="0050017A">
      <w:pPr>
        <w:keepNext/>
        <w:rPr>
          <w:rFonts w:ascii="David" w:hAnsi="David"/>
          <w:color w:val="000000"/>
          <w:sz w:val="22"/>
          <w:szCs w:val="22"/>
          <w:rtl/>
        </w:rPr>
      </w:pPr>
      <w:r w:rsidRPr="0050017A">
        <w:rPr>
          <w:rFonts w:ascii="David" w:hAnsi="David"/>
          <w:color w:val="000000"/>
          <w:sz w:val="22"/>
          <w:szCs w:val="22"/>
          <w:rtl/>
        </w:rPr>
        <w:t>יוסי טורס 54678313</w:t>
      </w:r>
    </w:p>
    <w:p w14:paraId="26E5846D" w14:textId="77777777" w:rsidR="0050017A" w:rsidRDefault="0050017A" w:rsidP="0050017A">
      <w:r w:rsidRPr="0050017A">
        <w:rPr>
          <w:color w:val="000000"/>
          <w:rtl/>
        </w:rPr>
        <w:t>נוסח מסמך זה כפוף לשינויי ניסוח ועריכה</w:t>
      </w:r>
    </w:p>
    <w:p w14:paraId="4E16114E" w14:textId="77777777" w:rsidR="0050017A" w:rsidRDefault="0050017A" w:rsidP="0050017A">
      <w:pPr>
        <w:rPr>
          <w:rtl/>
        </w:rPr>
      </w:pPr>
    </w:p>
    <w:p w14:paraId="3FA2B0A8" w14:textId="77777777" w:rsidR="0050017A" w:rsidRDefault="0050017A" w:rsidP="0050017A">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F5FF645" w14:textId="77777777" w:rsidR="0050017A" w:rsidRPr="0050017A" w:rsidRDefault="0050017A" w:rsidP="0050017A">
      <w:pPr>
        <w:jc w:val="center"/>
        <w:rPr>
          <w:color w:val="0000FF"/>
          <w:u w:val="single"/>
        </w:rPr>
      </w:pPr>
    </w:p>
    <w:sectPr w:rsidR="0050017A" w:rsidRPr="0050017A" w:rsidSect="0050017A">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8A2FE" w14:textId="77777777" w:rsidR="00436571" w:rsidRDefault="00436571" w:rsidP="0073082E">
      <w:r>
        <w:separator/>
      </w:r>
    </w:p>
  </w:endnote>
  <w:endnote w:type="continuationSeparator" w:id="0">
    <w:p w14:paraId="3BB74332" w14:textId="77777777" w:rsidR="00436571" w:rsidRDefault="00436571" w:rsidP="0073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F8508" w14:textId="77777777" w:rsidR="0050017A" w:rsidRDefault="0050017A" w:rsidP="005001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CF5F8B" w14:textId="77777777" w:rsidR="00A3025E" w:rsidRPr="0050017A" w:rsidRDefault="0050017A" w:rsidP="005001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61838" w14:textId="77777777" w:rsidR="0050017A" w:rsidRDefault="0050017A" w:rsidP="005001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620B">
      <w:rPr>
        <w:rFonts w:ascii="FrankRuehl" w:hAnsi="FrankRuehl" w:cs="FrankRuehl"/>
        <w:noProof/>
        <w:rtl/>
      </w:rPr>
      <w:t>1</w:t>
    </w:r>
    <w:r>
      <w:rPr>
        <w:rFonts w:ascii="FrankRuehl" w:hAnsi="FrankRuehl" w:cs="FrankRuehl"/>
        <w:rtl/>
      </w:rPr>
      <w:fldChar w:fldCharType="end"/>
    </w:r>
  </w:p>
  <w:p w14:paraId="4D0BCD32" w14:textId="77777777" w:rsidR="00A3025E" w:rsidRPr="0050017A" w:rsidRDefault="0050017A" w:rsidP="005001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6B63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DB5D7" w14:textId="77777777" w:rsidR="00436571" w:rsidRDefault="00436571" w:rsidP="0073082E">
      <w:r>
        <w:separator/>
      </w:r>
    </w:p>
  </w:footnote>
  <w:footnote w:type="continuationSeparator" w:id="0">
    <w:p w14:paraId="185CB8AE" w14:textId="77777777" w:rsidR="00436571" w:rsidRDefault="00436571" w:rsidP="00730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21E2D" w14:textId="77777777" w:rsidR="0050017A" w:rsidRPr="0050017A" w:rsidRDefault="0050017A" w:rsidP="005001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16599-08-18</w:t>
    </w:r>
    <w:r>
      <w:rPr>
        <w:rFonts w:ascii="David" w:hAnsi="David"/>
        <w:color w:val="000000"/>
        <w:sz w:val="22"/>
        <w:szCs w:val="22"/>
        <w:rtl/>
      </w:rPr>
      <w:tab/>
      <w:t xml:space="preserve"> מדינת ישראל נ' דוד טבצ'ניקוב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B1C1D" w14:textId="77777777" w:rsidR="0050017A" w:rsidRPr="0050017A" w:rsidRDefault="0050017A" w:rsidP="005001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16599-08-18</w:t>
    </w:r>
    <w:r>
      <w:rPr>
        <w:rFonts w:ascii="David" w:hAnsi="David"/>
        <w:color w:val="000000"/>
        <w:sz w:val="22"/>
        <w:szCs w:val="22"/>
        <w:rtl/>
      </w:rPr>
      <w:tab/>
      <w:t xml:space="preserve"> מדינת ישראל נ' דוד טבצ'ניקוב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F3583"/>
    <w:multiLevelType w:val="hybridMultilevel"/>
    <w:tmpl w:val="F8B6EEDC"/>
    <w:lvl w:ilvl="0" w:tplc="18ACD0A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C07A9"/>
    <w:multiLevelType w:val="hybridMultilevel"/>
    <w:tmpl w:val="43EC2C3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7542127">
    <w:abstractNumId w:val="0"/>
  </w:num>
  <w:num w:numId="2" w16cid:durableId="88186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41A5"/>
    <w:rsid w:val="00253420"/>
    <w:rsid w:val="003315D6"/>
    <w:rsid w:val="00436571"/>
    <w:rsid w:val="0044208B"/>
    <w:rsid w:val="0050017A"/>
    <w:rsid w:val="00532E65"/>
    <w:rsid w:val="0058620B"/>
    <w:rsid w:val="0073082E"/>
    <w:rsid w:val="00A3025E"/>
    <w:rsid w:val="00CA41A5"/>
    <w:rsid w:val="00CB6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AA6CB2"/>
  <w15:chartTrackingRefBased/>
  <w15:docId w15:val="{14109C20-0E61-4FF1-86B0-3AA50F82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41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41A5"/>
    <w:pPr>
      <w:tabs>
        <w:tab w:val="center" w:pos="4153"/>
        <w:tab w:val="right" w:pos="8306"/>
      </w:tabs>
    </w:pPr>
  </w:style>
  <w:style w:type="character" w:customStyle="1" w:styleId="a4">
    <w:name w:val="כותרת עליונה תו"/>
    <w:link w:val="a3"/>
    <w:rsid w:val="00CA41A5"/>
    <w:rPr>
      <w:rFonts w:ascii="Times New Roman" w:eastAsia="Times New Roman" w:hAnsi="Times New Roman" w:cs="David"/>
      <w:sz w:val="24"/>
      <w:szCs w:val="24"/>
    </w:rPr>
  </w:style>
  <w:style w:type="paragraph" w:styleId="a5">
    <w:name w:val="footer"/>
    <w:basedOn w:val="a"/>
    <w:link w:val="a6"/>
    <w:rsid w:val="00CA41A5"/>
    <w:pPr>
      <w:tabs>
        <w:tab w:val="center" w:pos="4153"/>
        <w:tab w:val="right" w:pos="8306"/>
      </w:tabs>
    </w:pPr>
  </w:style>
  <w:style w:type="character" w:customStyle="1" w:styleId="a6">
    <w:name w:val="כותרת תחתונה תו"/>
    <w:link w:val="a5"/>
    <w:rsid w:val="00CA41A5"/>
    <w:rPr>
      <w:rFonts w:ascii="Times New Roman" w:eastAsia="Times New Roman" w:hAnsi="Times New Roman" w:cs="David"/>
      <w:sz w:val="24"/>
      <w:szCs w:val="24"/>
    </w:rPr>
  </w:style>
  <w:style w:type="table" w:styleId="a7">
    <w:name w:val="Table Grid"/>
    <w:basedOn w:val="a1"/>
    <w:rsid w:val="00CA41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41A5"/>
  </w:style>
  <w:style w:type="paragraph" w:styleId="a9">
    <w:name w:val="List Paragraph"/>
    <w:basedOn w:val="a"/>
    <w:qFormat/>
    <w:rsid w:val="00CA41A5"/>
    <w:pPr>
      <w:ind w:left="720"/>
      <w:contextualSpacing/>
    </w:pPr>
  </w:style>
  <w:style w:type="paragraph" w:styleId="aa">
    <w:name w:val="Balloon Text"/>
    <w:basedOn w:val="a"/>
    <w:link w:val="ab"/>
    <w:rsid w:val="00CA41A5"/>
    <w:rPr>
      <w:rFonts w:ascii="Tahoma" w:hAnsi="Tahoma" w:cs="Tahoma"/>
      <w:sz w:val="16"/>
      <w:szCs w:val="16"/>
    </w:rPr>
  </w:style>
  <w:style w:type="character" w:customStyle="1" w:styleId="ab">
    <w:name w:val="טקסט בלונים תו"/>
    <w:link w:val="aa"/>
    <w:rsid w:val="00CA41A5"/>
    <w:rPr>
      <w:rFonts w:ascii="Tahoma" w:eastAsia="Times New Roman" w:hAnsi="Tahoma" w:cs="Tahoma"/>
      <w:sz w:val="16"/>
      <w:szCs w:val="16"/>
    </w:rPr>
  </w:style>
  <w:style w:type="character" w:styleId="Hyperlink">
    <w:name w:val="Hyperlink"/>
    <w:rsid w:val="00500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0301/40h" TargetMode="External"/><Relationship Id="rId26" Type="http://schemas.openxmlformats.org/officeDocument/2006/relationships/hyperlink" Target="http://www.nevo.co.il/law/70301/40a;40b;40c;40d;40e;40f;40g;40h;40i" TargetMode="External"/><Relationship Id="rId39" Type="http://schemas.openxmlformats.org/officeDocument/2006/relationships/hyperlink" Target="http://www.nevo.co.il/case/11279208" TargetMode="External"/><Relationship Id="rId21" Type="http://schemas.openxmlformats.org/officeDocument/2006/relationships/hyperlink" Target="http://www.nevo.co.il/law/5227/42.c.2" TargetMode="External"/><Relationship Id="rId34" Type="http://schemas.openxmlformats.org/officeDocument/2006/relationships/hyperlink" Target="http://www.nevo.co.il/case/6241434" TargetMode="External"/><Relationship Id="rId42" Type="http://schemas.openxmlformats.org/officeDocument/2006/relationships/hyperlink" Target="http://www.nevo.co.il/case/11311174" TargetMode="External"/><Relationship Id="rId47" Type="http://schemas.openxmlformats.org/officeDocument/2006/relationships/hyperlink" Target="http://www.nevo.co.il/case/2235945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20371840"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4216/10"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5583835" TargetMode="External"/><Relationship Id="rId40" Type="http://schemas.openxmlformats.org/officeDocument/2006/relationships/hyperlink" Target="http://www.nevo.co.il/case/5601732" TargetMode="External"/><Relationship Id="rId45" Type="http://schemas.openxmlformats.org/officeDocument/2006/relationships/hyperlink" Target="http://www.nevo.co.il/case/20374629"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hyperlink" Target="http://www.nevo.co.il/case/20371840" TargetMode="External"/><Relationship Id="rId44" Type="http://schemas.openxmlformats.org/officeDocument/2006/relationships/hyperlink" Target="http://www.nevo.co.il/case/16879489"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a.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69233" TargetMode="External"/><Relationship Id="rId35" Type="http://schemas.openxmlformats.org/officeDocument/2006/relationships/hyperlink" Target="http://www.nevo.co.il/case/5753269" TargetMode="External"/><Relationship Id="rId43" Type="http://schemas.openxmlformats.org/officeDocument/2006/relationships/hyperlink" Target="http://www.nevo.co.il/case/4553790" TargetMode="External"/><Relationship Id="rId48" Type="http://schemas.openxmlformats.org/officeDocument/2006/relationships/hyperlink" Target="http://www.nevo.co.il/law/5227/42.c.2" TargetMode="External"/><Relationship Id="rId56" Type="http://schemas.openxmlformats.org/officeDocument/2006/relationships/theme" Target="theme/theme1.xml"/><Relationship Id="rId8" Type="http://schemas.openxmlformats.org/officeDocument/2006/relationships/hyperlink" Target="http://www.nevo.co.il/law/4216/7.a.c"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2068336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605484" TargetMode="External"/><Relationship Id="rId46" Type="http://schemas.openxmlformats.org/officeDocument/2006/relationships/hyperlink" Target="http://www.nevo.co.il/case/10496454" TargetMode="External"/><Relationship Id="rId20" Type="http://schemas.openxmlformats.org/officeDocument/2006/relationships/hyperlink" Target="http://www.nevo.co.il/law/5227" TargetMode="External"/><Relationship Id="rId41" Type="http://schemas.openxmlformats.org/officeDocument/2006/relationships/hyperlink" Target="http://www.nevo.co.il/case/21935366"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569233" TargetMode="External"/><Relationship Id="rId36" Type="http://schemas.openxmlformats.org/officeDocument/2006/relationships/hyperlink" Target="http://www.nevo.co.il/case/6166988" TargetMode="External"/><Relationship Id="rId49"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2089</Words>
  <Characters>10448</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12512</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8323175</vt:i4>
      </vt:variant>
      <vt:variant>
        <vt:i4>126</vt:i4>
      </vt:variant>
      <vt:variant>
        <vt:i4>0</vt:i4>
      </vt:variant>
      <vt:variant>
        <vt:i4>5</vt:i4>
      </vt:variant>
      <vt:variant>
        <vt:lpwstr>http://www.nevo.co.il/law/5227</vt:lpwstr>
      </vt:variant>
      <vt:variant>
        <vt:lpwstr/>
      </vt:variant>
      <vt:variant>
        <vt:i4>4915225</vt:i4>
      </vt:variant>
      <vt:variant>
        <vt:i4>123</vt:i4>
      </vt:variant>
      <vt:variant>
        <vt:i4>0</vt:i4>
      </vt:variant>
      <vt:variant>
        <vt:i4>5</vt:i4>
      </vt:variant>
      <vt:variant>
        <vt:lpwstr>http://www.nevo.co.il/law/5227/42.c.2</vt:lpwstr>
      </vt:variant>
      <vt:variant>
        <vt:lpwstr/>
      </vt:variant>
      <vt:variant>
        <vt:i4>3997815</vt:i4>
      </vt:variant>
      <vt:variant>
        <vt:i4>120</vt:i4>
      </vt:variant>
      <vt:variant>
        <vt:i4>0</vt:i4>
      </vt:variant>
      <vt:variant>
        <vt:i4>5</vt:i4>
      </vt:variant>
      <vt:variant>
        <vt:lpwstr>http://www.nevo.co.il/case/22359450</vt:lpwstr>
      </vt:variant>
      <vt:variant>
        <vt:lpwstr/>
      </vt:variant>
      <vt:variant>
        <vt:i4>3539065</vt:i4>
      </vt:variant>
      <vt:variant>
        <vt:i4>117</vt:i4>
      </vt:variant>
      <vt:variant>
        <vt:i4>0</vt:i4>
      </vt:variant>
      <vt:variant>
        <vt:i4>5</vt:i4>
      </vt:variant>
      <vt:variant>
        <vt:lpwstr>http://www.nevo.co.il/case/10496454</vt:lpwstr>
      </vt:variant>
      <vt:variant>
        <vt:lpwstr/>
      </vt:variant>
      <vt:variant>
        <vt:i4>3604597</vt:i4>
      </vt:variant>
      <vt:variant>
        <vt:i4>114</vt:i4>
      </vt:variant>
      <vt:variant>
        <vt:i4>0</vt:i4>
      </vt:variant>
      <vt:variant>
        <vt:i4>5</vt:i4>
      </vt:variant>
      <vt:variant>
        <vt:lpwstr>http://www.nevo.co.il/case/20374629</vt:lpwstr>
      </vt:variant>
      <vt:variant>
        <vt:lpwstr/>
      </vt:variant>
      <vt:variant>
        <vt:i4>3670129</vt:i4>
      </vt:variant>
      <vt:variant>
        <vt:i4>111</vt:i4>
      </vt:variant>
      <vt:variant>
        <vt:i4>0</vt:i4>
      </vt:variant>
      <vt:variant>
        <vt:i4>5</vt:i4>
      </vt:variant>
      <vt:variant>
        <vt:lpwstr>http://www.nevo.co.il/case/16879489</vt:lpwstr>
      </vt:variant>
      <vt:variant>
        <vt:lpwstr/>
      </vt:variant>
      <vt:variant>
        <vt:i4>3539067</vt:i4>
      </vt:variant>
      <vt:variant>
        <vt:i4>108</vt:i4>
      </vt:variant>
      <vt:variant>
        <vt:i4>0</vt:i4>
      </vt:variant>
      <vt:variant>
        <vt:i4>5</vt:i4>
      </vt:variant>
      <vt:variant>
        <vt:lpwstr>http://www.nevo.co.il/case/4553790</vt:lpwstr>
      </vt:variant>
      <vt:variant>
        <vt:lpwstr/>
      </vt:variant>
      <vt:variant>
        <vt:i4>3407989</vt:i4>
      </vt:variant>
      <vt:variant>
        <vt:i4>105</vt:i4>
      </vt:variant>
      <vt:variant>
        <vt:i4>0</vt:i4>
      </vt:variant>
      <vt:variant>
        <vt:i4>5</vt:i4>
      </vt:variant>
      <vt:variant>
        <vt:lpwstr>http://www.nevo.co.il/case/11311174</vt:lpwstr>
      </vt:variant>
      <vt:variant>
        <vt:lpwstr/>
      </vt:variant>
      <vt:variant>
        <vt:i4>3670133</vt:i4>
      </vt:variant>
      <vt:variant>
        <vt:i4>102</vt:i4>
      </vt:variant>
      <vt:variant>
        <vt:i4>0</vt:i4>
      </vt:variant>
      <vt:variant>
        <vt:i4>5</vt:i4>
      </vt:variant>
      <vt:variant>
        <vt:lpwstr>http://www.nevo.co.il/case/21935366</vt:lpwstr>
      </vt:variant>
      <vt:variant>
        <vt:lpwstr/>
      </vt:variant>
      <vt:variant>
        <vt:i4>3145840</vt:i4>
      </vt:variant>
      <vt:variant>
        <vt:i4>99</vt:i4>
      </vt:variant>
      <vt:variant>
        <vt:i4>0</vt:i4>
      </vt:variant>
      <vt:variant>
        <vt:i4>5</vt:i4>
      </vt:variant>
      <vt:variant>
        <vt:lpwstr>http://www.nevo.co.il/case/5601732</vt:lpwstr>
      </vt:variant>
      <vt:variant>
        <vt:lpwstr/>
      </vt:variant>
      <vt:variant>
        <vt:i4>3801200</vt:i4>
      </vt:variant>
      <vt:variant>
        <vt:i4>96</vt:i4>
      </vt:variant>
      <vt:variant>
        <vt:i4>0</vt:i4>
      </vt:variant>
      <vt:variant>
        <vt:i4>5</vt:i4>
      </vt:variant>
      <vt:variant>
        <vt:lpwstr>http://www.nevo.co.il/case/11279208</vt:lpwstr>
      </vt:variant>
      <vt:variant>
        <vt:lpwstr/>
      </vt:variant>
      <vt:variant>
        <vt:i4>3473535</vt:i4>
      </vt:variant>
      <vt:variant>
        <vt:i4>93</vt:i4>
      </vt:variant>
      <vt:variant>
        <vt:i4>0</vt:i4>
      </vt:variant>
      <vt:variant>
        <vt:i4>5</vt:i4>
      </vt:variant>
      <vt:variant>
        <vt:lpwstr>http://www.nevo.co.il/case/5605484</vt:lpwstr>
      </vt:variant>
      <vt:variant>
        <vt:lpwstr/>
      </vt:variant>
      <vt:variant>
        <vt:i4>3145841</vt:i4>
      </vt:variant>
      <vt:variant>
        <vt:i4>90</vt:i4>
      </vt:variant>
      <vt:variant>
        <vt:i4>0</vt:i4>
      </vt:variant>
      <vt:variant>
        <vt:i4>5</vt:i4>
      </vt:variant>
      <vt:variant>
        <vt:lpwstr>http://www.nevo.co.il/case/5583835</vt:lpwstr>
      </vt:variant>
      <vt:variant>
        <vt:lpwstr/>
      </vt:variant>
      <vt:variant>
        <vt:i4>3211387</vt:i4>
      </vt:variant>
      <vt:variant>
        <vt:i4>87</vt:i4>
      </vt:variant>
      <vt:variant>
        <vt:i4>0</vt:i4>
      </vt:variant>
      <vt:variant>
        <vt:i4>5</vt:i4>
      </vt:variant>
      <vt:variant>
        <vt:lpwstr>http://www.nevo.co.il/case/6166988</vt:lpwstr>
      </vt:variant>
      <vt:variant>
        <vt:lpwstr/>
      </vt:variant>
      <vt:variant>
        <vt:i4>3866742</vt:i4>
      </vt:variant>
      <vt:variant>
        <vt:i4>84</vt:i4>
      </vt:variant>
      <vt:variant>
        <vt:i4>0</vt:i4>
      </vt:variant>
      <vt:variant>
        <vt:i4>5</vt:i4>
      </vt:variant>
      <vt:variant>
        <vt:lpwstr>http://www.nevo.co.il/case/5753269</vt:lpwstr>
      </vt:variant>
      <vt:variant>
        <vt:lpwstr/>
      </vt:variant>
      <vt:variant>
        <vt:i4>3276916</vt:i4>
      </vt:variant>
      <vt:variant>
        <vt:i4>81</vt:i4>
      </vt:variant>
      <vt:variant>
        <vt:i4>0</vt:i4>
      </vt:variant>
      <vt:variant>
        <vt:i4>5</vt:i4>
      </vt:variant>
      <vt:variant>
        <vt:lpwstr>http://www.nevo.co.il/case/6241434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3407995</vt:i4>
      </vt:variant>
      <vt:variant>
        <vt:i4>72</vt:i4>
      </vt:variant>
      <vt:variant>
        <vt:i4>0</vt:i4>
      </vt:variant>
      <vt:variant>
        <vt:i4>5</vt:i4>
      </vt:variant>
      <vt:variant>
        <vt:lpwstr>http://www.nevo.co.il/case/20371840</vt:lpwstr>
      </vt:variant>
      <vt:variant>
        <vt:lpwstr/>
      </vt:variant>
      <vt:variant>
        <vt:i4>3276923</vt:i4>
      </vt:variant>
      <vt:variant>
        <vt:i4>69</vt:i4>
      </vt:variant>
      <vt:variant>
        <vt:i4>0</vt:i4>
      </vt:variant>
      <vt:variant>
        <vt:i4>5</vt:i4>
      </vt:variant>
      <vt:variant>
        <vt:lpwstr>http://www.nevo.co.il/case/5569233</vt:lpwstr>
      </vt:variant>
      <vt:variant>
        <vt:lpwstr/>
      </vt:variant>
      <vt:variant>
        <vt:i4>3407995</vt:i4>
      </vt:variant>
      <vt:variant>
        <vt:i4>66</vt:i4>
      </vt:variant>
      <vt:variant>
        <vt:i4>0</vt:i4>
      </vt:variant>
      <vt:variant>
        <vt:i4>5</vt:i4>
      </vt:variant>
      <vt:variant>
        <vt:lpwstr>http://www.nevo.co.il/case/20371840</vt:lpwstr>
      </vt:variant>
      <vt:variant>
        <vt:lpwstr/>
      </vt:variant>
      <vt:variant>
        <vt:i4>3276923</vt:i4>
      </vt:variant>
      <vt:variant>
        <vt:i4>63</vt:i4>
      </vt:variant>
      <vt:variant>
        <vt:i4>0</vt:i4>
      </vt:variant>
      <vt:variant>
        <vt:i4>5</vt:i4>
      </vt:variant>
      <vt:variant>
        <vt:lpwstr>http://www.nevo.co.il/case/5569233</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6619241</vt:i4>
      </vt:variant>
      <vt:variant>
        <vt:i4>57</vt:i4>
      </vt:variant>
      <vt:variant>
        <vt:i4>0</vt:i4>
      </vt:variant>
      <vt:variant>
        <vt:i4>5</vt:i4>
      </vt:variant>
      <vt:variant>
        <vt:lpwstr>http://www.nevo.co.il/law/70301/40a;40b;40c;40d;40e;40f;40g;40h;40i</vt:lpwstr>
      </vt:variant>
      <vt:variant>
        <vt:lpwstr/>
      </vt:variant>
      <vt:variant>
        <vt:i4>3211391</vt:i4>
      </vt:variant>
      <vt:variant>
        <vt:i4>54</vt:i4>
      </vt:variant>
      <vt:variant>
        <vt:i4>0</vt:i4>
      </vt:variant>
      <vt:variant>
        <vt:i4>5</vt:i4>
      </vt:variant>
      <vt:variant>
        <vt:lpwstr>http://www.nevo.co.il/case/20683368</vt:lpwstr>
      </vt:variant>
      <vt:variant>
        <vt:lpwstr/>
      </vt:variant>
      <vt:variant>
        <vt:i4>5177418</vt:i4>
      </vt:variant>
      <vt:variant>
        <vt:i4>51</vt:i4>
      </vt:variant>
      <vt:variant>
        <vt:i4>0</vt:i4>
      </vt:variant>
      <vt:variant>
        <vt:i4>5</vt:i4>
      </vt:variant>
      <vt:variant>
        <vt:lpwstr>http://www.nevo.co.il/law/4216/10</vt:lpwstr>
      </vt:variant>
      <vt:variant>
        <vt:lpwstr/>
      </vt:variant>
      <vt:variant>
        <vt:i4>8257637</vt:i4>
      </vt:variant>
      <vt:variant>
        <vt:i4>48</vt:i4>
      </vt:variant>
      <vt:variant>
        <vt:i4>0</vt:i4>
      </vt:variant>
      <vt:variant>
        <vt:i4>5</vt:i4>
      </vt:variant>
      <vt:variant>
        <vt:lpwstr>http://www.nevo.co.il/law/4216</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4915225</vt:i4>
      </vt:variant>
      <vt:variant>
        <vt:i4>42</vt:i4>
      </vt:variant>
      <vt:variant>
        <vt:i4>0</vt:i4>
      </vt:variant>
      <vt:variant>
        <vt:i4>5</vt:i4>
      </vt:variant>
      <vt:variant>
        <vt:lpwstr>http://www.nevo.co.il/law/5227/42.c.2</vt:lpwstr>
      </vt:variant>
      <vt:variant>
        <vt:lpwstr/>
      </vt:variant>
      <vt:variant>
        <vt:i4>8323175</vt:i4>
      </vt:variant>
      <vt:variant>
        <vt:i4>39</vt:i4>
      </vt:variant>
      <vt:variant>
        <vt:i4>0</vt:i4>
      </vt:variant>
      <vt:variant>
        <vt:i4>5</vt:i4>
      </vt:variant>
      <vt:variant>
        <vt:lpwstr>http://www.nevo.co.il/law/5227</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16599</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דוד טבצ'ניקוב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20181101</vt:lpwstr>
  </property>
  <property fmtid="{D5CDD505-2E9C-101B-9397-08002B2CF9AE}" pid="13" name="TYPE_N_DATE">
    <vt:lpwstr>38020181101</vt:lpwstr>
  </property>
  <property fmtid="{D5CDD505-2E9C-101B-9397-08002B2CF9AE}" pid="14" name="CASESLISTTMP1">
    <vt:lpwstr>20683368;5569233:2;20371840:2;6241434;5753269;6166988;5583835;5605484;11279208;5601732;21935366;11311174;4553790;16879489;20374629;10496454;22359450</vt:lpwstr>
  </property>
  <property fmtid="{D5CDD505-2E9C-101B-9397-08002B2CF9AE}" pid="15" name="WORDNUMPAGES">
    <vt:lpwstr>7</vt:lpwstr>
  </property>
  <property fmtid="{D5CDD505-2E9C-101B-9397-08002B2CF9AE}" pid="16" name="TYPE_ABS_DATE">
    <vt:lpwstr>380020181101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4216/007.a.c;010</vt:lpwstr>
  </property>
  <property fmtid="{D5CDD505-2E9C-101B-9397-08002B2CF9AE}" pid="37" name="LAWLISTTMP2">
    <vt:lpwstr>70301/040a;040b;040c;040d;040e;040f;040g;040h;040i:2</vt:lpwstr>
  </property>
  <property fmtid="{D5CDD505-2E9C-101B-9397-08002B2CF9AE}" pid="38" name="LAWLISTTMP3">
    <vt:lpwstr>5227/042.c.2</vt:lpwstr>
  </property>
</Properties>
</file>