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5043D" w:rsidRPr="0084620D" w14:paraId="78A89A01" w14:textId="77777777" w:rsidTr="002964C7">
        <w:trPr>
          <w:trHeight w:hRule="exact" w:val="418"/>
          <w:jc w:val="center"/>
        </w:trPr>
        <w:tc>
          <w:tcPr>
            <w:tcW w:w="8721" w:type="dxa"/>
            <w:gridSpan w:val="2"/>
          </w:tcPr>
          <w:p w14:paraId="0A83ADA0" w14:textId="77777777" w:rsidR="00F5043D" w:rsidRPr="0084620D" w:rsidRDefault="00F5043D" w:rsidP="0034679D">
            <w:pPr>
              <w:pStyle w:val="a3"/>
              <w:jc w:val="center"/>
              <w:rPr>
                <w:rFonts w:ascii="Tahoma" w:hAnsi="Tahoma" w:cs="Tahoma"/>
                <w:color w:val="000080"/>
                <w:rtl/>
              </w:rPr>
            </w:pPr>
            <w:bookmarkStart w:id="0" w:name="LastJudge"/>
            <w:r w:rsidRPr="0084620D">
              <w:rPr>
                <w:rFonts w:ascii="Tahoma" w:hAnsi="Tahoma" w:cs="Tahoma"/>
                <w:b/>
                <w:bCs/>
                <w:color w:val="000080"/>
                <w:rtl/>
              </w:rPr>
              <w:t>בית משפט השלום בכפר סבא</w:t>
            </w:r>
          </w:p>
        </w:tc>
      </w:tr>
      <w:tr w:rsidR="00F5043D" w:rsidRPr="0084620D" w14:paraId="235556D5" w14:textId="77777777" w:rsidTr="002964C7">
        <w:trPr>
          <w:trHeight w:val="337"/>
          <w:jc w:val="center"/>
        </w:trPr>
        <w:tc>
          <w:tcPr>
            <w:tcW w:w="5054" w:type="dxa"/>
          </w:tcPr>
          <w:p w14:paraId="7729121E" w14:textId="77777777" w:rsidR="00F5043D" w:rsidRPr="0084620D" w:rsidRDefault="00F5043D" w:rsidP="0034679D">
            <w:pPr>
              <w:rPr>
                <w:rFonts w:cs="FrankRuehl"/>
                <w:sz w:val="28"/>
                <w:szCs w:val="28"/>
                <w:rtl/>
              </w:rPr>
            </w:pPr>
            <w:r w:rsidRPr="0084620D">
              <w:rPr>
                <w:rFonts w:cs="FrankRuehl"/>
                <w:sz w:val="28"/>
                <w:szCs w:val="28"/>
                <w:rtl/>
              </w:rPr>
              <w:t>ת"פ</w:t>
            </w:r>
            <w:r w:rsidRPr="0084620D">
              <w:rPr>
                <w:rFonts w:cs="FrankRuehl" w:hint="cs"/>
                <w:sz w:val="28"/>
                <w:szCs w:val="28"/>
                <w:rtl/>
              </w:rPr>
              <w:t xml:space="preserve"> </w:t>
            </w:r>
            <w:r w:rsidRPr="0084620D">
              <w:rPr>
                <w:rFonts w:cs="FrankRuehl"/>
                <w:sz w:val="28"/>
                <w:szCs w:val="28"/>
                <w:rtl/>
              </w:rPr>
              <w:t>21355-08-18</w:t>
            </w:r>
            <w:r w:rsidRPr="0084620D">
              <w:rPr>
                <w:rFonts w:cs="FrankRuehl" w:hint="cs"/>
                <w:sz w:val="28"/>
                <w:szCs w:val="28"/>
                <w:rtl/>
              </w:rPr>
              <w:t xml:space="preserve"> </w:t>
            </w:r>
            <w:r w:rsidRPr="0084620D">
              <w:rPr>
                <w:rFonts w:cs="FrankRuehl"/>
                <w:sz w:val="28"/>
                <w:szCs w:val="28"/>
                <w:rtl/>
              </w:rPr>
              <w:t>מדינת ישראל נ' רופא</w:t>
            </w:r>
          </w:p>
          <w:p w14:paraId="7DA90F8B" w14:textId="77777777" w:rsidR="00F5043D" w:rsidRPr="0084620D" w:rsidRDefault="00F5043D" w:rsidP="0034679D">
            <w:pPr>
              <w:pStyle w:val="a3"/>
              <w:rPr>
                <w:rFonts w:cs="FrankRuehl"/>
                <w:sz w:val="28"/>
                <w:szCs w:val="28"/>
                <w:rtl/>
              </w:rPr>
            </w:pPr>
          </w:p>
        </w:tc>
        <w:tc>
          <w:tcPr>
            <w:tcW w:w="3667" w:type="dxa"/>
          </w:tcPr>
          <w:p w14:paraId="59C63112" w14:textId="77777777" w:rsidR="00F5043D" w:rsidRPr="0084620D" w:rsidRDefault="00F5043D" w:rsidP="0034679D">
            <w:pPr>
              <w:pStyle w:val="a3"/>
              <w:jc w:val="right"/>
              <w:rPr>
                <w:rFonts w:cs="FrankRuehl"/>
                <w:sz w:val="28"/>
                <w:szCs w:val="28"/>
                <w:rtl/>
              </w:rPr>
            </w:pPr>
          </w:p>
        </w:tc>
      </w:tr>
    </w:tbl>
    <w:p w14:paraId="1BF0F44F" w14:textId="77777777" w:rsidR="00F5043D" w:rsidRPr="0084620D" w:rsidRDefault="00F5043D" w:rsidP="00F5043D">
      <w:pPr>
        <w:pStyle w:val="a3"/>
        <w:rPr>
          <w:rtl/>
        </w:rPr>
      </w:pPr>
      <w:r w:rsidRPr="0084620D">
        <w:rPr>
          <w:rFonts w:hint="cs"/>
          <w:rtl/>
        </w:rPr>
        <w:t xml:space="preserve"> </w:t>
      </w:r>
    </w:p>
    <w:p w14:paraId="05D946C1" w14:textId="77777777" w:rsidR="00F5043D" w:rsidRPr="0084620D" w:rsidRDefault="00F5043D" w:rsidP="00F5043D">
      <w:pPr>
        <w:rPr>
          <w:rFonts w:cs="FrankRueh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5043D" w:rsidRPr="0084620D" w14:paraId="4636E3DE" w14:textId="77777777" w:rsidTr="00F5043D">
        <w:trPr>
          <w:trHeight w:val="295"/>
          <w:jc w:val="center"/>
        </w:trPr>
        <w:tc>
          <w:tcPr>
            <w:tcW w:w="923" w:type="dxa"/>
            <w:tcBorders>
              <w:top w:val="nil"/>
              <w:left w:val="nil"/>
              <w:bottom w:val="nil"/>
              <w:right w:val="nil"/>
            </w:tcBorders>
            <w:shd w:val="clear" w:color="auto" w:fill="auto"/>
          </w:tcPr>
          <w:p w14:paraId="7B7C1B99" w14:textId="77777777" w:rsidR="00F5043D" w:rsidRPr="0084620D" w:rsidRDefault="00F5043D" w:rsidP="00F5043D">
            <w:pPr>
              <w:jc w:val="both"/>
              <w:rPr>
                <w:rFonts w:ascii="Arial" w:hAnsi="Arial" w:cs="FrankRuehl"/>
                <w:b/>
                <w:bCs/>
                <w:sz w:val="26"/>
                <w:szCs w:val="26"/>
              </w:rPr>
            </w:pPr>
            <w:r w:rsidRPr="0084620D">
              <w:rPr>
                <w:rFonts w:ascii="Arial" w:hAnsi="Arial" w:cs="FrankRuehl" w:hint="cs"/>
                <w:b/>
                <w:bCs/>
                <w:sz w:val="26"/>
                <w:szCs w:val="26"/>
                <w:rtl/>
              </w:rPr>
              <w:t>ב</w:t>
            </w:r>
            <w:r w:rsidRPr="0084620D">
              <w:rPr>
                <w:rFonts w:ascii="Arial" w:hAnsi="Arial" w:cs="FrankRuehl"/>
                <w:b/>
                <w:bCs/>
                <w:sz w:val="26"/>
                <w:szCs w:val="26"/>
                <w:rtl/>
              </w:rPr>
              <w:t xml:space="preserve">פני </w:t>
            </w:r>
          </w:p>
        </w:tc>
        <w:tc>
          <w:tcPr>
            <w:tcW w:w="7897" w:type="dxa"/>
            <w:gridSpan w:val="2"/>
            <w:tcBorders>
              <w:top w:val="nil"/>
              <w:left w:val="nil"/>
              <w:bottom w:val="nil"/>
              <w:right w:val="nil"/>
            </w:tcBorders>
            <w:shd w:val="clear" w:color="auto" w:fill="auto"/>
          </w:tcPr>
          <w:p w14:paraId="633BB357" w14:textId="77777777" w:rsidR="00F5043D" w:rsidRPr="0084620D" w:rsidRDefault="00F5043D" w:rsidP="0034679D">
            <w:pPr>
              <w:rPr>
                <w:rFonts w:ascii="Arial" w:hAnsi="Arial" w:cs="FrankRuehl"/>
                <w:b/>
                <w:bCs/>
                <w:sz w:val="26"/>
                <w:szCs w:val="26"/>
                <w:rtl/>
              </w:rPr>
            </w:pPr>
            <w:r w:rsidRPr="0084620D">
              <w:rPr>
                <w:rFonts w:ascii="Arial" w:hAnsi="Arial" w:cs="FrankRuehl" w:hint="cs"/>
                <w:b/>
                <w:bCs/>
                <w:sz w:val="26"/>
                <w:szCs w:val="26"/>
                <w:rtl/>
              </w:rPr>
              <w:t>כבוד ה</w:t>
            </w:r>
            <w:r w:rsidRPr="0084620D">
              <w:rPr>
                <w:rFonts w:ascii="Arial" w:hAnsi="Arial" w:cs="FrankRuehl"/>
                <w:b/>
                <w:bCs/>
                <w:sz w:val="26"/>
                <w:szCs w:val="26"/>
                <w:rtl/>
              </w:rPr>
              <w:t>שופטת</w:t>
            </w:r>
            <w:r w:rsidRPr="0084620D">
              <w:rPr>
                <w:rFonts w:ascii="Arial" w:hAnsi="Arial" w:cs="FrankRuehl" w:hint="cs"/>
                <w:b/>
                <w:bCs/>
                <w:sz w:val="26"/>
                <w:szCs w:val="26"/>
                <w:rtl/>
              </w:rPr>
              <w:t xml:space="preserve">  </w:t>
            </w:r>
            <w:r w:rsidRPr="0084620D">
              <w:rPr>
                <w:rFonts w:ascii="Arial" w:hAnsi="Arial" w:cs="FrankRuehl"/>
                <w:b/>
                <w:bCs/>
                <w:sz w:val="26"/>
                <w:szCs w:val="26"/>
                <w:rtl/>
              </w:rPr>
              <w:t>מרב גרינברג</w:t>
            </w:r>
          </w:p>
          <w:p w14:paraId="045C0D11" w14:textId="77777777" w:rsidR="00F5043D" w:rsidRPr="0084620D" w:rsidRDefault="00F5043D" w:rsidP="0034679D">
            <w:pPr>
              <w:rPr>
                <w:rFonts w:cs="FrankRuehl"/>
                <w:b/>
                <w:bCs/>
                <w:sz w:val="26"/>
                <w:szCs w:val="26"/>
                <w:rtl/>
              </w:rPr>
            </w:pPr>
          </w:p>
          <w:p w14:paraId="5A6DED56" w14:textId="77777777" w:rsidR="00F5043D" w:rsidRPr="0084620D" w:rsidRDefault="00F5043D" w:rsidP="00F5043D">
            <w:pPr>
              <w:jc w:val="both"/>
              <w:rPr>
                <w:rFonts w:ascii="Arial" w:hAnsi="Arial" w:cs="FrankRuehl"/>
                <w:b/>
                <w:bCs/>
                <w:sz w:val="26"/>
                <w:szCs w:val="26"/>
              </w:rPr>
            </w:pPr>
          </w:p>
        </w:tc>
      </w:tr>
      <w:tr w:rsidR="00F5043D" w:rsidRPr="0084620D" w14:paraId="0BF654BE" w14:textId="77777777" w:rsidTr="00F5043D">
        <w:trPr>
          <w:trHeight w:val="355"/>
          <w:jc w:val="center"/>
        </w:trPr>
        <w:tc>
          <w:tcPr>
            <w:tcW w:w="923" w:type="dxa"/>
            <w:tcBorders>
              <w:top w:val="nil"/>
              <w:left w:val="nil"/>
              <w:bottom w:val="nil"/>
              <w:right w:val="nil"/>
            </w:tcBorders>
            <w:shd w:val="clear" w:color="auto" w:fill="auto"/>
          </w:tcPr>
          <w:p w14:paraId="42D09D81" w14:textId="77777777" w:rsidR="00F5043D" w:rsidRPr="0084620D" w:rsidRDefault="00F5043D" w:rsidP="00F5043D">
            <w:pPr>
              <w:jc w:val="both"/>
              <w:rPr>
                <w:rFonts w:ascii="Arial" w:hAnsi="Arial" w:cs="FrankRuehl"/>
                <w:b/>
                <w:bCs/>
                <w:sz w:val="26"/>
                <w:szCs w:val="26"/>
              </w:rPr>
            </w:pPr>
            <w:bookmarkStart w:id="1" w:name="FirstAppellant"/>
            <w:r w:rsidRPr="0084620D">
              <w:rPr>
                <w:rFonts w:ascii="Arial" w:hAnsi="Arial" w:cs="FrankRuehl" w:hint="cs"/>
                <w:b/>
                <w:bCs/>
                <w:sz w:val="26"/>
                <w:szCs w:val="26"/>
                <w:rtl/>
              </w:rPr>
              <w:t>בעניין:</w:t>
            </w:r>
          </w:p>
        </w:tc>
        <w:tc>
          <w:tcPr>
            <w:tcW w:w="4126" w:type="dxa"/>
            <w:tcBorders>
              <w:top w:val="nil"/>
              <w:left w:val="nil"/>
              <w:bottom w:val="nil"/>
              <w:right w:val="nil"/>
            </w:tcBorders>
            <w:shd w:val="clear" w:color="auto" w:fill="auto"/>
          </w:tcPr>
          <w:p w14:paraId="5837403E" w14:textId="77777777" w:rsidR="00F5043D" w:rsidRPr="0084620D" w:rsidRDefault="00F5043D" w:rsidP="0034679D">
            <w:pPr>
              <w:rPr>
                <w:rFonts w:cs="FrankRuehl"/>
                <w:b/>
                <w:bCs/>
                <w:sz w:val="26"/>
                <w:szCs w:val="26"/>
              </w:rPr>
            </w:pPr>
            <w:r w:rsidRPr="0084620D">
              <w:rPr>
                <w:rFonts w:ascii="Arial" w:hAnsi="Arial" w:cs="FrankRuehl"/>
                <w:b/>
                <w:bCs/>
                <w:sz w:val="26"/>
                <w:szCs w:val="26"/>
                <w:rtl/>
              </w:rPr>
              <w:t>מדינת ישראל</w:t>
            </w:r>
          </w:p>
        </w:tc>
        <w:tc>
          <w:tcPr>
            <w:tcW w:w="3771" w:type="dxa"/>
            <w:tcBorders>
              <w:top w:val="nil"/>
              <w:left w:val="nil"/>
              <w:bottom w:val="nil"/>
              <w:right w:val="nil"/>
            </w:tcBorders>
            <w:shd w:val="clear" w:color="auto" w:fill="auto"/>
          </w:tcPr>
          <w:p w14:paraId="5AA87751" w14:textId="77777777" w:rsidR="00F5043D" w:rsidRPr="0084620D" w:rsidRDefault="00F5043D" w:rsidP="00F5043D">
            <w:pPr>
              <w:jc w:val="both"/>
              <w:rPr>
                <w:rFonts w:ascii="Arial" w:hAnsi="Arial" w:cs="FrankRuehl"/>
                <w:b/>
                <w:bCs/>
                <w:sz w:val="26"/>
                <w:szCs w:val="26"/>
              </w:rPr>
            </w:pPr>
          </w:p>
        </w:tc>
      </w:tr>
      <w:tr w:rsidR="00F5043D" w:rsidRPr="0084620D" w14:paraId="563B4A6F" w14:textId="77777777" w:rsidTr="00F5043D">
        <w:trPr>
          <w:trHeight w:val="355"/>
          <w:jc w:val="center"/>
        </w:trPr>
        <w:tc>
          <w:tcPr>
            <w:tcW w:w="923" w:type="dxa"/>
            <w:tcBorders>
              <w:top w:val="nil"/>
              <w:left w:val="nil"/>
              <w:bottom w:val="nil"/>
              <w:right w:val="nil"/>
            </w:tcBorders>
            <w:shd w:val="clear" w:color="auto" w:fill="auto"/>
          </w:tcPr>
          <w:p w14:paraId="041DA93C" w14:textId="77777777" w:rsidR="00F5043D" w:rsidRPr="0084620D" w:rsidRDefault="00F5043D" w:rsidP="00F5043D">
            <w:pPr>
              <w:jc w:val="both"/>
              <w:rPr>
                <w:rFonts w:ascii="Arial" w:hAnsi="Arial" w:cs="FrankRuehl"/>
                <w:b/>
                <w:bCs/>
                <w:sz w:val="26"/>
                <w:szCs w:val="26"/>
                <w:rtl/>
              </w:rPr>
            </w:pPr>
            <w:bookmarkStart w:id="2" w:name="FirstLawyer"/>
            <w:bookmarkEnd w:id="1"/>
          </w:p>
        </w:tc>
        <w:tc>
          <w:tcPr>
            <w:tcW w:w="4126" w:type="dxa"/>
            <w:tcBorders>
              <w:top w:val="nil"/>
              <w:left w:val="nil"/>
              <w:bottom w:val="nil"/>
              <w:right w:val="nil"/>
            </w:tcBorders>
            <w:shd w:val="clear" w:color="auto" w:fill="auto"/>
          </w:tcPr>
          <w:p w14:paraId="00F21CB8" w14:textId="77777777" w:rsidR="00F5043D" w:rsidRPr="0084620D" w:rsidRDefault="00F5043D" w:rsidP="00F5043D">
            <w:pPr>
              <w:jc w:val="both"/>
              <w:rPr>
                <w:rFonts w:cs="FrankRuehl"/>
                <w:b/>
                <w:bCs/>
                <w:sz w:val="26"/>
                <w:szCs w:val="26"/>
                <w:rtl/>
              </w:rPr>
            </w:pPr>
            <w:r w:rsidRPr="0084620D">
              <w:rPr>
                <w:rFonts w:cs="FrankRuehl" w:hint="cs"/>
                <w:b/>
                <w:bCs/>
                <w:sz w:val="26"/>
                <w:szCs w:val="26"/>
                <w:rtl/>
              </w:rPr>
              <w:t>ע"י ב"כ עו"ד נופר מזולה</w:t>
            </w:r>
          </w:p>
        </w:tc>
        <w:tc>
          <w:tcPr>
            <w:tcW w:w="3771" w:type="dxa"/>
            <w:tcBorders>
              <w:top w:val="nil"/>
              <w:left w:val="nil"/>
              <w:bottom w:val="nil"/>
              <w:right w:val="nil"/>
            </w:tcBorders>
            <w:shd w:val="clear" w:color="auto" w:fill="auto"/>
          </w:tcPr>
          <w:p w14:paraId="634481FA" w14:textId="77777777" w:rsidR="00F5043D" w:rsidRPr="0084620D" w:rsidRDefault="00F5043D" w:rsidP="00F5043D">
            <w:pPr>
              <w:jc w:val="right"/>
              <w:rPr>
                <w:rFonts w:ascii="Arial" w:hAnsi="Arial" w:cs="FrankRuehl"/>
                <w:b/>
                <w:bCs/>
                <w:sz w:val="26"/>
                <w:szCs w:val="26"/>
                <w:rtl/>
              </w:rPr>
            </w:pPr>
            <w:r w:rsidRPr="0084620D">
              <w:rPr>
                <w:rFonts w:ascii="Arial" w:hAnsi="Arial" w:cs="FrankRuehl" w:hint="cs"/>
                <w:b/>
                <w:bCs/>
                <w:sz w:val="26"/>
                <w:szCs w:val="26"/>
                <w:rtl/>
              </w:rPr>
              <w:t>ה</w:t>
            </w:r>
            <w:r w:rsidRPr="0084620D">
              <w:rPr>
                <w:rFonts w:ascii="Arial" w:hAnsi="Arial" w:cs="FrankRuehl"/>
                <w:b/>
                <w:bCs/>
                <w:sz w:val="26"/>
                <w:szCs w:val="26"/>
                <w:rtl/>
              </w:rPr>
              <w:t>מאשימה</w:t>
            </w:r>
          </w:p>
        </w:tc>
      </w:tr>
      <w:bookmarkEnd w:id="2"/>
      <w:tr w:rsidR="00F5043D" w:rsidRPr="0084620D" w14:paraId="291069FE" w14:textId="77777777" w:rsidTr="00F5043D">
        <w:trPr>
          <w:trHeight w:val="355"/>
          <w:jc w:val="center"/>
        </w:trPr>
        <w:tc>
          <w:tcPr>
            <w:tcW w:w="923" w:type="dxa"/>
            <w:tcBorders>
              <w:top w:val="nil"/>
              <w:left w:val="nil"/>
              <w:bottom w:val="nil"/>
              <w:right w:val="nil"/>
            </w:tcBorders>
            <w:shd w:val="clear" w:color="auto" w:fill="auto"/>
          </w:tcPr>
          <w:p w14:paraId="3BA357DF" w14:textId="77777777" w:rsidR="00F5043D" w:rsidRPr="0084620D" w:rsidRDefault="00F5043D" w:rsidP="00F5043D">
            <w:pPr>
              <w:jc w:val="both"/>
              <w:rPr>
                <w:rFonts w:ascii="Arial" w:hAnsi="Arial" w:cs="FrankRuehl"/>
                <w:b/>
                <w:bCs/>
                <w:sz w:val="26"/>
                <w:szCs w:val="26"/>
                <w:rtl/>
              </w:rPr>
            </w:pPr>
          </w:p>
        </w:tc>
        <w:tc>
          <w:tcPr>
            <w:tcW w:w="7897" w:type="dxa"/>
            <w:gridSpan w:val="2"/>
            <w:tcBorders>
              <w:top w:val="nil"/>
              <w:left w:val="nil"/>
              <w:bottom w:val="nil"/>
              <w:right w:val="nil"/>
            </w:tcBorders>
            <w:shd w:val="clear" w:color="auto" w:fill="auto"/>
          </w:tcPr>
          <w:p w14:paraId="046ECDCC" w14:textId="77777777" w:rsidR="00F5043D" w:rsidRPr="0084620D" w:rsidRDefault="00F5043D" w:rsidP="00F5043D">
            <w:pPr>
              <w:jc w:val="center"/>
              <w:rPr>
                <w:rFonts w:ascii="Arial" w:hAnsi="Arial" w:cs="FrankRuehl"/>
                <w:b/>
                <w:bCs/>
                <w:sz w:val="26"/>
                <w:szCs w:val="26"/>
                <w:rtl/>
              </w:rPr>
            </w:pPr>
          </w:p>
          <w:p w14:paraId="29D9BF09" w14:textId="77777777" w:rsidR="00F5043D" w:rsidRPr="0084620D" w:rsidRDefault="00F5043D" w:rsidP="00F5043D">
            <w:pPr>
              <w:jc w:val="center"/>
              <w:rPr>
                <w:rFonts w:ascii="Arial" w:hAnsi="Arial" w:cs="FrankRuehl"/>
                <w:b/>
                <w:bCs/>
                <w:sz w:val="26"/>
                <w:szCs w:val="26"/>
                <w:rtl/>
              </w:rPr>
            </w:pPr>
            <w:r w:rsidRPr="0084620D">
              <w:rPr>
                <w:rFonts w:ascii="Arial" w:hAnsi="Arial" w:cs="FrankRuehl"/>
                <w:b/>
                <w:bCs/>
                <w:sz w:val="26"/>
                <w:szCs w:val="26"/>
                <w:rtl/>
              </w:rPr>
              <w:t>נגד</w:t>
            </w:r>
          </w:p>
          <w:p w14:paraId="21829164" w14:textId="77777777" w:rsidR="00F5043D" w:rsidRPr="0084620D" w:rsidRDefault="00F5043D" w:rsidP="00F5043D">
            <w:pPr>
              <w:jc w:val="both"/>
              <w:rPr>
                <w:rFonts w:ascii="Arial" w:hAnsi="Arial" w:cs="FrankRuehl"/>
                <w:b/>
                <w:bCs/>
                <w:sz w:val="26"/>
                <w:szCs w:val="26"/>
              </w:rPr>
            </w:pPr>
          </w:p>
        </w:tc>
      </w:tr>
      <w:tr w:rsidR="00F5043D" w:rsidRPr="0084620D" w14:paraId="1B5DE5B2" w14:textId="77777777" w:rsidTr="00F5043D">
        <w:trPr>
          <w:trHeight w:val="355"/>
          <w:jc w:val="center"/>
        </w:trPr>
        <w:tc>
          <w:tcPr>
            <w:tcW w:w="923" w:type="dxa"/>
            <w:tcBorders>
              <w:top w:val="nil"/>
              <w:left w:val="nil"/>
              <w:bottom w:val="nil"/>
              <w:right w:val="nil"/>
            </w:tcBorders>
            <w:shd w:val="clear" w:color="auto" w:fill="auto"/>
          </w:tcPr>
          <w:p w14:paraId="75BF05BE" w14:textId="77777777" w:rsidR="00F5043D" w:rsidRPr="0084620D" w:rsidRDefault="00F5043D" w:rsidP="0034679D">
            <w:pPr>
              <w:rPr>
                <w:rFonts w:ascii="Arial" w:hAnsi="Arial" w:cs="FrankRuehl"/>
                <w:b/>
                <w:bCs/>
                <w:sz w:val="26"/>
                <w:szCs w:val="26"/>
                <w:rtl/>
              </w:rPr>
            </w:pPr>
          </w:p>
        </w:tc>
        <w:tc>
          <w:tcPr>
            <w:tcW w:w="4126" w:type="dxa"/>
            <w:tcBorders>
              <w:top w:val="nil"/>
              <w:left w:val="nil"/>
              <w:bottom w:val="nil"/>
              <w:right w:val="nil"/>
            </w:tcBorders>
            <w:shd w:val="clear" w:color="auto" w:fill="auto"/>
          </w:tcPr>
          <w:p w14:paraId="3C4C4D60" w14:textId="77777777" w:rsidR="00F5043D" w:rsidRPr="0084620D" w:rsidRDefault="00F5043D" w:rsidP="0034679D">
            <w:pPr>
              <w:rPr>
                <w:rFonts w:cs="FrankRuehl"/>
                <w:b/>
                <w:bCs/>
                <w:sz w:val="26"/>
                <w:szCs w:val="26"/>
                <w:rtl/>
              </w:rPr>
            </w:pPr>
            <w:r w:rsidRPr="0084620D">
              <w:rPr>
                <w:rFonts w:ascii="Arial" w:hAnsi="Arial" w:cs="FrankRuehl"/>
                <w:b/>
                <w:bCs/>
                <w:sz w:val="26"/>
                <w:szCs w:val="26"/>
                <w:rtl/>
              </w:rPr>
              <w:t>עמרי יצחק רופא</w:t>
            </w:r>
            <w:r w:rsidRPr="0084620D">
              <w:rPr>
                <w:rFonts w:cs="FrankRuehl" w:hint="cs"/>
                <w:b/>
                <w:bCs/>
                <w:sz w:val="26"/>
                <w:szCs w:val="26"/>
                <w:rtl/>
              </w:rPr>
              <w:t xml:space="preserve"> - בעצמו</w:t>
            </w:r>
          </w:p>
        </w:tc>
        <w:tc>
          <w:tcPr>
            <w:tcW w:w="3771" w:type="dxa"/>
            <w:tcBorders>
              <w:top w:val="nil"/>
              <w:left w:val="nil"/>
              <w:bottom w:val="nil"/>
              <w:right w:val="nil"/>
            </w:tcBorders>
            <w:shd w:val="clear" w:color="auto" w:fill="auto"/>
          </w:tcPr>
          <w:p w14:paraId="56411F62" w14:textId="77777777" w:rsidR="00F5043D" w:rsidRPr="0084620D" w:rsidRDefault="00F5043D" w:rsidP="00F5043D">
            <w:pPr>
              <w:jc w:val="right"/>
              <w:rPr>
                <w:rFonts w:ascii="Arial" w:hAnsi="Arial" w:cs="FrankRuehl"/>
                <w:b/>
                <w:bCs/>
                <w:sz w:val="26"/>
                <w:szCs w:val="26"/>
              </w:rPr>
            </w:pPr>
          </w:p>
        </w:tc>
      </w:tr>
      <w:tr w:rsidR="00F5043D" w:rsidRPr="0084620D" w14:paraId="4D8AF11E" w14:textId="77777777" w:rsidTr="00F5043D">
        <w:trPr>
          <w:trHeight w:val="355"/>
          <w:jc w:val="center"/>
        </w:trPr>
        <w:tc>
          <w:tcPr>
            <w:tcW w:w="923" w:type="dxa"/>
            <w:tcBorders>
              <w:top w:val="nil"/>
              <w:left w:val="nil"/>
              <w:bottom w:val="nil"/>
              <w:right w:val="nil"/>
            </w:tcBorders>
            <w:shd w:val="clear" w:color="auto" w:fill="auto"/>
          </w:tcPr>
          <w:p w14:paraId="7C419123" w14:textId="77777777" w:rsidR="00F5043D" w:rsidRPr="0084620D" w:rsidRDefault="00F5043D" w:rsidP="00F5043D">
            <w:pPr>
              <w:jc w:val="both"/>
              <w:rPr>
                <w:rFonts w:ascii="Arial" w:hAnsi="Arial" w:cs="FrankRuehl"/>
                <w:b/>
                <w:bCs/>
                <w:sz w:val="26"/>
                <w:szCs w:val="26"/>
                <w:rtl/>
              </w:rPr>
            </w:pPr>
          </w:p>
        </w:tc>
        <w:tc>
          <w:tcPr>
            <w:tcW w:w="4126" w:type="dxa"/>
            <w:tcBorders>
              <w:top w:val="nil"/>
              <w:left w:val="nil"/>
              <w:bottom w:val="nil"/>
              <w:right w:val="nil"/>
            </w:tcBorders>
            <w:shd w:val="clear" w:color="auto" w:fill="auto"/>
          </w:tcPr>
          <w:p w14:paraId="7A69E3BF" w14:textId="77777777" w:rsidR="00F5043D" w:rsidRPr="0084620D" w:rsidRDefault="00F5043D" w:rsidP="00F5043D">
            <w:pPr>
              <w:jc w:val="both"/>
              <w:rPr>
                <w:rFonts w:cs="FrankRuehl"/>
                <w:b/>
                <w:bCs/>
                <w:sz w:val="26"/>
                <w:szCs w:val="26"/>
                <w:rtl/>
              </w:rPr>
            </w:pPr>
            <w:r w:rsidRPr="0084620D">
              <w:rPr>
                <w:rFonts w:cs="FrankRuehl" w:hint="cs"/>
                <w:b/>
                <w:bCs/>
                <w:sz w:val="26"/>
                <w:szCs w:val="26"/>
                <w:rtl/>
              </w:rPr>
              <w:t>ע"י ב"כ עו"ד אבי חימי</w:t>
            </w:r>
          </w:p>
        </w:tc>
        <w:tc>
          <w:tcPr>
            <w:tcW w:w="3771" w:type="dxa"/>
            <w:tcBorders>
              <w:top w:val="nil"/>
              <w:left w:val="nil"/>
              <w:bottom w:val="nil"/>
              <w:right w:val="nil"/>
            </w:tcBorders>
            <w:shd w:val="clear" w:color="auto" w:fill="auto"/>
          </w:tcPr>
          <w:p w14:paraId="4B53164A" w14:textId="77777777" w:rsidR="00F5043D" w:rsidRPr="0084620D" w:rsidRDefault="00F5043D" w:rsidP="00F5043D">
            <w:pPr>
              <w:jc w:val="right"/>
              <w:rPr>
                <w:rFonts w:ascii="Arial" w:hAnsi="Arial" w:cs="FrankRuehl"/>
                <w:b/>
                <w:bCs/>
                <w:sz w:val="26"/>
                <w:szCs w:val="26"/>
              </w:rPr>
            </w:pPr>
            <w:r w:rsidRPr="0084620D">
              <w:rPr>
                <w:rFonts w:ascii="Arial" w:hAnsi="Arial" w:cs="FrankRuehl" w:hint="cs"/>
                <w:b/>
                <w:bCs/>
                <w:sz w:val="26"/>
                <w:szCs w:val="26"/>
                <w:rtl/>
              </w:rPr>
              <w:t>ה</w:t>
            </w:r>
            <w:r w:rsidRPr="0084620D">
              <w:rPr>
                <w:rFonts w:ascii="Arial" w:hAnsi="Arial" w:cs="FrankRuehl"/>
                <w:b/>
                <w:bCs/>
                <w:sz w:val="26"/>
                <w:szCs w:val="26"/>
                <w:rtl/>
              </w:rPr>
              <w:t>נאשם</w:t>
            </w:r>
          </w:p>
        </w:tc>
      </w:tr>
    </w:tbl>
    <w:p w14:paraId="6650FCBD" w14:textId="77777777" w:rsidR="00F5043D" w:rsidRDefault="00F5043D" w:rsidP="00F5043D">
      <w:pPr>
        <w:rPr>
          <w:rFonts w:cs="FrankRuehl" w:hint="cs"/>
          <w:b/>
          <w:bCs/>
          <w:sz w:val="26"/>
          <w:szCs w:val="26"/>
          <w:rtl/>
        </w:rPr>
      </w:pPr>
    </w:p>
    <w:p w14:paraId="4BFCCDA1" w14:textId="77777777" w:rsidR="007E599E" w:rsidRPr="007E599E" w:rsidRDefault="007E599E" w:rsidP="007E599E">
      <w:pPr>
        <w:spacing w:before="120" w:after="120" w:line="240" w:lineRule="exact"/>
        <w:ind w:left="283" w:hanging="283"/>
        <w:jc w:val="both"/>
        <w:rPr>
          <w:rFonts w:ascii="FrankRuehl" w:hAnsi="FrankRuehl" w:cs="FrankRuehl"/>
          <w:rtl/>
        </w:rPr>
      </w:pPr>
      <w:bookmarkStart w:id="3" w:name="LawTable"/>
      <w:bookmarkEnd w:id="3"/>
    </w:p>
    <w:p w14:paraId="3C6973B4" w14:textId="77777777" w:rsidR="007E599E" w:rsidRPr="007E599E" w:rsidRDefault="007E599E" w:rsidP="007E599E">
      <w:pPr>
        <w:spacing w:before="120" w:after="120" w:line="240" w:lineRule="exact"/>
        <w:ind w:left="283" w:hanging="283"/>
        <w:jc w:val="both"/>
        <w:rPr>
          <w:rFonts w:ascii="FrankRuehl" w:hAnsi="FrankRuehl" w:cs="FrankRuehl"/>
          <w:rtl/>
        </w:rPr>
      </w:pPr>
    </w:p>
    <w:p w14:paraId="34888E8B" w14:textId="77777777" w:rsidR="007E599E" w:rsidRPr="007E599E" w:rsidRDefault="007E599E" w:rsidP="007E599E">
      <w:pPr>
        <w:spacing w:before="120" w:after="120" w:line="240" w:lineRule="exact"/>
        <w:ind w:left="283" w:hanging="283"/>
        <w:jc w:val="both"/>
        <w:rPr>
          <w:rFonts w:ascii="FrankRuehl" w:hAnsi="FrankRuehl" w:cs="FrankRuehl"/>
          <w:rtl/>
        </w:rPr>
      </w:pPr>
      <w:r w:rsidRPr="007E599E">
        <w:rPr>
          <w:rFonts w:ascii="FrankRuehl" w:hAnsi="FrankRuehl" w:cs="FrankRuehl"/>
          <w:rtl/>
        </w:rPr>
        <w:t xml:space="preserve">חקיקה שאוזכרה: </w:t>
      </w:r>
    </w:p>
    <w:p w14:paraId="75D12F47" w14:textId="77777777" w:rsidR="007E599E" w:rsidRPr="007E599E" w:rsidRDefault="007E599E" w:rsidP="007E599E">
      <w:pPr>
        <w:spacing w:before="120" w:after="120" w:line="240" w:lineRule="exact"/>
        <w:ind w:left="283" w:hanging="283"/>
        <w:jc w:val="both"/>
        <w:rPr>
          <w:rFonts w:ascii="FrankRuehl" w:hAnsi="FrankRuehl" w:cs="FrankRuehl"/>
          <w:color w:val="0000FF"/>
          <w:u w:val="single"/>
          <w:rtl/>
        </w:rPr>
      </w:pPr>
      <w:hyperlink r:id="rId7" w:history="1">
        <w:r w:rsidRPr="007E599E">
          <w:rPr>
            <w:rStyle w:val="Hyperlink"/>
            <w:rFonts w:ascii="FrankRuehl" w:hAnsi="FrankRuehl" w:cs="FrankRuehl"/>
            <w:rtl/>
          </w:rPr>
          <w:t>פקודת הסמים המסוכנים [נוסח חדש], תשל"ג-1973</w:t>
        </w:r>
      </w:hyperlink>
      <w:r w:rsidRPr="007E599E">
        <w:rPr>
          <w:rFonts w:ascii="FrankRuehl" w:hAnsi="FrankRuehl" w:cs="FrankRuehl"/>
          <w:color w:val="0000FF"/>
          <w:u w:val="single"/>
          <w:rtl/>
        </w:rPr>
        <w:t xml:space="preserve">: סע'  </w:t>
      </w:r>
      <w:hyperlink r:id="rId8" w:history="1">
        <w:r w:rsidRPr="007E599E">
          <w:rPr>
            <w:rStyle w:val="Hyperlink"/>
            <w:rFonts w:ascii="FrankRuehl" w:hAnsi="FrankRuehl" w:cs="FrankRuehl"/>
          </w:rPr>
          <w:t>6</w:t>
        </w:r>
      </w:hyperlink>
    </w:p>
    <w:p w14:paraId="750FAD40" w14:textId="77777777" w:rsidR="002964C7" w:rsidRPr="007E599E" w:rsidRDefault="002964C7" w:rsidP="007E599E">
      <w:pPr>
        <w:rPr>
          <w:rFonts w:ascii="Arial" w:hAnsi="Arial" w:hint="cs"/>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5043D" w:rsidRPr="0084620D" w14:paraId="5CC7983F" w14:textId="77777777" w:rsidTr="00F5043D">
        <w:trPr>
          <w:trHeight w:val="355"/>
          <w:jc w:val="center"/>
        </w:trPr>
        <w:tc>
          <w:tcPr>
            <w:tcW w:w="8820" w:type="dxa"/>
            <w:tcBorders>
              <w:top w:val="nil"/>
              <w:left w:val="nil"/>
              <w:bottom w:val="nil"/>
              <w:right w:val="nil"/>
            </w:tcBorders>
            <w:shd w:val="clear" w:color="auto" w:fill="auto"/>
          </w:tcPr>
          <w:p w14:paraId="75767731" w14:textId="77777777" w:rsidR="00F5043D" w:rsidRPr="0084620D" w:rsidRDefault="00F5043D" w:rsidP="00F5043D">
            <w:pPr>
              <w:jc w:val="center"/>
              <w:rPr>
                <w:rFonts w:ascii="Arial" w:hAnsi="Arial" w:cs="FrankRuehl"/>
                <w:sz w:val="36"/>
                <w:szCs w:val="36"/>
                <w:rtl/>
              </w:rPr>
            </w:pPr>
            <w:bookmarkStart w:id="5" w:name="PsakDin"/>
            <w:r w:rsidRPr="0084620D">
              <w:rPr>
                <w:rFonts w:ascii="Arial" w:hAnsi="Arial" w:cs="FrankRuehl" w:hint="cs"/>
                <w:b/>
                <w:bCs/>
                <w:sz w:val="36"/>
                <w:szCs w:val="36"/>
                <w:rtl/>
              </w:rPr>
              <w:t>גזר  דין</w:t>
            </w:r>
            <w:bookmarkEnd w:id="5"/>
          </w:p>
        </w:tc>
      </w:tr>
    </w:tbl>
    <w:p w14:paraId="7028960E" w14:textId="77777777" w:rsidR="00F5043D" w:rsidRPr="0084620D" w:rsidRDefault="00F5043D" w:rsidP="00F5043D">
      <w:pPr>
        <w:rPr>
          <w:rFonts w:ascii="Arial" w:hAnsi="Arial"/>
          <w:rtl/>
        </w:rPr>
      </w:pPr>
    </w:p>
    <w:p w14:paraId="601189E0" w14:textId="77777777" w:rsidR="00F5043D" w:rsidRPr="0084620D" w:rsidRDefault="00F5043D" w:rsidP="00F5043D">
      <w:pPr>
        <w:rPr>
          <w:rFonts w:ascii="Arial" w:hAnsi="Arial"/>
          <w:rtl/>
        </w:rPr>
      </w:pPr>
    </w:p>
    <w:p w14:paraId="1BE33AB5" w14:textId="77777777" w:rsidR="00F5043D" w:rsidRPr="0084620D" w:rsidRDefault="00F5043D" w:rsidP="00F5043D">
      <w:pPr>
        <w:spacing w:line="360" w:lineRule="auto"/>
        <w:contextualSpacing/>
        <w:rPr>
          <w:rFonts w:ascii="Arial" w:hAnsi="Arial"/>
          <w:b/>
          <w:bCs/>
        </w:rPr>
      </w:pPr>
      <w:r w:rsidRPr="0084620D">
        <w:rPr>
          <w:rFonts w:ascii="Arial" w:hAnsi="Arial" w:hint="cs"/>
          <w:b/>
          <w:bCs/>
          <w:rtl/>
        </w:rPr>
        <w:t>כללי</w:t>
      </w:r>
    </w:p>
    <w:p w14:paraId="774FED8B" w14:textId="77777777" w:rsidR="00F5043D" w:rsidRPr="0084620D" w:rsidRDefault="00F5043D" w:rsidP="00F5043D">
      <w:pPr>
        <w:spacing w:line="360" w:lineRule="auto"/>
        <w:contextualSpacing/>
        <w:jc w:val="both"/>
        <w:rPr>
          <w:rFonts w:ascii="Calibri" w:hAnsi="Calibri" w:cs="Calibri"/>
        </w:rPr>
      </w:pPr>
      <w:bookmarkStart w:id="6" w:name="ABSTRACT_START"/>
      <w:bookmarkEnd w:id="6"/>
      <w:r w:rsidRPr="0084620D">
        <w:rPr>
          <w:rFonts w:ascii="Calibri" w:hAnsi="Calibri" w:hint="cs"/>
          <w:rtl/>
        </w:rPr>
        <w:t xml:space="preserve">הנאשם הורשע על יסוד הודאתו בעובדות כתב אישום מתוקן בעבירה של </w:t>
      </w:r>
      <w:r w:rsidRPr="0084620D">
        <w:rPr>
          <w:rFonts w:ascii="Calibri" w:hAnsi="Calibri" w:hint="cs"/>
          <w:b/>
          <w:bCs/>
          <w:rtl/>
        </w:rPr>
        <w:t>גידול יצור והכנת סמים מסוכנים</w:t>
      </w:r>
      <w:r w:rsidRPr="0084620D">
        <w:rPr>
          <w:rFonts w:ascii="Calibri" w:hAnsi="Calibri" w:hint="cs"/>
          <w:rtl/>
        </w:rPr>
        <w:t xml:space="preserve"> - לפי </w:t>
      </w:r>
      <w:hyperlink r:id="rId9" w:history="1">
        <w:r w:rsidR="002964C7" w:rsidRPr="002964C7">
          <w:rPr>
            <w:rFonts w:ascii="Calibri" w:hAnsi="Calibri" w:hint="eastAsia"/>
            <w:color w:val="0000FF"/>
            <w:u w:val="single"/>
            <w:rtl/>
          </w:rPr>
          <w:t>סעיף</w:t>
        </w:r>
        <w:r w:rsidR="002964C7" w:rsidRPr="002964C7">
          <w:rPr>
            <w:rFonts w:ascii="Calibri" w:hAnsi="Calibri"/>
            <w:color w:val="0000FF"/>
            <w:u w:val="single"/>
            <w:rtl/>
          </w:rPr>
          <w:t xml:space="preserve"> 6</w:t>
        </w:r>
      </w:hyperlink>
      <w:r w:rsidRPr="0084620D">
        <w:rPr>
          <w:rFonts w:ascii="Calibri" w:hAnsi="Calibri" w:hint="cs"/>
          <w:rtl/>
        </w:rPr>
        <w:t xml:space="preserve"> ל</w:t>
      </w:r>
      <w:hyperlink r:id="rId10" w:history="1">
        <w:r w:rsidR="0084620D" w:rsidRPr="0084620D">
          <w:rPr>
            <w:rFonts w:ascii="Calibri" w:hAnsi="Calibri" w:hint="eastAsia"/>
            <w:color w:val="0000FF"/>
            <w:u w:val="single"/>
            <w:rtl/>
          </w:rPr>
          <w:t>פקודת</w:t>
        </w:r>
        <w:r w:rsidR="0084620D" w:rsidRPr="0084620D">
          <w:rPr>
            <w:rFonts w:ascii="Calibri" w:hAnsi="Calibri"/>
            <w:color w:val="0000FF"/>
            <w:u w:val="single"/>
            <w:rtl/>
          </w:rPr>
          <w:t xml:space="preserve"> </w:t>
        </w:r>
        <w:r w:rsidR="0084620D" w:rsidRPr="0084620D">
          <w:rPr>
            <w:rFonts w:ascii="Calibri" w:hAnsi="Calibri" w:hint="eastAsia"/>
            <w:color w:val="0000FF"/>
            <w:u w:val="single"/>
            <w:rtl/>
          </w:rPr>
          <w:t>הסמים</w:t>
        </w:r>
        <w:r w:rsidR="0084620D" w:rsidRPr="0084620D">
          <w:rPr>
            <w:rFonts w:ascii="Calibri" w:hAnsi="Calibri"/>
            <w:color w:val="0000FF"/>
            <w:u w:val="single"/>
            <w:rtl/>
          </w:rPr>
          <w:t xml:space="preserve"> </w:t>
        </w:r>
        <w:r w:rsidR="0084620D" w:rsidRPr="0084620D">
          <w:rPr>
            <w:rFonts w:ascii="Calibri" w:hAnsi="Calibri" w:hint="eastAsia"/>
            <w:color w:val="0000FF"/>
            <w:u w:val="single"/>
            <w:rtl/>
          </w:rPr>
          <w:t>המסוכנים</w:t>
        </w:r>
      </w:hyperlink>
      <w:r w:rsidRPr="0084620D">
        <w:rPr>
          <w:rFonts w:ascii="Calibri" w:hAnsi="Calibri" w:hint="cs"/>
          <w:rtl/>
        </w:rPr>
        <w:t xml:space="preserve"> [נוסח חדש], התשל"ג –  1973  (להלן: "פקודת הסמים"), בכך שביום 5.8.18, גידל באחד המבנים בשטח חקלאי השייך להוריו, 88 שתילי סם מסוג קאנביס בתוך עציצים במשקל 7.1 ק"ג נטו.   </w:t>
      </w:r>
    </w:p>
    <w:p w14:paraId="5058EBC0" w14:textId="77777777" w:rsidR="00F5043D" w:rsidRPr="0084620D" w:rsidRDefault="00F5043D" w:rsidP="00F5043D">
      <w:pPr>
        <w:spacing w:line="360" w:lineRule="auto"/>
        <w:ind w:left="785"/>
        <w:contextualSpacing/>
        <w:jc w:val="both"/>
        <w:rPr>
          <w:rFonts w:ascii="Calibri" w:hAnsi="Calibri" w:cs="Calibri"/>
        </w:rPr>
      </w:pPr>
      <w:bookmarkStart w:id="7" w:name="ABSTRACT_END"/>
      <w:bookmarkEnd w:id="7"/>
    </w:p>
    <w:p w14:paraId="7E590122" w14:textId="77777777" w:rsidR="00F5043D" w:rsidRPr="0084620D" w:rsidRDefault="00F5043D" w:rsidP="00F5043D">
      <w:pPr>
        <w:spacing w:line="360" w:lineRule="auto"/>
        <w:contextualSpacing/>
        <w:jc w:val="both"/>
        <w:rPr>
          <w:rFonts w:ascii="Calibri" w:hAnsi="Calibri"/>
        </w:rPr>
      </w:pPr>
      <w:r w:rsidRPr="0084620D">
        <w:rPr>
          <w:rFonts w:ascii="Calibri" w:hAnsi="Calibri" w:hint="cs"/>
          <w:rtl/>
        </w:rPr>
        <w:t xml:space="preserve">מתסקיר, שהוגש בהסכמת הצדדים, עולה שהנאשם בן 29, ללא עבר פלילי. התסקיר מבוסס על היכרות שירות המבחן עם הנאשם במסגרת פיקוח מעצר וכן מידע מהמטפל הפרטי אצלו משולב בטיפול. הנאשם בן למשפחה נורמטיבית, אביו שירת בצבא בתפקידים בכירים ולאי נוכחותו בבית הייתה השפעה מורכבת  על הנאשם. עובר לגידול הסם נקלע הנאשם למצב כלכלי דחוק שנבע גם מהתמכרותו לחומרים פסיכו-אקטיביים. הנאשם סובל מדלקת מעיים כרונית ועל כן לא גויס לשירות צבאי. שירות המבחן סוקר נסיבותיו המורכבות, דפוסי השימוש בסם שהחלו בגיל צעיר והשלכות מעשיו על בני משפחתו. הנאשם מטופל אצל מטפל פרטי (חוו"ד מיום 3.1.19- מסומנת נ/1), קרמינולוג קליני בהכשרתו ומתמודד עם בעיות רגשיות לצד פוסט טראומה ובעיית התמכרות </w:t>
      </w:r>
      <w:r w:rsidRPr="0084620D">
        <w:rPr>
          <w:rFonts w:ascii="Calibri" w:hAnsi="Calibri" w:hint="cs"/>
          <w:rtl/>
        </w:rPr>
        <w:lastRenderedPageBreak/>
        <w:t xml:space="preserve">לסם. במהלך הטיפול ומזה שנה וחצי חדל הנאשם להשתמש בסם, מסר בדיקות שתן נקיות ומתמיד בשיתוף פעולה עם גורמי הטיפול. על כן, רואה שירות המבחן חשיבות לאמץ את האפיק הטיפולי-שיקומי וממליץ להעמידו תחת פיקוחם למצד צו של"צ וענישה צופה פני עתיד.   </w:t>
      </w:r>
    </w:p>
    <w:p w14:paraId="378D7422" w14:textId="77777777" w:rsidR="00F5043D" w:rsidRPr="0084620D" w:rsidRDefault="00F5043D" w:rsidP="00F5043D">
      <w:pPr>
        <w:spacing w:line="360" w:lineRule="auto"/>
        <w:ind w:left="785"/>
        <w:contextualSpacing/>
        <w:jc w:val="both"/>
        <w:rPr>
          <w:rFonts w:ascii="Calibri" w:hAnsi="Calibri"/>
          <w:rtl/>
        </w:rPr>
      </w:pPr>
    </w:p>
    <w:p w14:paraId="48ACFCB7" w14:textId="77777777" w:rsidR="00F5043D" w:rsidRPr="0084620D" w:rsidRDefault="00F5043D" w:rsidP="00F5043D">
      <w:pPr>
        <w:spacing w:line="360" w:lineRule="auto"/>
        <w:contextualSpacing/>
        <w:jc w:val="both"/>
        <w:rPr>
          <w:rFonts w:ascii="Calibri" w:hAnsi="Calibri"/>
          <w:rtl/>
        </w:rPr>
      </w:pPr>
      <w:r w:rsidRPr="0084620D">
        <w:rPr>
          <w:rFonts w:ascii="Calibri" w:hAnsi="Calibri" w:hint="cs"/>
          <w:rtl/>
        </w:rPr>
        <w:t xml:space="preserve">ב"כ המאשימה, עו"ד מזולה, עמדה על חומרת מעשי הנאשם והיקף הגידול.  כן עתרה למתחם ענישה שנע בין 8-20 חודשי מאסר וביקשה למקמו, עקב עברו הנקי והמלצות שירות המבחן, ברף תחתון לצד ענישה נלווית. </w:t>
      </w:r>
    </w:p>
    <w:p w14:paraId="2F67D372" w14:textId="77777777" w:rsidR="00F5043D" w:rsidRPr="0084620D" w:rsidRDefault="00F5043D" w:rsidP="00F5043D">
      <w:pPr>
        <w:spacing w:line="360" w:lineRule="auto"/>
        <w:contextualSpacing/>
        <w:jc w:val="both"/>
        <w:rPr>
          <w:rFonts w:ascii="Calibri" w:hAnsi="Calibri"/>
          <w:rtl/>
        </w:rPr>
      </w:pPr>
      <w:r w:rsidRPr="0084620D">
        <w:rPr>
          <w:rFonts w:ascii="Calibri" w:hAnsi="Calibri" w:hint="cs"/>
          <w:rtl/>
        </w:rPr>
        <w:t xml:space="preserve">מן העבר השני, מבקש ב"כ הנאשם, עו"ד חימי, לאמץ המלצות שירות המבחן. ב"כ הנאשם עמד על הצלחת ההליך הטיפולי, נקיונו הממושך מסם, והרקע לביצוע המעשים. עוד הוסיף, שהנאשם לא הקים מעבדה לגידול סם אלא עשה שימוש בחממה ששימשה בעבר את אמו וגידלם לשימוש העצמי. עוד שמעתי את אבי הנאשם, שהכה על חטא על היעדרותו מהבית בשנות ילדותו של הנאשם ועמד על התמיכה הרבה שמקבל הנאשם מכלל המשפחה. עוד סיפר, שבמועד מעצר בנו בתיק זה , התמודד על ראשות המועצה באזורו ופרסום המעשים גרם לו ולמשפחתו נזק רב. הנאשם עצמו הסביר שבמשך שנים רבות סירב לטיפול ורק לאחר מעורבותו בתיק זה, כשהבין את המחירים שהוא ומשפחתו משלמים, החליט לשנות את דרכיו ונעזר רבות בגורמי הטיפול. </w:t>
      </w:r>
    </w:p>
    <w:p w14:paraId="3D278386" w14:textId="77777777" w:rsidR="00F5043D" w:rsidRPr="0084620D" w:rsidRDefault="00F5043D" w:rsidP="00F5043D">
      <w:pPr>
        <w:spacing w:line="360" w:lineRule="auto"/>
        <w:ind w:left="1069"/>
        <w:contextualSpacing/>
        <w:jc w:val="both"/>
        <w:rPr>
          <w:rFonts w:ascii="Calibri" w:hAnsi="Calibri"/>
          <w:b/>
          <w:bCs/>
          <w:rtl/>
        </w:rPr>
      </w:pPr>
    </w:p>
    <w:bookmarkEnd w:id="0"/>
    <w:p w14:paraId="2FED6D9E" w14:textId="77777777" w:rsidR="00F5043D" w:rsidRDefault="00F5043D" w:rsidP="00F5043D">
      <w:pPr>
        <w:spacing w:line="360" w:lineRule="auto"/>
        <w:contextualSpacing/>
        <w:rPr>
          <w:rFonts w:ascii="Calibri" w:hAnsi="Calibri"/>
          <w:b/>
          <w:bCs/>
          <w:u w:val="single"/>
          <w:rtl/>
        </w:rPr>
      </w:pPr>
      <w:r>
        <w:rPr>
          <w:rFonts w:ascii="Calibri" w:hAnsi="Calibri" w:hint="cs"/>
          <w:b/>
          <w:bCs/>
          <w:u w:val="single"/>
          <w:rtl/>
        </w:rPr>
        <w:t>דיון והכרעה</w:t>
      </w:r>
    </w:p>
    <w:p w14:paraId="42931A3E" w14:textId="77777777" w:rsidR="00F5043D" w:rsidRDefault="00F5043D" w:rsidP="00F5043D">
      <w:pPr>
        <w:spacing w:line="360" w:lineRule="auto"/>
        <w:contextualSpacing/>
        <w:jc w:val="both"/>
        <w:rPr>
          <w:rFonts w:ascii="Arial" w:hAnsi="Arial" w:cs="Arial"/>
          <w:rtl/>
        </w:rPr>
      </w:pPr>
      <w:r>
        <w:rPr>
          <w:rFonts w:ascii="Calibri" w:hAnsi="Calibri" w:hint="cs"/>
          <w:rtl/>
        </w:rPr>
        <w:t xml:space="preserve">תיקון 113 קובע כי על בית המשפט לגזור את הדין בהתאם לעקרון ההלימה, שהוא העיקרון העומד בראש קביעת מתחם העונש, לפיו בעת גזירת עונשו של נאשם על בית המשפט לקבוע, את מתחם העונש ההולם את המעשים בגינם הורשע הנאשם, להתחשב </w:t>
      </w:r>
      <w:r>
        <w:rPr>
          <w:rFonts w:ascii="Calibri" w:hAnsi="Calibri" w:cs="Miriam" w:hint="cs"/>
          <w:rtl/>
        </w:rPr>
        <w:t>בערך החברתי</w:t>
      </w:r>
      <w:r>
        <w:rPr>
          <w:rFonts w:ascii="Calibri" w:hAnsi="Calibri" w:hint="cs"/>
          <w:rtl/>
        </w:rPr>
        <w:t xml:space="preserve"> שנפגע מביצוע העבירה </w:t>
      </w:r>
      <w:r>
        <w:rPr>
          <w:rFonts w:ascii="Calibri" w:hAnsi="Calibri" w:cs="Miriam" w:hint="cs"/>
          <w:rtl/>
        </w:rPr>
        <w:t>ובמידת הפגיעה בו, במדיניות הענישה הנוהגת ובנסיבות הקשורות בביצוע העבירה</w:t>
      </w:r>
      <w:r>
        <w:rPr>
          <w:rFonts w:ascii="Calibri" w:hAnsi="Calibri" w:hint="cs"/>
          <w:rtl/>
        </w:rPr>
        <w:t>. בתוך מתחם העונש ההולם יגזור בית המשפט את העונש המתאים לנאשם, בהתחשב בנסיבות המקרה הספציפי.</w:t>
      </w:r>
    </w:p>
    <w:p w14:paraId="2062A02E" w14:textId="77777777" w:rsidR="00F5043D" w:rsidRDefault="00F5043D" w:rsidP="00F5043D">
      <w:pPr>
        <w:spacing w:line="360" w:lineRule="auto"/>
        <w:jc w:val="both"/>
        <w:rPr>
          <w:rFonts w:ascii="Arial" w:hAnsi="Arial" w:cs="Arial"/>
        </w:rPr>
      </w:pPr>
      <w:r>
        <w:rPr>
          <w:rFonts w:ascii="Arial" w:hAnsi="Arial" w:cs="Arial"/>
        </w:rPr>
        <w:t xml:space="preserve"> </w:t>
      </w:r>
    </w:p>
    <w:p w14:paraId="02A7CE85" w14:textId="77777777" w:rsidR="00F5043D" w:rsidRDefault="00F5043D" w:rsidP="00F5043D">
      <w:pPr>
        <w:spacing w:line="360" w:lineRule="auto"/>
        <w:jc w:val="both"/>
        <w:rPr>
          <w:rFonts w:cs="Times New Roman"/>
          <w:lang w:eastAsia="he-IL"/>
        </w:rPr>
      </w:pPr>
      <w:r>
        <w:rPr>
          <w:rFonts w:hint="cs"/>
          <w:rtl/>
          <w:lang w:eastAsia="he-IL"/>
        </w:rPr>
        <w:t xml:space="preserve">גידול סם בהיקף שתילים ומשקל כפי שבענייננו, יש בו כדי להוות פגיעה בבריאות הגוף והנפש של הציבור ובכלל זה של הנאשם עצמו, זאת לצד ההגנה על שלום הציבור והסיכון מפני ביצוע עבירות פליליות, ומפני הנזקים החברתיים הישירים והעקיפים, אשר נגרמים כתוצאה מעבירות המתבצעות על רקע של שימוש בסמים מסוכנים.  </w:t>
      </w:r>
    </w:p>
    <w:p w14:paraId="7AAA7491" w14:textId="77777777" w:rsidR="00F5043D" w:rsidRPr="008D7510" w:rsidRDefault="00F5043D" w:rsidP="00F5043D">
      <w:pPr>
        <w:ind w:left="720"/>
        <w:contextualSpacing/>
        <w:rPr>
          <w:rFonts w:cs="Times New Roman"/>
          <w:lang w:eastAsia="he-IL"/>
        </w:rPr>
      </w:pPr>
    </w:p>
    <w:p w14:paraId="7846DDFA" w14:textId="77777777" w:rsidR="00F5043D" w:rsidRDefault="00F5043D" w:rsidP="00F5043D">
      <w:pPr>
        <w:spacing w:line="360" w:lineRule="auto"/>
        <w:contextualSpacing/>
        <w:jc w:val="both"/>
        <w:rPr>
          <w:rFonts w:ascii="Calibri" w:hAnsi="Calibri"/>
          <w:rtl/>
        </w:rPr>
      </w:pPr>
      <w:r>
        <w:rPr>
          <w:rFonts w:ascii="Calibri" w:hAnsi="Calibri" w:hint="cs"/>
          <w:rtl/>
        </w:rPr>
        <w:t xml:space="preserve">מידת הפגיעה בערך החברתי המוגן המונח בבסיס מעשי הנאשם מוחשית. עם זאת, יש ליתן משקל לכך שהנאשם עשה שימוש בחממה ישנה בשטח השייך למשפחתו לצורך גידול הסם בעציצים ואין מדובר בהקמת מעבדה מתוכננת, ואף לא שכירת מקום ייעודי או קניית ציוד מיוחד ויקר. צודק ב"כ הנאשם, כי אין אינדיקציה שהנאשם סחר בסם אך עדיין כמות השתילים ומשקלם גדולה משמעותית מכמות סבירה לשימוש עצמי.  </w:t>
      </w:r>
    </w:p>
    <w:p w14:paraId="51BEC7F7" w14:textId="77777777" w:rsidR="00F5043D" w:rsidRPr="00F5043D" w:rsidRDefault="00F5043D" w:rsidP="00F5043D">
      <w:pPr>
        <w:spacing w:line="360" w:lineRule="auto"/>
        <w:ind w:left="785"/>
        <w:contextualSpacing/>
        <w:jc w:val="both"/>
        <w:rPr>
          <w:rFonts w:ascii="Calibri" w:eastAsia="Calibri" w:hAnsi="Calibri"/>
          <w:rtl/>
        </w:rPr>
      </w:pPr>
    </w:p>
    <w:p w14:paraId="1F0A2A38" w14:textId="77777777" w:rsidR="00F5043D" w:rsidRDefault="00F5043D" w:rsidP="00F5043D">
      <w:pPr>
        <w:spacing w:line="360" w:lineRule="auto"/>
        <w:contextualSpacing/>
        <w:jc w:val="both"/>
        <w:rPr>
          <w:b/>
          <w:bCs/>
          <w:u w:val="single"/>
          <w:rtl/>
        </w:rPr>
      </w:pPr>
      <w:r>
        <w:rPr>
          <w:rFonts w:hint="cs"/>
          <w:b/>
          <w:bCs/>
          <w:u w:val="single"/>
          <w:rtl/>
        </w:rPr>
        <w:lastRenderedPageBreak/>
        <w:t>קביעת מתחם הענישה</w:t>
      </w:r>
    </w:p>
    <w:p w14:paraId="640277DD" w14:textId="77777777" w:rsidR="00F5043D" w:rsidRDefault="00F5043D" w:rsidP="00F5043D">
      <w:pPr>
        <w:overflowPunct w:val="0"/>
        <w:autoSpaceDE w:val="0"/>
        <w:autoSpaceDN w:val="0"/>
        <w:spacing w:line="360" w:lineRule="auto"/>
        <w:jc w:val="both"/>
        <w:rPr>
          <w:rFonts w:ascii="Arial TUR" w:hAnsi="Arial TUR"/>
          <w:b/>
          <w:bCs/>
          <w:spacing w:val="10"/>
          <w:rtl/>
          <w:lang w:eastAsia="he-IL"/>
        </w:rPr>
      </w:pPr>
      <w:r>
        <w:rPr>
          <w:rFonts w:hint="cs"/>
          <w:spacing w:val="10"/>
          <w:rtl/>
          <w:lang w:eastAsia="he-IL"/>
        </w:rPr>
        <w:t xml:space="preserve">בתי המשפט שבו ועמדו על חשיבות המאבק בעבירות הסמים. כמו כן הודגש הפסול שבעבירות השימוש בסמים והשלכותיו הקשות על גופו ונפשו של המשתמש, ולפיכך נקבע כי הענישה אמורה לשקף את הצורך במיגור תופעה זו. ראו </w:t>
      </w:r>
      <w:hyperlink r:id="rId11" w:history="1">
        <w:r w:rsidR="0084620D" w:rsidRPr="0084620D">
          <w:rPr>
            <w:color w:val="0000FF"/>
            <w:spacing w:val="10"/>
            <w:u w:val="single"/>
            <w:rtl/>
            <w:lang w:eastAsia="he-IL"/>
          </w:rPr>
          <w:t>ע"פ 6029/03</w:t>
        </w:r>
      </w:hyperlink>
      <w:r>
        <w:rPr>
          <w:rFonts w:hint="cs"/>
          <w:b/>
          <w:bCs/>
          <w:spacing w:val="10"/>
          <w:rtl/>
          <w:lang w:eastAsia="he-IL"/>
        </w:rPr>
        <w:t xml:space="preserve"> מדינת ישראל נ' שמאי </w:t>
      </w:r>
      <w:r>
        <w:rPr>
          <w:rFonts w:hint="cs"/>
          <w:spacing w:val="10"/>
          <w:rtl/>
          <w:lang w:eastAsia="he-IL"/>
        </w:rPr>
        <w:t>(9.2.2004)</w:t>
      </w:r>
      <w:r>
        <w:rPr>
          <w:rFonts w:hint="cs"/>
          <w:b/>
          <w:bCs/>
          <w:spacing w:val="10"/>
          <w:rtl/>
          <w:lang w:eastAsia="he-IL"/>
        </w:rPr>
        <w:t>, מפי כב' השופט מ' חשין</w:t>
      </w:r>
      <w:r>
        <w:rPr>
          <w:rFonts w:hint="cs"/>
          <w:spacing w:val="10"/>
          <w:rtl/>
          <w:lang w:eastAsia="he-IL"/>
        </w:rPr>
        <w:t>, שם הודגש כי יש להילחם מלחמת חורמה קשה וארוכה, בעברייני הסמים המחזיקים, הסוחרים והמפיצים</w:t>
      </w:r>
      <w:r>
        <w:rPr>
          <w:rFonts w:hint="cs"/>
          <w:b/>
          <w:bCs/>
          <w:spacing w:val="10"/>
          <w:rtl/>
          <w:lang w:eastAsia="he-IL"/>
        </w:rPr>
        <w:t xml:space="preserve">. </w:t>
      </w:r>
    </w:p>
    <w:p w14:paraId="4DBD4B1A" w14:textId="77777777" w:rsidR="00F5043D" w:rsidRPr="00F5043D" w:rsidRDefault="00F5043D" w:rsidP="00F5043D">
      <w:pPr>
        <w:spacing w:line="360" w:lineRule="auto"/>
        <w:contextualSpacing/>
        <w:jc w:val="both"/>
        <w:rPr>
          <w:rFonts w:ascii="Calibri" w:eastAsia="Calibri" w:hAnsi="Calibri"/>
        </w:rPr>
      </w:pPr>
      <w:r>
        <w:rPr>
          <w:rFonts w:ascii="Calibri" w:hAnsi="Calibri" w:hint="cs"/>
          <w:rtl/>
        </w:rPr>
        <w:t xml:space="preserve">הפסיקה בעבירות אלו מגוונת ורבה. אציין מספר דוגמאות המלמדות על מתחם ענישה מחמיר שקבע בית המשפט העליון וכולל ענישה של מאסר בפועל שננקטה כנגד מגדלי סם- כך </w:t>
      </w:r>
      <w:r>
        <w:rPr>
          <w:rFonts w:hint="cs"/>
          <w:rtl/>
        </w:rPr>
        <w:t>ב</w:t>
      </w:r>
      <w:hyperlink r:id="rId12" w:history="1">
        <w:r w:rsidR="0084620D" w:rsidRPr="0084620D">
          <w:rPr>
            <w:color w:val="0000FF"/>
            <w:u w:val="single"/>
            <w:rtl/>
          </w:rPr>
          <w:t>רע"פ 314/16</w:t>
        </w:r>
      </w:hyperlink>
      <w:r>
        <w:rPr>
          <w:rFonts w:hint="cs"/>
          <w:rtl/>
        </w:rPr>
        <w:t xml:space="preserve"> </w:t>
      </w:r>
      <w:r>
        <w:rPr>
          <w:rFonts w:hint="cs"/>
          <w:b/>
          <w:bCs/>
          <w:rtl/>
        </w:rPr>
        <w:t>בן צבי נ' מדינת ישראל</w:t>
      </w:r>
      <w:r>
        <w:rPr>
          <w:rFonts w:hint="cs"/>
          <w:rtl/>
        </w:rPr>
        <w:t xml:space="preserve"> (22.2.2016), הורשע המבקש בגידול סם בכמות של 2.5 ק"ג במעבדה. על הנאשם נגזרו ששה חודשי עבודות שירות בשל הליך שיקומי שעבר. עונשו הוחמר במסגרת ערעור ל-10 חודשי מאסר בפועל, בית משפט העליון דחה רשות ערעור בעניינו; </w:t>
      </w:r>
      <w:hyperlink r:id="rId13" w:history="1">
        <w:r w:rsidR="0084620D" w:rsidRPr="0084620D">
          <w:rPr>
            <w:color w:val="0000FF"/>
            <w:u w:val="single"/>
            <w:rtl/>
          </w:rPr>
          <w:t>רע"פ 7819/15</w:t>
        </w:r>
      </w:hyperlink>
      <w:r>
        <w:rPr>
          <w:rFonts w:hint="cs"/>
          <w:u w:val="single"/>
          <w:rtl/>
        </w:rPr>
        <w:t xml:space="preserve"> </w:t>
      </w:r>
      <w:r>
        <w:rPr>
          <w:rFonts w:hint="cs"/>
          <w:b/>
          <w:bCs/>
          <w:rtl/>
        </w:rPr>
        <w:t>עופר סלור נ' מדינת ישראל</w:t>
      </w:r>
      <w:r>
        <w:rPr>
          <w:rFonts w:hint="cs"/>
          <w:rtl/>
        </w:rPr>
        <w:t xml:space="preserve"> (22.5.2016), שם הורשע הנאשם בהחזקת סמים שלא לצריכה עצמית ובגידול סמים במשקל 7.44 ק"ג נטו וציוד רב. נקבע מתחם ענישה הנע בין </w:t>
      </w:r>
      <w:r>
        <w:rPr>
          <w:rFonts w:hint="cs"/>
          <w:b/>
          <w:bCs/>
          <w:rtl/>
        </w:rPr>
        <w:t>7  ל – 18 חודשי</w:t>
      </w:r>
      <w:r>
        <w:rPr>
          <w:rFonts w:hint="cs"/>
          <w:rtl/>
        </w:rPr>
        <w:t xml:space="preserve"> </w:t>
      </w:r>
      <w:r>
        <w:rPr>
          <w:rFonts w:hint="cs"/>
          <w:b/>
          <w:bCs/>
          <w:rtl/>
        </w:rPr>
        <w:t>מאסר לריצוי בפועל</w:t>
      </w:r>
      <w:r>
        <w:rPr>
          <w:rFonts w:hint="cs"/>
          <w:rtl/>
        </w:rPr>
        <w:t>, ונגזרו על הנאשם 9 חודשי מאסר לריצוי בפועל, ערעורו נדחה.</w:t>
      </w:r>
    </w:p>
    <w:p w14:paraId="71F6FAE9" w14:textId="77777777" w:rsidR="00F5043D" w:rsidRDefault="00F5043D" w:rsidP="00F5043D">
      <w:pPr>
        <w:spacing w:line="360" w:lineRule="auto"/>
        <w:contextualSpacing/>
        <w:jc w:val="both"/>
        <w:rPr>
          <w:rtl/>
        </w:rPr>
      </w:pPr>
      <w:r>
        <w:rPr>
          <w:rFonts w:hint="cs"/>
          <w:rtl/>
        </w:rPr>
        <w:t>עוד אפנה ל</w:t>
      </w:r>
      <w:hyperlink r:id="rId14" w:history="1">
        <w:r w:rsidR="0084620D" w:rsidRPr="0084620D">
          <w:rPr>
            <w:color w:val="0000FF"/>
            <w:u w:val="single"/>
            <w:rtl/>
          </w:rPr>
          <w:t>עפ"ג  23788-02-17</w:t>
        </w:r>
      </w:hyperlink>
      <w:r>
        <w:rPr>
          <w:rFonts w:hint="cs"/>
          <w:rtl/>
        </w:rPr>
        <w:t xml:space="preserve"> (מח-מרכז) הלמר נ' מדינת ישראל, שם הורשע הנאשם בגידול בשתי מעבדות שונות, ללא הליך שיקומי ונדון ל-8 חודשי מאסר. בית המשפט המחוזי קיבל ערעורו, הקל בעונשו והסתפק במאסר בדרך של עבודות שירות. </w:t>
      </w:r>
    </w:p>
    <w:p w14:paraId="2B04AE03" w14:textId="77777777" w:rsidR="00F5043D" w:rsidRDefault="00F5043D" w:rsidP="00F5043D">
      <w:pPr>
        <w:spacing w:line="360" w:lineRule="auto"/>
        <w:ind w:left="785"/>
        <w:contextualSpacing/>
        <w:jc w:val="both"/>
        <w:rPr>
          <w:rtl/>
        </w:rPr>
      </w:pPr>
    </w:p>
    <w:p w14:paraId="6D947C2F" w14:textId="77777777" w:rsidR="00F5043D" w:rsidRDefault="00F5043D" w:rsidP="00F5043D">
      <w:pPr>
        <w:spacing w:line="360" w:lineRule="auto"/>
        <w:contextualSpacing/>
        <w:jc w:val="both"/>
        <w:rPr>
          <w:b/>
          <w:bCs/>
          <w:rtl/>
        </w:rPr>
      </w:pPr>
      <w:r>
        <w:rPr>
          <w:rFonts w:hint="cs"/>
          <w:b/>
          <w:bCs/>
          <w:rtl/>
        </w:rPr>
        <w:t xml:space="preserve">בהינתן נסיבותיו  של תיק זה, מצאתי לקבוע מתחם ענישה שנע בין 6-18 חודשי מאסר. </w:t>
      </w:r>
    </w:p>
    <w:p w14:paraId="746D01C5" w14:textId="77777777" w:rsidR="00F5043D" w:rsidRDefault="00F5043D" w:rsidP="00F5043D">
      <w:pPr>
        <w:spacing w:line="360" w:lineRule="auto"/>
        <w:ind w:left="785"/>
        <w:contextualSpacing/>
        <w:jc w:val="both"/>
        <w:rPr>
          <w:b/>
          <w:bCs/>
          <w:rtl/>
        </w:rPr>
      </w:pPr>
    </w:p>
    <w:p w14:paraId="14E9D596" w14:textId="77777777" w:rsidR="00F5043D" w:rsidRDefault="00F5043D" w:rsidP="00F5043D">
      <w:pPr>
        <w:spacing w:line="360" w:lineRule="auto"/>
        <w:contextualSpacing/>
        <w:jc w:val="both"/>
        <w:rPr>
          <w:b/>
          <w:bCs/>
          <w:u w:val="single"/>
          <w:rtl/>
        </w:rPr>
      </w:pPr>
      <w:r>
        <w:rPr>
          <w:rFonts w:hint="cs"/>
          <w:b/>
          <w:bCs/>
          <w:u w:val="single"/>
          <w:rtl/>
        </w:rPr>
        <w:t>האם יש מקום לחרוג ממתחם הענישה לצרכי שיקום ולקבל המלצת שירות המבחן</w:t>
      </w:r>
    </w:p>
    <w:p w14:paraId="69B38813" w14:textId="77777777" w:rsidR="00F5043D" w:rsidRDefault="00F5043D" w:rsidP="00F5043D">
      <w:pPr>
        <w:spacing w:line="360" w:lineRule="auto"/>
        <w:contextualSpacing/>
        <w:jc w:val="both"/>
        <w:rPr>
          <w:b/>
          <w:bCs/>
          <w:rtl/>
        </w:rPr>
      </w:pPr>
      <w:r>
        <w:rPr>
          <w:rFonts w:hint="cs"/>
          <w:rtl/>
        </w:rPr>
        <w:t xml:space="preserve">הנאשם שלפניי יליד 1989, ללא עבר פלילי. כברת הדרך הטיפולית שעבר מאז מעצרו בתיק זה, ארוכה ומרשימה. לאחר שנים רבות שבו סירב הנאשם לטיפול חרף נזקקות רבה, ניכר כי השלכות תיק זה עליו ובעיקר על בני משפחתו, גרמו לו לטלטלה ושינו דרכי חשיבתו. הנאשם השתלב בהליך טיפולי משמעותי הכולל פגישות פרטניות, מוסר בדיקות שתן נקיות ומטפל לראשונה בריפוי צלקות נפשיות שנחרטו בו מאז ילדותו. מדובר בהליך טיפולי ממושך המשלב טיפול אצל מטפל פרטי ובמסגרת שירות המבחן. פירותיו של הטיפול ניכרים בנאשם, שמגלה מוטיבציה ונכונות להמשך טיפול ושומר על ניקיון מסם.  אף התגייסות בני משפחתו לסייע לו מדרבנת אותו להתמיד בדרכו. </w:t>
      </w:r>
      <w:r>
        <w:rPr>
          <w:rFonts w:hint="cs"/>
          <w:b/>
          <w:bCs/>
          <w:rtl/>
        </w:rPr>
        <w:t xml:space="preserve">על כן ניתן לקבוע כי מדובר בנאשם המצוי בהליך שיקומי משמעותי ובעל סיכויי שיקום גבוהים. </w:t>
      </w:r>
    </w:p>
    <w:p w14:paraId="27781DAA" w14:textId="77777777" w:rsidR="00F5043D" w:rsidRDefault="00F5043D" w:rsidP="00F5043D">
      <w:pPr>
        <w:spacing w:line="360" w:lineRule="auto"/>
        <w:ind w:left="785"/>
        <w:contextualSpacing/>
        <w:jc w:val="both"/>
        <w:rPr>
          <w:rtl/>
        </w:rPr>
      </w:pPr>
    </w:p>
    <w:p w14:paraId="4616D7A7" w14:textId="77777777" w:rsidR="00F5043D" w:rsidRDefault="00F5043D" w:rsidP="00F5043D">
      <w:pPr>
        <w:spacing w:line="360" w:lineRule="auto"/>
        <w:contextualSpacing/>
        <w:jc w:val="both"/>
        <w:rPr>
          <w:rtl/>
        </w:rPr>
      </w:pPr>
      <w:r>
        <w:rPr>
          <w:rFonts w:hint="cs"/>
          <w:rtl/>
        </w:rPr>
        <w:t xml:space="preserve">הסוגיה האחרונה שנותר לבחון הינה, האם כעתירת ההגנה יש לחרוג חריגה כה משמעותית ממתחם הענישה ולהסתפק בענישה שכל כולה היא לטובתו של הנאשם בדמות צו של"צ, או שמא בענישה הנותנת ביטוי גם  לחומרת המעשים והאינטרסים הציבוריים המהותיים, שעומדים מאחורי המלחמה העיקשת בנגע הסם. לשיטתי, המלצת שירות המבחן לבדה אינה נותנת כל ביטוי לשיקולים נוספים למעט טובת הנאשם וחוטאת לרוח הפסיקה המבקשת להעביר מסר בלתי סלחני כלפי מגדלי הסם. על כן, מצאתי כי נכון יהיה לחרוג ממתחם הענישה שקבעתי לצרכי שיקום, חריגה מתונה וזהירה, שיהיה בה כדי ללמד על חומרת המעשה, אך לא לפגוע בשיקום הנאשם ועתידו. על כן מצאתי לגזור על הנאשם מאסר קצר בדרך של עבודת שירות לצד ענישה נלווית וצו מבחן.  </w:t>
      </w:r>
    </w:p>
    <w:p w14:paraId="755BF3C9" w14:textId="77777777" w:rsidR="00F5043D" w:rsidRDefault="00F5043D" w:rsidP="00F5043D">
      <w:pPr>
        <w:spacing w:line="360" w:lineRule="auto"/>
        <w:ind w:left="785"/>
        <w:contextualSpacing/>
        <w:jc w:val="both"/>
        <w:rPr>
          <w:rtl/>
        </w:rPr>
      </w:pPr>
    </w:p>
    <w:p w14:paraId="63A46938" w14:textId="77777777" w:rsidR="00F5043D" w:rsidRDefault="00F5043D" w:rsidP="00F5043D">
      <w:pPr>
        <w:spacing w:line="360" w:lineRule="auto"/>
        <w:contextualSpacing/>
        <w:jc w:val="both"/>
        <w:rPr>
          <w:rFonts w:ascii="Calibri" w:hAnsi="Calibri"/>
          <w:b/>
          <w:bCs/>
          <w:u w:val="single"/>
          <w:rtl/>
        </w:rPr>
      </w:pPr>
    </w:p>
    <w:p w14:paraId="35656548" w14:textId="77777777" w:rsidR="00F5043D" w:rsidRDefault="00F5043D" w:rsidP="00F5043D">
      <w:pPr>
        <w:spacing w:line="360" w:lineRule="auto"/>
        <w:contextualSpacing/>
        <w:jc w:val="both"/>
        <w:rPr>
          <w:rFonts w:ascii="Calibri" w:hAnsi="Calibri"/>
          <w:b/>
          <w:bCs/>
          <w:u w:val="single"/>
          <w:rtl/>
        </w:rPr>
      </w:pPr>
      <w:r>
        <w:rPr>
          <w:rFonts w:ascii="Calibri" w:hAnsi="Calibri" w:hint="cs"/>
          <w:b/>
          <w:bCs/>
          <w:u w:val="single"/>
          <w:rtl/>
        </w:rPr>
        <w:t>אשר על כן</w:t>
      </w:r>
      <w:r>
        <w:rPr>
          <w:rFonts w:ascii="Calibri" w:hAnsi="Calibri" w:hint="cs"/>
          <w:u w:val="single"/>
          <w:rtl/>
        </w:rPr>
        <w:t xml:space="preserve">  </w:t>
      </w:r>
      <w:r>
        <w:rPr>
          <w:rFonts w:ascii="Calibri" w:hAnsi="Calibri" w:hint="cs"/>
          <w:b/>
          <w:bCs/>
          <w:u w:val="single"/>
          <w:rtl/>
        </w:rPr>
        <w:t>הנני גוזרת על הנאשם את העונשים כדלקמן:</w:t>
      </w:r>
    </w:p>
    <w:p w14:paraId="0DEB5021" w14:textId="77777777" w:rsidR="00F5043D" w:rsidRDefault="00F5043D" w:rsidP="00F5043D">
      <w:pPr>
        <w:spacing w:line="360" w:lineRule="auto"/>
        <w:ind w:left="785"/>
        <w:contextualSpacing/>
        <w:jc w:val="both"/>
        <w:rPr>
          <w:rFonts w:ascii="Calibri" w:hAnsi="Calibri" w:cs="Calibri"/>
          <w:b/>
          <w:bCs/>
          <w:u w:val="single"/>
        </w:rPr>
      </w:pPr>
    </w:p>
    <w:p w14:paraId="176DB4B8" w14:textId="77777777" w:rsidR="00F5043D" w:rsidRDefault="00F5043D" w:rsidP="00F5043D">
      <w:pPr>
        <w:pStyle w:val="a9"/>
        <w:numPr>
          <w:ilvl w:val="0"/>
          <w:numId w:val="1"/>
        </w:numPr>
        <w:spacing w:after="200" w:line="360" w:lineRule="auto"/>
        <w:jc w:val="both"/>
        <w:rPr>
          <w:rFonts w:cs="David"/>
          <w:sz w:val="24"/>
          <w:szCs w:val="24"/>
        </w:rPr>
      </w:pPr>
      <w:r w:rsidRPr="00F5043D">
        <w:rPr>
          <w:rFonts w:eastAsia="Calibri" w:cs="David" w:hint="cs"/>
          <w:sz w:val="24"/>
          <w:szCs w:val="24"/>
          <w:rtl/>
        </w:rPr>
        <w:t xml:space="preserve">2 חודשי מאסר שירוצו בדרך של עבודות שירות. הנאשם ירצה עבודות שירות בעיריית ראש העין החל מיום 30.5.19, בימים א'-ה', במשך 8.5 שעות עבודה יומיות. </w:t>
      </w:r>
      <w:r w:rsidRPr="00F5043D">
        <w:rPr>
          <w:rFonts w:eastAsia="Calibri" w:cs="David" w:hint="cs"/>
          <w:sz w:val="24"/>
          <w:szCs w:val="24"/>
          <w:u w:val="single"/>
          <w:rtl/>
        </w:rPr>
        <w:t>על הנאשם להתייצב במועד זה עד השעה 08:00 במפקדת גוש מרכז ברמלה.</w:t>
      </w:r>
      <w:r>
        <w:rPr>
          <w:rFonts w:cs="David" w:hint="cs"/>
          <w:sz w:val="24"/>
          <w:szCs w:val="24"/>
          <w:rtl/>
        </w:rPr>
        <w:t xml:space="preserve"> בית המשפט מבהיר לנאשם כי אם לא ישתף פעולה עם הממונה כנדרש, ניתן יהיה להפקיע העבודות ולהמירן במאסר ממש. </w:t>
      </w:r>
    </w:p>
    <w:p w14:paraId="66BAA932" w14:textId="77777777" w:rsidR="00F5043D" w:rsidRDefault="00F5043D" w:rsidP="00F5043D">
      <w:pPr>
        <w:numPr>
          <w:ilvl w:val="0"/>
          <w:numId w:val="1"/>
        </w:numPr>
        <w:spacing w:after="120" w:line="480" w:lineRule="auto"/>
        <w:jc w:val="both"/>
      </w:pPr>
      <w:r>
        <w:rPr>
          <w:rFonts w:hint="cs"/>
          <w:rtl/>
        </w:rPr>
        <w:t>6 חודשי מאסר על תנאי, לבל יעבור הנאשם עבירות סמים מסוג פשע במשך שנתיים  מהיום.</w:t>
      </w:r>
    </w:p>
    <w:p w14:paraId="21F9BF67" w14:textId="77777777" w:rsidR="00F5043D" w:rsidRDefault="00F5043D" w:rsidP="00F5043D">
      <w:pPr>
        <w:numPr>
          <w:ilvl w:val="0"/>
          <w:numId w:val="1"/>
        </w:numPr>
        <w:spacing w:after="120" w:line="360" w:lineRule="auto"/>
        <w:jc w:val="both"/>
      </w:pPr>
      <w:r>
        <w:rPr>
          <w:rFonts w:hint="cs"/>
          <w:rtl/>
        </w:rPr>
        <w:t xml:space="preserve">4 חודשי מאסר על תנאי, לבל יעבור הנאשם עבירות סמים מסוג עוון  במשך שנתיים מהיום. </w:t>
      </w:r>
    </w:p>
    <w:p w14:paraId="05309CE7" w14:textId="77777777" w:rsidR="00F5043D" w:rsidRDefault="00F5043D" w:rsidP="00F5043D">
      <w:pPr>
        <w:numPr>
          <w:ilvl w:val="0"/>
          <w:numId w:val="1"/>
        </w:numPr>
        <w:spacing w:after="120" w:line="360" w:lineRule="auto"/>
        <w:jc w:val="both"/>
      </w:pPr>
      <w:r>
        <w:rPr>
          <w:rFonts w:hint="cs"/>
          <w:rtl/>
        </w:rPr>
        <w:t xml:space="preserve">קנס בסך 2000 ש"ח  או 14 ימי מאסר תמורתו. הקנס ישולם עד ליום 15.7.19.  </w:t>
      </w:r>
    </w:p>
    <w:p w14:paraId="34FFEC29" w14:textId="77777777" w:rsidR="00F5043D" w:rsidRDefault="00F5043D" w:rsidP="00F5043D">
      <w:pPr>
        <w:spacing w:after="120" w:line="360" w:lineRule="auto"/>
        <w:ind w:left="720"/>
        <w:jc w:val="both"/>
      </w:pPr>
      <w:r>
        <w:rPr>
          <w:rFonts w:hint="cs"/>
          <w:rtl/>
        </w:rPr>
        <w:t>ככל שהופקדו ערבונות כספיים בהליך המעצר הנילווה, יקוזזו לטובת הקנס.</w:t>
      </w:r>
    </w:p>
    <w:p w14:paraId="5913BB1B" w14:textId="77777777" w:rsidR="00F5043D" w:rsidRDefault="00F5043D" w:rsidP="00F5043D">
      <w:pPr>
        <w:numPr>
          <w:ilvl w:val="0"/>
          <w:numId w:val="1"/>
        </w:numPr>
        <w:spacing w:after="120" w:line="360" w:lineRule="auto"/>
        <w:jc w:val="both"/>
      </w:pPr>
      <w:r>
        <w:rPr>
          <w:rFonts w:hint="cs"/>
          <w:rtl/>
        </w:rPr>
        <w:t>3 חודשים פסילה על תנאי לבל יעבור הנאשם עבירה על פקודת הסמים במשך שנתיים מהיום.</w:t>
      </w:r>
    </w:p>
    <w:p w14:paraId="64FDEF52" w14:textId="77777777" w:rsidR="00F5043D" w:rsidRDefault="00F5043D" w:rsidP="00F5043D">
      <w:pPr>
        <w:numPr>
          <w:ilvl w:val="0"/>
          <w:numId w:val="1"/>
        </w:numPr>
        <w:spacing w:after="120" w:line="360" w:lineRule="auto"/>
        <w:jc w:val="both"/>
      </w:pPr>
      <w:r>
        <w:rPr>
          <w:rFonts w:hint="cs"/>
          <w:rtl/>
        </w:rPr>
        <w:t xml:space="preserve">מעמידה הנאשם תחת פיקוח שירות המבחן למשך שנה מהיום. </w:t>
      </w:r>
    </w:p>
    <w:p w14:paraId="7CD307EF" w14:textId="77777777" w:rsidR="00F5043D" w:rsidRDefault="00F5043D" w:rsidP="00F5043D">
      <w:pPr>
        <w:spacing w:line="360" w:lineRule="auto"/>
        <w:contextualSpacing/>
        <w:rPr>
          <w:rFonts w:ascii="Calibri" w:hAnsi="Calibri"/>
          <w:b/>
          <w:bCs/>
          <w:rtl/>
        </w:rPr>
      </w:pPr>
    </w:p>
    <w:p w14:paraId="46E45249" w14:textId="77777777" w:rsidR="00F5043D" w:rsidRDefault="00F5043D" w:rsidP="00F5043D">
      <w:pPr>
        <w:spacing w:line="360" w:lineRule="auto"/>
        <w:contextualSpacing/>
        <w:rPr>
          <w:rFonts w:ascii="Calibri" w:hAnsi="Calibri"/>
          <w:b/>
          <w:bCs/>
        </w:rPr>
      </w:pPr>
      <w:r>
        <w:rPr>
          <w:rFonts w:ascii="Calibri" w:hAnsi="Calibri" w:hint="cs"/>
          <w:b/>
          <w:bCs/>
          <w:rtl/>
        </w:rPr>
        <w:t>מורה על השמדת מוצגי הסם וכלים וכן מפתחות ושני מנעולים. הטלפון הנייד יושב לנאשם.</w:t>
      </w:r>
    </w:p>
    <w:p w14:paraId="40359B1A" w14:textId="77777777" w:rsidR="00F5043D" w:rsidRPr="008D7510" w:rsidRDefault="00F5043D" w:rsidP="00F5043D">
      <w:pPr>
        <w:spacing w:line="360" w:lineRule="auto"/>
        <w:ind w:left="1080"/>
        <w:contextualSpacing/>
        <w:rPr>
          <w:rFonts w:ascii="Calibri" w:hAnsi="Calibri"/>
          <w:b/>
          <w:bCs/>
          <w:rtl/>
        </w:rPr>
      </w:pPr>
    </w:p>
    <w:p w14:paraId="638C1374" w14:textId="77777777" w:rsidR="00F5043D" w:rsidRPr="00F5043D" w:rsidRDefault="00F5043D" w:rsidP="00F5043D">
      <w:pPr>
        <w:spacing w:line="360" w:lineRule="auto"/>
        <w:contextualSpacing/>
        <w:rPr>
          <w:rFonts w:ascii="Calibri" w:hAnsi="Calibri" w:cs="Arial"/>
          <w:sz w:val="22"/>
          <w:szCs w:val="22"/>
          <w:rtl/>
        </w:rPr>
      </w:pPr>
      <w:r>
        <w:rPr>
          <w:rFonts w:ascii="Calibri" w:hAnsi="Calibri" w:hint="cs"/>
          <w:b/>
          <w:bCs/>
          <w:rtl/>
        </w:rPr>
        <w:t>זכות ערעור לבית המשפט המחוזי תוך 45 יום</w:t>
      </w:r>
    </w:p>
    <w:p w14:paraId="0FD32F45" w14:textId="77777777" w:rsidR="00F5043D" w:rsidRPr="0084620D" w:rsidRDefault="0084620D" w:rsidP="00F5043D">
      <w:pPr>
        <w:rPr>
          <w:rFonts w:eastAsia="Calibri" w:cs="Arial"/>
          <w:color w:val="FFFFFF"/>
          <w:sz w:val="2"/>
          <w:szCs w:val="2"/>
        </w:rPr>
      </w:pPr>
      <w:r w:rsidRPr="0084620D">
        <w:rPr>
          <w:rFonts w:eastAsia="Calibri" w:cs="Arial"/>
          <w:color w:val="FFFFFF"/>
          <w:sz w:val="2"/>
          <w:szCs w:val="2"/>
          <w:rtl/>
        </w:rPr>
        <w:t>5129371</w:t>
      </w:r>
    </w:p>
    <w:p w14:paraId="33C933A6" w14:textId="77777777" w:rsidR="00F5043D" w:rsidRPr="0084620D" w:rsidRDefault="0084620D" w:rsidP="00F5043D">
      <w:pPr>
        <w:rPr>
          <w:color w:val="FFFFFF"/>
          <w:sz w:val="2"/>
          <w:szCs w:val="2"/>
          <w:rtl/>
        </w:rPr>
      </w:pPr>
      <w:r w:rsidRPr="0084620D">
        <w:rPr>
          <w:color w:val="FFFFFF"/>
          <w:sz w:val="2"/>
          <w:szCs w:val="2"/>
          <w:rtl/>
        </w:rPr>
        <w:t>54678313</w:t>
      </w:r>
    </w:p>
    <w:p w14:paraId="48CF2904" w14:textId="77777777" w:rsidR="00F5043D" w:rsidRDefault="0084620D" w:rsidP="00F5043D">
      <w:pPr>
        <w:rPr>
          <w:rFonts w:cs="FrankRuehl"/>
          <w:sz w:val="28"/>
          <w:szCs w:val="28"/>
          <w:rtl/>
        </w:rPr>
      </w:pPr>
      <w:r>
        <w:rPr>
          <w:rFonts w:ascii="Arial" w:hAnsi="Arial"/>
          <w:rtl/>
        </w:rPr>
        <w:t xml:space="preserve">ניתן היום,  כ"ה ניסן תשע"ט, 30 אפריל 2019,  במעמד הצדדים. </w:t>
      </w:r>
    </w:p>
    <w:p w14:paraId="4E6563C1" w14:textId="77777777" w:rsidR="00F5043D" w:rsidRDefault="00F5043D" w:rsidP="00F5043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2B0D322" w14:textId="77777777" w:rsidR="00F5043D" w:rsidRDefault="00F5043D" w:rsidP="00F5043D">
      <w:pPr>
        <w:jc w:val="center"/>
        <w:rPr>
          <w:rFonts w:ascii="Arial" w:hAnsi="Arial" w:cs="FrankRuehl"/>
          <w:sz w:val="28"/>
          <w:szCs w:val="28"/>
          <w:rtl/>
        </w:rPr>
      </w:pPr>
    </w:p>
    <w:p w14:paraId="74A08807" w14:textId="77777777" w:rsidR="00F5043D" w:rsidRPr="002964C7" w:rsidRDefault="002964C7" w:rsidP="00F5043D">
      <w:pPr>
        <w:rPr>
          <w:rFonts w:cs="FrankRuehl"/>
          <w:color w:val="FFFFFF"/>
          <w:sz w:val="2"/>
          <w:szCs w:val="2"/>
          <w:rtl/>
        </w:rPr>
      </w:pPr>
      <w:r w:rsidRPr="002964C7">
        <w:rPr>
          <w:rFonts w:cs="FrankRuehl"/>
          <w:color w:val="FFFFFF"/>
          <w:sz w:val="2"/>
          <w:szCs w:val="2"/>
          <w:rtl/>
        </w:rPr>
        <w:t>5129371</w:t>
      </w:r>
    </w:p>
    <w:p w14:paraId="4D8F7C16" w14:textId="77777777" w:rsidR="00F06CEC" w:rsidRPr="002964C7" w:rsidRDefault="002964C7" w:rsidP="0084620D">
      <w:pPr>
        <w:keepNext/>
        <w:rPr>
          <w:rFonts w:ascii="David" w:hAnsi="David"/>
          <w:color w:val="FFFFFF"/>
          <w:sz w:val="2"/>
          <w:szCs w:val="2"/>
          <w:rtl/>
        </w:rPr>
      </w:pPr>
      <w:r w:rsidRPr="002964C7">
        <w:rPr>
          <w:rFonts w:ascii="David" w:hAnsi="David"/>
          <w:color w:val="FFFFFF"/>
          <w:sz w:val="2"/>
          <w:szCs w:val="2"/>
          <w:rtl/>
        </w:rPr>
        <w:t>54678313</w:t>
      </w:r>
    </w:p>
    <w:p w14:paraId="14984876" w14:textId="77777777" w:rsidR="0084620D" w:rsidRDefault="0084620D" w:rsidP="0084620D">
      <w:pPr>
        <w:rPr>
          <w:rtl/>
        </w:rPr>
      </w:pPr>
    </w:p>
    <w:p w14:paraId="3120A2FF" w14:textId="77777777" w:rsidR="0084620D" w:rsidRDefault="0084620D" w:rsidP="0084620D">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4C19D918" w14:textId="77777777" w:rsidR="002964C7" w:rsidRPr="002964C7" w:rsidRDefault="008D550A" w:rsidP="002964C7">
      <w:pPr>
        <w:keepNext/>
        <w:rPr>
          <w:rFonts w:ascii="David" w:hAnsi="David"/>
          <w:color w:val="000000"/>
          <w:sz w:val="22"/>
          <w:szCs w:val="22"/>
          <w:rtl/>
        </w:rPr>
      </w:pPr>
      <w:r>
        <w:rPr>
          <w:rFonts w:ascii="David" w:hAnsi="David" w:hint="cs"/>
          <w:color w:val="000000"/>
          <w:sz w:val="22"/>
          <w:szCs w:val="22"/>
          <w:rtl/>
        </w:rPr>
        <w:t xml:space="preserve">                  </w:t>
      </w:r>
    </w:p>
    <w:p w14:paraId="16AA3A00" w14:textId="77777777" w:rsidR="002964C7" w:rsidRPr="002964C7" w:rsidRDefault="002964C7" w:rsidP="002964C7">
      <w:pPr>
        <w:keepNext/>
        <w:rPr>
          <w:rFonts w:ascii="David" w:hAnsi="David"/>
          <w:color w:val="000000"/>
          <w:sz w:val="22"/>
          <w:szCs w:val="22"/>
          <w:rtl/>
        </w:rPr>
      </w:pPr>
      <w:r w:rsidRPr="002964C7">
        <w:rPr>
          <w:rFonts w:ascii="David" w:hAnsi="David"/>
          <w:color w:val="000000"/>
          <w:sz w:val="22"/>
          <w:szCs w:val="22"/>
          <w:rtl/>
        </w:rPr>
        <w:t>מרב גרינברג 54678313-/</w:t>
      </w:r>
    </w:p>
    <w:p w14:paraId="1B7FC208" w14:textId="77777777" w:rsidR="0084620D" w:rsidRPr="0084620D" w:rsidRDefault="002964C7" w:rsidP="002964C7">
      <w:pPr>
        <w:rPr>
          <w:color w:val="0000FF"/>
          <w:u w:val="single"/>
        </w:rPr>
      </w:pPr>
      <w:r w:rsidRPr="002964C7">
        <w:rPr>
          <w:color w:val="000000"/>
          <w:u w:val="single"/>
          <w:rtl/>
        </w:rPr>
        <w:t>נוסח מסמך זה כפוף לשינויי ניסוח ועריכה</w:t>
      </w:r>
    </w:p>
    <w:sectPr w:rsidR="0084620D" w:rsidRPr="0084620D" w:rsidSect="002964C7">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7EA0E" w14:textId="77777777" w:rsidR="00B555BC" w:rsidRDefault="00B555BC" w:rsidP="003A678F">
      <w:r>
        <w:separator/>
      </w:r>
    </w:p>
  </w:endnote>
  <w:endnote w:type="continuationSeparator" w:id="0">
    <w:p w14:paraId="14BD9B74" w14:textId="77777777" w:rsidR="00B555BC" w:rsidRDefault="00B555BC" w:rsidP="003A6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F9FD9" w14:textId="77777777" w:rsidR="002964C7" w:rsidRDefault="002964C7" w:rsidP="002964C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3C41A1A" w14:textId="77777777" w:rsidR="0034679D" w:rsidRPr="002964C7" w:rsidRDefault="002964C7" w:rsidP="002964C7">
    <w:pPr>
      <w:pStyle w:val="a5"/>
      <w:pBdr>
        <w:top w:val="single" w:sz="4" w:space="1" w:color="auto"/>
        <w:between w:val="single" w:sz="4" w:space="0" w:color="auto"/>
      </w:pBdr>
      <w:spacing w:after="60"/>
      <w:jc w:val="center"/>
      <w:rPr>
        <w:rFonts w:ascii="FrankRuehl" w:hAnsi="FrankRuehl" w:cs="FrankRuehl"/>
        <w:color w:val="000000"/>
      </w:rPr>
    </w:pPr>
    <w:r w:rsidRPr="002964C7">
      <w:rPr>
        <w:rFonts w:ascii="FrankRuehl" w:hAnsi="FrankRuehl" w:cs="FrankRuehl"/>
        <w:color w:val="000000"/>
      </w:rPr>
      <w:pict w14:anchorId="34824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B31F6" w14:textId="77777777" w:rsidR="002964C7" w:rsidRDefault="002964C7" w:rsidP="002964C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2122">
      <w:rPr>
        <w:rFonts w:ascii="FrankRuehl" w:hAnsi="FrankRuehl" w:cs="FrankRuehl"/>
        <w:noProof/>
        <w:rtl/>
      </w:rPr>
      <w:t>1</w:t>
    </w:r>
    <w:r>
      <w:rPr>
        <w:rFonts w:ascii="FrankRuehl" w:hAnsi="FrankRuehl" w:cs="FrankRuehl"/>
        <w:rtl/>
      </w:rPr>
      <w:fldChar w:fldCharType="end"/>
    </w:r>
  </w:p>
  <w:p w14:paraId="36F89F7B" w14:textId="77777777" w:rsidR="0034679D" w:rsidRPr="002964C7" w:rsidRDefault="002964C7" w:rsidP="002964C7">
    <w:pPr>
      <w:pStyle w:val="a5"/>
      <w:pBdr>
        <w:top w:val="single" w:sz="4" w:space="1" w:color="auto"/>
        <w:between w:val="single" w:sz="4" w:space="0" w:color="auto"/>
      </w:pBdr>
      <w:spacing w:after="60"/>
      <w:jc w:val="center"/>
      <w:rPr>
        <w:rFonts w:ascii="FrankRuehl" w:hAnsi="FrankRuehl" w:cs="FrankRuehl"/>
        <w:color w:val="000000"/>
      </w:rPr>
    </w:pPr>
    <w:r w:rsidRPr="002964C7">
      <w:rPr>
        <w:rFonts w:ascii="FrankRuehl" w:hAnsi="FrankRuehl" w:cs="FrankRuehl"/>
        <w:color w:val="000000"/>
      </w:rPr>
      <w:pict w14:anchorId="043EA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0A4B2" w14:textId="77777777" w:rsidR="00B555BC" w:rsidRDefault="00B555BC" w:rsidP="003A678F">
      <w:r>
        <w:separator/>
      </w:r>
    </w:p>
  </w:footnote>
  <w:footnote w:type="continuationSeparator" w:id="0">
    <w:p w14:paraId="2771EA54" w14:textId="77777777" w:rsidR="00B555BC" w:rsidRDefault="00B555BC" w:rsidP="003A6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41998" w14:textId="77777777" w:rsidR="0084620D" w:rsidRPr="002964C7" w:rsidRDefault="002964C7" w:rsidP="002964C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21355-08-18</w:t>
    </w:r>
    <w:r>
      <w:rPr>
        <w:rFonts w:ascii="David" w:hAnsi="David"/>
        <w:color w:val="000000"/>
        <w:sz w:val="22"/>
        <w:szCs w:val="22"/>
        <w:rtl/>
      </w:rPr>
      <w:tab/>
      <w:t xml:space="preserve"> מדינת ישראל נ' עמרי יצחק רופא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35AA2" w14:textId="77777777" w:rsidR="0084620D" w:rsidRPr="002964C7" w:rsidRDefault="002964C7" w:rsidP="002964C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21355-08-18</w:t>
    </w:r>
    <w:r>
      <w:rPr>
        <w:rFonts w:ascii="David" w:hAnsi="David"/>
        <w:color w:val="000000"/>
        <w:sz w:val="22"/>
        <w:szCs w:val="22"/>
        <w:rtl/>
      </w:rPr>
      <w:tab/>
      <w:t xml:space="preserve"> מדינת ישראל נ' עמרי יצחק רופא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44FF"/>
    <w:multiLevelType w:val="hybridMultilevel"/>
    <w:tmpl w:val="70BA3364"/>
    <w:lvl w:ilvl="0" w:tplc="DED6746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106067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043D"/>
    <w:rsid w:val="002964C7"/>
    <w:rsid w:val="00302122"/>
    <w:rsid w:val="0034679D"/>
    <w:rsid w:val="00381020"/>
    <w:rsid w:val="003A678F"/>
    <w:rsid w:val="00703936"/>
    <w:rsid w:val="007E599E"/>
    <w:rsid w:val="0084620D"/>
    <w:rsid w:val="008D550A"/>
    <w:rsid w:val="0095165B"/>
    <w:rsid w:val="00B3260D"/>
    <w:rsid w:val="00B555BC"/>
    <w:rsid w:val="00E009E2"/>
    <w:rsid w:val="00F06CEC"/>
    <w:rsid w:val="00F504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41FF3BC"/>
  <w15:chartTrackingRefBased/>
  <w15:docId w15:val="{38D258F5-7C85-473A-9DD4-8A45D324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043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5043D"/>
    <w:pPr>
      <w:tabs>
        <w:tab w:val="center" w:pos="4153"/>
        <w:tab w:val="right" w:pos="8306"/>
      </w:tabs>
    </w:pPr>
  </w:style>
  <w:style w:type="character" w:customStyle="1" w:styleId="a4">
    <w:name w:val="כותרת עליונה תו"/>
    <w:link w:val="a3"/>
    <w:rsid w:val="00F5043D"/>
    <w:rPr>
      <w:rFonts w:ascii="Times New Roman" w:eastAsia="Times New Roman" w:hAnsi="Times New Roman" w:cs="David"/>
      <w:sz w:val="24"/>
      <w:szCs w:val="24"/>
    </w:rPr>
  </w:style>
  <w:style w:type="paragraph" w:styleId="a5">
    <w:name w:val="footer"/>
    <w:basedOn w:val="a"/>
    <w:link w:val="a6"/>
    <w:rsid w:val="00F5043D"/>
    <w:pPr>
      <w:tabs>
        <w:tab w:val="center" w:pos="4153"/>
        <w:tab w:val="right" w:pos="8306"/>
      </w:tabs>
    </w:pPr>
  </w:style>
  <w:style w:type="character" w:customStyle="1" w:styleId="a6">
    <w:name w:val="כותרת תחתונה תו"/>
    <w:link w:val="a5"/>
    <w:rsid w:val="00F5043D"/>
    <w:rPr>
      <w:rFonts w:ascii="Times New Roman" w:eastAsia="Times New Roman" w:hAnsi="Times New Roman" w:cs="David"/>
      <w:sz w:val="24"/>
      <w:szCs w:val="24"/>
    </w:rPr>
  </w:style>
  <w:style w:type="table" w:styleId="a7">
    <w:name w:val="Table Grid"/>
    <w:basedOn w:val="a1"/>
    <w:rsid w:val="00F5043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5043D"/>
  </w:style>
  <w:style w:type="paragraph" w:styleId="a9">
    <w:name w:val="List Paragraph"/>
    <w:basedOn w:val="a"/>
    <w:qFormat/>
    <w:rsid w:val="00F5043D"/>
    <w:pPr>
      <w:ind w:left="720"/>
      <w:contextualSpacing/>
    </w:pPr>
    <w:rPr>
      <w:rFonts w:ascii="Calibri" w:hAnsi="Calibri" w:cs="Calibri"/>
      <w:sz w:val="22"/>
      <w:szCs w:val="22"/>
    </w:rPr>
  </w:style>
  <w:style w:type="character" w:styleId="Hyperlink">
    <w:name w:val="Hyperlink"/>
    <w:rsid w:val="0084620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20685141"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case/20881083"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786821"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4216"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2223830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1288</Words>
  <Characters>6440</Characters>
  <Application>Microsoft Office Word</Application>
  <DocSecurity>0</DocSecurity>
  <Lines>53</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7713</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3670134</vt:i4>
      </vt:variant>
      <vt:variant>
        <vt:i4>21</vt:i4>
      </vt:variant>
      <vt:variant>
        <vt:i4>0</vt:i4>
      </vt:variant>
      <vt:variant>
        <vt:i4>5</vt:i4>
      </vt:variant>
      <vt:variant>
        <vt:lpwstr>http://www.nevo.co.il/case/22238304</vt:lpwstr>
      </vt:variant>
      <vt:variant>
        <vt:lpwstr/>
      </vt:variant>
      <vt:variant>
        <vt:i4>3473533</vt:i4>
      </vt:variant>
      <vt:variant>
        <vt:i4>18</vt:i4>
      </vt:variant>
      <vt:variant>
        <vt:i4>0</vt:i4>
      </vt:variant>
      <vt:variant>
        <vt:i4>5</vt:i4>
      </vt:variant>
      <vt:variant>
        <vt:lpwstr>http://www.nevo.co.il/case/20685141</vt:lpwstr>
      </vt:variant>
      <vt:variant>
        <vt:lpwstr/>
      </vt:variant>
      <vt:variant>
        <vt:i4>3342460</vt:i4>
      </vt:variant>
      <vt:variant>
        <vt:i4>15</vt:i4>
      </vt:variant>
      <vt:variant>
        <vt:i4>0</vt:i4>
      </vt:variant>
      <vt:variant>
        <vt:i4>5</vt:i4>
      </vt:variant>
      <vt:variant>
        <vt:lpwstr>http://www.nevo.co.il/case/20881083</vt:lpwstr>
      </vt:variant>
      <vt:variant>
        <vt:lpwstr/>
      </vt:variant>
      <vt:variant>
        <vt:i4>3407991</vt:i4>
      </vt:variant>
      <vt:variant>
        <vt:i4>12</vt:i4>
      </vt:variant>
      <vt:variant>
        <vt:i4>0</vt:i4>
      </vt:variant>
      <vt:variant>
        <vt:i4>5</vt:i4>
      </vt:variant>
      <vt:variant>
        <vt:lpwstr>http://www.nevo.co.il/case/5786821</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2025-04-22T23:52:00Z</dcterms:created>
  <dcterms:modified xsi:type="dcterms:W3CDTF">2025-04-22T23:52:00Z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21355</vt:lpwstr>
  </property>
  <property fmtid="{D5CDD505-2E9C-101B-9397-08002B2CF9AE}" pid="6" name="NEWPARTB">
    <vt:lpwstr>08</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עמרי יצחק רופא</vt:lpwstr>
  </property>
  <property fmtid="{D5CDD505-2E9C-101B-9397-08002B2CF9AE}" pid="10" name="LAWYER">
    <vt:lpwstr>נופר מזולה;אבי חימי</vt:lpwstr>
  </property>
  <property fmtid="{D5CDD505-2E9C-101B-9397-08002B2CF9AE}" pid="11" name="JUDGE">
    <vt:lpwstr>מרב גרינברג</vt:lpwstr>
  </property>
  <property fmtid="{D5CDD505-2E9C-101B-9397-08002B2CF9AE}" pid="12" name="CITY">
    <vt:lpwstr>כ"ס</vt:lpwstr>
  </property>
  <property fmtid="{D5CDD505-2E9C-101B-9397-08002B2CF9AE}" pid="13" name="DATE">
    <vt:lpwstr>20190430</vt:lpwstr>
  </property>
  <property fmtid="{D5CDD505-2E9C-101B-9397-08002B2CF9AE}" pid="14" name="TYPE_N_DATE">
    <vt:lpwstr>38020190430</vt:lpwstr>
  </property>
  <property fmtid="{D5CDD505-2E9C-101B-9397-08002B2CF9AE}" pid="15" name="WORDNUMPAGES">
    <vt:lpwstr>4</vt:lpwstr>
  </property>
  <property fmtid="{D5CDD505-2E9C-101B-9397-08002B2CF9AE}" pid="16" name="TYPE_ABS_DATE">
    <vt:lpwstr>380020190430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5786821;20881083;20685141;22238304</vt:lpwstr>
  </property>
  <property fmtid="{D5CDD505-2E9C-101B-9397-08002B2CF9AE}" pid="36" name="LAWLISTTMP1">
    <vt:lpwstr>4216/006</vt:lpwstr>
  </property>
</Properties>
</file>