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475A4" w:rsidRPr="004D41D5" w14:paraId="23265E64" w14:textId="77777777" w:rsidTr="00B752BE">
        <w:trPr>
          <w:trHeight w:hRule="exact" w:val="418"/>
          <w:jc w:val="center"/>
        </w:trPr>
        <w:tc>
          <w:tcPr>
            <w:tcW w:w="8721" w:type="dxa"/>
            <w:gridSpan w:val="2"/>
          </w:tcPr>
          <w:p w14:paraId="15A62D59" w14:textId="77777777" w:rsidR="00B475A4" w:rsidRPr="004D41D5" w:rsidRDefault="00B475A4" w:rsidP="00044551">
            <w:pPr>
              <w:pStyle w:val="a3"/>
              <w:jc w:val="center"/>
              <w:rPr>
                <w:rFonts w:ascii="FrankRuehl" w:hAnsi="FrankRuehl" w:cs="FrankRuehl"/>
                <w:b/>
                <w:bCs/>
                <w:color w:val="000080"/>
                <w:sz w:val="28"/>
                <w:szCs w:val="28"/>
                <w:rtl/>
              </w:rPr>
            </w:pPr>
            <w:bookmarkStart w:id="0" w:name="LastJudge"/>
            <w:r w:rsidRPr="004D41D5">
              <w:rPr>
                <w:rFonts w:ascii="FrankRuehl" w:hAnsi="FrankRuehl" w:cs="FrankRuehl"/>
                <w:b/>
                <w:bCs/>
                <w:color w:val="000080"/>
                <w:sz w:val="28"/>
                <w:szCs w:val="28"/>
                <w:rtl/>
              </w:rPr>
              <w:t>בית משפט השלום בירושלים</w:t>
            </w:r>
          </w:p>
        </w:tc>
      </w:tr>
      <w:tr w:rsidR="00B475A4" w:rsidRPr="004D41D5" w14:paraId="2096072A" w14:textId="77777777" w:rsidTr="00B752BE">
        <w:trPr>
          <w:trHeight w:val="337"/>
          <w:jc w:val="center"/>
        </w:trPr>
        <w:tc>
          <w:tcPr>
            <w:tcW w:w="5054" w:type="dxa"/>
          </w:tcPr>
          <w:p w14:paraId="11FFD881" w14:textId="77777777" w:rsidR="00B475A4" w:rsidRPr="004D41D5" w:rsidRDefault="00B475A4" w:rsidP="00044551">
            <w:pPr>
              <w:rPr>
                <w:rFonts w:ascii="FrankRuehl" w:hAnsi="FrankRuehl" w:cs="FrankRuehl"/>
                <w:b/>
                <w:bCs/>
                <w:sz w:val="28"/>
                <w:szCs w:val="28"/>
                <w:rtl/>
              </w:rPr>
            </w:pPr>
            <w:r w:rsidRPr="004D41D5">
              <w:rPr>
                <w:rFonts w:ascii="FrankRuehl" w:hAnsi="FrankRuehl" w:cs="FrankRuehl"/>
                <w:b/>
                <w:bCs/>
                <w:sz w:val="28"/>
                <w:szCs w:val="28"/>
                <w:rtl/>
              </w:rPr>
              <w:t>ת"פ 45345-08-18 מדינת ישראל נ' בר טוב</w:t>
            </w:r>
          </w:p>
          <w:p w14:paraId="1F218CDB" w14:textId="77777777" w:rsidR="00B475A4" w:rsidRPr="004D41D5" w:rsidRDefault="00B475A4" w:rsidP="00044551">
            <w:pPr>
              <w:rPr>
                <w:rFonts w:ascii="FrankRuehl" w:hAnsi="FrankRuehl" w:cs="FrankRuehl"/>
                <w:b/>
                <w:bCs/>
                <w:sz w:val="28"/>
                <w:szCs w:val="28"/>
                <w:rtl/>
              </w:rPr>
            </w:pPr>
            <w:r w:rsidRPr="004D41D5">
              <w:rPr>
                <w:rFonts w:ascii="FrankRuehl" w:hAnsi="FrankRuehl" w:cs="FrankRuehl"/>
                <w:b/>
                <w:bCs/>
                <w:sz w:val="28"/>
                <w:szCs w:val="28"/>
                <w:rtl/>
              </w:rPr>
              <w:t>ת"פ 5524-02-18 מדינת ישראל נ' בר טוב</w:t>
            </w:r>
          </w:p>
          <w:p w14:paraId="652565AE" w14:textId="77777777" w:rsidR="00B475A4" w:rsidRPr="004D41D5" w:rsidRDefault="00B475A4" w:rsidP="00044551">
            <w:pPr>
              <w:pStyle w:val="a3"/>
              <w:rPr>
                <w:rFonts w:ascii="FrankRuehl" w:hAnsi="FrankRuehl" w:cs="FrankRuehl"/>
                <w:b/>
                <w:bCs/>
                <w:sz w:val="28"/>
                <w:szCs w:val="28"/>
                <w:rtl/>
              </w:rPr>
            </w:pPr>
          </w:p>
        </w:tc>
        <w:tc>
          <w:tcPr>
            <w:tcW w:w="3667" w:type="dxa"/>
          </w:tcPr>
          <w:p w14:paraId="66BA9FEC" w14:textId="77777777" w:rsidR="00B475A4" w:rsidRPr="004D41D5" w:rsidRDefault="00B475A4" w:rsidP="00044551">
            <w:pPr>
              <w:pStyle w:val="a3"/>
              <w:jc w:val="right"/>
              <w:rPr>
                <w:rFonts w:cs="FrankRuehl"/>
                <w:sz w:val="28"/>
                <w:szCs w:val="28"/>
                <w:rtl/>
              </w:rPr>
            </w:pPr>
          </w:p>
        </w:tc>
      </w:tr>
    </w:tbl>
    <w:p w14:paraId="369D9559" w14:textId="77777777" w:rsidR="00B475A4" w:rsidRPr="004D41D5" w:rsidRDefault="00B475A4" w:rsidP="00B475A4">
      <w:pPr>
        <w:pStyle w:val="a3"/>
        <w:rPr>
          <w:rtl/>
        </w:rPr>
      </w:pPr>
      <w:r w:rsidRPr="004D41D5">
        <w:rPr>
          <w:rFonts w:hint="cs"/>
          <w:rtl/>
        </w:rPr>
        <w:t xml:space="preserve"> </w:t>
      </w:r>
    </w:p>
    <w:p w14:paraId="56774EEC" w14:textId="77777777" w:rsidR="00B475A4" w:rsidRPr="004D41D5" w:rsidRDefault="00B475A4" w:rsidP="00B475A4">
      <w:pPr>
        <w:rPr>
          <w:rtl/>
        </w:rPr>
      </w:pPr>
    </w:p>
    <w:p w14:paraId="3A1B9A89" w14:textId="77777777" w:rsidR="00B475A4" w:rsidRPr="004D41D5" w:rsidRDefault="00B475A4" w:rsidP="00B475A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344"/>
        <w:gridCol w:w="2553"/>
      </w:tblGrid>
      <w:tr w:rsidR="00B475A4" w:rsidRPr="004D41D5" w14:paraId="5EDB30E8" w14:textId="77777777" w:rsidTr="00B475A4">
        <w:trPr>
          <w:trHeight w:val="295"/>
          <w:jc w:val="center"/>
        </w:trPr>
        <w:tc>
          <w:tcPr>
            <w:tcW w:w="923" w:type="dxa"/>
            <w:tcBorders>
              <w:top w:val="nil"/>
              <w:left w:val="nil"/>
              <w:bottom w:val="nil"/>
              <w:right w:val="nil"/>
            </w:tcBorders>
            <w:shd w:val="clear" w:color="auto" w:fill="auto"/>
          </w:tcPr>
          <w:p w14:paraId="50045BB3" w14:textId="77777777" w:rsidR="00B475A4" w:rsidRPr="004D41D5" w:rsidRDefault="00B475A4" w:rsidP="00B475A4">
            <w:pPr>
              <w:jc w:val="both"/>
              <w:rPr>
                <w:rFonts w:ascii="FrankRuehl" w:hAnsi="FrankRuehl" w:cs="FrankRuehl"/>
                <w:b/>
                <w:bCs/>
                <w:sz w:val="28"/>
                <w:szCs w:val="28"/>
              </w:rPr>
            </w:pPr>
            <w:r w:rsidRPr="004D41D5">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523ECB60" w14:textId="77777777" w:rsidR="00B475A4" w:rsidRPr="004D41D5" w:rsidRDefault="00B475A4" w:rsidP="00044551">
            <w:pPr>
              <w:rPr>
                <w:rFonts w:ascii="FrankRuehl" w:hAnsi="FrankRuehl" w:cs="FrankRuehl"/>
                <w:b/>
                <w:bCs/>
                <w:sz w:val="28"/>
                <w:szCs w:val="28"/>
                <w:rtl/>
              </w:rPr>
            </w:pPr>
            <w:r w:rsidRPr="004D41D5">
              <w:rPr>
                <w:rFonts w:ascii="FrankRuehl" w:hAnsi="FrankRuehl" w:cs="FrankRuehl"/>
                <w:b/>
                <w:bCs/>
                <w:sz w:val="28"/>
                <w:szCs w:val="28"/>
                <w:rtl/>
              </w:rPr>
              <w:t>כבוד השופט  דוד שאול גבאי ריכטר</w:t>
            </w:r>
          </w:p>
          <w:p w14:paraId="4E0D0A8D" w14:textId="77777777" w:rsidR="00B475A4" w:rsidRPr="004D41D5" w:rsidRDefault="00B475A4" w:rsidP="00044551">
            <w:pPr>
              <w:rPr>
                <w:rFonts w:ascii="FrankRuehl" w:hAnsi="FrankRuehl" w:cs="FrankRuehl"/>
                <w:b/>
                <w:bCs/>
                <w:sz w:val="28"/>
                <w:szCs w:val="28"/>
                <w:rtl/>
              </w:rPr>
            </w:pPr>
          </w:p>
          <w:p w14:paraId="655A938B" w14:textId="77777777" w:rsidR="00B475A4" w:rsidRPr="004D41D5" w:rsidRDefault="00B475A4" w:rsidP="00B475A4">
            <w:pPr>
              <w:jc w:val="both"/>
              <w:rPr>
                <w:rFonts w:ascii="FrankRuehl" w:hAnsi="FrankRuehl" w:cs="FrankRuehl"/>
                <w:b/>
                <w:bCs/>
                <w:sz w:val="28"/>
                <w:szCs w:val="28"/>
              </w:rPr>
            </w:pPr>
          </w:p>
        </w:tc>
      </w:tr>
      <w:tr w:rsidR="00B475A4" w:rsidRPr="004D41D5" w14:paraId="23BBEBB4" w14:textId="77777777" w:rsidTr="00B475A4">
        <w:trPr>
          <w:trHeight w:val="355"/>
          <w:jc w:val="center"/>
        </w:trPr>
        <w:tc>
          <w:tcPr>
            <w:tcW w:w="923" w:type="dxa"/>
            <w:tcBorders>
              <w:top w:val="nil"/>
              <w:left w:val="nil"/>
              <w:bottom w:val="nil"/>
              <w:right w:val="nil"/>
            </w:tcBorders>
            <w:shd w:val="clear" w:color="auto" w:fill="auto"/>
          </w:tcPr>
          <w:p w14:paraId="19F02653" w14:textId="77777777" w:rsidR="00B475A4" w:rsidRPr="004D41D5" w:rsidRDefault="00B475A4" w:rsidP="00B475A4">
            <w:pPr>
              <w:jc w:val="both"/>
              <w:rPr>
                <w:rFonts w:ascii="FrankRuehl" w:hAnsi="FrankRuehl" w:cs="FrankRuehl"/>
                <w:b/>
                <w:bCs/>
                <w:sz w:val="28"/>
                <w:szCs w:val="28"/>
              </w:rPr>
            </w:pPr>
            <w:bookmarkStart w:id="1" w:name="FirstAppellant"/>
            <w:r w:rsidRPr="004D41D5">
              <w:rPr>
                <w:rFonts w:ascii="FrankRuehl" w:hAnsi="FrankRuehl" w:cs="FrankRuehl"/>
                <w:b/>
                <w:bCs/>
                <w:sz w:val="28"/>
                <w:szCs w:val="28"/>
                <w:rtl/>
              </w:rPr>
              <w:t>בעניין:</w:t>
            </w:r>
          </w:p>
        </w:tc>
        <w:tc>
          <w:tcPr>
            <w:tcW w:w="5344" w:type="dxa"/>
            <w:tcBorders>
              <w:top w:val="nil"/>
              <w:left w:val="nil"/>
              <w:bottom w:val="nil"/>
              <w:right w:val="nil"/>
            </w:tcBorders>
            <w:shd w:val="clear" w:color="auto" w:fill="auto"/>
          </w:tcPr>
          <w:p w14:paraId="2CFB032A" w14:textId="77777777" w:rsidR="00B475A4" w:rsidRPr="004D41D5" w:rsidRDefault="00B475A4" w:rsidP="00044551">
            <w:pPr>
              <w:rPr>
                <w:rFonts w:ascii="FrankRuehl" w:hAnsi="FrankRuehl" w:cs="FrankRuehl"/>
                <w:b/>
                <w:bCs/>
                <w:sz w:val="28"/>
                <w:szCs w:val="28"/>
              </w:rPr>
            </w:pPr>
            <w:r w:rsidRPr="004D41D5">
              <w:rPr>
                <w:rFonts w:ascii="FrankRuehl" w:hAnsi="FrankRuehl" w:cs="FrankRuehl"/>
                <w:b/>
                <w:bCs/>
                <w:sz w:val="28"/>
                <w:szCs w:val="28"/>
                <w:rtl/>
              </w:rPr>
              <w:t>מדינת ישראל</w:t>
            </w:r>
          </w:p>
        </w:tc>
        <w:tc>
          <w:tcPr>
            <w:tcW w:w="2553" w:type="dxa"/>
            <w:tcBorders>
              <w:top w:val="nil"/>
              <w:left w:val="nil"/>
              <w:bottom w:val="nil"/>
              <w:right w:val="nil"/>
            </w:tcBorders>
            <w:shd w:val="clear" w:color="auto" w:fill="auto"/>
          </w:tcPr>
          <w:p w14:paraId="34B520E6" w14:textId="77777777" w:rsidR="00B475A4" w:rsidRPr="004D41D5" w:rsidRDefault="00B475A4" w:rsidP="00B475A4">
            <w:pPr>
              <w:jc w:val="both"/>
              <w:rPr>
                <w:rFonts w:ascii="FrankRuehl" w:hAnsi="FrankRuehl" w:cs="FrankRuehl"/>
                <w:b/>
                <w:bCs/>
                <w:sz w:val="28"/>
                <w:szCs w:val="28"/>
              </w:rPr>
            </w:pPr>
          </w:p>
        </w:tc>
      </w:tr>
      <w:tr w:rsidR="00B475A4" w:rsidRPr="004D41D5" w14:paraId="4A46F50E" w14:textId="77777777" w:rsidTr="00B475A4">
        <w:trPr>
          <w:trHeight w:val="355"/>
          <w:jc w:val="center"/>
        </w:trPr>
        <w:tc>
          <w:tcPr>
            <w:tcW w:w="923" w:type="dxa"/>
            <w:tcBorders>
              <w:top w:val="nil"/>
              <w:left w:val="nil"/>
              <w:bottom w:val="nil"/>
              <w:right w:val="nil"/>
            </w:tcBorders>
            <w:shd w:val="clear" w:color="auto" w:fill="auto"/>
          </w:tcPr>
          <w:p w14:paraId="7B4E0B30" w14:textId="77777777" w:rsidR="00B475A4" w:rsidRPr="004D41D5" w:rsidRDefault="00B475A4" w:rsidP="00B475A4">
            <w:pPr>
              <w:jc w:val="both"/>
              <w:rPr>
                <w:rFonts w:ascii="FrankRuehl" w:hAnsi="FrankRuehl" w:cs="FrankRuehl"/>
                <w:b/>
                <w:bCs/>
                <w:sz w:val="28"/>
                <w:szCs w:val="28"/>
                <w:rtl/>
              </w:rPr>
            </w:pPr>
            <w:bookmarkStart w:id="2" w:name="FirstLawyer"/>
            <w:bookmarkEnd w:id="1"/>
          </w:p>
        </w:tc>
        <w:tc>
          <w:tcPr>
            <w:tcW w:w="5344" w:type="dxa"/>
            <w:tcBorders>
              <w:top w:val="nil"/>
              <w:left w:val="nil"/>
              <w:bottom w:val="nil"/>
              <w:right w:val="nil"/>
            </w:tcBorders>
            <w:shd w:val="clear" w:color="auto" w:fill="auto"/>
          </w:tcPr>
          <w:p w14:paraId="7C10367B" w14:textId="77777777" w:rsidR="00B475A4" w:rsidRPr="004D41D5" w:rsidRDefault="00B475A4" w:rsidP="00B475A4">
            <w:pPr>
              <w:jc w:val="both"/>
              <w:rPr>
                <w:rFonts w:ascii="FrankRuehl" w:hAnsi="FrankRuehl" w:cs="FrankRuehl"/>
                <w:b/>
                <w:bCs/>
                <w:sz w:val="28"/>
                <w:szCs w:val="28"/>
                <w:rtl/>
              </w:rPr>
            </w:pPr>
            <w:r w:rsidRPr="004D41D5">
              <w:rPr>
                <w:rFonts w:ascii="FrankRuehl" w:hAnsi="FrankRuehl" w:cs="FrankRuehl" w:hint="cs"/>
                <w:b/>
                <w:bCs/>
                <w:sz w:val="28"/>
                <w:szCs w:val="28"/>
                <w:rtl/>
              </w:rPr>
              <w:t>ע"י ב"כ עו"ד מאיר לוברבאום מטעם תביעות ירושלים</w:t>
            </w:r>
          </w:p>
        </w:tc>
        <w:tc>
          <w:tcPr>
            <w:tcW w:w="2553" w:type="dxa"/>
            <w:tcBorders>
              <w:top w:val="nil"/>
              <w:left w:val="nil"/>
              <w:bottom w:val="nil"/>
              <w:right w:val="nil"/>
            </w:tcBorders>
            <w:shd w:val="clear" w:color="auto" w:fill="auto"/>
          </w:tcPr>
          <w:p w14:paraId="15070B3E" w14:textId="77777777" w:rsidR="00B475A4" w:rsidRPr="004D41D5" w:rsidRDefault="00B475A4" w:rsidP="00B475A4">
            <w:pPr>
              <w:jc w:val="right"/>
              <w:rPr>
                <w:rFonts w:ascii="FrankRuehl" w:hAnsi="FrankRuehl" w:cs="FrankRuehl"/>
                <w:b/>
                <w:bCs/>
                <w:sz w:val="28"/>
                <w:szCs w:val="28"/>
                <w:rtl/>
              </w:rPr>
            </w:pPr>
            <w:r w:rsidRPr="004D41D5">
              <w:rPr>
                <w:rFonts w:ascii="FrankRuehl" w:hAnsi="FrankRuehl" w:cs="FrankRuehl"/>
                <w:b/>
                <w:bCs/>
                <w:sz w:val="28"/>
                <w:szCs w:val="28"/>
                <w:rtl/>
              </w:rPr>
              <w:t>המאשימה</w:t>
            </w:r>
          </w:p>
        </w:tc>
      </w:tr>
      <w:bookmarkEnd w:id="2"/>
      <w:tr w:rsidR="00B475A4" w:rsidRPr="004D41D5" w14:paraId="3E8879EC" w14:textId="77777777" w:rsidTr="00B475A4">
        <w:trPr>
          <w:trHeight w:val="355"/>
          <w:jc w:val="center"/>
        </w:trPr>
        <w:tc>
          <w:tcPr>
            <w:tcW w:w="923" w:type="dxa"/>
            <w:tcBorders>
              <w:top w:val="nil"/>
              <w:left w:val="nil"/>
              <w:bottom w:val="nil"/>
              <w:right w:val="nil"/>
            </w:tcBorders>
            <w:shd w:val="clear" w:color="auto" w:fill="auto"/>
          </w:tcPr>
          <w:p w14:paraId="1F340862" w14:textId="77777777" w:rsidR="00B475A4" w:rsidRPr="004D41D5" w:rsidRDefault="00B475A4" w:rsidP="00B475A4">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2A325977" w14:textId="77777777" w:rsidR="00B475A4" w:rsidRPr="004D41D5" w:rsidRDefault="00B475A4" w:rsidP="00B475A4">
            <w:pPr>
              <w:jc w:val="center"/>
              <w:rPr>
                <w:rFonts w:ascii="FrankRuehl" w:hAnsi="FrankRuehl" w:cs="FrankRuehl"/>
                <w:b/>
                <w:bCs/>
                <w:sz w:val="28"/>
                <w:szCs w:val="28"/>
                <w:rtl/>
              </w:rPr>
            </w:pPr>
          </w:p>
          <w:p w14:paraId="689EF71B" w14:textId="77777777" w:rsidR="00B475A4" w:rsidRPr="004D41D5" w:rsidRDefault="00B475A4" w:rsidP="00B475A4">
            <w:pPr>
              <w:jc w:val="center"/>
              <w:rPr>
                <w:rFonts w:ascii="FrankRuehl" w:hAnsi="FrankRuehl" w:cs="FrankRuehl"/>
                <w:b/>
                <w:bCs/>
                <w:sz w:val="28"/>
                <w:szCs w:val="28"/>
                <w:rtl/>
              </w:rPr>
            </w:pPr>
            <w:r w:rsidRPr="004D41D5">
              <w:rPr>
                <w:rFonts w:ascii="FrankRuehl" w:hAnsi="FrankRuehl" w:cs="FrankRuehl"/>
                <w:b/>
                <w:bCs/>
                <w:sz w:val="28"/>
                <w:szCs w:val="28"/>
                <w:rtl/>
              </w:rPr>
              <w:t>נגד</w:t>
            </w:r>
          </w:p>
          <w:p w14:paraId="357AAE96" w14:textId="77777777" w:rsidR="00B475A4" w:rsidRPr="004D41D5" w:rsidRDefault="00B475A4" w:rsidP="00B475A4">
            <w:pPr>
              <w:jc w:val="both"/>
              <w:rPr>
                <w:rFonts w:ascii="FrankRuehl" w:hAnsi="FrankRuehl" w:cs="FrankRuehl"/>
                <w:b/>
                <w:bCs/>
                <w:sz w:val="28"/>
                <w:szCs w:val="28"/>
              </w:rPr>
            </w:pPr>
          </w:p>
        </w:tc>
      </w:tr>
      <w:tr w:rsidR="00B475A4" w:rsidRPr="004D41D5" w14:paraId="5EFD3348" w14:textId="77777777" w:rsidTr="00B475A4">
        <w:trPr>
          <w:trHeight w:val="355"/>
          <w:jc w:val="center"/>
        </w:trPr>
        <w:tc>
          <w:tcPr>
            <w:tcW w:w="923" w:type="dxa"/>
            <w:tcBorders>
              <w:top w:val="nil"/>
              <w:left w:val="nil"/>
              <w:bottom w:val="nil"/>
              <w:right w:val="nil"/>
            </w:tcBorders>
            <w:shd w:val="clear" w:color="auto" w:fill="auto"/>
          </w:tcPr>
          <w:p w14:paraId="14BA2CE0" w14:textId="77777777" w:rsidR="00B475A4" w:rsidRPr="004D41D5" w:rsidRDefault="00B475A4" w:rsidP="00044551">
            <w:pPr>
              <w:rPr>
                <w:rFonts w:ascii="FrankRuehl" w:hAnsi="FrankRuehl" w:cs="FrankRuehl"/>
                <w:b/>
                <w:bCs/>
                <w:sz w:val="28"/>
                <w:szCs w:val="28"/>
                <w:rtl/>
              </w:rPr>
            </w:pPr>
          </w:p>
        </w:tc>
        <w:tc>
          <w:tcPr>
            <w:tcW w:w="5344" w:type="dxa"/>
            <w:tcBorders>
              <w:top w:val="nil"/>
              <w:left w:val="nil"/>
              <w:bottom w:val="nil"/>
              <w:right w:val="nil"/>
            </w:tcBorders>
            <w:shd w:val="clear" w:color="auto" w:fill="auto"/>
          </w:tcPr>
          <w:p w14:paraId="4558548F" w14:textId="77777777" w:rsidR="00B475A4" w:rsidRPr="004D41D5" w:rsidRDefault="00B475A4" w:rsidP="00044551">
            <w:pPr>
              <w:rPr>
                <w:rFonts w:ascii="FrankRuehl" w:hAnsi="FrankRuehl" w:cs="FrankRuehl"/>
                <w:b/>
                <w:bCs/>
                <w:sz w:val="28"/>
                <w:szCs w:val="28"/>
                <w:rtl/>
              </w:rPr>
            </w:pPr>
            <w:r w:rsidRPr="004D41D5">
              <w:rPr>
                <w:rFonts w:ascii="FrankRuehl" w:hAnsi="FrankRuehl" w:cs="FrankRuehl"/>
                <w:b/>
                <w:bCs/>
                <w:sz w:val="28"/>
                <w:szCs w:val="28"/>
                <w:rtl/>
              </w:rPr>
              <w:t>מאיר בר טוב</w:t>
            </w:r>
          </w:p>
        </w:tc>
        <w:tc>
          <w:tcPr>
            <w:tcW w:w="2553" w:type="dxa"/>
            <w:tcBorders>
              <w:top w:val="nil"/>
              <w:left w:val="nil"/>
              <w:bottom w:val="nil"/>
              <w:right w:val="nil"/>
            </w:tcBorders>
            <w:shd w:val="clear" w:color="auto" w:fill="auto"/>
          </w:tcPr>
          <w:p w14:paraId="68B0BADA" w14:textId="77777777" w:rsidR="00B475A4" w:rsidRPr="004D41D5" w:rsidRDefault="00B475A4" w:rsidP="00B475A4">
            <w:pPr>
              <w:jc w:val="right"/>
              <w:rPr>
                <w:rFonts w:ascii="FrankRuehl" w:hAnsi="FrankRuehl" w:cs="FrankRuehl"/>
                <w:b/>
                <w:bCs/>
                <w:sz w:val="28"/>
                <w:szCs w:val="28"/>
              </w:rPr>
            </w:pPr>
          </w:p>
        </w:tc>
      </w:tr>
      <w:tr w:rsidR="00B475A4" w:rsidRPr="004D41D5" w14:paraId="01B5E629" w14:textId="77777777" w:rsidTr="00B475A4">
        <w:trPr>
          <w:trHeight w:val="355"/>
          <w:jc w:val="center"/>
        </w:trPr>
        <w:tc>
          <w:tcPr>
            <w:tcW w:w="923" w:type="dxa"/>
            <w:tcBorders>
              <w:top w:val="nil"/>
              <w:left w:val="nil"/>
              <w:bottom w:val="nil"/>
              <w:right w:val="nil"/>
            </w:tcBorders>
            <w:shd w:val="clear" w:color="auto" w:fill="auto"/>
          </w:tcPr>
          <w:p w14:paraId="32A53530" w14:textId="77777777" w:rsidR="00B475A4" w:rsidRPr="004D41D5" w:rsidRDefault="00B475A4" w:rsidP="00B475A4">
            <w:pPr>
              <w:jc w:val="both"/>
              <w:rPr>
                <w:rFonts w:ascii="FrankRuehl" w:hAnsi="FrankRuehl" w:cs="FrankRuehl"/>
                <w:b/>
                <w:bCs/>
                <w:sz w:val="28"/>
                <w:szCs w:val="28"/>
                <w:rtl/>
              </w:rPr>
            </w:pPr>
          </w:p>
        </w:tc>
        <w:tc>
          <w:tcPr>
            <w:tcW w:w="5344" w:type="dxa"/>
            <w:tcBorders>
              <w:top w:val="nil"/>
              <w:left w:val="nil"/>
              <w:bottom w:val="nil"/>
              <w:right w:val="nil"/>
            </w:tcBorders>
            <w:shd w:val="clear" w:color="auto" w:fill="auto"/>
          </w:tcPr>
          <w:p w14:paraId="06F638B9" w14:textId="77777777" w:rsidR="00B475A4" w:rsidRPr="004D41D5" w:rsidRDefault="00B475A4" w:rsidP="00B475A4">
            <w:pPr>
              <w:jc w:val="both"/>
              <w:rPr>
                <w:rFonts w:ascii="FrankRuehl" w:hAnsi="FrankRuehl" w:cs="FrankRuehl"/>
                <w:b/>
                <w:bCs/>
                <w:sz w:val="28"/>
                <w:szCs w:val="28"/>
                <w:rtl/>
              </w:rPr>
            </w:pPr>
            <w:r w:rsidRPr="004D41D5">
              <w:rPr>
                <w:rFonts w:ascii="FrankRuehl" w:hAnsi="FrankRuehl" w:cs="FrankRuehl" w:hint="cs"/>
                <w:b/>
                <w:bCs/>
                <w:sz w:val="28"/>
                <w:szCs w:val="28"/>
                <w:rtl/>
              </w:rPr>
              <w:t>ע"י ב"כ עו"ד מיכאלי עירוני</w:t>
            </w:r>
          </w:p>
        </w:tc>
        <w:tc>
          <w:tcPr>
            <w:tcW w:w="2553" w:type="dxa"/>
            <w:tcBorders>
              <w:top w:val="nil"/>
              <w:left w:val="nil"/>
              <w:bottom w:val="nil"/>
              <w:right w:val="nil"/>
            </w:tcBorders>
            <w:shd w:val="clear" w:color="auto" w:fill="auto"/>
          </w:tcPr>
          <w:p w14:paraId="2EEAD338" w14:textId="77777777" w:rsidR="00B475A4" w:rsidRPr="004D41D5" w:rsidRDefault="00B475A4" w:rsidP="00B475A4">
            <w:pPr>
              <w:jc w:val="right"/>
              <w:rPr>
                <w:rFonts w:ascii="FrankRuehl" w:hAnsi="FrankRuehl" w:cs="FrankRuehl"/>
                <w:b/>
                <w:bCs/>
                <w:sz w:val="28"/>
                <w:szCs w:val="28"/>
              </w:rPr>
            </w:pPr>
            <w:r w:rsidRPr="004D41D5">
              <w:rPr>
                <w:rFonts w:ascii="FrankRuehl" w:hAnsi="FrankRuehl" w:cs="FrankRuehl"/>
                <w:b/>
                <w:bCs/>
                <w:sz w:val="28"/>
                <w:szCs w:val="28"/>
                <w:rtl/>
              </w:rPr>
              <w:t>הנאשם</w:t>
            </w:r>
          </w:p>
        </w:tc>
      </w:tr>
    </w:tbl>
    <w:p w14:paraId="3A4B6C11" w14:textId="77777777" w:rsidR="00B752BE" w:rsidRDefault="00B752BE" w:rsidP="004D41D5">
      <w:pPr>
        <w:rPr>
          <w:sz w:val="26"/>
          <w:szCs w:val="26"/>
          <w:rtl/>
        </w:rPr>
      </w:pPr>
    </w:p>
    <w:p w14:paraId="7A7D925B" w14:textId="77777777" w:rsidR="00B752BE" w:rsidRPr="00B752BE" w:rsidRDefault="00B752BE" w:rsidP="00B752BE">
      <w:pPr>
        <w:spacing w:after="120" w:line="240" w:lineRule="exact"/>
        <w:ind w:left="283" w:hanging="283"/>
        <w:jc w:val="both"/>
        <w:rPr>
          <w:rFonts w:ascii="FrankRuehl" w:hAnsi="FrankRuehl" w:cs="FrankRuehl"/>
          <w:rtl/>
        </w:rPr>
      </w:pPr>
    </w:p>
    <w:p w14:paraId="3E649728" w14:textId="77777777" w:rsidR="00DB20BE" w:rsidRPr="00DB20BE" w:rsidRDefault="00DB20BE" w:rsidP="00DB20BE">
      <w:pPr>
        <w:spacing w:before="120" w:after="120" w:line="240" w:lineRule="exact"/>
        <w:ind w:left="283" w:hanging="283"/>
        <w:jc w:val="both"/>
        <w:rPr>
          <w:rFonts w:ascii="FrankRuehl" w:hAnsi="FrankRuehl" w:cs="FrankRuehl"/>
          <w:rtl/>
        </w:rPr>
      </w:pPr>
    </w:p>
    <w:p w14:paraId="3407BB2A" w14:textId="77777777" w:rsidR="00625E7B" w:rsidRDefault="00625E7B" w:rsidP="00625E7B">
      <w:pPr>
        <w:rPr>
          <w:sz w:val="26"/>
          <w:szCs w:val="26"/>
          <w:rtl/>
        </w:rPr>
      </w:pPr>
      <w:bookmarkStart w:id="3" w:name="LawTable"/>
      <w:bookmarkEnd w:id="3"/>
    </w:p>
    <w:p w14:paraId="27A407BC" w14:textId="77777777" w:rsidR="00625E7B" w:rsidRPr="00625E7B" w:rsidRDefault="00625E7B" w:rsidP="00625E7B">
      <w:pPr>
        <w:spacing w:before="120" w:after="120" w:line="240" w:lineRule="exact"/>
        <w:ind w:left="283" w:hanging="283"/>
        <w:jc w:val="both"/>
        <w:rPr>
          <w:rFonts w:ascii="FrankRuehl" w:hAnsi="FrankRuehl" w:cs="FrankRuehl"/>
          <w:rtl/>
        </w:rPr>
      </w:pPr>
    </w:p>
    <w:p w14:paraId="5AC98A17" w14:textId="77777777" w:rsidR="00625E7B" w:rsidRPr="00625E7B" w:rsidRDefault="00625E7B" w:rsidP="00625E7B">
      <w:pPr>
        <w:spacing w:before="120" w:after="120" w:line="240" w:lineRule="exact"/>
        <w:ind w:left="283" w:hanging="283"/>
        <w:jc w:val="both"/>
        <w:rPr>
          <w:rFonts w:ascii="FrankRuehl" w:hAnsi="FrankRuehl" w:cs="FrankRuehl"/>
          <w:rtl/>
        </w:rPr>
      </w:pPr>
    </w:p>
    <w:p w14:paraId="00C3898C" w14:textId="77777777" w:rsidR="00625E7B" w:rsidRPr="00625E7B" w:rsidRDefault="00625E7B" w:rsidP="00625E7B">
      <w:pPr>
        <w:spacing w:before="120" w:after="120" w:line="240" w:lineRule="exact"/>
        <w:ind w:left="283" w:hanging="283"/>
        <w:jc w:val="both"/>
        <w:rPr>
          <w:rFonts w:ascii="FrankRuehl" w:hAnsi="FrankRuehl" w:cs="FrankRuehl"/>
          <w:rtl/>
        </w:rPr>
      </w:pPr>
      <w:r w:rsidRPr="00625E7B">
        <w:rPr>
          <w:rFonts w:ascii="FrankRuehl" w:hAnsi="FrankRuehl" w:cs="FrankRuehl"/>
          <w:rtl/>
        </w:rPr>
        <w:t xml:space="preserve">חקיקה שאוזכרה: </w:t>
      </w:r>
    </w:p>
    <w:p w14:paraId="688076A1" w14:textId="77777777" w:rsidR="00625E7B" w:rsidRPr="00625E7B" w:rsidRDefault="00625E7B" w:rsidP="00625E7B">
      <w:pPr>
        <w:spacing w:before="120" w:after="120" w:line="240" w:lineRule="exact"/>
        <w:ind w:left="283" w:hanging="283"/>
        <w:jc w:val="both"/>
        <w:rPr>
          <w:rFonts w:ascii="FrankRuehl" w:hAnsi="FrankRuehl" w:cs="FrankRuehl"/>
          <w:rtl/>
        </w:rPr>
      </w:pPr>
      <w:hyperlink r:id="rId7" w:history="1">
        <w:r w:rsidRPr="00625E7B">
          <w:rPr>
            <w:rFonts w:ascii="FrankRuehl" w:hAnsi="FrankRuehl" w:cs="FrankRuehl"/>
            <w:color w:val="0000FF"/>
            <w:rtl/>
          </w:rPr>
          <w:t>פקודת הסמים המסוכנים [נוסח חדש], תשל"ג-1973</w:t>
        </w:r>
      </w:hyperlink>
      <w:r w:rsidRPr="00625E7B">
        <w:rPr>
          <w:rFonts w:ascii="FrankRuehl" w:hAnsi="FrankRuehl" w:cs="FrankRuehl"/>
          <w:rtl/>
        </w:rPr>
        <w:t xml:space="preserve">: סע'  </w:t>
      </w:r>
      <w:hyperlink r:id="rId8" w:history="1">
        <w:r w:rsidRPr="00625E7B">
          <w:rPr>
            <w:rFonts w:ascii="FrankRuehl" w:hAnsi="FrankRuehl" w:cs="FrankRuehl"/>
            <w:color w:val="0000FF"/>
            <w:rtl/>
          </w:rPr>
          <w:t>7.א.</w:t>
        </w:r>
      </w:hyperlink>
      <w:r w:rsidRPr="00625E7B">
        <w:rPr>
          <w:rFonts w:ascii="FrankRuehl" w:hAnsi="FrankRuehl" w:cs="FrankRuehl"/>
          <w:rtl/>
        </w:rPr>
        <w:t xml:space="preserve">, </w:t>
      </w:r>
      <w:hyperlink r:id="rId9" w:history="1">
        <w:r w:rsidRPr="00625E7B">
          <w:rPr>
            <w:rFonts w:ascii="FrankRuehl" w:hAnsi="FrankRuehl" w:cs="FrankRuehl"/>
            <w:color w:val="0000FF"/>
            <w:rtl/>
          </w:rPr>
          <w:t>7(א)(ג)</w:t>
        </w:r>
      </w:hyperlink>
      <w:r w:rsidRPr="00625E7B">
        <w:rPr>
          <w:rFonts w:ascii="FrankRuehl" w:hAnsi="FrankRuehl" w:cs="FrankRuehl"/>
          <w:rtl/>
        </w:rPr>
        <w:t xml:space="preserve">, </w:t>
      </w:r>
      <w:hyperlink r:id="rId10" w:history="1">
        <w:r w:rsidRPr="00625E7B">
          <w:rPr>
            <w:rFonts w:ascii="FrankRuehl" w:hAnsi="FrankRuehl" w:cs="FrankRuehl"/>
            <w:color w:val="0000FF"/>
            <w:rtl/>
          </w:rPr>
          <w:t>7.ג</w:t>
        </w:r>
      </w:hyperlink>
    </w:p>
    <w:p w14:paraId="2353F63A" w14:textId="77777777" w:rsidR="00625E7B" w:rsidRPr="00625E7B" w:rsidRDefault="00625E7B" w:rsidP="00625E7B">
      <w:pPr>
        <w:spacing w:before="120" w:after="120" w:line="240" w:lineRule="exact"/>
        <w:ind w:left="283" w:hanging="283"/>
        <w:jc w:val="both"/>
        <w:rPr>
          <w:rFonts w:ascii="FrankRuehl" w:hAnsi="FrankRuehl" w:cs="FrankRuehl"/>
          <w:rtl/>
        </w:rPr>
      </w:pPr>
      <w:hyperlink r:id="rId11" w:history="1">
        <w:r w:rsidRPr="00625E7B">
          <w:rPr>
            <w:rFonts w:ascii="FrankRuehl" w:hAnsi="FrankRuehl" w:cs="FrankRuehl"/>
            <w:color w:val="0000FF"/>
            <w:rtl/>
          </w:rPr>
          <w:t>פקודת התעבורה [נוסח חדש]</w:t>
        </w:r>
      </w:hyperlink>
      <w:r w:rsidRPr="00625E7B">
        <w:rPr>
          <w:rFonts w:ascii="FrankRuehl" w:hAnsi="FrankRuehl" w:cs="FrankRuehl"/>
          <w:rtl/>
        </w:rPr>
        <w:t xml:space="preserve">: סע'  </w:t>
      </w:r>
      <w:hyperlink r:id="rId12" w:history="1">
        <w:r w:rsidRPr="00625E7B">
          <w:rPr>
            <w:rFonts w:ascii="FrankRuehl" w:hAnsi="FrankRuehl" w:cs="FrankRuehl"/>
            <w:color w:val="0000FF"/>
            <w:rtl/>
          </w:rPr>
          <w:t>62(3)</w:t>
        </w:r>
      </w:hyperlink>
    </w:p>
    <w:p w14:paraId="6719D80C" w14:textId="77777777" w:rsidR="00625E7B" w:rsidRPr="00625E7B" w:rsidRDefault="00625E7B" w:rsidP="00625E7B">
      <w:pPr>
        <w:rPr>
          <w:sz w:val="26"/>
          <w:szCs w:val="26"/>
          <w:rtl/>
        </w:rPr>
      </w:pPr>
      <w:bookmarkStart w:id="4" w:name="LawTable_End"/>
      <w:bookmarkEnd w:id="4"/>
    </w:p>
    <w:p w14:paraId="6582416A" w14:textId="77777777" w:rsidR="00B475A4" w:rsidRPr="00DB20BE" w:rsidRDefault="00B475A4" w:rsidP="00DB20B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75A4" w14:paraId="4F73E9E5" w14:textId="77777777" w:rsidTr="00B475A4">
        <w:trPr>
          <w:trHeight w:val="355"/>
          <w:jc w:val="center"/>
        </w:trPr>
        <w:tc>
          <w:tcPr>
            <w:tcW w:w="8820" w:type="dxa"/>
            <w:tcBorders>
              <w:top w:val="nil"/>
              <w:left w:val="nil"/>
              <w:bottom w:val="nil"/>
              <w:right w:val="nil"/>
            </w:tcBorders>
            <w:shd w:val="clear" w:color="auto" w:fill="auto"/>
          </w:tcPr>
          <w:p w14:paraId="51145F6A" w14:textId="77777777" w:rsidR="004D41D5" w:rsidRPr="004D41D5" w:rsidRDefault="004D41D5" w:rsidP="004D41D5">
            <w:pPr>
              <w:jc w:val="center"/>
              <w:rPr>
                <w:rFonts w:ascii="FrankRuehl" w:hAnsi="FrankRuehl" w:cs="FrankRuehl"/>
                <w:b/>
                <w:bCs/>
                <w:sz w:val="32"/>
                <w:szCs w:val="32"/>
                <w:u w:val="single"/>
                <w:rtl/>
              </w:rPr>
            </w:pPr>
            <w:bookmarkStart w:id="5" w:name="PsakDin" w:colFirst="0" w:colLast="0"/>
            <w:bookmarkEnd w:id="0"/>
            <w:r w:rsidRPr="004D41D5">
              <w:rPr>
                <w:rFonts w:ascii="FrankRuehl" w:hAnsi="FrankRuehl" w:cs="FrankRuehl"/>
                <w:b/>
                <w:bCs/>
                <w:sz w:val="32"/>
                <w:szCs w:val="32"/>
                <w:u w:val="single"/>
                <w:rtl/>
              </w:rPr>
              <w:t>גזר דין</w:t>
            </w:r>
          </w:p>
          <w:p w14:paraId="159D5288" w14:textId="77777777" w:rsidR="00B475A4" w:rsidRPr="004D41D5" w:rsidRDefault="00B475A4" w:rsidP="004D41D5">
            <w:pPr>
              <w:jc w:val="center"/>
              <w:rPr>
                <w:rFonts w:ascii="FrankRuehl" w:hAnsi="FrankRuehl" w:cs="FrankRuehl"/>
                <w:bCs/>
                <w:sz w:val="32"/>
                <w:szCs w:val="32"/>
                <w:u w:val="single"/>
                <w:rtl/>
              </w:rPr>
            </w:pPr>
          </w:p>
        </w:tc>
      </w:tr>
      <w:bookmarkEnd w:id="5"/>
    </w:tbl>
    <w:p w14:paraId="2CE0E2C4" w14:textId="77777777" w:rsidR="00B475A4" w:rsidRPr="002B7D23" w:rsidRDefault="00B475A4" w:rsidP="00B475A4">
      <w:pPr>
        <w:rPr>
          <w:rFonts w:ascii="David" w:hAnsi="David"/>
          <w:sz w:val="26"/>
          <w:szCs w:val="26"/>
          <w:rtl/>
        </w:rPr>
      </w:pPr>
    </w:p>
    <w:p w14:paraId="4A68343F" w14:textId="77777777" w:rsidR="00B475A4" w:rsidRDefault="00B475A4" w:rsidP="00B475A4">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כתבי האישום בהם הודה הנאשם</w:t>
      </w:r>
    </w:p>
    <w:bookmarkStart w:id="6" w:name="ABSTRACT_START"/>
    <w:bookmarkEnd w:id="6"/>
    <w:p w14:paraId="1AA933D3" w14:textId="77777777" w:rsidR="00B475A4" w:rsidRDefault="004D41D5" w:rsidP="00B475A4">
      <w:pPr>
        <w:spacing w:line="360" w:lineRule="auto"/>
        <w:jc w:val="both"/>
        <w:rPr>
          <w:rFonts w:ascii="FrankRuehl" w:hAnsi="FrankRuehl" w:cs="FrankRuehl"/>
          <w:sz w:val="28"/>
          <w:szCs w:val="28"/>
          <w:rtl/>
        </w:rPr>
      </w:pPr>
      <w:r w:rsidRPr="004D41D5">
        <w:rPr>
          <w:rFonts w:ascii="FrankRuehl" w:hAnsi="FrankRuehl" w:cs="FrankRuehl"/>
          <w:b/>
          <w:bCs/>
          <w:color w:val="0000FF"/>
          <w:sz w:val="28"/>
          <w:szCs w:val="28"/>
          <w:u w:val="single"/>
          <w:rtl/>
        </w:rPr>
        <w:fldChar w:fldCharType="begin"/>
      </w:r>
      <w:r w:rsidRPr="004D41D5">
        <w:rPr>
          <w:rFonts w:ascii="FrankRuehl" w:hAnsi="FrankRuehl" w:cs="FrankRuehl"/>
          <w:b/>
          <w:bCs/>
          <w:color w:val="0000FF"/>
          <w:sz w:val="28"/>
          <w:szCs w:val="28"/>
          <w:u w:val="single"/>
          <w:rtl/>
        </w:rPr>
        <w:instrText xml:space="preserve"> </w:instrText>
      </w:r>
      <w:r w:rsidRPr="004D41D5">
        <w:rPr>
          <w:rFonts w:ascii="FrankRuehl" w:hAnsi="FrankRuehl" w:cs="FrankRuehl"/>
          <w:b/>
          <w:bCs/>
          <w:color w:val="0000FF"/>
          <w:sz w:val="28"/>
          <w:szCs w:val="28"/>
          <w:u w:val="single"/>
        </w:rPr>
        <w:instrText xml:space="preserve">HYPERLINK </w:instrText>
      </w:r>
      <w:r w:rsidRPr="004D41D5">
        <w:rPr>
          <w:rFonts w:ascii="FrankRuehl" w:hAnsi="FrankRuehl" w:cs="FrankRuehl"/>
          <w:b/>
          <w:bCs/>
          <w:color w:val="0000FF"/>
          <w:sz w:val="28"/>
          <w:szCs w:val="28"/>
          <w:u w:val="single"/>
          <w:rtl/>
        </w:rPr>
        <w:instrText>"</w:instrText>
      </w:r>
      <w:r w:rsidRPr="004D41D5">
        <w:rPr>
          <w:rFonts w:ascii="FrankRuehl" w:hAnsi="FrankRuehl" w:cs="FrankRuehl"/>
          <w:b/>
          <w:bCs/>
          <w:color w:val="0000FF"/>
          <w:sz w:val="28"/>
          <w:szCs w:val="28"/>
          <w:u w:val="single"/>
        </w:rPr>
        <w:instrText>http://www.nevo.co.il/case/23604118"</w:instrText>
      </w:r>
      <w:r w:rsidRPr="004D41D5">
        <w:rPr>
          <w:rFonts w:ascii="FrankRuehl" w:hAnsi="FrankRuehl" w:cs="FrankRuehl"/>
          <w:b/>
          <w:bCs/>
          <w:color w:val="0000FF"/>
          <w:sz w:val="28"/>
          <w:szCs w:val="28"/>
          <w:u w:val="single"/>
          <w:rtl/>
        </w:rPr>
        <w:instrText xml:space="preserve"> </w:instrText>
      </w:r>
      <w:r w:rsidRPr="004D41D5">
        <w:rPr>
          <w:rFonts w:ascii="FrankRuehl" w:hAnsi="FrankRuehl" w:cs="FrankRuehl"/>
          <w:b/>
          <w:bCs/>
          <w:color w:val="0000FF"/>
          <w:sz w:val="28"/>
          <w:szCs w:val="28"/>
          <w:u w:val="single"/>
          <w:rtl/>
        </w:rPr>
      </w:r>
      <w:r w:rsidRPr="004D41D5">
        <w:rPr>
          <w:rFonts w:ascii="FrankRuehl" w:hAnsi="FrankRuehl" w:cs="FrankRuehl"/>
          <w:b/>
          <w:bCs/>
          <w:color w:val="0000FF"/>
          <w:sz w:val="28"/>
          <w:szCs w:val="28"/>
          <w:u w:val="single"/>
          <w:rtl/>
        </w:rPr>
        <w:fldChar w:fldCharType="separate"/>
      </w:r>
      <w:r w:rsidRPr="004D41D5">
        <w:rPr>
          <w:rFonts w:ascii="FrankRuehl" w:hAnsi="FrankRuehl" w:cs="FrankRuehl"/>
          <w:b/>
          <w:bCs/>
          <w:color w:val="0000FF"/>
          <w:sz w:val="28"/>
          <w:szCs w:val="28"/>
          <w:u w:val="single"/>
          <w:rtl/>
        </w:rPr>
        <w:t>ת"פ 5524-02-18</w:t>
      </w:r>
      <w:r w:rsidRPr="004D41D5">
        <w:rPr>
          <w:rFonts w:ascii="FrankRuehl" w:hAnsi="FrankRuehl" w:cs="FrankRuehl"/>
          <w:b/>
          <w:bCs/>
          <w:color w:val="0000FF"/>
          <w:sz w:val="28"/>
          <w:szCs w:val="28"/>
          <w:u w:val="single"/>
          <w:rtl/>
        </w:rPr>
        <w:fldChar w:fldCharType="end"/>
      </w:r>
      <w:r w:rsidR="00B475A4">
        <w:rPr>
          <w:rFonts w:ascii="FrankRuehl" w:hAnsi="FrankRuehl" w:cs="FrankRuehl"/>
          <w:b/>
          <w:bCs/>
          <w:sz w:val="28"/>
          <w:szCs w:val="28"/>
          <w:u w:val="single"/>
          <w:rtl/>
        </w:rPr>
        <w:t xml:space="preserve"> (התיק הראשון)</w:t>
      </w:r>
      <w:r w:rsidR="00B475A4">
        <w:rPr>
          <w:rFonts w:ascii="FrankRuehl" w:hAnsi="FrankRuehl" w:cs="FrankRuehl"/>
          <w:sz w:val="28"/>
          <w:szCs w:val="28"/>
          <w:rtl/>
        </w:rPr>
        <w:t xml:space="preserve"> – הנאשם הודה והורשע בביצוע עבירות של החזקת סם לצריכה עצמית, לפי </w:t>
      </w:r>
      <w:hyperlink r:id="rId13" w:history="1">
        <w:r w:rsidR="00B752BE" w:rsidRPr="00B752BE">
          <w:rPr>
            <w:rStyle w:val="Hyperlink"/>
            <w:rFonts w:ascii="FrankRuehl" w:hAnsi="FrankRuehl" w:cs="FrankRuehl"/>
            <w:sz w:val="28"/>
            <w:szCs w:val="28"/>
            <w:rtl/>
          </w:rPr>
          <w:t>סעיפים 7(א)(ג)</w:t>
        </w:r>
      </w:hyperlink>
      <w:r w:rsidR="00B475A4">
        <w:rPr>
          <w:rFonts w:ascii="FrankRuehl" w:hAnsi="FrankRuehl" w:cs="FrankRuehl"/>
          <w:sz w:val="28"/>
          <w:szCs w:val="28"/>
          <w:rtl/>
        </w:rPr>
        <w:t xml:space="preserve"> סיפא ל</w:t>
      </w:r>
      <w:hyperlink r:id="rId14" w:history="1">
        <w:r w:rsidRPr="004D41D5">
          <w:rPr>
            <w:rFonts w:ascii="FrankRuehl" w:hAnsi="FrankRuehl" w:cs="FrankRuehl"/>
            <w:color w:val="0000FF"/>
            <w:sz w:val="28"/>
            <w:szCs w:val="28"/>
            <w:u w:val="single"/>
            <w:rtl/>
          </w:rPr>
          <w:t>פקודת הסמים המסוכנים</w:t>
        </w:r>
      </w:hyperlink>
      <w:r w:rsidR="00B475A4">
        <w:rPr>
          <w:rFonts w:ascii="FrankRuehl" w:hAnsi="FrankRuehl" w:cs="FrankRuehl"/>
          <w:sz w:val="28"/>
          <w:szCs w:val="28"/>
          <w:rtl/>
        </w:rPr>
        <w:t xml:space="preserve">, וכן בנהיגה תחת השפעת סמים, לפי </w:t>
      </w:r>
      <w:hyperlink r:id="rId15" w:history="1">
        <w:r w:rsidR="00B752BE" w:rsidRPr="00B752BE">
          <w:rPr>
            <w:rStyle w:val="Hyperlink"/>
            <w:rFonts w:ascii="FrankRuehl" w:hAnsi="FrankRuehl" w:cs="FrankRuehl"/>
            <w:sz w:val="28"/>
            <w:szCs w:val="28"/>
            <w:rtl/>
          </w:rPr>
          <w:t>סעיף 62(3)</w:t>
        </w:r>
      </w:hyperlink>
      <w:r w:rsidR="00B475A4">
        <w:rPr>
          <w:rFonts w:ascii="FrankRuehl" w:hAnsi="FrankRuehl" w:cs="FrankRuehl"/>
          <w:sz w:val="28"/>
          <w:szCs w:val="28"/>
          <w:rtl/>
        </w:rPr>
        <w:t xml:space="preserve"> ל</w:t>
      </w:r>
      <w:hyperlink r:id="rId16" w:history="1">
        <w:r w:rsidRPr="004D41D5">
          <w:rPr>
            <w:rFonts w:ascii="FrankRuehl" w:hAnsi="FrankRuehl" w:cs="FrankRuehl"/>
            <w:color w:val="0000FF"/>
            <w:sz w:val="28"/>
            <w:szCs w:val="28"/>
            <w:u w:val="single"/>
            <w:rtl/>
          </w:rPr>
          <w:t>פקודת התעבורה</w:t>
        </w:r>
      </w:hyperlink>
      <w:r w:rsidR="00B475A4">
        <w:rPr>
          <w:rFonts w:ascii="FrankRuehl" w:hAnsi="FrankRuehl" w:cs="FrankRuehl"/>
          <w:sz w:val="28"/>
          <w:szCs w:val="28"/>
          <w:rtl/>
        </w:rPr>
        <w:t>. מעובדות כתב האישום המקורי עולה כי ביום 11.11.2016 בשעת ערב, החזיק הנאשם ברכבו בסם מסוג חשיש במש</w:t>
      </w:r>
      <w:r w:rsidR="00B475A4">
        <w:rPr>
          <w:rFonts w:ascii="FrankRuehl" w:hAnsi="FrankRuehl" w:cs="FrankRuehl" w:hint="cs"/>
          <w:sz w:val="28"/>
          <w:szCs w:val="28"/>
          <w:rtl/>
        </w:rPr>
        <w:t>ק</w:t>
      </w:r>
      <w:r w:rsidR="00B475A4">
        <w:rPr>
          <w:rFonts w:ascii="FrankRuehl" w:hAnsi="FrankRuehl" w:cs="FrankRuehl"/>
          <w:sz w:val="28"/>
          <w:szCs w:val="28"/>
          <w:rtl/>
        </w:rPr>
        <w:t>ל 91.43 גרם נטו, כשהוא נוהג ברכב תחת השפעת סמים.</w:t>
      </w:r>
    </w:p>
    <w:p w14:paraId="6835DE72" w14:textId="77777777" w:rsidR="00B475A4" w:rsidRDefault="00B475A4" w:rsidP="00B475A4">
      <w:pPr>
        <w:spacing w:line="360" w:lineRule="auto"/>
        <w:jc w:val="both"/>
        <w:rPr>
          <w:rFonts w:ascii="FrankRuehl" w:hAnsi="FrankRuehl" w:cs="FrankRuehl"/>
          <w:b/>
          <w:bCs/>
          <w:sz w:val="28"/>
          <w:szCs w:val="28"/>
          <w:u w:val="single"/>
          <w:rtl/>
        </w:rPr>
      </w:pPr>
    </w:p>
    <w:bookmarkStart w:id="7" w:name="ABSTRACT_END"/>
    <w:bookmarkEnd w:id="7"/>
    <w:p w14:paraId="75A3AF7A" w14:textId="77777777" w:rsidR="00B475A4" w:rsidRDefault="004D41D5" w:rsidP="00B475A4">
      <w:pPr>
        <w:spacing w:line="360" w:lineRule="auto"/>
        <w:jc w:val="both"/>
        <w:rPr>
          <w:rFonts w:ascii="FrankRuehl" w:hAnsi="FrankRuehl" w:cs="FrankRuehl"/>
          <w:sz w:val="28"/>
          <w:szCs w:val="28"/>
          <w:rtl/>
        </w:rPr>
      </w:pPr>
      <w:r w:rsidRPr="004D41D5">
        <w:rPr>
          <w:rFonts w:ascii="FrankRuehl" w:hAnsi="FrankRuehl" w:cs="FrankRuehl"/>
          <w:b/>
          <w:bCs/>
          <w:color w:val="0000FF"/>
          <w:sz w:val="28"/>
          <w:szCs w:val="28"/>
          <w:u w:val="single"/>
          <w:rtl/>
        </w:rPr>
        <w:lastRenderedPageBreak/>
        <w:fldChar w:fldCharType="begin"/>
      </w:r>
      <w:r w:rsidRPr="004D41D5">
        <w:rPr>
          <w:rFonts w:ascii="FrankRuehl" w:hAnsi="FrankRuehl" w:cs="FrankRuehl"/>
          <w:b/>
          <w:bCs/>
          <w:color w:val="0000FF"/>
          <w:sz w:val="28"/>
          <w:szCs w:val="28"/>
          <w:u w:val="single"/>
          <w:rtl/>
        </w:rPr>
        <w:instrText xml:space="preserve"> </w:instrText>
      </w:r>
      <w:r w:rsidRPr="004D41D5">
        <w:rPr>
          <w:rFonts w:ascii="FrankRuehl" w:hAnsi="FrankRuehl" w:cs="FrankRuehl"/>
          <w:b/>
          <w:bCs/>
          <w:color w:val="0000FF"/>
          <w:sz w:val="28"/>
          <w:szCs w:val="28"/>
          <w:u w:val="single"/>
        </w:rPr>
        <w:instrText xml:space="preserve">HYPERLINK </w:instrText>
      </w:r>
      <w:r w:rsidRPr="004D41D5">
        <w:rPr>
          <w:rFonts w:ascii="FrankRuehl" w:hAnsi="FrankRuehl" w:cs="FrankRuehl"/>
          <w:b/>
          <w:bCs/>
          <w:color w:val="0000FF"/>
          <w:sz w:val="28"/>
          <w:szCs w:val="28"/>
          <w:u w:val="single"/>
          <w:rtl/>
        </w:rPr>
        <w:instrText>"</w:instrText>
      </w:r>
      <w:r w:rsidRPr="004D41D5">
        <w:rPr>
          <w:rFonts w:ascii="FrankRuehl" w:hAnsi="FrankRuehl" w:cs="FrankRuehl"/>
          <w:b/>
          <w:bCs/>
          <w:color w:val="0000FF"/>
          <w:sz w:val="28"/>
          <w:szCs w:val="28"/>
          <w:u w:val="single"/>
        </w:rPr>
        <w:instrText>http://www.nevo.co.il/case/24936967"</w:instrText>
      </w:r>
      <w:r w:rsidRPr="004D41D5">
        <w:rPr>
          <w:rFonts w:ascii="FrankRuehl" w:hAnsi="FrankRuehl" w:cs="FrankRuehl"/>
          <w:b/>
          <w:bCs/>
          <w:color w:val="0000FF"/>
          <w:sz w:val="28"/>
          <w:szCs w:val="28"/>
          <w:u w:val="single"/>
          <w:rtl/>
        </w:rPr>
        <w:instrText xml:space="preserve"> </w:instrText>
      </w:r>
      <w:r w:rsidRPr="004D41D5">
        <w:rPr>
          <w:rFonts w:ascii="FrankRuehl" w:hAnsi="FrankRuehl" w:cs="FrankRuehl"/>
          <w:b/>
          <w:bCs/>
          <w:color w:val="0000FF"/>
          <w:sz w:val="28"/>
          <w:szCs w:val="28"/>
          <w:u w:val="single"/>
          <w:rtl/>
        </w:rPr>
      </w:r>
      <w:r w:rsidRPr="004D41D5">
        <w:rPr>
          <w:rFonts w:ascii="FrankRuehl" w:hAnsi="FrankRuehl" w:cs="FrankRuehl"/>
          <w:b/>
          <w:bCs/>
          <w:color w:val="0000FF"/>
          <w:sz w:val="28"/>
          <w:szCs w:val="28"/>
          <w:u w:val="single"/>
          <w:rtl/>
        </w:rPr>
        <w:fldChar w:fldCharType="separate"/>
      </w:r>
      <w:r w:rsidRPr="004D41D5">
        <w:rPr>
          <w:rFonts w:ascii="FrankRuehl" w:hAnsi="FrankRuehl" w:cs="FrankRuehl"/>
          <w:b/>
          <w:bCs/>
          <w:color w:val="0000FF"/>
          <w:sz w:val="28"/>
          <w:szCs w:val="28"/>
          <w:u w:val="single"/>
          <w:rtl/>
        </w:rPr>
        <w:t>ת"פ 45345-08-18</w:t>
      </w:r>
      <w:r w:rsidRPr="004D41D5">
        <w:rPr>
          <w:rFonts w:ascii="FrankRuehl" w:hAnsi="FrankRuehl" w:cs="FrankRuehl"/>
          <w:b/>
          <w:bCs/>
          <w:color w:val="0000FF"/>
          <w:sz w:val="28"/>
          <w:szCs w:val="28"/>
          <w:u w:val="single"/>
          <w:rtl/>
        </w:rPr>
        <w:fldChar w:fldCharType="end"/>
      </w:r>
      <w:r w:rsidR="00B475A4">
        <w:rPr>
          <w:rFonts w:ascii="FrankRuehl" w:hAnsi="FrankRuehl" w:cs="FrankRuehl"/>
          <w:b/>
          <w:bCs/>
          <w:sz w:val="28"/>
          <w:szCs w:val="28"/>
          <w:u w:val="single"/>
          <w:rtl/>
        </w:rPr>
        <w:t xml:space="preserve"> (התיק השני)</w:t>
      </w:r>
      <w:r w:rsidR="00B475A4">
        <w:rPr>
          <w:rFonts w:ascii="FrankRuehl" w:hAnsi="FrankRuehl" w:cs="FrankRuehl"/>
          <w:sz w:val="28"/>
          <w:szCs w:val="28"/>
          <w:rtl/>
        </w:rPr>
        <w:t xml:space="preserve"> – הנאשם הודה בכתב אישום מתוקן והורשע בביצוע עבירה של החזקת סם לצריכה עצמית, לפי </w:t>
      </w:r>
      <w:hyperlink r:id="rId17" w:history="1">
        <w:r w:rsidR="00B752BE" w:rsidRPr="00B752BE">
          <w:rPr>
            <w:rStyle w:val="Hyperlink"/>
            <w:rFonts w:ascii="FrankRuehl" w:hAnsi="FrankRuehl" w:cs="FrankRuehl"/>
            <w:sz w:val="28"/>
            <w:szCs w:val="28"/>
            <w:rtl/>
          </w:rPr>
          <w:t>סעיפים 7(א)ו-(ג)</w:t>
        </w:r>
      </w:hyperlink>
      <w:r w:rsidR="00B475A4">
        <w:rPr>
          <w:rFonts w:ascii="FrankRuehl" w:hAnsi="FrankRuehl" w:cs="FrankRuehl"/>
          <w:sz w:val="28"/>
          <w:szCs w:val="28"/>
          <w:rtl/>
        </w:rPr>
        <w:t xml:space="preserve"> סיפא ל</w:t>
      </w:r>
      <w:hyperlink r:id="rId18" w:history="1">
        <w:r w:rsidRPr="004D41D5">
          <w:rPr>
            <w:rFonts w:ascii="FrankRuehl" w:hAnsi="FrankRuehl" w:cs="FrankRuehl"/>
            <w:color w:val="0000FF"/>
            <w:sz w:val="28"/>
            <w:szCs w:val="28"/>
            <w:u w:val="single"/>
            <w:rtl/>
          </w:rPr>
          <w:t>פקודת הסמים המסוכנים</w:t>
        </w:r>
      </w:hyperlink>
      <w:r w:rsidR="00B475A4">
        <w:rPr>
          <w:rFonts w:ascii="FrankRuehl" w:hAnsi="FrankRuehl" w:cs="FrankRuehl"/>
          <w:sz w:val="28"/>
          <w:szCs w:val="28"/>
          <w:rtl/>
        </w:rPr>
        <w:t>, בכך שביום 31.3.2016 החזיק בתחתוניו חשיש במשקל 26.30 גרם נטו.</w:t>
      </w:r>
    </w:p>
    <w:p w14:paraId="238FC306" w14:textId="77777777" w:rsidR="00B475A4" w:rsidRDefault="00B475A4" w:rsidP="00B475A4">
      <w:pPr>
        <w:spacing w:line="360" w:lineRule="auto"/>
        <w:jc w:val="both"/>
        <w:rPr>
          <w:rFonts w:ascii="FrankRuehl" w:hAnsi="FrankRuehl" w:cs="FrankRuehl"/>
          <w:sz w:val="28"/>
          <w:szCs w:val="28"/>
          <w:rtl/>
        </w:rPr>
      </w:pPr>
    </w:p>
    <w:p w14:paraId="5D397FA4" w14:textId="77777777" w:rsidR="00B475A4" w:rsidRDefault="00B475A4" w:rsidP="00B475A4">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מהלך הדיון</w:t>
      </w:r>
    </w:p>
    <w:p w14:paraId="01E294D8" w14:textId="77777777" w:rsidR="00B475A4" w:rsidRDefault="00B475A4" w:rsidP="00B475A4">
      <w:pPr>
        <w:spacing w:line="360" w:lineRule="auto"/>
        <w:jc w:val="both"/>
        <w:rPr>
          <w:rFonts w:ascii="FrankRuehl" w:hAnsi="FrankRuehl" w:cs="FrankRuehl"/>
          <w:sz w:val="28"/>
          <w:szCs w:val="28"/>
          <w:rtl/>
        </w:rPr>
      </w:pPr>
      <w:r>
        <w:rPr>
          <w:rFonts w:ascii="FrankRuehl" w:hAnsi="FrankRuehl" w:cs="FrankRuehl"/>
          <w:sz w:val="28"/>
          <w:szCs w:val="28"/>
          <w:rtl/>
        </w:rPr>
        <w:t>הנאשם הודה בשני כתבי האישום במועדים שונים, תוך צירוף התיק הראשון לשני, ובהמשך נשלח לשירות המבחן וכן לממונה על עבודות השירות.</w:t>
      </w:r>
    </w:p>
    <w:p w14:paraId="6C74C2E9" w14:textId="77777777" w:rsidR="00B475A4" w:rsidRDefault="00B475A4" w:rsidP="00B475A4">
      <w:pPr>
        <w:spacing w:line="360" w:lineRule="auto"/>
        <w:jc w:val="both"/>
        <w:rPr>
          <w:rFonts w:ascii="FrankRuehl" w:hAnsi="FrankRuehl" w:cs="FrankRuehl"/>
          <w:sz w:val="28"/>
          <w:szCs w:val="28"/>
          <w:rtl/>
        </w:rPr>
      </w:pPr>
    </w:p>
    <w:p w14:paraId="56665770" w14:textId="77777777" w:rsidR="00B475A4" w:rsidRDefault="00B475A4" w:rsidP="00B475A4">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מידע פלילי</w:t>
      </w:r>
    </w:p>
    <w:p w14:paraId="2F3538BC" w14:textId="77777777" w:rsidR="00B475A4" w:rsidRDefault="00B475A4" w:rsidP="00B475A4">
      <w:pPr>
        <w:spacing w:line="360" w:lineRule="auto"/>
        <w:jc w:val="both"/>
        <w:rPr>
          <w:rFonts w:ascii="FrankRuehl" w:hAnsi="FrankRuehl" w:cs="FrankRuehl"/>
          <w:sz w:val="28"/>
          <w:szCs w:val="28"/>
          <w:rtl/>
        </w:rPr>
      </w:pPr>
      <w:r>
        <w:rPr>
          <w:rFonts w:ascii="FrankRuehl" w:hAnsi="FrankRuehl" w:cs="FrankRuehl"/>
          <w:sz w:val="28"/>
          <w:szCs w:val="28"/>
          <w:rtl/>
        </w:rPr>
        <w:t>לנאשם שתי הרשעות קודמות בעבירות סחר בסמים – האחת מעת שירותו הצבאי, השניה משנת 2012 – בגינן נשפט לתקופות מאסר בפועל.</w:t>
      </w:r>
    </w:p>
    <w:p w14:paraId="27CE3DFE" w14:textId="77777777" w:rsidR="00B475A4" w:rsidRDefault="00B475A4" w:rsidP="00B475A4">
      <w:pPr>
        <w:spacing w:line="360" w:lineRule="auto"/>
        <w:jc w:val="both"/>
        <w:rPr>
          <w:rFonts w:ascii="FrankRuehl" w:hAnsi="FrankRuehl" w:cs="FrankRuehl"/>
          <w:sz w:val="28"/>
          <w:szCs w:val="28"/>
          <w:rtl/>
        </w:rPr>
      </w:pPr>
    </w:p>
    <w:p w14:paraId="2E2D0DDE" w14:textId="77777777" w:rsidR="00B475A4" w:rsidRDefault="00B475A4" w:rsidP="00B475A4">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תסקירי שירות המבחן</w:t>
      </w:r>
    </w:p>
    <w:p w14:paraId="1179DA43" w14:textId="77777777" w:rsidR="00B475A4" w:rsidRDefault="00B475A4" w:rsidP="00B475A4">
      <w:pPr>
        <w:spacing w:line="360" w:lineRule="auto"/>
        <w:jc w:val="both"/>
        <w:rPr>
          <w:rFonts w:ascii="FrankRuehl" w:hAnsi="FrankRuehl" w:cs="FrankRuehl"/>
          <w:sz w:val="28"/>
          <w:szCs w:val="28"/>
          <w:rtl/>
        </w:rPr>
      </w:pPr>
      <w:r>
        <w:rPr>
          <w:rFonts w:ascii="FrankRuehl" w:hAnsi="FrankRuehl" w:cs="FrankRuehl"/>
          <w:sz w:val="28"/>
          <w:szCs w:val="28"/>
          <w:rtl/>
        </w:rPr>
        <w:t xml:space="preserve">בעניינו של הנאשם הוגשו </w:t>
      </w:r>
      <w:r>
        <w:rPr>
          <w:rFonts w:ascii="FrankRuehl" w:hAnsi="FrankRuehl" w:cs="FrankRuehl" w:hint="cs"/>
          <w:sz w:val="28"/>
          <w:szCs w:val="28"/>
          <w:rtl/>
        </w:rPr>
        <w:t>חמישה</w:t>
      </w:r>
      <w:r>
        <w:rPr>
          <w:rFonts w:ascii="FrankRuehl" w:hAnsi="FrankRuehl" w:cs="FrankRuehl"/>
          <w:sz w:val="28"/>
          <w:szCs w:val="28"/>
          <w:rtl/>
        </w:rPr>
        <w:t xml:space="preserve"> תסקירים. מהתסקירים עולה כי הנאשם כבן 45, גרוש ואב לבת בגירה עמה עומד בקשר רציף וקרוב. עובד בשנים האחרונות כעצמאי בתחום ההובלות. הוא סיים 12 שנות לימוד, התגייס לצבא אך שוחרר על רקע מעורבותו בעבירות סמים במהלך שירותו הצבאי ולאחר ריצוי מאסר בהקשר זה. הוא החל שימוש בסמים בגיל העשרה, והשימוש </w:t>
      </w:r>
      <w:r>
        <w:rPr>
          <w:rFonts w:ascii="FrankRuehl" w:hAnsi="FrankRuehl" w:cs="FrankRuehl" w:hint="cs"/>
          <w:sz w:val="28"/>
          <w:szCs w:val="28"/>
          <w:rtl/>
        </w:rPr>
        <w:t xml:space="preserve">החמיר </w:t>
      </w:r>
      <w:r>
        <w:rPr>
          <w:rFonts w:ascii="FrankRuehl" w:hAnsi="FrankRuehl" w:cs="FrankRuehl"/>
          <w:sz w:val="28"/>
          <w:szCs w:val="28"/>
          <w:rtl/>
        </w:rPr>
        <w:t>לכדי התמכרות. לדברי</w:t>
      </w:r>
      <w:r>
        <w:rPr>
          <w:rFonts w:ascii="FrankRuehl" w:hAnsi="FrankRuehl" w:cs="FrankRuehl" w:hint="cs"/>
          <w:sz w:val="28"/>
          <w:szCs w:val="28"/>
          <w:rtl/>
        </w:rPr>
        <w:t>ו</w:t>
      </w:r>
      <w:r>
        <w:rPr>
          <w:rFonts w:ascii="FrankRuehl" w:hAnsi="FrankRuehl" w:cs="FrankRuehl"/>
          <w:sz w:val="28"/>
          <w:szCs w:val="28"/>
          <w:rtl/>
        </w:rPr>
        <w:t xml:space="preserve"> בשנים האחרונות נגמל באופן עצמאי, ואולם ניסיונות שירות המבחן לגייסו לטיפול ארוך טווח לא עלו יפה, בשל היעדר שיתוף פעולה מצדו. הנאשם קיבל אחריות למעשים ותיאר את הסתייגות משפחתו וסביבתו הקרובה מאורחות חייו וממעורבותו בעולם הסמים. שירות המבחן לא בא בהמלצה טיפולית וסבר כי עונש מוחשי עשוי להציב לו גבולות.</w:t>
      </w:r>
      <w:r>
        <w:rPr>
          <w:rFonts w:ascii="FrankRuehl" w:hAnsi="FrankRuehl" w:cs="FrankRuehl" w:hint="cs"/>
          <w:sz w:val="28"/>
          <w:szCs w:val="28"/>
          <w:rtl/>
        </w:rPr>
        <w:t xml:space="preserve"> רק בתסקיר האחרון התברר כי שיתוף הפעולה של הנאשם השתפר, והוא מסר בדיקות שתן נקיות, תוך שהשתלב ביחידה להתמכרויות באיזור מגוריו. לא נפתחו לנאשם תיקים נוספים. שירות המבחן שינה את המלצתו והמליץ על הנאשם של"ץ בהיקף 150 שעות  וצו מבחן. </w:t>
      </w:r>
    </w:p>
    <w:p w14:paraId="0AB7034D" w14:textId="77777777" w:rsidR="00B475A4" w:rsidRDefault="00B475A4" w:rsidP="00B475A4">
      <w:pPr>
        <w:spacing w:line="360" w:lineRule="auto"/>
        <w:jc w:val="both"/>
        <w:rPr>
          <w:rFonts w:ascii="FrankRuehl" w:hAnsi="FrankRuehl" w:cs="FrankRuehl"/>
          <w:sz w:val="28"/>
          <w:szCs w:val="28"/>
          <w:rtl/>
        </w:rPr>
      </w:pPr>
    </w:p>
    <w:p w14:paraId="2A0654F9" w14:textId="77777777" w:rsidR="00B475A4" w:rsidRDefault="00B475A4" w:rsidP="00B475A4">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חוות דעת הממונה על עבודות השירות</w:t>
      </w:r>
    </w:p>
    <w:p w14:paraId="4FF6B08B" w14:textId="77777777" w:rsidR="00B475A4" w:rsidRDefault="00B475A4" w:rsidP="00B475A4">
      <w:pPr>
        <w:spacing w:line="360" w:lineRule="auto"/>
        <w:jc w:val="both"/>
        <w:rPr>
          <w:rFonts w:ascii="FrankRuehl" w:hAnsi="FrankRuehl" w:cs="FrankRuehl"/>
          <w:sz w:val="28"/>
          <w:szCs w:val="28"/>
          <w:rtl/>
        </w:rPr>
      </w:pPr>
      <w:r>
        <w:rPr>
          <w:rFonts w:ascii="FrankRuehl" w:hAnsi="FrankRuehl" w:cs="FrankRuehl"/>
          <w:sz w:val="28"/>
          <w:szCs w:val="28"/>
          <w:rtl/>
        </w:rPr>
        <w:t>הממונה מצא את הנאשם מתאים לביצוע עונש של עבודות שירות ב"פתחון לב" בראשון לציון</w:t>
      </w:r>
      <w:r>
        <w:rPr>
          <w:rFonts w:ascii="FrankRuehl" w:hAnsi="FrankRuehl" w:cs="FrankRuehl" w:hint="cs"/>
          <w:sz w:val="28"/>
          <w:szCs w:val="28"/>
          <w:rtl/>
        </w:rPr>
        <w:t>.</w:t>
      </w:r>
    </w:p>
    <w:p w14:paraId="45DFA767" w14:textId="77777777" w:rsidR="00B475A4" w:rsidRDefault="00B475A4" w:rsidP="00B475A4">
      <w:pPr>
        <w:spacing w:line="360" w:lineRule="auto"/>
        <w:jc w:val="both"/>
        <w:rPr>
          <w:rFonts w:ascii="FrankRuehl" w:hAnsi="FrankRuehl" w:cs="FrankRuehl"/>
          <w:sz w:val="28"/>
          <w:szCs w:val="28"/>
          <w:rtl/>
        </w:rPr>
      </w:pPr>
    </w:p>
    <w:p w14:paraId="3025EB44" w14:textId="77777777" w:rsidR="00B475A4" w:rsidRPr="007556E4" w:rsidRDefault="00B475A4" w:rsidP="00B475A4">
      <w:pPr>
        <w:spacing w:line="360" w:lineRule="auto"/>
        <w:jc w:val="both"/>
        <w:rPr>
          <w:rFonts w:ascii="FrankRuehl" w:hAnsi="FrankRuehl" w:cs="FrankRuehl"/>
          <w:b/>
          <w:bCs/>
          <w:sz w:val="28"/>
          <w:szCs w:val="28"/>
          <w:u w:val="single"/>
          <w:rtl/>
        </w:rPr>
      </w:pPr>
      <w:r w:rsidRPr="007556E4">
        <w:rPr>
          <w:rFonts w:ascii="FrankRuehl" w:hAnsi="FrankRuehl" w:cs="FrankRuehl" w:hint="cs"/>
          <w:b/>
          <w:bCs/>
          <w:sz w:val="28"/>
          <w:szCs w:val="28"/>
          <w:u w:val="single"/>
          <w:rtl/>
        </w:rPr>
        <w:t>טיעונים לעונש</w:t>
      </w:r>
    </w:p>
    <w:p w14:paraId="39BF692B" w14:textId="77777777" w:rsidR="00B475A4" w:rsidRDefault="00B475A4" w:rsidP="00B475A4">
      <w:pPr>
        <w:spacing w:line="360" w:lineRule="auto"/>
        <w:jc w:val="both"/>
        <w:rPr>
          <w:rFonts w:ascii="FrankRuehl" w:hAnsi="FrankRuehl" w:cs="FrankRuehl"/>
          <w:sz w:val="28"/>
          <w:szCs w:val="28"/>
          <w:rtl/>
        </w:rPr>
      </w:pPr>
      <w:r>
        <w:rPr>
          <w:rFonts w:ascii="FrankRuehl" w:hAnsi="FrankRuehl" w:cs="FrankRuehl" w:hint="cs"/>
          <w:sz w:val="28"/>
          <w:szCs w:val="28"/>
          <w:rtl/>
        </w:rPr>
        <w:lastRenderedPageBreak/>
        <w:t>ב"כ המאשימה ביקש להטיל על הנאשם עונש בגין התיק הראשון של מאסר בפועל שבין 8 ל-18 חודשים במרכז המתחם ועונש בעבודות שירות בגין התיק הנוסף. הסניגור סבר שיש להסתפק בהמלצת שירות המבחן.</w:t>
      </w:r>
    </w:p>
    <w:p w14:paraId="7F326BD0" w14:textId="77777777" w:rsidR="00B475A4" w:rsidRDefault="00B475A4" w:rsidP="00B475A4">
      <w:pPr>
        <w:spacing w:line="360" w:lineRule="auto"/>
        <w:jc w:val="both"/>
        <w:rPr>
          <w:rFonts w:ascii="FrankRuehl" w:hAnsi="FrankRuehl" w:cs="FrankRuehl"/>
          <w:sz w:val="28"/>
          <w:szCs w:val="28"/>
          <w:rtl/>
        </w:rPr>
      </w:pPr>
    </w:p>
    <w:p w14:paraId="4C5EF88F" w14:textId="77777777" w:rsidR="00B475A4" w:rsidRDefault="00B475A4" w:rsidP="00B475A4">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קביעת מתחם ענישה ההולם</w:t>
      </w:r>
    </w:p>
    <w:p w14:paraId="7272524C" w14:textId="77777777" w:rsidR="00B475A4" w:rsidRDefault="00B475A4" w:rsidP="00B475A4">
      <w:pPr>
        <w:spacing w:line="360" w:lineRule="auto"/>
        <w:jc w:val="both"/>
        <w:rPr>
          <w:rFonts w:ascii="FrankRuehl" w:hAnsi="FrankRuehl" w:cs="FrankRuehl"/>
          <w:sz w:val="28"/>
          <w:szCs w:val="28"/>
          <w:rtl/>
        </w:rPr>
      </w:pPr>
      <w:r>
        <w:rPr>
          <w:rFonts w:ascii="FrankRuehl" w:hAnsi="FrankRuehl" w:cs="FrankRuehl"/>
          <w:b/>
          <w:bCs/>
          <w:sz w:val="28"/>
          <w:szCs w:val="28"/>
          <w:rtl/>
        </w:rPr>
        <w:t>עקרון ההלימה</w:t>
      </w:r>
      <w:r>
        <w:rPr>
          <w:rFonts w:ascii="FrankRuehl" w:hAnsi="FrankRuehl" w:cs="FrankRuehl"/>
          <w:sz w:val="28"/>
          <w:szCs w:val="28"/>
          <w:rtl/>
        </w:rPr>
        <w:t xml:space="preserve"> – מתחם הענישה נקבע על-פי עקרון ההלימה, שהוא נגזרת של הערך החברתי המוגן, מידת הפגיעה בו, נסיבות ביצוע העבירה ומידת אשמו של הנאשם, ומדיניות הענישה הנוהגת.</w:t>
      </w:r>
    </w:p>
    <w:p w14:paraId="26CC3156" w14:textId="77777777" w:rsidR="00B475A4" w:rsidRDefault="00B475A4" w:rsidP="00B475A4">
      <w:pPr>
        <w:spacing w:line="360" w:lineRule="auto"/>
        <w:jc w:val="both"/>
        <w:rPr>
          <w:rFonts w:ascii="FrankRuehl" w:hAnsi="FrankRuehl" w:cs="FrankRuehl"/>
          <w:b/>
          <w:bCs/>
          <w:sz w:val="28"/>
          <w:szCs w:val="28"/>
          <w:rtl/>
        </w:rPr>
      </w:pPr>
    </w:p>
    <w:p w14:paraId="028D704F" w14:textId="77777777" w:rsidR="00B475A4" w:rsidRDefault="00B475A4" w:rsidP="00B475A4">
      <w:pPr>
        <w:spacing w:line="360" w:lineRule="auto"/>
        <w:jc w:val="both"/>
        <w:rPr>
          <w:rFonts w:ascii="FrankRuehl" w:hAnsi="FrankRuehl" w:cs="FrankRuehl"/>
          <w:sz w:val="28"/>
          <w:szCs w:val="28"/>
          <w:rtl/>
        </w:rPr>
      </w:pPr>
      <w:r>
        <w:rPr>
          <w:rFonts w:ascii="FrankRuehl" w:hAnsi="FrankRuehl" w:cs="FrankRuehl"/>
          <w:b/>
          <w:bCs/>
          <w:sz w:val="28"/>
          <w:szCs w:val="28"/>
          <w:rtl/>
        </w:rPr>
        <w:t>הערכים המוגנים</w:t>
      </w:r>
      <w:r>
        <w:rPr>
          <w:rFonts w:ascii="FrankRuehl" w:hAnsi="FrankRuehl" w:cs="FrankRuehl"/>
          <w:sz w:val="28"/>
          <w:szCs w:val="28"/>
          <w:rtl/>
        </w:rPr>
        <w:t xml:space="preserve"> – עבירות סמים פוגעות במרקם החיים ובבריאות הציבור ואף בביטחונו. נגע הסמים נרחב ופשה בחברה כולה. סמים "קלים" כסמים "קשים" – פגיעתם קשה ועמוקה. בענייננו</w:t>
      </w:r>
      <w:r>
        <w:rPr>
          <w:rFonts w:ascii="FrankRuehl" w:hAnsi="FrankRuehl" w:cs="FrankRuehl" w:hint="cs"/>
          <w:sz w:val="28"/>
          <w:szCs w:val="28"/>
          <w:rtl/>
        </w:rPr>
        <w:t xml:space="preserve">, </w:t>
      </w:r>
      <w:r>
        <w:rPr>
          <w:rFonts w:ascii="FrankRuehl" w:hAnsi="FrankRuehl" w:cs="FrankRuehl"/>
          <w:sz w:val="28"/>
          <w:szCs w:val="28"/>
          <w:rtl/>
        </w:rPr>
        <w:t xml:space="preserve"> מידת הפגיעה בערכים המוגנים נמוכה, נוכח טיב הסמים וכמותם.</w:t>
      </w:r>
    </w:p>
    <w:p w14:paraId="071A45CB" w14:textId="77777777" w:rsidR="00B475A4" w:rsidRDefault="00B475A4" w:rsidP="00B475A4">
      <w:pPr>
        <w:spacing w:line="360" w:lineRule="auto"/>
        <w:jc w:val="both"/>
        <w:rPr>
          <w:rFonts w:ascii="FrankRuehl" w:hAnsi="FrankRuehl" w:cs="FrankRuehl"/>
          <w:b/>
          <w:bCs/>
          <w:sz w:val="28"/>
          <w:szCs w:val="28"/>
          <w:rtl/>
        </w:rPr>
      </w:pPr>
    </w:p>
    <w:p w14:paraId="15F42DFB" w14:textId="77777777" w:rsidR="00B475A4" w:rsidRDefault="00B475A4" w:rsidP="00B475A4">
      <w:pPr>
        <w:spacing w:line="360" w:lineRule="auto"/>
        <w:jc w:val="both"/>
        <w:rPr>
          <w:rFonts w:ascii="FrankRuehl" w:hAnsi="FrankRuehl" w:cs="FrankRuehl"/>
          <w:sz w:val="28"/>
          <w:szCs w:val="28"/>
          <w:rtl/>
        </w:rPr>
      </w:pPr>
      <w:r>
        <w:rPr>
          <w:rFonts w:ascii="FrankRuehl" w:hAnsi="FrankRuehl" w:cs="FrankRuehl"/>
          <w:b/>
          <w:bCs/>
          <w:sz w:val="28"/>
          <w:szCs w:val="28"/>
          <w:rtl/>
        </w:rPr>
        <w:t>אשר לנסיבות ביצוע העבירה</w:t>
      </w:r>
      <w:r>
        <w:rPr>
          <w:rFonts w:ascii="FrankRuehl" w:hAnsi="FrankRuehl" w:cs="FrankRuehl"/>
          <w:sz w:val="28"/>
          <w:szCs w:val="28"/>
          <w:rtl/>
        </w:rPr>
        <w:t xml:space="preserve"> – בשני התיקים מדובר בעבירות מתוכננות, הנאשם אחראי למעשים וצריך היה להימנע מהם. הוא צרך סמים בשל התמכרותו ובמידה מסוימת הדבר משפיע על אי יכולתו להימנע מביצוע העבירות. בתיק הראשון, הנאשם פגע בערכים המוגנים במידה ניכרת יותר, בשל סיכון הציבור עקב נהיגתו תחת השפעת סמים. הסיכון הפוטנציאלי רב ביותר. גם כמות הסמים עומדת לנאשם לרועץ, אם כי טיב הסם אינו מן החמורים. בתיק השני, מדובר בכמות קטנה של סם "קל" כשהנזק מצומצם לנאשם עצמו.</w:t>
      </w:r>
    </w:p>
    <w:p w14:paraId="5394A740" w14:textId="77777777" w:rsidR="00B475A4" w:rsidRDefault="00B475A4" w:rsidP="00B475A4">
      <w:pPr>
        <w:spacing w:line="360" w:lineRule="auto"/>
        <w:jc w:val="both"/>
        <w:rPr>
          <w:rFonts w:ascii="FrankRuehl" w:hAnsi="FrankRuehl" w:cs="FrankRuehl"/>
          <w:b/>
          <w:bCs/>
          <w:sz w:val="28"/>
          <w:szCs w:val="28"/>
          <w:rtl/>
        </w:rPr>
      </w:pPr>
    </w:p>
    <w:p w14:paraId="08E1323C" w14:textId="77777777" w:rsidR="00B475A4" w:rsidRDefault="00B475A4" w:rsidP="00B475A4">
      <w:pPr>
        <w:spacing w:line="360" w:lineRule="auto"/>
        <w:jc w:val="both"/>
        <w:rPr>
          <w:rFonts w:ascii="FrankRuehl" w:hAnsi="FrankRuehl" w:cs="FrankRuehl"/>
          <w:sz w:val="28"/>
          <w:szCs w:val="28"/>
          <w:rtl/>
        </w:rPr>
      </w:pPr>
      <w:r>
        <w:rPr>
          <w:rFonts w:ascii="FrankRuehl" w:hAnsi="FrankRuehl" w:cs="FrankRuehl"/>
          <w:b/>
          <w:bCs/>
          <w:sz w:val="28"/>
          <w:szCs w:val="28"/>
          <w:rtl/>
        </w:rPr>
        <w:t>אשר למדיניות הענישה הנוהגת</w:t>
      </w:r>
      <w:r>
        <w:rPr>
          <w:rFonts w:ascii="FrankRuehl" w:hAnsi="FrankRuehl" w:cs="FrankRuehl"/>
          <w:sz w:val="28"/>
          <w:szCs w:val="28"/>
          <w:rtl/>
        </w:rPr>
        <w:t xml:space="preserve"> – כאשר מדובר בקנביס בכמויות לצריכה עצמית (גם על-פי הסדר טיעון) הנטיה היא להטיל עונשים שבין מאסר מותנה ושל"ץ עד מספר חודשים בעבודות שירות. מפנה ל</w:t>
      </w:r>
      <w:hyperlink r:id="rId19" w:history="1">
        <w:r w:rsidR="004D41D5" w:rsidRPr="004D41D5">
          <w:rPr>
            <w:rFonts w:ascii="FrankRuehl" w:hAnsi="FrankRuehl" w:cs="FrankRuehl"/>
            <w:color w:val="0000FF"/>
            <w:sz w:val="28"/>
            <w:szCs w:val="28"/>
            <w:u w:val="single"/>
            <w:rtl/>
          </w:rPr>
          <w:t>ת"פ 50570-04-18</w:t>
        </w:r>
      </w:hyperlink>
      <w:r>
        <w:rPr>
          <w:rFonts w:ascii="FrankRuehl" w:hAnsi="FrankRuehl" w:cs="FrankRuehl"/>
          <w:sz w:val="28"/>
          <w:szCs w:val="28"/>
          <w:rtl/>
        </w:rPr>
        <w:t xml:space="preserve"> </w:t>
      </w:r>
      <w:r>
        <w:rPr>
          <w:rFonts w:ascii="FrankRuehl" w:hAnsi="FrankRuehl" w:cs="FrankRuehl"/>
          <w:b/>
          <w:bCs/>
          <w:sz w:val="28"/>
          <w:szCs w:val="28"/>
          <w:u w:val="single"/>
          <w:rtl/>
        </w:rPr>
        <w:t>מ"י</w:t>
      </w:r>
      <w:r>
        <w:rPr>
          <w:rFonts w:ascii="FrankRuehl" w:hAnsi="FrankRuehl" w:cs="FrankRuehl"/>
          <w:sz w:val="28"/>
          <w:szCs w:val="28"/>
          <w:rtl/>
        </w:rPr>
        <w:t xml:space="preserve"> נ' </w:t>
      </w:r>
      <w:r>
        <w:rPr>
          <w:rFonts w:ascii="FrankRuehl" w:hAnsi="FrankRuehl" w:cs="FrankRuehl"/>
          <w:b/>
          <w:bCs/>
          <w:sz w:val="28"/>
          <w:szCs w:val="28"/>
          <w:u w:val="single"/>
          <w:rtl/>
        </w:rPr>
        <w:t>מלכה</w:t>
      </w:r>
      <w:r>
        <w:rPr>
          <w:rFonts w:ascii="FrankRuehl" w:hAnsi="FrankRuehl" w:cs="FrankRuehl"/>
          <w:sz w:val="28"/>
          <w:szCs w:val="28"/>
          <w:rtl/>
        </w:rPr>
        <w:t xml:space="preserve"> (מיום 7.5.2020)</w:t>
      </w:r>
      <w:r>
        <w:rPr>
          <w:rFonts w:ascii="FrankRuehl" w:hAnsi="FrankRuehl" w:cs="FrankRuehl"/>
          <w:sz w:val="28"/>
          <w:szCs w:val="28"/>
        </w:rPr>
        <w:t xml:space="preserve"> </w:t>
      </w:r>
      <w:r>
        <w:rPr>
          <w:rFonts w:ascii="FrankRuehl" w:hAnsi="FrankRuehl" w:cs="FrankRuehl"/>
          <w:sz w:val="28"/>
          <w:szCs w:val="28"/>
          <w:rtl/>
        </w:rPr>
        <w:t xml:space="preserve">שם קבעתי מתחם ענישה שבין של"ץ ומאסר מותנה ועד מאסר קצר בעבודות שירות בנסיבות של גידול עציץ קנביס במשקל 40 גרם. באותו מקרה דובר בנאשמת ללא עבר פלילי שהוגש בעניינה תסקיר חיובי, והתיק הסתיים ללא הרשעה, של"ץ והתחייבות. לא הוגש ערעור. יצוין, כי ביחס לנהיגה בשכרות קיימת פסילת מינימום של 24 חודשים [ר' למשל: </w:t>
      </w:r>
      <w:hyperlink r:id="rId20" w:history="1">
        <w:r w:rsidR="00DB20BE" w:rsidRPr="00DB20BE">
          <w:rPr>
            <w:rStyle w:val="Hyperlink"/>
            <w:rFonts w:ascii="FrankRuehl" w:hAnsi="FrankRuehl" w:cs="FrankRuehl"/>
            <w:sz w:val="28"/>
            <w:szCs w:val="28"/>
            <w:rtl/>
          </w:rPr>
          <w:t xml:space="preserve">5034/18 </w:t>
        </w:r>
      </w:hyperlink>
      <w:r>
        <w:rPr>
          <w:rFonts w:ascii="FrankRuehl" w:hAnsi="FrankRuehl" w:cs="FrankRuehl"/>
          <w:sz w:val="28"/>
          <w:szCs w:val="28"/>
          <w:rtl/>
        </w:rPr>
        <w:t xml:space="preserve"> </w:t>
      </w:r>
      <w:r>
        <w:rPr>
          <w:rFonts w:ascii="FrankRuehl" w:hAnsi="FrankRuehl" w:cs="FrankRuehl"/>
          <w:b/>
          <w:bCs/>
          <w:sz w:val="28"/>
          <w:szCs w:val="28"/>
          <w:u w:val="single"/>
          <w:rtl/>
        </w:rPr>
        <w:t>סופיר</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4.7.2018)].</w:t>
      </w:r>
      <w:r>
        <w:rPr>
          <w:rFonts w:ascii="FrankRuehl" w:hAnsi="FrankRuehl" w:cs="FrankRuehl" w:hint="cs"/>
          <w:sz w:val="28"/>
          <w:szCs w:val="28"/>
          <w:rtl/>
        </w:rPr>
        <w:t xml:space="preserve"> ב</w:t>
      </w:r>
      <w:hyperlink r:id="rId21" w:history="1">
        <w:r w:rsidR="004D41D5" w:rsidRPr="004D41D5">
          <w:rPr>
            <w:rFonts w:ascii="FrankRuehl" w:hAnsi="FrankRuehl" w:cs="FrankRuehl"/>
            <w:color w:val="0000FF"/>
            <w:sz w:val="28"/>
            <w:szCs w:val="28"/>
            <w:u w:val="single"/>
            <w:rtl/>
          </w:rPr>
          <w:t>רע"פ 3059/21</w:t>
        </w:r>
      </w:hyperlink>
      <w:r>
        <w:rPr>
          <w:rFonts w:ascii="FrankRuehl" w:hAnsi="FrankRuehl" w:cs="FrankRuehl" w:hint="cs"/>
          <w:sz w:val="28"/>
          <w:szCs w:val="28"/>
          <w:rtl/>
        </w:rPr>
        <w:t xml:space="preserve"> </w:t>
      </w:r>
      <w:r w:rsidRPr="007556E4">
        <w:rPr>
          <w:rFonts w:ascii="FrankRuehl" w:hAnsi="FrankRuehl" w:cs="FrankRuehl" w:hint="cs"/>
          <w:b/>
          <w:bCs/>
          <w:sz w:val="28"/>
          <w:szCs w:val="28"/>
          <w:u w:val="single"/>
          <w:rtl/>
        </w:rPr>
        <w:t>ימין</w:t>
      </w:r>
      <w:r>
        <w:rPr>
          <w:rFonts w:ascii="FrankRuehl" w:hAnsi="FrankRuehl" w:cs="FrankRuehl" w:hint="cs"/>
          <w:sz w:val="28"/>
          <w:szCs w:val="28"/>
          <w:rtl/>
        </w:rPr>
        <w:t xml:space="preserve"> נ' </w:t>
      </w:r>
      <w:r w:rsidRPr="007556E4">
        <w:rPr>
          <w:rFonts w:ascii="FrankRuehl" w:hAnsi="FrankRuehl" w:cs="FrankRuehl" w:hint="cs"/>
          <w:b/>
          <w:bCs/>
          <w:sz w:val="28"/>
          <w:szCs w:val="28"/>
          <w:u w:val="single"/>
          <w:rtl/>
        </w:rPr>
        <w:t>מ"י</w:t>
      </w:r>
      <w:r>
        <w:rPr>
          <w:rFonts w:ascii="FrankRuehl" w:hAnsi="FrankRuehl" w:cs="FrankRuehl" w:hint="cs"/>
          <w:sz w:val="28"/>
          <w:szCs w:val="28"/>
          <w:rtl/>
        </w:rPr>
        <w:t xml:space="preserve"> (מיום 5.5.2021) אישר בית המשפט העליון בנסיבות חמורות יותר של החזקה שלא לצריכה עצמית מתחם שבין מספר חודשי מאסר ועד 12 חודשי מאסר (החזקת 50 גרם קנביס מחלוקים ברכב); ב</w:t>
      </w:r>
      <w:hyperlink r:id="rId22" w:history="1">
        <w:r w:rsidR="004D41D5" w:rsidRPr="004D41D5">
          <w:rPr>
            <w:rFonts w:ascii="FrankRuehl" w:hAnsi="FrankRuehl" w:cs="FrankRuehl"/>
            <w:color w:val="0000FF"/>
            <w:sz w:val="28"/>
            <w:szCs w:val="28"/>
            <w:u w:val="single"/>
            <w:rtl/>
          </w:rPr>
          <w:t>רע"פ 1830/16</w:t>
        </w:r>
      </w:hyperlink>
      <w:r>
        <w:rPr>
          <w:rFonts w:ascii="FrankRuehl" w:hAnsi="FrankRuehl" w:cs="FrankRuehl" w:hint="cs"/>
          <w:sz w:val="28"/>
          <w:szCs w:val="28"/>
          <w:rtl/>
        </w:rPr>
        <w:t xml:space="preserve"> </w:t>
      </w:r>
      <w:r w:rsidRPr="007556E4">
        <w:rPr>
          <w:rFonts w:ascii="FrankRuehl" w:hAnsi="FrankRuehl" w:cs="FrankRuehl" w:hint="cs"/>
          <w:b/>
          <w:bCs/>
          <w:sz w:val="28"/>
          <w:szCs w:val="28"/>
          <w:u w:val="single"/>
          <w:rtl/>
        </w:rPr>
        <w:t>רקיבי</w:t>
      </w:r>
      <w:r>
        <w:rPr>
          <w:rFonts w:ascii="FrankRuehl" w:hAnsi="FrankRuehl" w:cs="FrankRuehl" w:hint="cs"/>
          <w:sz w:val="28"/>
          <w:szCs w:val="28"/>
          <w:rtl/>
        </w:rPr>
        <w:t xml:space="preserve"> נ' </w:t>
      </w:r>
      <w:r w:rsidRPr="007556E4">
        <w:rPr>
          <w:rFonts w:ascii="FrankRuehl" w:hAnsi="FrankRuehl" w:cs="FrankRuehl" w:hint="cs"/>
          <w:b/>
          <w:bCs/>
          <w:sz w:val="28"/>
          <w:szCs w:val="28"/>
          <w:u w:val="single"/>
          <w:rtl/>
        </w:rPr>
        <w:t>מ"י</w:t>
      </w:r>
      <w:r>
        <w:rPr>
          <w:rFonts w:ascii="FrankRuehl" w:hAnsi="FrankRuehl" w:cs="FrankRuehl" w:hint="cs"/>
          <w:sz w:val="28"/>
          <w:szCs w:val="28"/>
          <w:rtl/>
        </w:rPr>
        <w:t xml:space="preserve"> (מיום 11.4.2016) אישר בית המשפט העליון מתחם שבין 6 ל-15 חודשי מאסר בנסיבות של גידול 2.3 ק"ג קנביס. משני המקרים ניתן לגזור לקולא. ב</w:t>
      </w:r>
      <w:hyperlink r:id="rId23" w:history="1">
        <w:r w:rsidR="004D41D5" w:rsidRPr="004D41D5">
          <w:rPr>
            <w:rFonts w:ascii="FrankRuehl" w:hAnsi="FrankRuehl" w:cs="FrankRuehl"/>
            <w:color w:val="0000FF"/>
            <w:sz w:val="28"/>
            <w:szCs w:val="28"/>
            <w:u w:val="single"/>
            <w:rtl/>
          </w:rPr>
          <w:t>עפ"ג (חיפה) 53901-05-15</w:t>
        </w:r>
      </w:hyperlink>
      <w:r>
        <w:rPr>
          <w:rFonts w:ascii="FrankRuehl" w:hAnsi="FrankRuehl" w:cs="FrankRuehl" w:hint="cs"/>
          <w:sz w:val="28"/>
          <w:szCs w:val="28"/>
          <w:rtl/>
        </w:rPr>
        <w:t xml:space="preserve"> </w:t>
      </w:r>
      <w:r w:rsidRPr="007556E4">
        <w:rPr>
          <w:rFonts w:ascii="FrankRuehl" w:hAnsi="FrankRuehl" w:cs="FrankRuehl" w:hint="cs"/>
          <w:b/>
          <w:bCs/>
          <w:sz w:val="28"/>
          <w:szCs w:val="28"/>
          <w:u w:val="single"/>
          <w:rtl/>
        </w:rPr>
        <w:t>איטח</w:t>
      </w:r>
      <w:r>
        <w:rPr>
          <w:rFonts w:ascii="FrankRuehl" w:hAnsi="FrankRuehl" w:cs="FrankRuehl" w:hint="cs"/>
          <w:sz w:val="28"/>
          <w:szCs w:val="28"/>
          <w:rtl/>
        </w:rPr>
        <w:t xml:space="preserve"> נ' </w:t>
      </w:r>
      <w:r w:rsidRPr="007556E4">
        <w:rPr>
          <w:rFonts w:ascii="FrankRuehl" w:hAnsi="FrankRuehl" w:cs="FrankRuehl" w:hint="cs"/>
          <w:b/>
          <w:bCs/>
          <w:sz w:val="28"/>
          <w:szCs w:val="28"/>
          <w:u w:val="single"/>
          <w:rtl/>
        </w:rPr>
        <w:t>מ"י</w:t>
      </w:r>
      <w:r>
        <w:rPr>
          <w:rFonts w:ascii="FrankRuehl" w:hAnsi="FrankRuehl" w:cs="FrankRuehl" w:hint="cs"/>
          <w:sz w:val="28"/>
          <w:szCs w:val="28"/>
        </w:rPr>
        <w:t xml:space="preserve"> </w:t>
      </w:r>
      <w:r>
        <w:rPr>
          <w:rFonts w:ascii="FrankRuehl" w:hAnsi="FrankRuehl" w:cs="FrankRuehl" w:hint="cs"/>
          <w:sz w:val="28"/>
          <w:szCs w:val="28"/>
          <w:rtl/>
        </w:rPr>
        <w:t xml:space="preserve"> (מיום 20.7.2015) אושר עונש של של"ץ בנסיבות חמורות ממקרנו שכללו גם סיוע לסחר בסמים</w:t>
      </w:r>
    </w:p>
    <w:p w14:paraId="4250D9D9" w14:textId="77777777" w:rsidR="00B475A4" w:rsidRDefault="00B475A4" w:rsidP="00B475A4">
      <w:pPr>
        <w:spacing w:line="360" w:lineRule="auto"/>
        <w:jc w:val="both"/>
        <w:rPr>
          <w:rFonts w:ascii="FrankRuehl" w:hAnsi="FrankRuehl" w:cs="FrankRuehl"/>
          <w:b/>
          <w:bCs/>
          <w:sz w:val="28"/>
          <w:szCs w:val="28"/>
          <w:rtl/>
        </w:rPr>
      </w:pPr>
    </w:p>
    <w:p w14:paraId="32C2408F" w14:textId="77777777" w:rsidR="00B475A4" w:rsidRDefault="00B475A4" w:rsidP="00B475A4">
      <w:pPr>
        <w:spacing w:line="360" w:lineRule="auto"/>
        <w:jc w:val="both"/>
        <w:rPr>
          <w:rFonts w:ascii="FrankRuehl" w:hAnsi="FrankRuehl" w:cs="FrankRuehl"/>
          <w:sz w:val="28"/>
          <w:szCs w:val="28"/>
          <w:rtl/>
        </w:rPr>
      </w:pPr>
      <w:r>
        <w:rPr>
          <w:rFonts w:ascii="FrankRuehl" w:hAnsi="FrankRuehl" w:cs="FrankRuehl"/>
          <w:b/>
          <w:bCs/>
          <w:sz w:val="28"/>
          <w:szCs w:val="28"/>
          <w:rtl/>
        </w:rPr>
        <w:t>מתחם הענישה</w:t>
      </w:r>
      <w:r>
        <w:rPr>
          <w:rFonts w:ascii="FrankRuehl" w:hAnsi="FrankRuehl" w:cs="FrankRuehl"/>
          <w:sz w:val="28"/>
          <w:szCs w:val="28"/>
          <w:rtl/>
        </w:rPr>
        <w:t xml:space="preserve"> – לפיכך קובע כי בתיק הראשון יעמוד מתחם הענישה על מאסר מותנה ו</w:t>
      </w:r>
      <w:r>
        <w:rPr>
          <w:rFonts w:ascii="FrankRuehl" w:hAnsi="FrankRuehl" w:cs="FrankRuehl" w:hint="cs"/>
          <w:sz w:val="28"/>
          <w:szCs w:val="28"/>
          <w:rtl/>
        </w:rPr>
        <w:t xml:space="preserve">/או </w:t>
      </w:r>
      <w:r>
        <w:rPr>
          <w:rFonts w:ascii="FrankRuehl" w:hAnsi="FrankRuehl" w:cs="FrankRuehl"/>
          <w:sz w:val="28"/>
          <w:szCs w:val="28"/>
          <w:rtl/>
        </w:rPr>
        <w:t>של"ץ ועד 6 חודשי מאסר לרבות בעבודות שירות, ובתיק השני יעמוד המתחם על מאסר מותנה ו</w:t>
      </w:r>
      <w:r>
        <w:rPr>
          <w:rFonts w:ascii="FrankRuehl" w:hAnsi="FrankRuehl" w:cs="FrankRuehl" w:hint="cs"/>
          <w:sz w:val="28"/>
          <w:szCs w:val="28"/>
          <w:rtl/>
        </w:rPr>
        <w:t xml:space="preserve">/או </w:t>
      </w:r>
      <w:r>
        <w:rPr>
          <w:rFonts w:ascii="FrankRuehl" w:hAnsi="FrankRuehl" w:cs="FrankRuehl"/>
          <w:sz w:val="28"/>
          <w:szCs w:val="28"/>
          <w:rtl/>
        </w:rPr>
        <w:t>של"ץ ועד 3 חודשי מאסר לרבות בעבודות שירות.</w:t>
      </w:r>
    </w:p>
    <w:p w14:paraId="613388E9" w14:textId="77777777" w:rsidR="00B475A4" w:rsidRDefault="00B475A4" w:rsidP="00B475A4">
      <w:pPr>
        <w:spacing w:line="360" w:lineRule="auto"/>
        <w:jc w:val="both"/>
        <w:rPr>
          <w:rFonts w:ascii="FrankRuehl" w:hAnsi="FrankRuehl" w:cs="FrankRuehl"/>
          <w:b/>
          <w:bCs/>
          <w:sz w:val="28"/>
          <w:szCs w:val="28"/>
          <w:u w:val="single"/>
          <w:rtl/>
        </w:rPr>
      </w:pPr>
    </w:p>
    <w:p w14:paraId="1118401E" w14:textId="77777777" w:rsidR="00B475A4" w:rsidRDefault="00B475A4" w:rsidP="00B475A4">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 xml:space="preserve">נסיבות שאינן קשורות בביצוע העבירה </w:t>
      </w:r>
    </w:p>
    <w:p w14:paraId="6A6080D5" w14:textId="77777777" w:rsidR="00B475A4" w:rsidRDefault="00B475A4" w:rsidP="00B475A4">
      <w:pPr>
        <w:spacing w:line="360" w:lineRule="auto"/>
        <w:jc w:val="both"/>
        <w:rPr>
          <w:rFonts w:ascii="FrankRuehl" w:hAnsi="FrankRuehl" w:cs="FrankRuehl"/>
          <w:sz w:val="28"/>
          <w:szCs w:val="28"/>
          <w:rtl/>
        </w:rPr>
      </w:pPr>
      <w:r>
        <w:rPr>
          <w:rFonts w:ascii="FrankRuehl" w:hAnsi="FrankRuehl" w:cs="FrankRuehl"/>
          <w:sz w:val="28"/>
          <w:szCs w:val="28"/>
          <w:rtl/>
        </w:rPr>
        <w:t>הנאשם קיבל אחריות מלאה למעשים וצירף שני תיקים. לא נפתחו לו תיקים חדשים בתקופת משפטו. הנאשם עובד לפרנסתו ושומר על יציבות בתחום זה</w:t>
      </w:r>
      <w:r>
        <w:rPr>
          <w:rFonts w:ascii="FrankRuehl" w:hAnsi="FrankRuehl" w:cs="FrankRuehl" w:hint="cs"/>
          <w:sz w:val="28"/>
          <w:szCs w:val="28"/>
          <w:rtl/>
        </w:rPr>
        <w:t xml:space="preserve"> ונראה כי הפרנסה מהווה עוגן למהלך חייו בשנים האחרונות. הנאשם אמנם לא שיתף פעולה לכל אורך ההליך עם שירות המבחן, ורק לאחרונה החל לעשות כן, ואולם היעדר פתיחת תיקים חדשים ומציאת בדיקות שתן נקיות בתקופה האחרונה מלמדות על התייצבות במצבו. לטעמי שליחתו כעת למאסר ולו בעבודות שירות תפגע בשיקומו, גם אם אינו מושלם.  לכן המלצת שירות המבחן מקובלת עליי באופן עקרוני. נתתי דעתי לעברו הפלילי הרלבנטי של הנאשם, ואולם מדובר בעבר פלילי ישן וכאמור, לא נפתחו לנאשם תיקים נוספים. יש לתת משקל לקולא בשל חלוף הזמן (העבירות בוצעו בשנת 2016).</w:t>
      </w:r>
    </w:p>
    <w:p w14:paraId="133B6597" w14:textId="77777777" w:rsidR="00B475A4" w:rsidRDefault="00B475A4" w:rsidP="00B475A4">
      <w:pPr>
        <w:spacing w:line="360" w:lineRule="auto"/>
        <w:jc w:val="both"/>
        <w:rPr>
          <w:rFonts w:ascii="FrankRuehl" w:hAnsi="FrankRuehl" w:cs="FrankRuehl"/>
          <w:b/>
          <w:bCs/>
          <w:sz w:val="28"/>
          <w:szCs w:val="28"/>
          <w:u w:val="single"/>
          <w:rtl/>
        </w:rPr>
      </w:pPr>
    </w:p>
    <w:p w14:paraId="68B50F25" w14:textId="77777777" w:rsidR="00B475A4" w:rsidRDefault="00B475A4" w:rsidP="00B475A4">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 xml:space="preserve">המיקום במתחם </w:t>
      </w:r>
    </w:p>
    <w:p w14:paraId="0512EE9D" w14:textId="77777777" w:rsidR="00B475A4" w:rsidRDefault="00B475A4" w:rsidP="00B475A4">
      <w:pPr>
        <w:spacing w:line="360" w:lineRule="auto"/>
        <w:jc w:val="both"/>
        <w:rPr>
          <w:rFonts w:ascii="FrankRuehl" w:hAnsi="FrankRuehl" w:cs="FrankRuehl"/>
          <w:sz w:val="28"/>
          <w:szCs w:val="28"/>
          <w:rtl/>
        </w:rPr>
      </w:pPr>
      <w:r>
        <w:rPr>
          <w:rFonts w:ascii="FrankRuehl" w:hAnsi="FrankRuehl" w:cs="FrankRuehl"/>
          <w:sz w:val="28"/>
          <w:szCs w:val="28"/>
          <w:rtl/>
        </w:rPr>
        <w:t xml:space="preserve">בנסיבות אלו, אמקם </w:t>
      </w:r>
      <w:r>
        <w:rPr>
          <w:rFonts w:ascii="FrankRuehl" w:hAnsi="FrankRuehl" w:cs="FrankRuehl" w:hint="cs"/>
          <w:sz w:val="28"/>
          <w:szCs w:val="28"/>
          <w:rtl/>
        </w:rPr>
        <w:t>את הנאשם בתחילת המתחמים שקבעתי תוך הטלת היקף של"ץ גדול מהמומלץ וענישה נוספת.</w:t>
      </w:r>
    </w:p>
    <w:p w14:paraId="4258AD4A" w14:textId="77777777" w:rsidR="00B475A4" w:rsidRDefault="00B475A4" w:rsidP="00B475A4">
      <w:pPr>
        <w:spacing w:line="360" w:lineRule="auto"/>
        <w:jc w:val="both"/>
        <w:rPr>
          <w:rFonts w:ascii="FrankRuehl" w:hAnsi="FrankRuehl" w:cs="FrankRuehl"/>
          <w:b/>
          <w:bCs/>
          <w:sz w:val="28"/>
          <w:szCs w:val="28"/>
          <w:u w:val="single"/>
          <w:rtl/>
        </w:rPr>
      </w:pPr>
    </w:p>
    <w:p w14:paraId="5EFCC8D2" w14:textId="77777777" w:rsidR="00B475A4" w:rsidRDefault="00B475A4" w:rsidP="00B475A4">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גזירת הדין</w:t>
      </w:r>
    </w:p>
    <w:p w14:paraId="22B1116F" w14:textId="77777777" w:rsidR="00B475A4" w:rsidRDefault="00B475A4" w:rsidP="00B475A4">
      <w:pPr>
        <w:spacing w:line="360" w:lineRule="auto"/>
        <w:jc w:val="both"/>
        <w:rPr>
          <w:rFonts w:ascii="FrankRuehl" w:hAnsi="FrankRuehl" w:cs="FrankRuehl"/>
          <w:sz w:val="28"/>
          <w:szCs w:val="28"/>
          <w:rtl/>
        </w:rPr>
      </w:pPr>
      <w:r>
        <w:rPr>
          <w:rFonts w:ascii="FrankRuehl" w:hAnsi="FrankRuehl" w:cs="FrankRuehl"/>
          <w:sz w:val="28"/>
          <w:szCs w:val="28"/>
          <w:rtl/>
        </w:rPr>
        <w:t>לפיכך, גוזר על הנאשם את העונשים הבאים:</w:t>
      </w:r>
    </w:p>
    <w:p w14:paraId="7DF68D70" w14:textId="77777777" w:rsidR="00B475A4" w:rsidRDefault="00B475A4" w:rsidP="00B475A4">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חודש מאסר שלא ירוצה, אלא אם יעבור הנאשם כל עבירת עוון לפי פקודת הסמים בתוך שנתיים מהיום;</w:t>
      </w:r>
    </w:p>
    <w:p w14:paraId="769CF1C7" w14:textId="77777777" w:rsidR="00B475A4" w:rsidRDefault="00B475A4" w:rsidP="00B475A4">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6 חודשי מאסר שלא ירוצו אלא אם יעבור הנאשם כל עבירת פשע לפי פקודת הסמים בתוך </w:t>
      </w:r>
      <w:r>
        <w:rPr>
          <w:rFonts w:ascii="FrankRuehl" w:hAnsi="FrankRuehl" w:cs="FrankRuehl" w:hint="cs"/>
          <w:sz w:val="28"/>
          <w:szCs w:val="28"/>
          <w:rtl/>
        </w:rPr>
        <w:t>שנתיים מהיום</w:t>
      </w:r>
      <w:r>
        <w:rPr>
          <w:rFonts w:ascii="FrankRuehl" w:hAnsi="FrankRuehl" w:cs="FrankRuehl"/>
          <w:sz w:val="28"/>
          <w:szCs w:val="28"/>
          <w:rtl/>
        </w:rPr>
        <w:t>;</w:t>
      </w:r>
    </w:p>
    <w:p w14:paraId="7DF4554D" w14:textId="77777777" w:rsidR="00B475A4" w:rsidRDefault="00B475A4" w:rsidP="00B475A4">
      <w:pPr>
        <w:pStyle w:val="a9"/>
        <w:numPr>
          <w:ilvl w:val="0"/>
          <w:numId w:val="1"/>
        </w:numPr>
        <w:spacing w:line="360" w:lineRule="auto"/>
        <w:jc w:val="both"/>
        <w:rPr>
          <w:rFonts w:ascii="FrankRuehl" w:hAnsi="FrankRuehl" w:cs="FrankRuehl"/>
          <w:sz w:val="28"/>
          <w:szCs w:val="28"/>
          <w:rtl/>
        </w:rPr>
      </w:pPr>
      <w:r>
        <w:rPr>
          <w:rFonts w:ascii="FrankRuehl" w:hAnsi="FrankRuehl" w:cs="FrankRuehl" w:hint="cs"/>
          <w:sz w:val="28"/>
          <w:szCs w:val="28"/>
          <w:rtl/>
        </w:rPr>
        <w:t>של"ץ בהיקף 350 שעות בפיקוח שירות המבחן. תוכנית של"ץ תוגש בתוך 30 יום מהיום;</w:t>
      </w:r>
    </w:p>
    <w:p w14:paraId="21796E79" w14:textId="77777777" w:rsidR="00B475A4" w:rsidRDefault="00B475A4" w:rsidP="00B475A4">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קנס בסך </w:t>
      </w:r>
      <w:r>
        <w:rPr>
          <w:rFonts w:ascii="FrankRuehl" w:hAnsi="FrankRuehl" w:cs="FrankRuehl" w:hint="cs"/>
          <w:sz w:val="28"/>
          <w:szCs w:val="28"/>
          <w:rtl/>
        </w:rPr>
        <w:t>1,500</w:t>
      </w:r>
      <w:r>
        <w:rPr>
          <w:rFonts w:ascii="FrankRuehl" w:hAnsi="FrankRuehl" w:cs="FrankRuehl"/>
          <w:sz w:val="28"/>
          <w:szCs w:val="28"/>
          <w:rtl/>
        </w:rPr>
        <w:t xml:space="preserve"> ₪ או </w:t>
      </w:r>
      <w:r>
        <w:rPr>
          <w:rFonts w:ascii="FrankRuehl" w:hAnsi="FrankRuehl" w:cs="FrankRuehl" w:hint="cs"/>
          <w:sz w:val="28"/>
          <w:szCs w:val="28"/>
          <w:rtl/>
        </w:rPr>
        <w:t xml:space="preserve">5 </w:t>
      </w:r>
      <w:r>
        <w:rPr>
          <w:rFonts w:ascii="FrankRuehl" w:hAnsi="FrankRuehl" w:cs="FrankRuehl"/>
          <w:sz w:val="28"/>
          <w:szCs w:val="28"/>
          <w:rtl/>
        </w:rPr>
        <w:t>מאסר תמורת</w:t>
      </w:r>
      <w:r>
        <w:rPr>
          <w:rFonts w:ascii="FrankRuehl" w:hAnsi="FrankRuehl" w:cs="FrankRuehl" w:hint="cs"/>
          <w:sz w:val="28"/>
          <w:szCs w:val="28"/>
          <w:rtl/>
        </w:rPr>
        <w:t>ו אם לא ישולם</w:t>
      </w:r>
      <w:r>
        <w:rPr>
          <w:rFonts w:ascii="FrankRuehl" w:hAnsi="FrankRuehl" w:cs="FrankRuehl"/>
          <w:sz w:val="28"/>
          <w:szCs w:val="28"/>
          <w:rtl/>
        </w:rPr>
        <w:t xml:space="preserve">. הקנס </w:t>
      </w:r>
      <w:r>
        <w:rPr>
          <w:rFonts w:ascii="FrankRuehl" w:hAnsi="FrankRuehl" w:cs="FrankRuehl" w:hint="cs"/>
          <w:sz w:val="28"/>
          <w:szCs w:val="28"/>
          <w:rtl/>
        </w:rPr>
        <w:t>ישולם ב-5 תשלומים שווים ורצופים החל מיום 1.2.2022 ובכל 1 לחודש. לא ישולם תשלום במועד יועמד הקנס לפירעון מיידי. ניתן לקזז מכל הפקדה בתיקים אלו ובתיקים קשורים על אף כל הודעת עיקול;</w:t>
      </w:r>
    </w:p>
    <w:p w14:paraId="4A8FE967" w14:textId="77777777" w:rsidR="00B475A4" w:rsidRDefault="00B475A4" w:rsidP="00B475A4">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התחייבות בסך 3,000 ₪ שלא לעבור כל עבירה לפי פקודת הסמים בתוך שנתיים מהיום;</w:t>
      </w:r>
    </w:p>
    <w:p w14:paraId="0DF9FF45" w14:textId="77777777" w:rsidR="00B475A4" w:rsidRDefault="00B475A4" w:rsidP="00B475A4">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צו מבחן למשך 18 חודשים מהיום בפיקוח שירות המבחן;</w:t>
      </w:r>
    </w:p>
    <w:p w14:paraId="4AC2AE4B" w14:textId="77777777" w:rsidR="00B475A4" w:rsidRDefault="00B475A4" w:rsidP="00B475A4">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פסילה בפועל מלהחזיק או מלקבל רישיון נהיגה למשך 24 חודשים </w:t>
      </w:r>
      <w:r>
        <w:rPr>
          <w:rFonts w:ascii="FrankRuehl" w:hAnsi="FrankRuehl" w:cs="FrankRuehl" w:hint="cs"/>
          <w:sz w:val="28"/>
          <w:szCs w:val="28"/>
          <w:rtl/>
        </w:rPr>
        <w:t xml:space="preserve">מיום 1.1.2021. נוכח דברי הנאשם והמסמך שהוצג, אין חובת הפקדת רישיון. </w:t>
      </w:r>
      <w:r>
        <w:rPr>
          <w:rFonts w:ascii="FrankRuehl" w:hAnsi="FrankRuehl" w:cs="FrankRuehl"/>
          <w:sz w:val="28"/>
          <w:szCs w:val="28"/>
          <w:rtl/>
        </w:rPr>
        <w:t>מנכה מתקופה זו את תקופת הפסילה המינהלית ככל שהוטלה על הנאשם;</w:t>
      </w:r>
    </w:p>
    <w:p w14:paraId="29A53DE0" w14:textId="77777777" w:rsidR="00B475A4" w:rsidRDefault="00B475A4" w:rsidP="00B475A4">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6 חודשי פסילה מלקבל או מלהחזיק ברישיון נהיגה וזאת על-תנאי למשך 18 חודשים מתום הפסילה בפועל שהטלתי, שלא יעבור הנאשם כל עבירה לפי פקודת הסמים.</w:t>
      </w:r>
    </w:p>
    <w:p w14:paraId="434390EB" w14:textId="77777777" w:rsidR="00B475A4" w:rsidRDefault="00B475A4" w:rsidP="00B475A4">
      <w:pPr>
        <w:spacing w:line="360" w:lineRule="auto"/>
        <w:jc w:val="both"/>
        <w:rPr>
          <w:rFonts w:ascii="FrankRuehl" w:hAnsi="FrankRuehl" w:cs="FrankRuehl"/>
          <w:sz w:val="28"/>
          <w:szCs w:val="28"/>
          <w:rtl/>
        </w:rPr>
      </w:pPr>
      <w:r>
        <w:rPr>
          <w:rFonts w:ascii="FrankRuehl" w:hAnsi="FrankRuehl" w:cs="FrankRuehl" w:hint="cs"/>
          <w:sz w:val="28"/>
          <w:szCs w:val="28"/>
          <w:rtl/>
        </w:rPr>
        <w:t xml:space="preserve">הזהרתי את הנאשם כי לא יבצע את השל"ץ ואת צו המבחן כנדרש, ניתן יהיה להפקיע את הצו ולהטיל עלינו כל עונש לרבות מאסר. </w:t>
      </w:r>
    </w:p>
    <w:p w14:paraId="121B5959" w14:textId="77777777" w:rsidR="00B475A4" w:rsidRDefault="00B475A4" w:rsidP="00B475A4">
      <w:pPr>
        <w:spacing w:line="360" w:lineRule="auto"/>
        <w:jc w:val="both"/>
        <w:rPr>
          <w:rFonts w:ascii="FrankRuehl" w:hAnsi="FrankRuehl" w:cs="FrankRuehl"/>
          <w:sz w:val="28"/>
          <w:szCs w:val="28"/>
          <w:rtl/>
        </w:rPr>
      </w:pPr>
    </w:p>
    <w:p w14:paraId="3E3F53DE" w14:textId="77777777" w:rsidR="00B475A4" w:rsidRDefault="00B475A4" w:rsidP="00B475A4">
      <w:pPr>
        <w:spacing w:line="360" w:lineRule="auto"/>
        <w:jc w:val="both"/>
        <w:rPr>
          <w:rFonts w:ascii="FrankRuehl" w:hAnsi="FrankRuehl" w:cs="FrankRuehl"/>
          <w:sz w:val="28"/>
          <w:szCs w:val="28"/>
        </w:rPr>
      </w:pPr>
      <w:r>
        <w:rPr>
          <w:rFonts w:ascii="FrankRuehl" w:hAnsi="FrankRuehl" w:cs="FrankRuehl"/>
          <w:sz w:val="28"/>
          <w:szCs w:val="28"/>
          <w:rtl/>
        </w:rPr>
        <w:t>מורה על השמדת הסמים.</w:t>
      </w:r>
    </w:p>
    <w:p w14:paraId="1E814FC1" w14:textId="77777777" w:rsidR="00B475A4" w:rsidRDefault="00B475A4" w:rsidP="00B475A4">
      <w:pPr>
        <w:spacing w:line="360" w:lineRule="auto"/>
        <w:jc w:val="both"/>
        <w:rPr>
          <w:rFonts w:ascii="FrankRuehl" w:hAnsi="FrankRuehl" w:cs="FrankRuehl"/>
          <w:sz w:val="28"/>
          <w:szCs w:val="28"/>
          <w:rtl/>
        </w:rPr>
      </w:pPr>
      <w:r>
        <w:rPr>
          <w:rFonts w:ascii="FrankRuehl" w:hAnsi="FrankRuehl" w:cs="FrankRuehl"/>
          <w:sz w:val="28"/>
          <w:szCs w:val="28"/>
          <w:rtl/>
        </w:rPr>
        <w:t>יש לשלוח לשירות המבחן ולממונה על עבודות השירות.</w:t>
      </w:r>
    </w:p>
    <w:p w14:paraId="61DD6C5D" w14:textId="77777777" w:rsidR="00B475A4" w:rsidRDefault="00B475A4" w:rsidP="00B475A4">
      <w:pPr>
        <w:spacing w:line="360" w:lineRule="auto"/>
        <w:jc w:val="both"/>
        <w:rPr>
          <w:rFonts w:ascii="FrankRuehl" w:hAnsi="FrankRuehl" w:cs="FrankRuehl"/>
          <w:sz w:val="28"/>
          <w:szCs w:val="28"/>
          <w:rtl/>
        </w:rPr>
      </w:pPr>
    </w:p>
    <w:p w14:paraId="0693100B" w14:textId="77777777" w:rsidR="00B475A4" w:rsidRDefault="004D41D5" w:rsidP="00B475A4">
      <w:pPr>
        <w:spacing w:line="360" w:lineRule="auto"/>
        <w:jc w:val="both"/>
        <w:rPr>
          <w:rFonts w:ascii="FrankRuehl" w:hAnsi="FrankRuehl" w:cs="FrankRuehl"/>
          <w:sz w:val="28"/>
          <w:szCs w:val="28"/>
          <w:rtl/>
        </w:rPr>
      </w:pPr>
      <w:r w:rsidRPr="004D41D5">
        <w:rPr>
          <w:rFonts w:ascii="FrankRuehl" w:hAnsi="FrankRuehl" w:cs="FrankRuehl"/>
          <w:color w:val="FFFFFF"/>
          <w:sz w:val="2"/>
          <w:szCs w:val="2"/>
          <w:rtl/>
        </w:rPr>
        <w:t>5129371</w:t>
      </w:r>
      <w:r w:rsidR="00B475A4">
        <w:rPr>
          <w:rFonts w:ascii="FrankRuehl" w:hAnsi="FrankRuehl" w:cs="FrankRuehl"/>
          <w:sz w:val="28"/>
          <w:szCs w:val="28"/>
          <w:rtl/>
        </w:rPr>
        <w:t>זכות ערעור כחוק.</w:t>
      </w:r>
    </w:p>
    <w:p w14:paraId="52DB2AD2" w14:textId="77777777" w:rsidR="00B475A4" w:rsidRPr="004D41D5" w:rsidRDefault="004D41D5" w:rsidP="00B475A4">
      <w:pPr>
        <w:rPr>
          <w:rFonts w:ascii="David" w:hAnsi="David"/>
          <w:color w:val="FFFFFF"/>
          <w:sz w:val="2"/>
          <w:szCs w:val="2"/>
          <w:rtl/>
        </w:rPr>
      </w:pPr>
      <w:r w:rsidRPr="004D41D5">
        <w:rPr>
          <w:rFonts w:ascii="David" w:hAnsi="David"/>
          <w:color w:val="FFFFFF"/>
          <w:sz w:val="2"/>
          <w:szCs w:val="2"/>
          <w:rtl/>
        </w:rPr>
        <w:t>54678313</w:t>
      </w:r>
    </w:p>
    <w:p w14:paraId="3D06964D" w14:textId="77777777" w:rsidR="00B475A4" w:rsidRPr="002B7D23" w:rsidRDefault="00B475A4" w:rsidP="00B475A4">
      <w:pPr>
        <w:rPr>
          <w:rFonts w:ascii="David" w:hAnsi="David"/>
          <w:sz w:val="26"/>
          <w:szCs w:val="26"/>
          <w:rtl/>
        </w:rPr>
      </w:pPr>
    </w:p>
    <w:p w14:paraId="40C0E3E9" w14:textId="77777777" w:rsidR="00B475A4" w:rsidRPr="002B7D23" w:rsidRDefault="004D41D5" w:rsidP="00B475A4">
      <w:pPr>
        <w:rPr>
          <w:rFonts w:ascii="David" w:hAnsi="David"/>
          <w:sz w:val="26"/>
          <w:szCs w:val="26"/>
          <w:rtl/>
        </w:rPr>
      </w:pPr>
      <w:bookmarkStart w:id="8" w:name="Nitan"/>
      <w:r>
        <w:rPr>
          <w:rFonts w:ascii="David" w:hAnsi="David"/>
          <w:sz w:val="26"/>
          <w:szCs w:val="26"/>
          <w:rtl/>
        </w:rPr>
        <w:t xml:space="preserve">ניתן היום 31.10.2021 במעמד הצדדים. </w:t>
      </w:r>
      <w:bookmarkEnd w:id="8"/>
    </w:p>
    <w:p w14:paraId="42F4369D" w14:textId="77777777" w:rsidR="004D41D5" w:rsidRDefault="004D41D5" w:rsidP="004D41D5">
      <w:pPr>
        <w:rPr>
          <w:rtl/>
        </w:rPr>
      </w:pPr>
    </w:p>
    <w:p w14:paraId="2DDFFE20" w14:textId="77777777" w:rsidR="004D41D5" w:rsidRDefault="004D41D5" w:rsidP="004D41D5">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0524EA58" w14:textId="77777777" w:rsidR="00B752BE" w:rsidRPr="00B752BE" w:rsidRDefault="00B752BE" w:rsidP="00B752BE">
      <w:pPr>
        <w:keepNext/>
        <w:rPr>
          <w:rFonts w:ascii="David" w:hAnsi="David"/>
          <w:color w:val="000000"/>
          <w:sz w:val="22"/>
          <w:szCs w:val="22"/>
          <w:rtl/>
        </w:rPr>
      </w:pPr>
    </w:p>
    <w:p w14:paraId="743EE7D7" w14:textId="77777777" w:rsidR="00B752BE" w:rsidRPr="00B752BE" w:rsidRDefault="00B752BE" w:rsidP="00B752BE">
      <w:pPr>
        <w:keepNext/>
        <w:rPr>
          <w:rFonts w:ascii="David" w:hAnsi="David"/>
          <w:color w:val="000000"/>
          <w:sz w:val="22"/>
          <w:szCs w:val="22"/>
          <w:rtl/>
        </w:rPr>
      </w:pPr>
      <w:r w:rsidRPr="00B752BE">
        <w:rPr>
          <w:rFonts w:ascii="David" w:hAnsi="David"/>
          <w:color w:val="000000"/>
          <w:sz w:val="22"/>
          <w:szCs w:val="22"/>
          <w:rtl/>
        </w:rPr>
        <w:t>דוד שאול גבאי ריכטר 54678313-/</w:t>
      </w:r>
    </w:p>
    <w:p w14:paraId="2C5113F3" w14:textId="77777777" w:rsidR="004D41D5" w:rsidRPr="004D41D5" w:rsidRDefault="00B752BE" w:rsidP="00B752BE">
      <w:pPr>
        <w:rPr>
          <w:color w:val="0000FF"/>
          <w:u w:val="single"/>
        </w:rPr>
      </w:pPr>
      <w:r w:rsidRPr="00B752BE">
        <w:rPr>
          <w:color w:val="000000"/>
          <w:u w:val="single"/>
          <w:rtl/>
        </w:rPr>
        <w:t>נוסח מסמך זה כפוף לשינויי ניסוח ועריכה</w:t>
      </w:r>
    </w:p>
    <w:sectPr w:rsidR="004D41D5" w:rsidRPr="004D41D5" w:rsidSect="00B752BE">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9511C" w14:textId="77777777" w:rsidR="001F480D" w:rsidRDefault="001F480D" w:rsidP="0087085C">
      <w:r>
        <w:separator/>
      </w:r>
    </w:p>
  </w:endnote>
  <w:endnote w:type="continuationSeparator" w:id="0">
    <w:p w14:paraId="2E0EF667" w14:textId="77777777" w:rsidR="001F480D" w:rsidRDefault="001F480D" w:rsidP="00870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697A8" w14:textId="77777777" w:rsidR="00B752BE" w:rsidRDefault="00B752BE" w:rsidP="00B752B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424C985" w14:textId="77777777" w:rsidR="00044551" w:rsidRPr="00B752BE" w:rsidRDefault="00B752BE" w:rsidP="00B752BE">
    <w:pPr>
      <w:pStyle w:val="a5"/>
      <w:pBdr>
        <w:top w:val="single" w:sz="4" w:space="1" w:color="auto"/>
        <w:between w:val="single" w:sz="4" w:space="0" w:color="auto"/>
      </w:pBdr>
      <w:spacing w:after="60"/>
      <w:jc w:val="center"/>
      <w:rPr>
        <w:rFonts w:ascii="FrankRuehl" w:hAnsi="FrankRuehl" w:cs="FrankRuehl"/>
        <w:color w:val="000000"/>
      </w:rPr>
    </w:pPr>
    <w:r w:rsidRPr="00B752B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8197F" w14:textId="77777777" w:rsidR="00B752BE" w:rsidRDefault="00B752BE" w:rsidP="00B752B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0AD8">
      <w:rPr>
        <w:rFonts w:ascii="FrankRuehl" w:hAnsi="FrankRuehl" w:cs="FrankRuehl"/>
        <w:noProof/>
        <w:rtl/>
      </w:rPr>
      <w:t>1</w:t>
    </w:r>
    <w:r>
      <w:rPr>
        <w:rFonts w:ascii="FrankRuehl" w:hAnsi="FrankRuehl" w:cs="FrankRuehl"/>
        <w:rtl/>
      </w:rPr>
      <w:fldChar w:fldCharType="end"/>
    </w:r>
  </w:p>
  <w:p w14:paraId="6A470B0E" w14:textId="77777777" w:rsidR="00044551" w:rsidRPr="00B752BE" w:rsidRDefault="00B752BE" w:rsidP="00B752BE">
    <w:pPr>
      <w:pStyle w:val="a5"/>
      <w:pBdr>
        <w:top w:val="single" w:sz="4" w:space="1" w:color="auto"/>
        <w:between w:val="single" w:sz="4" w:space="0" w:color="auto"/>
      </w:pBdr>
      <w:spacing w:after="60"/>
      <w:jc w:val="center"/>
      <w:rPr>
        <w:rFonts w:ascii="FrankRuehl" w:hAnsi="FrankRuehl" w:cs="FrankRuehl"/>
        <w:color w:val="000000"/>
      </w:rPr>
    </w:pPr>
    <w:r w:rsidRPr="00B752BE">
      <w:rPr>
        <w:rFonts w:ascii="FrankRuehl" w:hAnsi="FrankRuehl" w:cs="FrankRuehl"/>
        <w:color w:val="000000"/>
      </w:rPr>
      <w:pict w14:anchorId="04BBBE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E8D0F" w14:textId="77777777" w:rsidR="001F480D" w:rsidRDefault="001F480D" w:rsidP="0087085C">
      <w:r>
        <w:separator/>
      </w:r>
    </w:p>
  </w:footnote>
  <w:footnote w:type="continuationSeparator" w:id="0">
    <w:p w14:paraId="24F314F5" w14:textId="77777777" w:rsidR="001F480D" w:rsidRDefault="001F480D" w:rsidP="00870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015EE" w14:textId="77777777" w:rsidR="004D41D5" w:rsidRPr="00B752BE" w:rsidRDefault="00B752BE" w:rsidP="00B752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45345-08-18</w:t>
    </w:r>
    <w:r>
      <w:rPr>
        <w:rFonts w:ascii="David" w:hAnsi="David"/>
        <w:color w:val="000000"/>
        <w:sz w:val="22"/>
        <w:szCs w:val="22"/>
        <w:rtl/>
      </w:rPr>
      <w:tab/>
      <w:t xml:space="preserve"> מדינת ישראל נ' מאיר בר טוב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BFC5B" w14:textId="77777777" w:rsidR="004D41D5" w:rsidRPr="00B752BE" w:rsidRDefault="00B752BE" w:rsidP="00B752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45345-08-18</w:t>
    </w:r>
    <w:r>
      <w:rPr>
        <w:rFonts w:ascii="David" w:hAnsi="David"/>
        <w:color w:val="000000"/>
        <w:sz w:val="22"/>
        <w:szCs w:val="22"/>
        <w:rtl/>
      </w:rPr>
      <w:tab/>
      <w:t xml:space="preserve"> מדינת ישראל נ' מאיר בר טוב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85521"/>
    <w:multiLevelType w:val="hybridMultilevel"/>
    <w:tmpl w:val="B7387634"/>
    <w:lvl w:ilvl="0" w:tplc="2D04380E">
      <w:start w:val="1"/>
      <w:numFmt w:val="hebrew1"/>
      <w:lvlText w:val="%1."/>
      <w:lvlJc w:val="left"/>
      <w:pPr>
        <w:ind w:left="720" w:hanging="360"/>
      </w:pPr>
    </w:lvl>
    <w:lvl w:ilvl="1" w:tplc="EA6CF54C">
      <w:start w:val="1"/>
      <w:numFmt w:val="lowerLetter"/>
      <w:lvlText w:val="%2."/>
      <w:lvlJc w:val="left"/>
      <w:pPr>
        <w:ind w:left="1440" w:hanging="360"/>
      </w:pPr>
    </w:lvl>
    <w:lvl w:ilvl="2" w:tplc="213E9C5A">
      <w:start w:val="1"/>
      <w:numFmt w:val="lowerRoman"/>
      <w:lvlText w:val="%3."/>
      <w:lvlJc w:val="right"/>
      <w:pPr>
        <w:ind w:left="2160" w:hanging="180"/>
      </w:pPr>
    </w:lvl>
    <w:lvl w:ilvl="3" w:tplc="C12EAF7C">
      <w:start w:val="1"/>
      <w:numFmt w:val="decimal"/>
      <w:lvlText w:val="%4."/>
      <w:lvlJc w:val="left"/>
      <w:pPr>
        <w:ind w:left="2880" w:hanging="360"/>
      </w:pPr>
    </w:lvl>
    <w:lvl w:ilvl="4" w:tplc="D7DEFBA8">
      <w:start w:val="1"/>
      <w:numFmt w:val="lowerLetter"/>
      <w:lvlText w:val="%5."/>
      <w:lvlJc w:val="left"/>
      <w:pPr>
        <w:ind w:left="3600" w:hanging="360"/>
      </w:pPr>
    </w:lvl>
    <w:lvl w:ilvl="5" w:tplc="ED4AE6D4">
      <w:start w:val="1"/>
      <w:numFmt w:val="lowerRoman"/>
      <w:lvlText w:val="%6."/>
      <w:lvlJc w:val="right"/>
      <w:pPr>
        <w:ind w:left="4320" w:hanging="180"/>
      </w:pPr>
    </w:lvl>
    <w:lvl w:ilvl="6" w:tplc="ECF2961C">
      <w:start w:val="1"/>
      <w:numFmt w:val="decimal"/>
      <w:lvlText w:val="%7."/>
      <w:lvlJc w:val="left"/>
      <w:pPr>
        <w:ind w:left="5040" w:hanging="360"/>
      </w:pPr>
    </w:lvl>
    <w:lvl w:ilvl="7" w:tplc="410CDF08">
      <w:start w:val="1"/>
      <w:numFmt w:val="lowerLetter"/>
      <w:lvlText w:val="%8."/>
      <w:lvlJc w:val="left"/>
      <w:pPr>
        <w:ind w:left="5760" w:hanging="360"/>
      </w:pPr>
    </w:lvl>
    <w:lvl w:ilvl="8" w:tplc="D30CF5DE">
      <w:start w:val="1"/>
      <w:numFmt w:val="lowerRoman"/>
      <w:lvlText w:val="%9."/>
      <w:lvlJc w:val="right"/>
      <w:pPr>
        <w:ind w:left="6480" w:hanging="180"/>
      </w:pPr>
    </w:lvl>
  </w:abstractNum>
  <w:num w:numId="1" w16cid:durableId="8170384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75A4"/>
    <w:rsid w:val="00044551"/>
    <w:rsid w:val="001F480D"/>
    <w:rsid w:val="00240502"/>
    <w:rsid w:val="002B2388"/>
    <w:rsid w:val="00315DDC"/>
    <w:rsid w:val="004C20CF"/>
    <w:rsid w:val="004D41D5"/>
    <w:rsid w:val="00625E7B"/>
    <w:rsid w:val="0087085C"/>
    <w:rsid w:val="009A4E4C"/>
    <w:rsid w:val="00B475A4"/>
    <w:rsid w:val="00B60AD8"/>
    <w:rsid w:val="00B67A3E"/>
    <w:rsid w:val="00B752BE"/>
    <w:rsid w:val="00C61B24"/>
    <w:rsid w:val="00DB20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0914C0"/>
  <w15:chartTrackingRefBased/>
  <w15:docId w15:val="{959F3ED2-679F-4181-BF2B-9000A24A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75A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75A4"/>
    <w:pPr>
      <w:tabs>
        <w:tab w:val="center" w:pos="4153"/>
        <w:tab w:val="right" w:pos="8306"/>
      </w:tabs>
    </w:pPr>
  </w:style>
  <w:style w:type="character" w:customStyle="1" w:styleId="a4">
    <w:name w:val="כותרת עליונה תו"/>
    <w:link w:val="a3"/>
    <w:rsid w:val="00B475A4"/>
    <w:rPr>
      <w:rFonts w:ascii="Times New Roman" w:eastAsia="Times New Roman" w:hAnsi="Times New Roman" w:cs="David"/>
      <w:sz w:val="24"/>
      <w:szCs w:val="24"/>
    </w:rPr>
  </w:style>
  <w:style w:type="paragraph" w:styleId="a5">
    <w:name w:val="footer"/>
    <w:basedOn w:val="a"/>
    <w:link w:val="a6"/>
    <w:rsid w:val="00B475A4"/>
    <w:pPr>
      <w:tabs>
        <w:tab w:val="center" w:pos="4153"/>
        <w:tab w:val="right" w:pos="8306"/>
      </w:tabs>
    </w:pPr>
  </w:style>
  <w:style w:type="character" w:customStyle="1" w:styleId="a6">
    <w:name w:val="כותרת תחתונה תו"/>
    <w:link w:val="a5"/>
    <w:rsid w:val="00B475A4"/>
    <w:rPr>
      <w:rFonts w:ascii="Times New Roman" w:eastAsia="Times New Roman" w:hAnsi="Times New Roman" w:cs="David"/>
      <w:sz w:val="24"/>
      <w:szCs w:val="24"/>
    </w:rPr>
  </w:style>
  <w:style w:type="table" w:styleId="a7">
    <w:name w:val="Table Grid"/>
    <w:basedOn w:val="a1"/>
    <w:rsid w:val="00B475A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475A4"/>
  </w:style>
  <w:style w:type="paragraph" w:styleId="a9">
    <w:name w:val="List Paragraph"/>
    <w:basedOn w:val="a"/>
    <w:qFormat/>
    <w:rsid w:val="00B475A4"/>
    <w:pPr>
      <w:spacing w:after="160" w:line="256" w:lineRule="auto"/>
      <w:ind w:left="720"/>
      <w:contextualSpacing/>
    </w:pPr>
    <w:rPr>
      <w:rFonts w:ascii="Calibri" w:eastAsia="Calibri" w:hAnsi="Calibri" w:cs="Arial"/>
      <w:sz w:val="22"/>
      <w:szCs w:val="22"/>
    </w:rPr>
  </w:style>
  <w:style w:type="character" w:styleId="Hyperlink">
    <w:name w:val="Hyperlink"/>
    <w:rsid w:val="004D4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c" TargetMode="External"/><Relationship Id="rId18" Type="http://schemas.openxmlformats.org/officeDocument/2006/relationships/hyperlink" Target="http://www.nevo.co.il/law/4216"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7592536" TargetMode="External"/><Relationship Id="rId7" Type="http://schemas.openxmlformats.org/officeDocument/2006/relationships/hyperlink" Target="http://www.nevo.co.il/law/4216" TargetMode="External"/><Relationship Id="rId12" Type="http://schemas.openxmlformats.org/officeDocument/2006/relationships/hyperlink" Target="http://www.nevo.co.il/law/5227/62.3" TargetMode="External"/><Relationship Id="rId17" Type="http://schemas.openxmlformats.org/officeDocument/2006/relationships/hyperlink" Target="http://www.nevo.co.il/law/4216/7.a.;7.c"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5227" TargetMode="External"/><Relationship Id="rId20" Type="http://schemas.openxmlformats.org/officeDocument/2006/relationships/hyperlink" Target="http://www.nevo.co.il/case/2434638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5227/62.3" TargetMode="External"/><Relationship Id="rId23" Type="http://schemas.openxmlformats.org/officeDocument/2006/relationships/hyperlink" Target="http://www.nevo.co.il/case/20321459" TargetMode="External"/><Relationship Id="rId28" Type="http://schemas.openxmlformats.org/officeDocument/2006/relationships/footer" Target="footer2.xml"/><Relationship Id="rId10" Type="http://schemas.openxmlformats.org/officeDocument/2006/relationships/hyperlink" Target="http://www.nevo.co.il/law/4216/7.c" TargetMode="External"/><Relationship Id="rId19" Type="http://schemas.openxmlformats.org/officeDocument/2006/relationships/hyperlink" Target="http://www.nevo.co.il/case/23893684" TargetMode="External"/><Relationship Id="rId4" Type="http://schemas.openxmlformats.org/officeDocument/2006/relationships/webSettings" Target="webSettings.xml"/><Relationship Id="rId9" Type="http://schemas.openxmlformats.org/officeDocument/2006/relationships/hyperlink" Target="http://www.nevo.co.il/law/4216/7.a.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1017469"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1298</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7778</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3473522</vt:i4>
      </vt:variant>
      <vt:variant>
        <vt:i4>54</vt:i4>
      </vt:variant>
      <vt:variant>
        <vt:i4>0</vt:i4>
      </vt:variant>
      <vt:variant>
        <vt:i4>5</vt:i4>
      </vt:variant>
      <vt:variant>
        <vt:lpwstr>http://www.nevo.co.il/case/20321459</vt:lpwstr>
      </vt:variant>
      <vt:variant>
        <vt:lpwstr/>
      </vt:variant>
      <vt:variant>
        <vt:i4>3342448</vt:i4>
      </vt:variant>
      <vt:variant>
        <vt:i4>51</vt:i4>
      </vt:variant>
      <vt:variant>
        <vt:i4>0</vt:i4>
      </vt:variant>
      <vt:variant>
        <vt:i4>5</vt:i4>
      </vt:variant>
      <vt:variant>
        <vt:lpwstr>http://www.nevo.co.il/case/21017469</vt:lpwstr>
      </vt:variant>
      <vt:variant>
        <vt:lpwstr/>
      </vt:variant>
      <vt:variant>
        <vt:i4>3539071</vt:i4>
      </vt:variant>
      <vt:variant>
        <vt:i4>48</vt:i4>
      </vt:variant>
      <vt:variant>
        <vt:i4>0</vt:i4>
      </vt:variant>
      <vt:variant>
        <vt:i4>5</vt:i4>
      </vt:variant>
      <vt:variant>
        <vt:lpwstr>http://www.nevo.co.il/case/27592536</vt:lpwstr>
      </vt:variant>
      <vt:variant>
        <vt:lpwstr/>
      </vt:variant>
      <vt:variant>
        <vt:i4>4128887</vt:i4>
      </vt:variant>
      <vt:variant>
        <vt:i4>45</vt:i4>
      </vt:variant>
      <vt:variant>
        <vt:i4>0</vt:i4>
      </vt:variant>
      <vt:variant>
        <vt:i4>5</vt:i4>
      </vt:variant>
      <vt:variant>
        <vt:lpwstr>http://www.nevo.co.il/case/24346383</vt:lpwstr>
      </vt:variant>
      <vt:variant>
        <vt:lpwstr/>
      </vt:variant>
      <vt:variant>
        <vt:i4>3211384</vt:i4>
      </vt:variant>
      <vt:variant>
        <vt:i4>42</vt:i4>
      </vt:variant>
      <vt:variant>
        <vt:i4>0</vt:i4>
      </vt:variant>
      <vt:variant>
        <vt:i4>5</vt:i4>
      </vt:variant>
      <vt:variant>
        <vt:lpwstr>http://www.nevo.co.il/case/23893684</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3866746</vt:i4>
      </vt:variant>
      <vt:variant>
        <vt:i4>33</vt:i4>
      </vt:variant>
      <vt:variant>
        <vt:i4>0</vt:i4>
      </vt:variant>
      <vt:variant>
        <vt:i4>5</vt:i4>
      </vt:variant>
      <vt:variant>
        <vt:lpwstr>http://www.nevo.co.il/case/24936967</vt:lpwstr>
      </vt:variant>
      <vt:variant>
        <vt:lpwstr/>
      </vt:variant>
      <vt:variant>
        <vt:i4>8323175</vt:i4>
      </vt:variant>
      <vt:variant>
        <vt:i4>30</vt:i4>
      </vt:variant>
      <vt:variant>
        <vt:i4>0</vt:i4>
      </vt:variant>
      <vt:variant>
        <vt:i4>5</vt:i4>
      </vt:variant>
      <vt:variant>
        <vt:lpwstr>http://www.nevo.co.il/law/5227</vt:lpwstr>
      </vt:variant>
      <vt:variant>
        <vt:lpwstr/>
      </vt:variant>
      <vt:variant>
        <vt:i4>6750330</vt:i4>
      </vt:variant>
      <vt:variant>
        <vt:i4>27</vt:i4>
      </vt:variant>
      <vt:variant>
        <vt:i4>0</vt:i4>
      </vt:variant>
      <vt:variant>
        <vt:i4>5</vt:i4>
      </vt:variant>
      <vt:variant>
        <vt:lpwstr>http://www.nevo.co.il/law/5227/62.3</vt:lpwstr>
      </vt:variant>
      <vt:variant>
        <vt:lpwstr/>
      </vt:variant>
      <vt:variant>
        <vt:i4>8257637</vt:i4>
      </vt:variant>
      <vt:variant>
        <vt:i4>24</vt:i4>
      </vt:variant>
      <vt:variant>
        <vt:i4>0</vt:i4>
      </vt:variant>
      <vt:variant>
        <vt:i4>5</vt:i4>
      </vt:variant>
      <vt:variant>
        <vt:lpwstr>http://www.nevo.co.il/law/4216</vt:lpwstr>
      </vt:variant>
      <vt:variant>
        <vt:lpwstr/>
      </vt:variant>
      <vt:variant>
        <vt:i4>4915274</vt:i4>
      </vt:variant>
      <vt:variant>
        <vt:i4>21</vt:i4>
      </vt:variant>
      <vt:variant>
        <vt:i4>0</vt:i4>
      </vt:variant>
      <vt:variant>
        <vt:i4>5</vt:i4>
      </vt:variant>
      <vt:variant>
        <vt:lpwstr>http://www.nevo.co.il/law/4216/7.a.c</vt:lpwstr>
      </vt:variant>
      <vt:variant>
        <vt:lpwstr/>
      </vt:variant>
      <vt:variant>
        <vt:i4>3211382</vt:i4>
      </vt:variant>
      <vt:variant>
        <vt:i4>18</vt:i4>
      </vt:variant>
      <vt:variant>
        <vt:i4>0</vt:i4>
      </vt:variant>
      <vt:variant>
        <vt:i4>5</vt:i4>
      </vt:variant>
      <vt:variant>
        <vt:lpwstr>http://www.nevo.co.il/case/23604118</vt:lpwstr>
      </vt:variant>
      <vt:variant>
        <vt:lpwstr/>
      </vt:variant>
      <vt:variant>
        <vt:i4>6750330</vt:i4>
      </vt:variant>
      <vt:variant>
        <vt:i4>15</vt:i4>
      </vt:variant>
      <vt:variant>
        <vt:i4>0</vt:i4>
      </vt:variant>
      <vt:variant>
        <vt:i4>5</vt:i4>
      </vt:variant>
      <vt:variant>
        <vt:lpwstr>http://www.nevo.co.il/law/5227/62.3</vt:lpwstr>
      </vt:variant>
      <vt:variant>
        <vt:lpwstr/>
      </vt:variant>
      <vt:variant>
        <vt:i4>8323175</vt:i4>
      </vt:variant>
      <vt:variant>
        <vt:i4>12</vt:i4>
      </vt:variant>
      <vt:variant>
        <vt:i4>0</vt:i4>
      </vt:variant>
      <vt:variant>
        <vt:i4>5</vt:i4>
      </vt:variant>
      <vt:variant>
        <vt:lpwstr>http://www.nevo.co.il/law/5227</vt:lpwstr>
      </vt:variant>
      <vt:variant>
        <vt:lpwstr/>
      </vt:variant>
      <vt:variant>
        <vt:i4>2752612</vt:i4>
      </vt:variant>
      <vt:variant>
        <vt:i4>9</vt:i4>
      </vt:variant>
      <vt:variant>
        <vt:i4>0</vt:i4>
      </vt:variant>
      <vt:variant>
        <vt:i4>5</vt:i4>
      </vt:variant>
      <vt:variant>
        <vt:lpwstr>http://www.nevo.co.il/law/4216/7.c</vt:lpwstr>
      </vt:variant>
      <vt:variant>
        <vt:lpwstr/>
      </vt:variant>
      <vt:variant>
        <vt:i4>4915274</vt:i4>
      </vt:variant>
      <vt:variant>
        <vt:i4>6</vt:i4>
      </vt:variant>
      <vt:variant>
        <vt:i4>0</vt:i4>
      </vt:variant>
      <vt:variant>
        <vt:i4>5</vt:i4>
      </vt:variant>
      <vt:variant>
        <vt:lpwstr>http://www.nevo.co.il/law/4216/7.a.c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2025-04-22T23:52:00Z</dcterms:created>
  <dcterms:modified xsi:type="dcterms:W3CDTF">2025-04-22T23:52:00Z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45345;5524</vt:lpwstr>
  </property>
  <property fmtid="{D5CDD505-2E9C-101B-9397-08002B2CF9AE}" pid="6" name="NEWPARTB">
    <vt:lpwstr>08;02</vt:lpwstr>
  </property>
  <property fmtid="{D5CDD505-2E9C-101B-9397-08002B2CF9AE}" pid="7" name="NEWPARTC">
    <vt:lpwstr>18;18</vt:lpwstr>
  </property>
  <property fmtid="{D5CDD505-2E9C-101B-9397-08002B2CF9AE}" pid="8" name="APPELLANT">
    <vt:lpwstr>מדינת ישראל</vt:lpwstr>
  </property>
  <property fmtid="{D5CDD505-2E9C-101B-9397-08002B2CF9AE}" pid="9" name="APPELLEE">
    <vt:lpwstr>מאיר בר טוב</vt:lpwstr>
  </property>
  <property fmtid="{D5CDD505-2E9C-101B-9397-08002B2CF9AE}" pid="10" name="LAWYER">
    <vt:lpwstr>מאיר לוברבאום;מיכאלי עירוני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20211031</vt:lpwstr>
  </property>
  <property fmtid="{D5CDD505-2E9C-101B-9397-08002B2CF9AE}" pid="14" name="TYPE_N_DATE">
    <vt:lpwstr>38020211031</vt:lpwstr>
  </property>
  <property fmtid="{D5CDD505-2E9C-101B-9397-08002B2CF9AE}" pid="15" name="WORDNUMPAGES">
    <vt:lpwstr>5</vt:lpwstr>
  </property>
  <property fmtid="{D5CDD505-2E9C-101B-9397-08002B2CF9AE}" pid="16" name="TYPE_ABS_DATE">
    <vt:lpwstr>380020211031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23604118;24936967;23893684;24346383;27592536;21017469;20321459</vt:lpwstr>
  </property>
  <property fmtid="{D5CDD505-2E9C-101B-9397-08002B2CF9AE}" pid="36" name="LAWLISTTMP1">
    <vt:lpwstr>4216/007.a.c;007.a;007.c</vt:lpwstr>
  </property>
  <property fmtid="{D5CDD505-2E9C-101B-9397-08002B2CF9AE}" pid="37" name="LAWLISTTMP2">
    <vt:lpwstr>5227/062.3</vt:lpwstr>
  </property>
</Properties>
</file>