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353157" w:rsidRPr="0063431F" w14:paraId="06363F22" w14:textId="77777777" w:rsidTr="00E67FB9">
        <w:trPr>
          <w:trHeight w:hRule="exact" w:val="418"/>
          <w:jc w:val="center"/>
        </w:trPr>
        <w:tc>
          <w:tcPr>
            <w:tcW w:w="8523" w:type="dxa"/>
            <w:gridSpan w:val="2"/>
          </w:tcPr>
          <w:p w14:paraId="54CAE168" w14:textId="77777777" w:rsidR="00353157" w:rsidRPr="0063431F" w:rsidRDefault="00353157" w:rsidP="00152D57">
            <w:pPr>
              <w:pStyle w:val="a3"/>
              <w:jc w:val="center"/>
              <w:rPr>
                <w:rFonts w:ascii="Tahoma" w:hAnsi="Tahoma"/>
                <w:color w:val="000080"/>
                <w:sz w:val="32"/>
                <w:szCs w:val="32"/>
                <w:rtl/>
              </w:rPr>
            </w:pPr>
            <w:bookmarkStart w:id="0" w:name="LastJudge"/>
            <w:r w:rsidRPr="0063431F">
              <w:rPr>
                <w:rFonts w:ascii="Tahoma" w:hAnsi="Tahoma"/>
                <w:b/>
                <w:bCs/>
                <w:color w:val="000080"/>
                <w:sz w:val="32"/>
                <w:szCs w:val="32"/>
                <w:rtl/>
              </w:rPr>
              <w:t>בית משפט השלום בתל אביב - יפו</w:t>
            </w:r>
          </w:p>
        </w:tc>
      </w:tr>
      <w:tr w:rsidR="00353157" w:rsidRPr="0063431F" w14:paraId="31C6B4CA" w14:textId="77777777" w:rsidTr="00E67FB9">
        <w:trPr>
          <w:trHeight w:val="337"/>
          <w:jc w:val="center"/>
        </w:trPr>
        <w:tc>
          <w:tcPr>
            <w:tcW w:w="4945" w:type="dxa"/>
          </w:tcPr>
          <w:p w14:paraId="6A20A17D" w14:textId="77777777" w:rsidR="00353157" w:rsidRPr="0063431F" w:rsidRDefault="00353157" w:rsidP="00152D57">
            <w:pPr>
              <w:rPr>
                <w:sz w:val="26"/>
                <w:szCs w:val="26"/>
                <w:rtl/>
              </w:rPr>
            </w:pPr>
            <w:r w:rsidRPr="0063431F">
              <w:rPr>
                <w:sz w:val="26"/>
                <w:szCs w:val="26"/>
                <w:rtl/>
              </w:rPr>
              <w:t>ת"פ</w:t>
            </w:r>
            <w:r w:rsidRPr="0063431F">
              <w:rPr>
                <w:rFonts w:hint="cs"/>
                <w:sz w:val="26"/>
                <w:szCs w:val="26"/>
                <w:rtl/>
              </w:rPr>
              <w:t xml:space="preserve"> </w:t>
            </w:r>
            <w:hyperlink r:id="rId7" w:history="1">
              <w:r w:rsidR="001C51B2" w:rsidRPr="001C51B2">
                <w:rPr>
                  <w:color w:val="0000FF"/>
                  <w:sz w:val="26"/>
                  <w:szCs w:val="26"/>
                  <w:u w:val="single"/>
                  <w:rtl/>
                </w:rPr>
                <w:t xml:space="preserve">34266-09-18 </w:t>
              </w:r>
            </w:hyperlink>
            <w:r w:rsidRPr="0063431F">
              <w:rPr>
                <w:rFonts w:hint="cs"/>
                <w:sz w:val="26"/>
                <w:szCs w:val="26"/>
                <w:rtl/>
              </w:rPr>
              <w:t xml:space="preserve"> </w:t>
            </w:r>
            <w:r w:rsidRPr="0063431F">
              <w:rPr>
                <w:sz w:val="26"/>
                <w:szCs w:val="26"/>
                <w:rtl/>
              </w:rPr>
              <w:t>מדינת ישראל נ' קסלר</w:t>
            </w:r>
          </w:p>
        </w:tc>
        <w:tc>
          <w:tcPr>
            <w:tcW w:w="3578" w:type="dxa"/>
          </w:tcPr>
          <w:p w14:paraId="00E023B6" w14:textId="77777777" w:rsidR="00353157" w:rsidRPr="0063431F" w:rsidRDefault="00353157" w:rsidP="00152D57">
            <w:pPr>
              <w:pStyle w:val="a3"/>
              <w:jc w:val="right"/>
              <w:rPr>
                <w:rFonts w:cs="FrankRuehl"/>
                <w:sz w:val="28"/>
                <w:szCs w:val="28"/>
                <w:rtl/>
              </w:rPr>
            </w:pPr>
          </w:p>
        </w:tc>
      </w:tr>
    </w:tbl>
    <w:p w14:paraId="2F1281A7" w14:textId="77777777" w:rsidR="00353157" w:rsidRPr="0063431F" w:rsidRDefault="00353157" w:rsidP="00353157">
      <w:pPr>
        <w:pStyle w:val="a3"/>
        <w:rPr>
          <w:rtl/>
        </w:rPr>
      </w:pPr>
      <w:r w:rsidRPr="0063431F">
        <w:rPr>
          <w:rFonts w:hint="cs"/>
          <w:rtl/>
        </w:rPr>
        <w:t xml:space="preserve"> </w:t>
      </w:r>
    </w:p>
    <w:p w14:paraId="7404A198" w14:textId="77777777" w:rsidR="00353157" w:rsidRPr="0063431F" w:rsidRDefault="00353157" w:rsidP="00353157">
      <w:pPr>
        <w:rPr>
          <w:rtl/>
        </w:rPr>
      </w:pPr>
    </w:p>
    <w:p w14:paraId="70B83612" w14:textId="77777777" w:rsidR="00353157" w:rsidRPr="0063431F" w:rsidRDefault="00353157" w:rsidP="00353157"/>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5222"/>
        <w:gridCol w:w="2403"/>
      </w:tblGrid>
      <w:tr w:rsidR="00353157" w:rsidRPr="0063431F" w14:paraId="0BEF3B9F" w14:textId="77777777" w:rsidTr="00353157">
        <w:trPr>
          <w:trHeight w:val="295"/>
          <w:jc w:val="center"/>
        </w:trPr>
        <w:tc>
          <w:tcPr>
            <w:tcW w:w="8820" w:type="dxa"/>
            <w:gridSpan w:val="3"/>
            <w:tcBorders>
              <w:top w:val="nil"/>
              <w:left w:val="nil"/>
              <w:bottom w:val="nil"/>
              <w:right w:val="nil"/>
            </w:tcBorders>
            <w:shd w:val="clear" w:color="auto" w:fill="auto"/>
          </w:tcPr>
          <w:p w14:paraId="65FF3DB5" w14:textId="77777777" w:rsidR="00353157" w:rsidRPr="0063431F" w:rsidRDefault="00353157" w:rsidP="00353157">
            <w:pPr>
              <w:jc w:val="both"/>
              <w:rPr>
                <w:rFonts w:ascii="Arial" w:hAnsi="Arial"/>
                <w:b/>
                <w:bCs/>
                <w:sz w:val="26"/>
                <w:szCs w:val="26"/>
              </w:rPr>
            </w:pPr>
            <w:r w:rsidRPr="0063431F">
              <w:rPr>
                <w:rFonts w:ascii="Arial" w:hAnsi="Arial" w:hint="cs"/>
                <w:b/>
                <w:bCs/>
                <w:sz w:val="26"/>
                <w:szCs w:val="26"/>
                <w:rtl/>
              </w:rPr>
              <w:t>ל</w:t>
            </w:r>
            <w:r w:rsidRPr="0063431F">
              <w:rPr>
                <w:rFonts w:ascii="Arial" w:hAnsi="Arial"/>
                <w:b/>
                <w:bCs/>
                <w:sz w:val="26"/>
                <w:szCs w:val="26"/>
                <w:rtl/>
              </w:rPr>
              <w:t xml:space="preserve">פני </w:t>
            </w:r>
            <w:r w:rsidRPr="0063431F">
              <w:rPr>
                <w:rFonts w:ascii="Arial" w:hAnsi="Arial" w:hint="cs"/>
                <w:b/>
                <w:bCs/>
                <w:sz w:val="26"/>
                <w:szCs w:val="26"/>
                <w:rtl/>
              </w:rPr>
              <w:t>כבוד ה</w:t>
            </w:r>
            <w:r w:rsidRPr="0063431F">
              <w:rPr>
                <w:rFonts w:ascii="Arial" w:hAnsi="Arial"/>
                <w:b/>
                <w:bCs/>
                <w:sz w:val="26"/>
                <w:szCs w:val="26"/>
                <w:rtl/>
              </w:rPr>
              <w:t>שופטת</w:t>
            </w:r>
            <w:r w:rsidRPr="0063431F">
              <w:rPr>
                <w:rFonts w:ascii="Arial" w:hAnsi="Arial" w:hint="cs"/>
                <w:b/>
                <w:bCs/>
                <w:sz w:val="26"/>
                <w:szCs w:val="26"/>
                <w:rtl/>
              </w:rPr>
              <w:t xml:space="preserve">  </w:t>
            </w:r>
            <w:r w:rsidRPr="0063431F">
              <w:rPr>
                <w:rFonts w:ascii="Arial" w:hAnsi="Arial"/>
                <w:b/>
                <w:bCs/>
                <w:sz w:val="26"/>
                <w:szCs w:val="26"/>
                <w:rtl/>
              </w:rPr>
              <w:t>עדי יעקובוביץ</w:t>
            </w:r>
          </w:p>
        </w:tc>
      </w:tr>
      <w:tr w:rsidR="00353157" w:rsidRPr="0063431F" w14:paraId="0628505E" w14:textId="77777777" w:rsidTr="00353157">
        <w:trPr>
          <w:trHeight w:val="355"/>
          <w:jc w:val="center"/>
        </w:trPr>
        <w:tc>
          <w:tcPr>
            <w:tcW w:w="1195" w:type="dxa"/>
            <w:tcBorders>
              <w:top w:val="nil"/>
              <w:left w:val="nil"/>
              <w:bottom w:val="nil"/>
              <w:right w:val="nil"/>
            </w:tcBorders>
            <w:shd w:val="clear" w:color="auto" w:fill="auto"/>
          </w:tcPr>
          <w:p w14:paraId="73CF07B1" w14:textId="77777777" w:rsidR="00353157" w:rsidRPr="0063431F" w:rsidRDefault="00353157" w:rsidP="00353157">
            <w:pPr>
              <w:jc w:val="both"/>
              <w:rPr>
                <w:rFonts w:ascii="Arial" w:hAnsi="Arial"/>
                <w:b/>
                <w:bCs/>
                <w:sz w:val="26"/>
                <w:szCs w:val="26"/>
              </w:rPr>
            </w:pPr>
            <w:bookmarkStart w:id="1" w:name="FirstAppellant"/>
            <w:bookmarkStart w:id="2" w:name="FirstLawyer"/>
            <w:r w:rsidRPr="0063431F">
              <w:rPr>
                <w:rFonts w:ascii="Arial" w:hAnsi="Arial" w:hint="cs"/>
                <w:sz w:val="26"/>
                <w:szCs w:val="26"/>
                <w:rtl/>
              </w:rPr>
              <w:t>ה</w:t>
            </w:r>
            <w:r w:rsidRPr="0063431F">
              <w:rPr>
                <w:rFonts w:ascii="Arial" w:hAnsi="Arial"/>
                <w:sz w:val="26"/>
                <w:szCs w:val="26"/>
                <w:rtl/>
              </w:rPr>
              <w:t>מאשימה</w:t>
            </w:r>
          </w:p>
        </w:tc>
        <w:tc>
          <w:tcPr>
            <w:tcW w:w="5222" w:type="dxa"/>
            <w:tcBorders>
              <w:top w:val="nil"/>
              <w:left w:val="nil"/>
              <w:bottom w:val="nil"/>
              <w:right w:val="nil"/>
            </w:tcBorders>
            <w:shd w:val="clear" w:color="auto" w:fill="auto"/>
          </w:tcPr>
          <w:p w14:paraId="686715B2" w14:textId="77777777" w:rsidR="00353157" w:rsidRPr="0063431F" w:rsidRDefault="00353157" w:rsidP="00152D57">
            <w:pPr>
              <w:rPr>
                <w:sz w:val="26"/>
                <w:szCs w:val="26"/>
                <w:rtl/>
              </w:rPr>
            </w:pPr>
            <w:r w:rsidRPr="0063431F">
              <w:rPr>
                <w:rFonts w:ascii="Arial" w:hAnsi="Arial"/>
                <w:sz w:val="26"/>
                <w:szCs w:val="26"/>
                <w:rtl/>
              </w:rPr>
              <w:t>מדינת ישראל</w:t>
            </w:r>
          </w:p>
          <w:p w14:paraId="55B84C5E" w14:textId="77777777" w:rsidR="00353157" w:rsidRPr="0063431F" w:rsidRDefault="00353157" w:rsidP="00152D57">
            <w:pPr>
              <w:rPr>
                <w:sz w:val="26"/>
                <w:szCs w:val="26"/>
              </w:rPr>
            </w:pPr>
            <w:r w:rsidRPr="0063431F">
              <w:rPr>
                <w:rFonts w:hint="cs"/>
                <w:sz w:val="26"/>
                <w:szCs w:val="26"/>
                <w:rtl/>
              </w:rPr>
              <w:t>ע"י ב"כ עו"ד ג'סיקה קובורסי ועו"ד מאיה הבר</w:t>
            </w:r>
          </w:p>
        </w:tc>
        <w:tc>
          <w:tcPr>
            <w:tcW w:w="2403" w:type="dxa"/>
            <w:tcBorders>
              <w:top w:val="nil"/>
              <w:left w:val="nil"/>
              <w:bottom w:val="nil"/>
              <w:right w:val="nil"/>
            </w:tcBorders>
            <w:shd w:val="clear" w:color="auto" w:fill="auto"/>
          </w:tcPr>
          <w:p w14:paraId="1A5691E9" w14:textId="77777777" w:rsidR="00353157" w:rsidRPr="0063431F" w:rsidRDefault="00353157" w:rsidP="00353157">
            <w:pPr>
              <w:jc w:val="both"/>
              <w:rPr>
                <w:rFonts w:ascii="Arial" w:hAnsi="Arial"/>
                <w:sz w:val="26"/>
                <w:szCs w:val="26"/>
              </w:rPr>
            </w:pPr>
          </w:p>
        </w:tc>
      </w:tr>
      <w:bookmarkEnd w:id="1"/>
      <w:bookmarkEnd w:id="2"/>
      <w:tr w:rsidR="00353157" w:rsidRPr="0063431F" w14:paraId="61DC9027" w14:textId="77777777" w:rsidTr="00353157">
        <w:trPr>
          <w:trHeight w:val="373"/>
          <w:jc w:val="center"/>
        </w:trPr>
        <w:tc>
          <w:tcPr>
            <w:tcW w:w="1195" w:type="dxa"/>
            <w:tcBorders>
              <w:top w:val="nil"/>
              <w:left w:val="nil"/>
              <w:bottom w:val="nil"/>
              <w:right w:val="nil"/>
            </w:tcBorders>
            <w:shd w:val="clear" w:color="auto" w:fill="auto"/>
          </w:tcPr>
          <w:p w14:paraId="539FECE1" w14:textId="77777777" w:rsidR="00353157" w:rsidRPr="0063431F" w:rsidRDefault="00353157" w:rsidP="00353157">
            <w:pPr>
              <w:jc w:val="both"/>
              <w:rPr>
                <w:rFonts w:ascii="Arial" w:hAnsi="Arial"/>
                <w:sz w:val="26"/>
                <w:szCs w:val="26"/>
                <w:rtl/>
              </w:rPr>
            </w:pPr>
          </w:p>
        </w:tc>
        <w:tc>
          <w:tcPr>
            <w:tcW w:w="7625" w:type="dxa"/>
            <w:gridSpan w:val="2"/>
            <w:tcBorders>
              <w:top w:val="nil"/>
              <w:left w:val="nil"/>
              <w:bottom w:val="nil"/>
              <w:right w:val="nil"/>
            </w:tcBorders>
            <w:shd w:val="clear" w:color="auto" w:fill="auto"/>
          </w:tcPr>
          <w:p w14:paraId="394F5F90" w14:textId="77777777" w:rsidR="00353157" w:rsidRPr="0063431F" w:rsidRDefault="00353157" w:rsidP="00353157">
            <w:pPr>
              <w:jc w:val="center"/>
              <w:rPr>
                <w:rFonts w:ascii="Arial" w:hAnsi="Arial"/>
                <w:b/>
                <w:bCs/>
                <w:sz w:val="26"/>
                <w:szCs w:val="26"/>
                <w:rtl/>
              </w:rPr>
            </w:pPr>
          </w:p>
          <w:p w14:paraId="3511D966" w14:textId="77777777" w:rsidR="00353157" w:rsidRPr="0063431F" w:rsidRDefault="00353157" w:rsidP="00353157">
            <w:pPr>
              <w:jc w:val="center"/>
              <w:rPr>
                <w:rFonts w:ascii="Arial" w:hAnsi="Arial"/>
                <w:b/>
                <w:bCs/>
                <w:sz w:val="26"/>
                <w:szCs w:val="26"/>
                <w:rtl/>
              </w:rPr>
            </w:pPr>
            <w:r w:rsidRPr="0063431F">
              <w:rPr>
                <w:rFonts w:ascii="Arial" w:hAnsi="Arial"/>
                <w:b/>
                <w:bCs/>
                <w:sz w:val="26"/>
                <w:szCs w:val="26"/>
                <w:rtl/>
              </w:rPr>
              <w:t>נגד</w:t>
            </w:r>
          </w:p>
          <w:p w14:paraId="08CDFFD7" w14:textId="77777777" w:rsidR="00353157" w:rsidRPr="0063431F" w:rsidRDefault="00353157" w:rsidP="00353157">
            <w:pPr>
              <w:jc w:val="both"/>
              <w:rPr>
                <w:rFonts w:ascii="Arial" w:hAnsi="Arial"/>
                <w:sz w:val="26"/>
                <w:szCs w:val="26"/>
              </w:rPr>
            </w:pPr>
          </w:p>
        </w:tc>
      </w:tr>
      <w:tr w:rsidR="00353157" w:rsidRPr="0063431F" w14:paraId="1DEADDFC" w14:textId="77777777" w:rsidTr="00353157">
        <w:trPr>
          <w:trHeight w:val="355"/>
          <w:jc w:val="center"/>
        </w:trPr>
        <w:tc>
          <w:tcPr>
            <w:tcW w:w="1195" w:type="dxa"/>
            <w:tcBorders>
              <w:top w:val="nil"/>
              <w:left w:val="nil"/>
              <w:bottom w:val="nil"/>
              <w:right w:val="nil"/>
            </w:tcBorders>
            <w:shd w:val="clear" w:color="auto" w:fill="auto"/>
          </w:tcPr>
          <w:p w14:paraId="65931915" w14:textId="77777777" w:rsidR="00353157" w:rsidRPr="0063431F" w:rsidRDefault="00353157" w:rsidP="00152D57">
            <w:pPr>
              <w:rPr>
                <w:rFonts w:ascii="Arial" w:hAnsi="Arial"/>
                <w:sz w:val="26"/>
                <w:szCs w:val="26"/>
                <w:rtl/>
              </w:rPr>
            </w:pPr>
            <w:r w:rsidRPr="0063431F">
              <w:rPr>
                <w:rFonts w:ascii="Arial" w:hAnsi="Arial" w:hint="cs"/>
                <w:sz w:val="26"/>
                <w:szCs w:val="26"/>
                <w:rtl/>
              </w:rPr>
              <w:t>ה</w:t>
            </w:r>
            <w:r w:rsidRPr="0063431F">
              <w:rPr>
                <w:rFonts w:ascii="Arial" w:hAnsi="Arial"/>
                <w:sz w:val="26"/>
                <w:szCs w:val="26"/>
                <w:rtl/>
              </w:rPr>
              <w:t>נאשמים</w:t>
            </w:r>
          </w:p>
        </w:tc>
        <w:tc>
          <w:tcPr>
            <w:tcW w:w="5222" w:type="dxa"/>
            <w:tcBorders>
              <w:top w:val="nil"/>
              <w:left w:val="nil"/>
              <w:bottom w:val="nil"/>
              <w:right w:val="nil"/>
            </w:tcBorders>
            <w:shd w:val="clear" w:color="auto" w:fill="auto"/>
          </w:tcPr>
          <w:p w14:paraId="57363091" w14:textId="77777777" w:rsidR="00353157" w:rsidRPr="0063431F" w:rsidRDefault="00353157" w:rsidP="00152D57">
            <w:pPr>
              <w:rPr>
                <w:sz w:val="26"/>
                <w:szCs w:val="26"/>
                <w:rtl/>
              </w:rPr>
            </w:pPr>
            <w:r w:rsidRPr="0063431F">
              <w:rPr>
                <w:rFonts w:ascii="Arial" w:hAnsi="Arial"/>
                <w:sz w:val="26"/>
                <w:szCs w:val="26"/>
                <w:rtl/>
              </w:rPr>
              <w:t>אל</w:t>
            </w:r>
            <w:r w:rsidRPr="0063431F">
              <w:rPr>
                <w:rFonts w:ascii="Arial" w:hAnsi="Arial" w:hint="cs"/>
                <w:sz w:val="26"/>
                <w:szCs w:val="26"/>
                <w:rtl/>
              </w:rPr>
              <w:t>עד</w:t>
            </w:r>
            <w:r w:rsidRPr="0063431F">
              <w:rPr>
                <w:rFonts w:ascii="Arial" w:hAnsi="Arial"/>
                <w:sz w:val="26"/>
                <w:szCs w:val="26"/>
                <w:rtl/>
              </w:rPr>
              <w:t xml:space="preserve"> קסלר</w:t>
            </w:r>
          </w:p>
          <w:p w14:paraId="54F200C4" w14:textId="77777777" w:rsidR="00353157" w:rsidRPr="0063431F" w:rsidRDefault="00353157" w:rsidP="00152D57">
            <w:pPr>
              <w:rPr>
                <w:sz w:val="26"/>
                <w:szCs w:val="26"/>
                <w:rtl/>
              </w:rPr>
            </w:pPr>
            <w:r w:rsidRPr="0063431F">
              <w:rPr>
                <w:rFonts w:hint="cs"/>
                <w:sz w:val="26"/>
                <w:szCs w:val="26"/>
                <w:rtl/>
              </w:rPr>
              <w:t>ע"י ב"כ עו"ד אמיר נבון</w:t>
            </w:r>
          </w:p>
        </w:tc>
        <w:tc>
          <w:tcPr>
            <w:tcW w:w="2403" w:type="dxa"/>
            <w:tcBorders>
              <w:top w:val="nil"/>
              <w:left w:val="nil"/>
              <w:bottom w:val="nil"/>
              <w:right w:val="nil"/>
            </w:tcBorders>
            <w:shd w:val="clear" w:color="auto" w:fill="auto"/>
          </w:tcPr>
          <w:p w14:paraId="63145417" w14:textId="77777777" w:rsidR="00353157" w:rsidRPr="0063431F" w:rsidRDefault="00353157" w:rsidP="00353157">
            <w:pPr>
              <w:jc w:val="right"/>
              <w:rPr>
                <w:rFonts w:ascii="Arial" w:hAnsi="Arial"/>
                <w:sz w:val="26"/>
                <w:szCs w:val="26"/>
              </w:rPr>
            </w:pPr>
          </w:p>
        </w:tc>
      </w:tr>
    </w:tbl>
    <w:p w14:paraId="5652C80A" w14:textId="77777777" w:rsidR="00353157" w:rsidRPr="0063431F" w:rsidRDefault="00353157" w:rsidP="00353157"/>
    <w:p w14:paraId="40D10A04" w14:textId="77777777" w:rsidR="00353157" w:rsidRPr="0063431F" w:rsidRDefault="00353157" w:rsidP="00353157">
      <w:pPr>
        <w:rPr>
          <w:rFonts w:ascii="Arial" w:hAnsi="Arial"/>
          <w:rtl/>
        </w:rPr>
      </w:pPr>
    </w:p>
    <w:p w14:paraId="2E7A01E3" w14:textId="77777777" w:rsidR="00E67FB9" w:rsidRPr="0063431F" w:rsidRDefault="00E67FB9" w:rsidP="00353157">
      <w:pPr>
        <w:bidi w:val="0"/>
        <w:jc w:val="right"/>
        <w:rPr>
          <w:rFonts w:ascii="Arial" w:hAnsi="Arial"/>
          <w:b/>
          <w:bCs/>
        </w:rPr>
      </w:pPr>
    </w:p>
    <w:p w14:paraId="19A7316A" w14:textId="77777777" w:rsidR="0041027B" w:rsidRDefault="0041027B" w:rsidP="00353157">
      <w:pPr>
        <w:bidi w:val="0"/>
        <w:rPr>
          <w:rFonts w:ascii="Arial" w:hAnsi="Arial"/>
          <w:sz w:val="36"/>
          <w:szCs w:val="36"/>
        </w:rPr>
      </w:pPr>
    </w:p>
    <w:p w14:paraId="3E1F8214" w14:textId="77777777" w:rsidR="0041027B" w:rsidRPr="0041027B" w:rsidRDefault="0041027B" w:rsidP="0041027B">
      <w:pPr>
        <w:spacing w:after="120" w:line="240" w:lineRule="exact"/>
        <w:ind w:left="283" w:hanging="283"/>
        <w:jc w:val="both"/>
        <w:rPr>
          <w:rFonts w:ascii="FrankRuehl" w:hAnsi="FrankRuehl" w:cs="FrankRuehl"/>
        </w:rPr>
      </w:pPr>
    </w:p>
    <w:p w14:paraId="59CE198C" w14:textId="77777777" w:rsidR="001C51B2" w:rsidRPr="001C51B2" w:rsidRDefault="001C51B2" w:rsidP="001C51B2">
      <w:pPr>
        <w:spacing w:before="120" w:after="120" w:line="240" w:lineRule="exact"/>
        <w:ind w:left="283" w:hanging="283"/>
        <w:jc w:val="both"/>
        <w:rPr>
          <w:rFonts w:ascii="FrankRuehl" w:hAnsi="FrankRuehl" w:cs="FrankRuehl"/>
          <w:rtl/>
        </w:rPr>
      </w:pPr>
    </w:p>
    <w:p w14:paraId="52B6F95C" w14:textId="77777777" w:rsidR="00E74E01" w:rsidRDefault="00E74E01" w:rsidP="00E74E01">
      <w:pPr>
        <w:rPr>
          <w:rFonts w:ascii="Arial" w:hAnsi="Arial"/>
          <w:sz w:val="36"/>
          <w:szCs w:val="36"/>
          <w:rtl/>
        </w:rPr>
      </w:pPr>
      <w:bookmarkStart w:id="3" w:name="LawTable"/>
      <w:bookmarkEnd w:id="3"/>
    </w:p>
    <w:p w14:paraId="50890EAB" w14:textId="77777777" w:rsidR="00E74E01" w:rsidRPr="00E74E01" w:rsidRDefault="00E74E01" w:rsidP="00E74E01">
      <w:pPr>
        <w:spacing w:before="120" w:after="120" w:line="240" w:lineRule="exact"/>
        <w:ind w:left="283" w:hanging="283"/>
        <w:jc w:val="both"/>
        <w:rPr>
          <w:rFonts w:ascii="FrankRuehl" w:hAnsi="FrankRuehl" w:cs="FrankRuehl"/>
          <w:rtl/>
        </w:rPr>
      </w:pPr>
    </w:p>
    <w:p w14:paraId="3504A491" w14:textId="77777777" w:rsidR="00E74E01" w:rsidRPr="00E74E01" w:rsidRDefault="00E74E01" w:rsidP="00E74E01">
      <w:pPr>
        <w:spacing w:before="120" w:after="120" w:line="240" w:lineRule="exact"/>
        <w:ind w:left="283" w:hanging="283"/>
        <w:jc w:val="both"/>
        <w:rPr>
          <w:rFonts w:ascii="FrankRuehl" w:hAnsi="FrankRuehl" w:cs="FrankRuehl"/>
          <w:rtl/>
        </w:rPr>
      </w:pPr>
    </w:p>
    <w:p w14:paraId="0E2A1E7A" w14:textId="77777777" w:rsidR="00E74E01" w:rsidRPr="00E74E01" w:rsidRDefault="00E74E01" w:rsidP="00E74E01">
      <w:pPr>
        <w:spacing w:before="120" w:after="120" w:line="240" w:lineRule="exact"/>
        <w:ind w:left="283" w:hanging="283"/>
        <w:jc w:val="both"/>
        <w:rPr>
          <w:rFonts w:ascii="FrankRuehl" w:hAnsi="FrankRuehl" w:cs="FrankRuehl"/>
          <w:rtl/>
        </w:rPr>
      </w:pPr>
      <w:r w:rsidRPr="00E74E01">
        <w:rPr>
          <w:rFonts w:ascii="FrankRuehl" w:hAnsi="FrankRuehl" w:cs="FrankRuehl"/>
          <w:rtl/>
        </w:rPr>
        <w:t xml:space="preserve">חקיקה שאוזכרה: </w:t>
      </w:r>
    </w:p>
    <w:p w14:paraId="00DFF2F5" w14:textId="77777777" w:rsidR="00E74E01" w:rsidRPr="00E74E01" w:rsidRDefault="00E74E01" w:rsidP="00E74E01">
      <w:pPr>
        <w:spacing w:before="120" w:after="120" w:line="240" w:lineRule="exact"/>
        <w:ind w:left="283" w:hanging="283"/>
        <w:jc w:val="both"/>
        <w:rPr>
          <w:rFonts w:ascii="FrankRuehl" w:hAnsi="FrankRuehl" w:cs="FrankRuehl"/>
          <w:rtl/>
        </w:rPr>
      </w:pPr>
      <w:hyperlink r:id="rId8" w:history="1">
        <w:r w:rsidRPr="00E74E01">
          <w:rPr>
            <w:rFonts w:ascii="FrankRuehl" w:hAnsi="FrankRuehl" w:cs="FrankRuehl"/>
            <w:color w:val="0000FF"/>
            <w:rtl/>
          </w:rPr>
          <w:t>פקודת הסמים המסוכנים [נוסח חדש], תשל"ג-1973</w:t>
        </w:r>
      </w:hyperlink>
      <w:r w:rsidRPr="00E74E01">
        <w:rPr>
          <w:rFonts w:ascii="FrankRuehl" w:hAnsi="FrankRuehl" w:cs="FrankRuehl"/>
          <w:rtl/>
        </w:rPr>
        <w:t xml:space="preserve">: סע'  </w:t>
      </w:r>
      <w:hyperlink r:id="rId9" w:history="1">
        <w:r w:rsidRPr="00E74E01">
          <w:rPr>
            <w:rFonts w:ascii="FrankRuehl" w:hAnsi="FrankRuehl" w:cs="FrankRuehl"/>
            <w:color w:val="0000FF"/>
            <w:rtl/>
          </w:rPr>
          <w:t>7 (א)</w:t>
        </w:r>
      </w:hyperlink>
      <w:r w:rsidRPr="00E74E01">
        <w:rPr>
          <w:rFonts w:ascii="FrankRuehl" w:hAnsi="FrankRuehl" w:cs="FrankRuehl"/>
          <w:rtl/>
        </w:rPr>
        <w:t xml:space="preserve">, </w:t>
      </w:r>
      <w:hyperlink r:id="rId10" w:history="1">
        <w:r w:rsidRPr="00E74E01">
          <w:rPr>
            <w:rFonts w:ascii="FrankRuehl" w:hAnsi="FrankRuehl" w:cs="FrankRuehl"/>
            <w:color w:val="0000FF"/>
            <w:rtl/>
          </w:rPr>
          <w:t>7(ג)</w:t>
        </w:r>
      </w:hyperlink>
      <w:r w:rsidRPr="00E74E01">
        <w:rPr>
          <w:rFonts w:ascii="FrankRuehl" w:hAnsi="FrankRuehl" w:cs="FrankRuehl"/>
          <w:rtl/>
        </w:rPr>
        <w:t xml:space="preserve">, </w:t>
      </w:r>
      <w:hyperlink r:id="rId11" w:history="1">
        <w:r w:rsidRPr="00E74E01">
          <w:rPr>
            <w:rFonts w:ascii="FrankRuehl" w:hAnsi="FrankRuehl" w:cs="FrankRuehl"/>
            <w:color w:val="0000FF"/>
            <w:rtl/>
          </w:rPr>
          <w:t>36א</w:t>
        </w:r>
      </w:hyperlink>
    </w:p>
    <w:p w14:paraId="2A78632B" w14:textId="77777777" w:rsidR="00E74E01" w:rsidRPr="00E74E01" w:rsidRDefault="00E74E01" w:rsidP="00E74E01">
      <w:pPr>
        <w:spacing w:before="120" w:after="120" w:line="240" w:lineRule="exact"/>
        <w:ind w:left="283" w:hanging="283"/>
        <w:jc w:val="both"/>
        <w:rPr>
          <w:rFonts w:ascii="FrankRuehl" w:hAnsi="FrankRuehl" w:cs="FrankRuehl"/>
          <w:rtl/>
        </w:rPr>
      </w:pPr>
      <w:hyperlink r:id="rId12" w:history="1">
        <w:r w:rsidRPr="00E74E01">
          <w:rPr>
            <w:rFonts w:ascii="FrankRuehl" w:hAnsi="FrankRuehl" w:cs="FrankRuehl"/>
            <w:color w:val="0000FF"/>
            <w:rtl/>
          </w:rPr>
          <w:t>חוק העונשין, תשל"ז-1977</w:t>
        </w:r>
      </w:hyperlink>
      <w:r w:rsidRPr="00E74E01">
        <w:rPr>
          <w:rFonts w:ascii="FrankRuehl" w:hAnsi="FrankRuehl" w:cs="FrankRuehl"/>
          <w:rtl/>
        </w:rPr>
        <w:t xml:space="preserve">: סע'  </w:t>
      </w:r>
      <w:hyperlink r:id="rId13" w:history="1">
        <w:r w:rsidRPr="00E74E01">
          <w:rPr>
            <w:rFonts w:ascii="FrankRuehl" w:hAnsi="FrankRuehl" w:cs="FrankRuehl"/>
            <w:color w:val="0000FF"/>
            <w:rtl/>
          </w:rPr>
          <w:t>1 ב(ב)</w:t>
        </w:r>
      </w:hyperlink>
      <w:r w:rsidRPr="00E74E01">
        <w:rPr>
          <w:rFonts w:ascii="FrankRuehl" w:hAnsi="FrankRuehl" w:cs="FrankRuehl"/>
          <w:rtl/>
        </w:rPr>
        <w:t xml:space="preserve">, </w:t>
      </w:r>
      <w:hyperlink r:id="rId14" w:history="1">
        <w:r w:rsidRPr="00E74E01">
          <w:rPr>
            <w:rFonts w:ascii="FrankRuehl" w:hAnsi="FrankRuehl" w:cs="FrankRuehl"/>
            <w:color w:val="0000FF"/>
            <w:rtl/>
          </w:rPr>
          <w:t>186(א)</w:t>
        </w:r>
      </w:hyperlink>
      <w:r w:rsidRPr="00E74E01">
        <w:rPr>
          <w:rFonts w:ascii="FrankRuehl" w:hAnsi="FrankRuehl" w:cs="FrankRuehl"/>
          <w:rtl/>
        </w:rPr>
        <w:t xml:space="preserve">, </w:t>
      </w:r>
      <w:hyperlink r:id="rId15" w:history="1">
        <w:r w:rsidRPr="00E74E01">
          <w:rPr>
            <w:rFonts w:ascii="FrankRuehl" w:hAnsi="FrankRuehl" w:cs="FrankRuehl"/>
            <w:color w:val="0000FF"/>
            <w:rtl/>
          </w:rPr>
          <w:t>40יא</w:t>
        </w:r>
      </w:hyperlink>
    </w:p>
    <w:p w14:paraId="67812B02" w14:textId="77777777" w:rsidR="00E74E01" w:rsidRPr="00E74E01" w:rsidRDefault="00E74E01" w:rsidP="00E74E01">
      <w:pPr>
        <w:rPr>
          <w:rFonts w:ascii="Arial" w:hAnsi="Arial"/>
          <w:sz w:val="36"/>
          <w:szCs w:val="36"/>
          <w:rtl/>
        </w:rPr>
      </w:pPr>
      <w:bookmarkStart w:id="4" w:name="LawTable_End"/>
      <w:bookmarkEnd w:id="4"/>
    </w:p>
    <w:p w14:paraId="615BCE85" w14:textId="77777777" w:rsidR="00E67FB9" w:rsidRPr="001C51B2" w:rsidRDefault="00E67FB9" w:rsidP="001C51B2">
      <w:pPr>
        <w:rPr>
          <w:rFonts w:ascii="Arial" w:hAnsi="Arial"/>
          <w:sz w:val="36"/>
          <w:szCs w:val="36"/>
          <w:rtl/>
        </w:rPr>
      </w:pPr>
    </w:p>
    <w:p w14:paraId="1A0E9DEF" w14:textId="77777777" w:rsidR="00E67FB9" w:rsidRPr="0063431F" w:rsidRDefault="00E67FB9" w:rsidP="0063431F">
      <w:pPr>
        <w:spacing w:line="360" w:lineRule="auto"/>
        <w:ind w:left="389" w:hanging="247"/>
        <w:jc w:val="center"/>
        <w:rPr>
          <w:rFonts w:ascii="Arial" w:hAnsi="Arial"/>
          <w:b/>
          <w:bCs/>
          <w:sz w:val="36"/>
          <w:szCs w:val="36"/>
          <w:u w:val="single"/>
          <w:rtl/>
        </w:rPr>
      </w:pPr>
      <w:bookmarkStart w:id="5" w:name="PsakDin"/>
      <w:r w:rsidRPr="0063431F">
        <w:rPr>
          <w:rFonts w:ascii="Arial" w:hAnsi="Arial"/>
          <w:b/>
          <w:bCs/>
          <w:sz w:val="36"/>
          <w:szCs w:val="36"/>
          <w:u w:val="single"/>
          <w:rtl/>
        </w:rPr>
        <w:t>גזר דין</w:t>
      </w:r>
    </w:p>
    <w:bookmarkEnd w:id="5"/>
    <w:p w14:paraId="3DCD9697" w14:textId="77777777" w:rsidR="00E67FB9" w:rsidRPr="00353157" w:rsidRDefault="00E67FB9" w:rsidP="00353157">
      <w:pPr>
        <w:spacing w:line="360" w:lineRule="auto"/>
        <w:ind w:left="389" w:hanging="247"/>
        <w:rPr>
          <w:b/>
          <w:bCs/>
          <w:u w:val="single"/>
        </w:rPr>
      </w:pPr>
      <w:r w:rsidRPr="00353157">
        <w:rPr>
          <w:b/>
          <w:bCs/>
          <w:noProof/>
          <w:sz w:val="28"/>
          <w:szCs w:val="28"/>
          <w:u w:val="single"/>
          <w:rtl/>
        </w:rPr>
        <w:t>פתח דבר</w:t>
      </w:r>
    </w:p>
    <w:p w14:paraId="1317049C" w14:textId="77777777" w:rsidR="00E67FB9" w:rsidRPr="00353157" w:rsidRDefault="00E67FB9" w:rsidP="00353157">
      <w:pPr>
        <w:spacing w:line="360" w:lineRule="auto"/>
        <w:ind w:left="360"/>
        <w:contextualSpacing/>
        <w:jc w:val="both"/>
        <w:rPr>
          <w:rFonts w:ascii="Arial" w:hAnsi="Arial"/>
          <w:b/>
          <w:bCs/>
          <w:u w:val="single"/>
        </w:rPr>
      </w:pPr>
    </w:p>
    <w:p w14:paraId="7518A1C5" w14:textId="77777777" w:rsidR="00353157" w:rsidRPr="0048444C" w:rsidRDefault="00353157" w:rsidP="00353157">
      <w:pPr>
        <w:numPr>
          <w:ilvl w:val="0"/>
          <w:numId w:val="1"/>
        </w:numPr>
        <w:spacing w:before="240" w:after="240" w:line="360" w:lineRule="auto"/>
        <w:ind w:left="-57"/>
        <w:jc w:val="both"/>
        <w:rPr>
          <w:rFonts w:ascii="Arial" w:hAnsi="Arial"/>
          <w:b/>
          <w:bCs/>
          <w:u w:val="single"/>
          <w:lang w:eastAsia="he-IL"/>
        </w:rPr>
      </w:pPr>
      <w:bookmarkStart w:id="6" w:name="ABSTRACT_START"/>
      <w:bookmarkEnd w:id="0"/>
      <w:bookmarkEnd w:id="6"/>
      <w:r w:rsidRPr="0048444C">
        <w:rPr>
          <w:rtl/>
          <w:lang w:eastAsia="he-IL"/>
        </w:rPr>
        <w:t>הנאשם הודה והורשע, במסגרת הסדר טיעון, ב</w:t>
      </w:r>
      <w:hyperlink r:id="rId16" w:history="1">
        <w:r w:rsidR="0063431F" w:rsidRPr="0063431F">
          <w:rPr>
            <w:b/>
            <w:bCs/>
            <w:color w:val="0000FF"/>
            <w:u w:val="single"/>
            <w:rtl/>
            <w:lang w:eastAsia="he-IL"/>
          </w:rPr>
          <w:t>ת"פ 34266-09-18</w:t>
        </w:r>
      </w:hyperlink>
      <w:r w:rsidRPr="0048444C">
        <w:rPr>
          <w:rtl/>
          <w:lang w:eastAsia="he-IL"/>
        </w:rPr>
        <w:t xml:space="preserve"> (להלן: "</w:t>
      </w:r>
      <w:r w:rsidRPr="0048444C">
        <w:rPr>
          <w:b/>
          <w:bCs/>
          <w:rtl/>
          <w:lang w:eastAsia="he-IL"/>
        </w:rPr>
        <w:t>התיק העיקרי</w:t>
      </w:r>
      <w:r w:rsidRPr="0048444C">
        <w:rPr>
          <w:rtl/>
          <w:lang w:eastAsia="he-IL"/>
        </w:rPr>
        <w:t xml:space="preserve">"),  בעבירה של </w:t>
      </w:r>
      <w:r w:rsidRPr="0048444C">
        <w:rPr>
          <w:b/>
          <w:bCs/>
          <w:rtl/>
          <w:lang w:eastAsia="he-IL"/>
        </w:rPr>
        <w:t>החזקת סם שלא לצריכה עצמית</w:t>
      </w:r>
      <w:r w:rsidRPr="0048444C">
        <w:rPr>
          <w:rtl/>
          <w:lang w:eastAsia="he-IL"/>
        </w:rPr>
        <w:t xml:space="preserve">, לפי סעיף </w:t>
      </w:r>
      <w:hyperlink r:id="rId17" w:history="1">
        <w:r w:rsidR="00E67FB9" w:rsidRPr="00E67FB9">
          <w:rPr>
            <w:rStyle w:val="Hyperlink"/>
            <w:rtl/>
            <w:lang w:eastAsia="he-IL"/>
          </w:rPr>
          <w:t>7 (א)</w:t>
        </w:r>
      </w:hyperlink>
      <w:r w:rsidRPr="0048444C">
        <w:rPr>
          <w:rtl/>
          <w:lang w:eastAsia="he-IL"/>
        </w:rPr>
        <w:t xml:space="preserve"> + </w:t>
      </w:r>
      <w:hyperlink r:id="rId18" w:history="1">
        <w:r w:rsidR="00E67FB9" w:rsidRPr="00E67FB9">
          <w:rPr>
            <w:rStyle w:val="Hyperlink"/>
            <w:rtl/>
            <w:lang w:eastAsia="he-IL"/>
          </w:rPr>
          <w:t>7(ג)</w:t>
        </w:r>
      </w:hyperlink>
      <w:r w:rsidRPr="0048444C">
        <w:rPr>
          <w:rtl/>
          <w:lang w:eastAsia="he-IL"/>
        </w:rPr>
        <w:t xml:space="preserve"> רישא ל</w:t>
      </w:r>
      <w:hyperlink r:id="rId19" w:history="1">
        <w:r w:rsidR="0063431F" w:rsidRPr="0063431F">
          <w:rPr>
            <w:color w:val="0000FF"/>
            <w:u w:val="single"/>
            <w:rtl/>
            <w:lang w:eastAsia="he-IL"/>
          </w:rPr>
          <w:t>פקודת הסמים המסוכנים</w:t>
        </w:r>
      </w:hyperlink>
      <w:r w:rsidRPr="0048444C">
        <w:rPr>
          <w:rtl/>
          <w:lang w:eastAsia="he-IL"/>
        </w:rPr>
        <w:t xml:space="preserve"> [נוסח חדש] התשל"ג – 1973 [להלן: "</w:t>
      </w:r>
      <w:r w:rsidRPr="0048444C">
        <w:rPr>
          <w:b/>
          <w:bCs/>
          <w:rtl/>
          <w:lang w:eastAsia="he-IL"/>
        </w:rPr>
        <w:t>פקודת הסמים</w:t>
      </w:r>
      <w:r w:rsidRPr="0048444C">
        <w:rPr>
          <w:rtl/>
          <w:lang w:eastAsia="he-IL"/>
        </w:rPr>
        <w:t xml:space="preserve">"], וצירף את </w:t>
      </w:r>
      <w:hyperlink r:id="rId20" w:history="1">
        <w:r w:rsidR="0063431F" w:rsidRPr="0063431F">
          <w:rPr>
            <w:b/>
            <w:bCs/>
            <w:color w:val="0000FF"/>
            <w:u w:val="single"/>
            <w:rtl/>
            <w:lang w:eastAsia="he-IL"/>
          </w:rPr>
          <w:t>ת"פ 72063-03-19</w:t>
        </w:r>
      </w:hyperlink>
      <w:r w:rsidRPr="0048444C">
        <w:rPr>
          <w:rtl/>
          <w:lang w:eastAsia="he-IL"/>
        </w:rPr>
        <w:t xml:space="preserve">  (ש' מלמד) (להלן: "</w:t>
      </w:r>
      <w:r w:rsidRPr="0048444C">
        <w:rPr>
          <w:b/>
          <w:bCs/>
          <w:rtl/>
          <w:lang w:eastAsia="he-IL"/>
        </w:rPr>
        <w:t>התיק המצורף"</w:t>
      </w:r>
      <w:r w:rsidRPr="0048444C">
        <w:rPr>
          <w:rtl/>
          <w:lang w:eastAsia="he-IL"/>
        </w:rPr>
        <w:t xml:space="preserve">), במסגרתו הורשע בעבירה של </w:t>
      </w:r>
      <w:r w:rsidRPr="0048444C">
        <w:rPr>
          <w:b/>
          <w:bCs/>
          <w:rtl/>
          <w:lang w:eastAsia="he-IL"/>
        </w:rPr>
        <w:t>החזקת אגרופן או סכין שלא כדין</w:t>
      </w:r>
      <w:r w:rsidRPr="0048444C">
        <w:rPr>
          <w:rtl/>
          <w:lang w:eastAsia="he-IL"/>
        </w:rPr>
        <w:t xml:space="preserve">, לפי </w:t>
      </w:r>
      <w:hyperlink r:id="rId21" w:history="1">
        <w:r w:rsidR="00E67FB9" w:rsidRPr="00E67FB9">
          <w:rPr>
            <w:rStyle w:val="Hyperlink"/>
            <w:rtl/>
            <w:lang w:eastAsia="he-IL"/>
          </w:rPr>
          <w:t>סעיף 186(א)</w:t>
        </w:r>
      </w:hyperlink>
      <w:r w:rsidRPr="0048444C">
        <w:rPr>
          <w:rtl/>
          <w:lang w:eastAsia="he-IL"/>
        </w:rPr>
        <w:t xml:space="preserve"> ל</w:t>
      </w:r>
      <w:hyperlink r:id="rId22" w:history="1">
        <w:r w:rsidR="0063431F" w:rsidRPr="0063431F">
          <w:rPr>
            <w:color w:val="0000FF"/>
            <w:u w:val="single"/>
            <w:rtl/>
            <w:lang w:eastAsia="he-IL"/>
          </w:rPr>
          <w:t>חוק העונשין</w:t>
        </w:r>
      </w:hyperlink>
      <w:r w:rsidRPr="0048444C">
        <w:rPr>
          <w:rtl/>
          <w:lang w:eastAsia="he-IL"/>
        </w:rPr>
        <w:t xml:space="preserve"> התשל"ז – 1977 [להלן: "</w:t>
      </w:r>
      <w:r w:rsidRPr="0048444C">
        <w:rPr>
          <w:b/>
          <w:bCs/>
          <w:rtl/>
          <w:lang w:eastAsia="he-IL"/>
        </w:rPr>
        <w:t>החוק</w:t>
      </w:r>
      <w:r w:rsidRPr="0048444C">
        <w:rPr>
          <w:rtl/>
          <w:lang w:eastAsia="he-IL"/>
        </w:rPr>
        <w:t>"].</w:t>
      </w:r>
    </w:p>
    <w:p w14:paraId="4D02FF3F" w14:textId="77777777" w:rsidR="00353157" w:rsidRPr="0048444C" w:rsidRDefault="00353157" w:rsidP="00353157">
      <w:pPr>
        <w:numPr>
          <w:ilvl w:val="0"/>
          <w:numId w:val="1"/>
        </w:numPr>
        <w:spacing w:before="240" w:line="360" w:lineRule="auto"/>
        <w:ind w:left="-57"/>
        <w:jc w:val="both"/>
        <w:rPr>
          <w:rFonts w:ascii="Arial" w:hAnsi="Arial"/>
          <w:b/>
          <w:bCs/>
          <w:u w:val="single"/>
          <w:lang w:eastAsia="he-IL"/>
        </w:rPr>
      </w:pPr>
      <w:bookmarkStart w:id="7" w:name="ABSTRACT_END"/>
      <w:bookmarkEnd w:id="7"/>
      <w:r w:rsidRPr="0048444C">
        <w:rPr>
          <w:rtl/>
          <w:lang w:eastAsia="he-IL"/>
        </w:rPr>
        <w:t>על פי כתב האישום בתיק העיקרי, עולה כי ביום 28.03.18, בשעה 10:00 או בסמוך לכך, החזיק הנאשם בביתו, שבאורי צבי גרינברג 21 בחולון, בסם מסוכן מסוג קנבוס, במספר מקומות שונים:</w:t>
      </w:r>
    </w:p>
    <w:p w14:paraId="0706F752" w14:textId="77777777" w:rsidR="00353157" w:rsidRPr="0048444C" w:rsidRDefault="00353157" w:rsidP="00353157">
      <w:pPr>
        <w:numPr>
          <w:ilvl w:val="1"/>
          <w:numId w:val="1"/>
        </w:numPr>
        <w:spacing w:before="240" w:line="360" w:lineRule="auto"/>
        <w:jc w:val="both"/>
        <w:rPr>
          <w:rFonts w:ascii="Arial" w:hAnsi="Arial"/>
          <w:lang w:eastAsia="he-IL"/>
        </w:rPr>
      </w:pPr>
      <w:r w:rsidRPr="0048444C">
        <w:rPr>
          <w:rFonts w:ascii="Arial" w:hAnsi="Arial"/>
          <w:rtl/>
          <w:lang w:eastAsia="he-IL"/>
        </w:rPr>
        <w:t>4.44 גרם קנבוס בתוך צנצנת על השולחן בחדרו.</w:t>
      </w:r>
    </w:p>
    <w:p w14:paraId="314AB9B1" w14:textId="77777777" w:rsidR="00353157" w:rsidRPr="0048444C" w:rsidRDefault="00353157" w:rsidP="00353157">
      <w:pPr>
        <w:numPr>
          <w:ilvl w:val="1"/>
          <w:numId w:val="1"/>
        </w:numPr>
        <w:spacing w:before="240" w:line="360" w:lineRule="auto"/>
        <w:jc w:val="both"/>
        <w:rPr>
          <w:rFonts w:ascii="Arial" w:hAnsi="Arial"/>
          <w:lang w:eastAsia="he-IL"/>
        </w:rPr>
      </w:pPr>
      <w:r w:rsidRPr="0048444C">
        <w:rPr>
          <w:rFonts w:ascii="Arial" w:hAnsi="Arial"/>
          <w:rtl/>
          <w:lang w:eastAsia="he-IL"/>
        </w:rPr>
        <w:lastRenderedPageBreak/>
        <w:t>105.52 גרם קנבוס ו-119.39 גרם קנבוס במדף בארון בגדיו, עטופים בשקית ניילון שקופה.</w:t>
      </w:r>
    </w:p>
    <w:p w14:paraId="1AC277EC" w14:textId="77777777" w:rsidR="00353157" w:rsidRPr="0048444C" w:rsidRDefault="00353157" w:rsidP="00353157">
      <w:pPr>
        <w:spacing w:before="240" w:after="240" w:line="360" w:lineRule="auto"/>
        <w:ind w:left="360"/>
        <w:jc w:val="both"/>
        <w:rPr>
          <w:rFonts w:ascii="Arial" w:hAnsi="Arial"/>
          <w:u w:val="single"/>
          <w:lang w:eastAsia="he-IL"/>
        </w:rPr>
      </w:pPr>
      <w:r w:rsidRPr="0048444C">
        <w:rPr>
          <w:b/>
          <w:bCs/>
          <w:rtl/>
          <w:lang w:eastAsia="he-IL"/>
        </w:rPr>
        <w:t>סך הכל החזיק הנאשם בסם מסוכן מסוג קנבוס במשקל כולל של 229.35 גרם נטו</w:t>
      </w:r>
      <w:r w:rsidRPr="0048444C">
        <w:rPr>
          <w:rtl/>
          <w:lang w:eastAsia="he-IL"/>
        </w:rPr>
        <w:t xml:space="preserve">. </w:t>
      </w:r>
    </w:p>
    <w:p w14:paraId="317F4A30" w14:textId="77777777" w:rsidR="00353157" w:rsidRPr="0048444C" w:rsidRDefault="00353157" w:rsidP="00353157">
      <w:pPr>
        <w:numPr>
          <w:ilvl w:val="0"/>
          <w:numId w:val="1"/>
        </w:numPr>
        <w:spacing w:before="240" w:after="240" w:line="360" w:lineRule="auto"/>
        <w:ind w:left="-57"/>
        <w:jc w:val="both"/>
        <w:rPr>
          <w:rtl/>
          <w:lang w:eastAsia="he-IL"/>
        </w:rPr>
      </w:pPr>
      <w:r w:rsidRPr="0048444C">
        <w:rPr>
          <w:rtl/>
          <w:lang w:eastAsia="he-IL"/>
        </w:rPr>
        <w:t>על פי כתב האישום בתיק המצורף, עולה כי ביום 11.09.18, בשעה 02:30 או בסמוך לכך, ברחוב בן גוריון 1 בחולון, החזיק הנאשם באגרופן, מחוץ לתחום ביתו.</w:t>
      </w:r>
    </w:p>
    <w:p w14:paraId="7B4DE8C7" w14:textId="77777777" w:rsidR="00353157" w:rsidRPr="0048444C" w:rsidRDefault="00353157" w:rsidP="00353157">
      <w:pPr>
        <w:numPr>
          <w:ilvl w:val="0"/>
          <w:numId w:val="1"/>
        </w:numPr>
        <w:spacing w:before="240" w:after="240" w:line="360" w:lineRule="auto"/>
        <w:ind w:left="-57"/>
        <w:jc w:val="both"/>
        <w:rPr>
          <w:lang w:eastAsia="he-IL"/>
        </w:rPr>
      </w:pPr>
      <w:r w:rsidRPr="0048444C">
        <w:rPr>
          <w:rtl/>
          <w:lang w:eastAsia="he-IL"/>
        </w:rPr>
        <w:t xml:space="preserve">הנאשם הודה והורשע בשני כתבי האישום. הוסכם כי הנאשם יופנה לשירות המבחן לקבלת תסקיר בעניינו. </w:t>
      </w:r>
      <w:r w:rsidRPr="0048444C">
        <w:rPr>
          <w:color w:val="000000"/>
          <w:rtl/>
          <w:lang w:eastAsia="he-IL"/>
        </w:rPr>
        <w:t>הסדר הטיעון לא כלל הסכמה לעניין העונש. המאשימה הציגה עמדה לפיה בתיק העיקרי עתירתה למאסר ובתיק הצירוף למאסר על תנאי והתחייבות,</w:t>
      </w:r>
      <w:r w:rsidRPr="0048444C">
        <w:rPr>
          <w:rtl/>
          <w:lang w:eastAsia="he-IL"/>
        </w:rPr>
        <w:t xml:space="preserve"> והבהירה מראש כי אינה מחויבת להמלצות התסקיר. הסנגור מצדו ביקש לבחון את שאלת ההרשעה. </w:t>
      </w:r>
    </w:p>
    <w:p w14:paraId="76E81639" w14:textId="77777777" w:rsidR="00353157" w:rsidRPr="0048444C" w:rsidRDefault="00353157" w:rsidP="00353157">
      <w:pPr>
        <w:numPr>
          <w:ilvl w:val="0"/>
          <w:numId w:val="1"/>
        </w:numPr>
        <w:spacing w:before="240" w:after="240" w:line="360" w:lineRule="auto"/>
        <w:ind w:left="-57"/>
        <w:jc w:val="both"/>
        <w:rPr>
          <w:sz w:val="20"/>
          <w:lang w:eastAsia="he-IL"/>
        </w:rPr>
      </w:pPr>
      <w:r w:rsidRPr="0048444C">
        <w:rPr>
          <w:sz w:val="20"/>
          <w:rtl/>
          <w:lang w:eastAsia="he-IL"/>
        </w:rPr>
        <w:t xml:space="preserve">הנאשם נמצא מתאים לעבודות שירות, על פי חוות דעתו של הממונה על עבודות השירות. </w:t>
      </w:r>
    </w:p>
    <w:p w14:paraId="40A97355" w14:textId="77777777" w:rsidR="00353157" w:rsidRDefault="00353157" w:rsidP="00353157">
      <w:pPr>
        <w:spacing w:line="360" w:lineRule="auto"/>
        <w:rPr>
          <w:b/>
          <w:bCs/>
          <w:noProof/>
          <w:sz w:val="28"/>
          <w:szCs w:val="28"/>
          <w:u w:val="single"/>
          <w:rtl/>
        </w:rPr>
      </w:pPr>
    </w:p>
    <w:p w14:paraId="3FBA49A3" w14:textId="77777777" w:rsidR="00353157" w:rsidRDefault="00353157" w:rsidP="00353157">
      <w:pPr>
        <w:spacing w:line="360" w:lineRule="auto"/>
        <w:rPr>
          <w:b/>
          <w:bCs/>
          <w:noProof/>
          <w:sz w:val="28"/>
          <w:szCs w:val="28"/>
          <w:u w:val="single"/>
          <w:rtl/>
        </w:rPr>
      </w:pPr>
    </w:p>
    <w:p w14:paraId="68A7D02C" w14:textId="77777777" w:rsidR="00353157" w:rsidRPr="0048444C" w:rsidRDefault="00353157" w:rsidP="00353157">
      <w:pPr>
        <w:spacing w:line="360" w:lineRule="auto"/>
        <w:rPr>
          <w:b/>
          <w:bCs/>
          <w:sz w:val="28"/>
          <w:szCs w:val="28"/>
          <w:u w:val="single"/>
          <w:rtl/>
        </w:rPr>
      </w:pPr>
      <w:r w:rsidRPr="0048444C">
        <w:rPr>
          <w:b/>
          <w:bCs/>
          <w:noProof/>
          <w:sz w:val="28"/>
          <w:szCs w:val="28"/>
          <w:u w:val="single"/>
          <w:rtl/>
        </w:rPr>
        <w:t>תסקירי שירות המבחן</w:t>
      </w:r>
    </w:p>
    <w:p w14:paraId="08EA1FA6" w14:textId="77777777" w:rsidR="00353157" w:rsidRPr="0048444C" w:rsidRDefault="00353157" w:rsidP="00353157">
      <w:pPr>
        <w:numPr>
          <w:ilvl w:val="0"/>
          <w:numId w:val="1"/>
        </w:numPr>
        <w:spacing w:after="240" w:line="360" w:lineRule="auto"/>
        <w:ind w:left="-57"/>
        <w:contextualSpacing/>
        <w:jc w:val="both"/>
        <w:rPr>
          <w:rtl/>
          <w:lang w:eastAsia="he-IL"/>
        </w:rPr>
      </w:pPr>
      <w:r w:rsidRPr="0048444C">
        <w:rPr>
          <w:rtl/>
          <w:lang w:eastAsia="he-IL"/>
        </w:rPr>
        <w:t>בעניינו של הנאשם התקבל תסקיר מבחן ראשון, מיום 03.02.20 לפיו הנאשם בן 27, רווק, מתגורר בבית הוריו, בתהליך פתיחת עסק עצמאי בתחום מיזוג האוויר. הנאשם סיים 12 שנות לימוד, גויס לצבא כתומך לחימה, אך על רקע מצבה הרפואי של אחותו נעדר מן השירות, נדון לריצוי עונש מאסר בכלא צבאי, ולבסוף שוחרר מהצבא על רקע אי התאמה.</w:t>
      </w:r>
    </w:p>
    <w:p w14:paraId="18CCD9DB" w14:textId="77777777" w:rsidR="00353157" w:rsidRPr="0048444C" w:rsidRDefault="00353157" w:rsidP="00353157">
      <w:pPr>
        <w:spacing w:line="360" w:lineRule="auto"/>
        <w:ind w:left="-57"/>
        <w:contextualSpacing/>
        <w:jc w:val="both"/>
        <w:rPr>
          <w:lang w:eastAsia="he-IL"/>
        </w:rPr>
      </w:pPr>
      <w:r w:rsidRPr="0048444C">
        <w:rPr>
          <w:rtl/>
          <w:lang w:eastAsia="he-IL"/>
        </w:rPr>
        <w:t>הנאשם שיתף פעולה עם שירות המבחן, ביטא חרטה והכרה ראשונית בחומרת מעשיו. עוד מתואר קשר קרוב עם אחיו ואחותו המהווים עבורו גורמי הכוונה ותמיכה.  לדבריו, ביצע את עבירת הסמים במטרה להקל עם קשייו לנוכח העובדה שאחותו מתמודדת עם מחלת הקרוהן מזה כ-8 שנים, אשר לה אישור לקנאביס רפואי, אך לא בכמות מספקת.</w:t>
      </w:r>
    </w:p>
    <w:p w14:paraId="05CE6308" w14:textId="77777777" w:rsidR="00353157" w:rsidRPr="0048444C" w:rsidRDefault="00353157" w:rsidP="00353157">
      <w:pPr>
        <w:spacing w:after="240" w:line="360" w:lineRule="auto"/>
        <w:ind w:left="-57"/>
        <w:jc w:val="both"/>
        <w:rPr>
          <w:rtl/>
          <w:lang w:eastAsia="he-IL"/>
        </w:rPr>
      </w:pPr>
      <w:r w:rsidRPr="0048444C">
        <w:rPr>
          <w:rtl/>
          <w:lang w:eastAsia="he-IL"/>
        </w:rPr>
        <w:t xml:space="preserve">באשר לעבירת החזקת האגרופן, לדברי הנאשם, מדובר למעשה במחזיק מפתחות שקיבל במתנה ולא השתמש בו מעולם. שירות המבחן המליץ על דחיית הדיון בעניינו בארבעה חודשים, במהלכם ישולב בטיפול קבוצתי ותיבחן יכולתו להיתרם מהליך זה. </w:t>
      </w:r>
    </w:p>
    <w:p w14:paraId="59B9CD6C" w14:textId="77777777" w:rsidR="00353157" w:rsidRPr="0048444C" w:rsidRDefault="00353157" w:rsidP="00353157">
      <w:pPr>
        <w:numPr>
          <w:ilvl w:val="0"/>
          <w:numId w:val="1"/>
        </w:numPr>
        <w:spacing w:before="240" w:after="240" w:line="360" w:lineRule="auto"/>
        <w:ind w:left="-57"/>
        <w:contextualSpacing/>
        <w:jc w:val="both"/>
        <w:rPr>
          <w:rtl/>
          <w:lang w:eastAsia="he-IL"/>
        </w:rPr>
      </w:pPr>
      <w:r w:rsidRPr="0048444C">
        <w:rPr>
          <w:rtl/>
          <w:lang w:eastAsia="he-IL"/>
        </w:rPr>
        <w:t>בהמשך התקבל תסקיר משלים, שני במספרו, מיום 24.06.20, במסגרתו ציין שירות המבחן ירידה ניכרת ברמת שיתוף הפעולה של הנאשם וכי הענותו להשתלבות בטיפול הייתה חלקית ולא עקבית. לדברי שירות המבחן, הנאשם ממוקד בעבודתו ואינו פנוי להגעה לפגישות. הנאשם מסר כי אינו צורך סמים, אך לא מסר דגימות שתן לשירות המבחן, ולכן טענתו להעדר שימוש לא נבחנה.</w:t>
      </w:r>
    </w:p>
    <w:p w14:paraId="480A85D2" w14:textId="77777777" w:rsidR="00353157" w:rsidRPr="0048444C" w:rsidRDefault="00353157" w:rsidP="00353157">
      <w:pPr>
        <w:spacing w:after="240" w:line="360" w:lineRule="auto"/>
        <w:ind w:left="-57"/>
        <w:jc w:val="both"/>
        <w:rPr>
          <w:rFonts w:ascii="Arial" w:hAnsi="Arial"/>
          <w:rtl/>
          <w:lang w:eastAsia="he-IL"/>
        </w:rPr>
      </w:pPr>
      <w:r w:rsidRPr="0048444C">
        <w:rPr>
          <w:rtl/>
          <w:lang w:eastAsia="he-IL"/>
        </w:rPr>
        <w:t xml:space="preserve">נוכח כל האמור, שירות המבחן לא בא בהמלצה טיפולית בעניינו. </w:t>
      </w:r>
      <w:r w:rsidRPr="0048444C">
        <w:rPr>
          <w:rFonts w:ascii="Arial" w:hAnsi="Arial"/>
          <w:rtl/>
          <w:lang w:eastAsia="he-IL"/>
        </w:rPr>
        <w:t>עם זאת, שירות המבחן הסכים לבחון שינוי בעמדותיו והתנהלותו של הנאשם, ככל שבית המשפט ימצא לנכון לעשות כן.</w:t>
      </w:r>
    </w:p>
    <w:p w14:paraId="56BC9E1B" w14:textId="77777777" w:rsidR="00353157" w:rsidRPr="0048444C" w:rsidRDefault="00353157" w:rsidP="00353157">
      <w:pPr>
        <w:numPr>
          <w:ilvl w:val="0"/>
          <w:numId w:val="1"/>
        </w:numPr>
        <w:spacing w:after="240" w:line="360" w:lineRule="auto"/>
        <w:ind w:left="-57"/>
        <w:contextualSpacing/>
        <w:jc w:val="both"/>
        <w:rPr>
          <w:rtl/>
          <w:lang w:eastAsia="he-IL"/>
        </w:rPr>
      </w:pPr>
      <w:r w:rsidRPr="0048444C">
        <w:rPr>
          <w:rtl/>
          <w:lang w:eastAsia="he-IL"/>
        </w:rPr>
        <w:t xml:space="preserve">במסגרת דחיה נוספת, התקבל תסקיר משלים, שלישי במספרו, מיום 28.10.20, לפיו במסגרת הפגישות עם שירות המבחן, הנאשם לקח אחריות על העבירות נשוא הדיון, והבין בדיעבד כי פעל </w:t>
      </w:r>
      <w:r w:rsidRPr="0048444C">
        <w:rPr>
          <w:rtl/>
          <w:lang w:eastAsia="he-IL"/>
        </w:rPr>
        <w:lastRenderedPageBreak/>
        <w:t>באופן אימפולסיבי, בעייתי והפעיל שיקול דעת מוטעה. הנאשם הביע רצון לשנות דפוסי התנהגותו ולשמור על אורח חיים נקי ונורמטיבי, וציין כי אינו צורך סמים כיום.</w:t>
      </w:r>
    </w:p>
    <w:p w14:paraId="1D0A6354" w14:textId="77777777" w:rsidR="00353157" w:rsidRPr="0048444C" w:rsidRDefault="00353157" w:rsidP="00353157">
      <w:pPr>
        <w:spacing w:line="360" w:lineRule="auto"/>
        <w:ind w:left="-57"/>
        <w:contextualSpacing/>
        <w:jc w:val="both"/>
        <w:rPr>
          <w:rtl/>
          <w:lang w:eastAsia="he-IL"/>
        </w:rPr>
      </w:pPr>
      <w:r w:rsidRPr="0048444C">
        <w:rPr>
          <w:rtl/>
          <w:lang w:eastAsia="he-IL"/>
        </w:rPr>
        <w:t xml:space="preserve">שירות המבחן התרשם מרצון הנאשם לנהל אורח חיים תקין, וזה אף ציין כי מעוניין להשתלב בטיפול, אך שוב לא מסר בדיקות שתן מאחר שלדבריו חש תחושת לחץ. </w:t>
      </w:r>
    </w:p>
    <w:p w14:paraId="3291481C" w14:textId="77777777" w:rsidR="00353157" w:rsidRPr="0048444C" w:rsidRDefault="00353157" w:rsidP="00353157">
      <w:pPr>
        <w:spacing w:after="240" w:line="360" w:lineRule="auto"/>
        <w:ind w:left="-57"/>
        <w:jc w:val="both"/>
        <w:rPr>
          <w:rtl/>
          <w:lang w:eastAsia="he-IL"/>
        </w:rPr>
      </w:pPr>
      <w:r w:rsidRPr="0048444C">
        <w:rPr>
          <w:rtl/>
          <w:lang w:eastAsia="he-IL"/>
        </w:rPr>
        <w:t xml:space="preserve">שירות המבחן </w:t>
      </w:r>
      <w:r w:rsidRPr="007173F2">
        <w:rPr>
          <w:rFonts w:ascii="Arial" w:hAnsi="Arial"/>
          <w:rtl/>
          <w:lang w:eastAsia="he-IL"/>
        </w:rPr>
        <w:t>ביקש</w:t>
      </w:r>
      <w:r w:rsidRPr="0048444C">
        <w:rPr>
          <w:rtl/>
          <w:lang w:eastAsia="he-IL"/>
        </w:rPr>
        <w:t xml:space="preserve"> דחייה בת חודשיים לצורך בניית תכנית טיפולית וגיבוש ההמלצה. </w:t>
      </w:r>
    </w:p>
    <w:p w14:paraId="0A8835AA" w14:textId="77777777" w:rsidR="00353157" w:rsidRPr="0048444C" w:rsidRDefault="00353157" w:rsidP="00353157">
      <w:pPr>
        <w:numPr>
          <w:ilvl w:val="0"/>
          <w:numId w:val="1"/>
        </w:numPr>
        <w:spacing w:before="240" w:after="240" w:line="360" w:lineRule="auto"/>
        <w:ind w:left="-57"/>
        <w:contextualSpacing/>
        <w:jc w:val="both"/>
        <w:rPr>
          <w:rtl/>
          <w:lang w:eastAsia="he-IL"/>
        </w:rPr>
      </w:pPr>
      <w:r w:rsidRPr="0048444C">
        <w:rPr>
          <w:rtl/>
          <w:lang w:eastAsia="he-IL"/>
        </w:rPr>
        <w:t xml:space="preserve">בתסקיר נוסף, רביעי במספרו, מיום 03.01.21, נמסר כי במהלך תקופת הדחייה, הנאשם השתלב בטיפול קבוצתי, במסגרתו השתתף במפגשים באופן פעיל ושיתף בתכנים אישיים. </w:t>
      </w:r>
    </w:p>
    <w:p w14:paraId="267F65EB" w14:textId="77777777" w:rsidR="00353157" w:rsidRPr="0048444C" w:rsidRDefault="00353157" w:rsidP="00353157">
      <w:pPr>
        <w:spacing w:line="360" w:lineRule="auto"/>
        <w:ind w:left="-57"/>
        <w:contextualSpacing/>
        <w:jc w:val="both"/>
        <w:rPr>
          <w:lang w:eastAsia="he-IL"/>
        </w:rPr>
      </w:pPr>
      <w:r w:rsidRPr="0048444C">
        <w:rPr>
          <w:rtl/>
          <w:lang w:eastAsia="he-IL"/>
        </w:rPr>
        <w:t xml:space="preserve">יחד עם זאת, גם במהלך תקופת הדחייה הנאשם לא מסר בדיקות שתן, והערכת שירות המבחן היא כי הדבר נובע מתחושות לחץ וחרדה על רקע ההליך המשפטי הנוכחי והענישה הצפויה. </w:t>
      </w:r>
    </w:p>
    <w:p w14:paraId="0075B3D4" w14:textId="77777777" w:rsidR="00353157" w:rsidRPr="0048444C" w:rsidRDefault="00353157" w:rsidP="00353157">
      <w:pPr>
        <w:spacing w:line="360" w:lineRule="auto"/>
        <w:ind w:left="-57"/>
        <w:contextualSpacing/>
        <w:jc w:val="both"/>
        <w:rPr>
          <w:rtl/>
          <w:lang w:eastAsia="he-IL"/>
        </w:rPr>
      </w:pPr>
      <w:r w:rsidRPr="0048444C">
        <w:rPr>
          <w:rtl/>
          <w:lang w:eastAsia="he-IL"/>
        </w:rPr>
        <w:t>התרשמות שירות המבחן היא כי הנאשם מבטא מוטיבציה כנה לשיקום חייו, ולכן המליץ על העמדתו בצו מבחן שירותו למשך שנה וחצי, במסגרתו ישמש שירות המבחן כגורם מלווה ומפקח, לצד העמדתו בבדיקות שתן לגילוי שרידי סם. מאידך, מציין, כי בהיעדר אינדיקציה לאי שימוש בסם לא יוכלו להמליץ על צו של"צ. שירות המבחן המליץ עוד לשקול אי הרשעת הנאשם, זאת נוכח העדר עבר פלילי, מוטיבציה והשתלבותו בטיפול, קבלת אחריות לביצוע העבירות, גילו הצעיר, והפגיעה האפשרית בתחום עיסוקו, וזאת על אף שטרם מסר בדיקות שתן ולא הציג אישור לפגיעה קונקרטית בתחום עיסוקו.</w:t>
      </w:r>
    </w:p>
    <w:p w14:paraId="3E807C1F" w14:textId="77777777" w:rsidR="00353157" w:rsidRPr="0048444C" w:rsidRDefault="00353157" w:rsidP="00353157">
      <w:pPr>
        <w:numPr>
          <w:ilvl w:val="0"/>
          <w:numId w:val="1"/>
        </w:numPr>
        <w:spacing w:before="240" w:after="240" w:line="360" w:lineRule="auto"/>
        <w:ind w:left="-57"/>
        <w:contextualSpacing/>
        <w:jc w:val="both"/>
        <w:rPr>
          <w:rFonts w:ascii="Arial" w:hAnsi="Arial"/>
          <w:lang w:eastAsia="he-IL"/>
        </w:rPr>
      </w:pPr>
      <w:r w:rsidRPr="0048444C">
        <w:rPr>
          <w:rFonts w:ascii="Arial" w:hAnsi="Arial"/>
          <w:rtl/>
          <w:lang w:eastAsia="he-IL"/>
        </w:rPr>
        <w:t xml:space="preserve">בתסקיר נוסף, חמישי במספר, מיום 14.04.21, נמסר כי במהלך תקופת הדחייה, הנאשם המשיך להשתתף בטיפול במסגרת שירות המבחן אך נעדר ממפגשים מבלי לספק הסבר מניח את הדעת לכך. שירות המבחן התרשם כי הנאשם עדיין מתקשה בשיתוף בעולמו האישי במסגרת השיח הקבוצתי, ומאידך, מצליח לשתף בדילמות אישיות ובתחושות שחווה סביב ההליך המשפטי, באופן הדרגתי. </w:t>
      </w:r>
    </w:p>
    <w:p w14:paraId="62267C44" w14:textId="77777777" w:rsidR="00353157" w:rsidRPr="0048444C" w:rsidRDefault="00353157" w:rsidP="00353157">
      <w:pPr>
        <w:spacing w:line="360" w:lineRule="auto"/>
        <w:ind w:left="-57"/>
        <w:contextualSpacing/>
        <w:jc w:val="both"/>
        <w:rPr>
          <w:rFonts w:ascii="Arial" w:hAnsi="Arial"/>
          <w:lang w:eastAsia="he-IL"/>
        </w:rPr>
      </w:pPr>
      <w:r w:rsidRPr="0048444C">
        <w:rPr>
          <w:rFonts w:ascii="Arial" w:hAnsi="Arial"/>
          <w:rtl/>
          <w:lang w:eastAsia="he-IL"/>
        </w:rPr>
        <w:t xml:space="preserve">עוד הנאשם מסר בפני שירות המבחן כי נמנע מצריכת סמים, אך בה בעת, בדיקת השתן אותה מסר, מיום 08.03.21, נמצאה חיובית לשרידי סם מסוג קוקאין. הנאשם התקשה לתת אחריות ולספק הסבר המניח את הדעת  על כך. הנאשם זומן בהמשך לשתי בדיקות שתן נוספות, אחת נמצאה נקייה ואילו לבדיקה נוספת לא הגיע מבלי להודיע על כך. </w:t>
      </w:r>
    </w:p>
    <w:p w14:paraId="797A1B2F" w14:textId="77777777" w:rsidR="00353157" w:rsidRPr="0048444C" w:rsidRDefault="00353157" w:rsidP="00353157">
      <w:pPr>
        <w:spacing w:line="360" w:lineRule="auto"/>
        <w:ind w:left="-57"/>
        <w:contextualSpacing/>
        <w:jc w:val="both"/>
        <w:rPr>
          <w:rFonts w:ascii="Arial" w:hAnsi="Arial"/>
          <w:rtl/>
          <w:lang w:eastAsia="he-IL"/>
        </w:rPr>
      </w:pPr>
      <w:r w:rsidRPr="0048444C">
        <w:rPr>
          <w:rFonts w:ascii="Arial" w:hAnsi="Arial"/>
          <w:rtl/>
          <w:lang w:eastAsia="he-IL"/>
        </w:rPr>
        <w:t xml:space="preserve">הנאשם מסר לשירות המבחן כי לאחרונה מתקשה להתפנות רגשית ופיזית להליך הטיפולי, אך מעוניין להמשיך בטיפול, והדגיש את מחויבותו המלאה לשיתוף פעולה במסגרת הטיפול. </w:t>
      </w:r>
    </w:p>
    <w:p w14:paraId="5C71DC26" w14:textId="77777777" w:rsidR="00353157" w:rsidRPr="0048444C" w:rsidRDefault="00353157" w:rsidP="00353157">
      <w:pPr>
        <w:spacing w:line="360" w:lineRule="auto"/>
        <w:ind w:left="-57"/>
        <w:contextualSpacing/>
        <w:jc w:val="both"/>
        <w:rPr>
          <w:rFonts w:ascii="Arial" w:hAnsi="Arial"/>
          <w:rtl/>
          <w:lang w:eastAsia="he-IL"/>
        </w:rPr>
      </w:pPr>
      <w:r w:rsidRPr="0048444C">
        <w:rPr>
          <w:rFonts w:ascii="Arial" w:hAnsi="Arial"/>
          <w:rtl/>
          <w:lang w:eastAsia="he-IL"/>
        </w:rPr>
        <w:t xml:space="preserve">במסגרת הדחייה הנוכחית התחזקה התרשמות שירות המבחן מקשייו של הנאשם להתמודד עם לחצים, וכן כי לאחרונה חלה רגרסיה בשיתוף הפעולה של הנאשם בהליך הטיפולי, בעוד מסר הסברים בלתי מניחים את הדעת להיעדרויות. </w:t>
      </w:r>
    </w:p>
    <w:p w14:paraId="1717843C" w14:textId="77777777" w:rsidR="00353157" w:rsidRPr="0048444C" w:rsidRDefault="00353157" w:rsidP="00353157">
      <w:pPr>
        <w:spacing w:after="240" w:line="360" w:lineRule="auto"/>
        <w:ind w:left="-57"/>
        <w:jc w:val="both"/>
        <w:rPr>
          <w:rFonts w:ascii="Arial" w:hAnsi="Arial"/>
          <w:rtl/>
          <w:lang w:eastAsia="he-IL"/>
        </w:rPr>
      </w:pPr>
      <w:r w:rsidRPr="0048444C">
        <w:rPr>
          <w:rFonts w:ascii="Arial" w:hAnsi="Arial"/>
          <w:rtl/>
          <w:lang w:eastAsia="he-IL"/>
        </w:rPr>
        <w:t>בסופו של תסקיר, שירות המבחן ציין כי אינו בטוח עד כמה הנאשם בשל ומוכן להשקיע משאבים בתהליך שיקומי משמעותי שיהיה בו כדי להביא להפחתה בסיכון להישנות עבירות ולא בא בהמלצה שיקומית. לצד זאת, המליץ על דחייה נוספת בשלושה חודשים, בסופם מצבו ייבחן פעם נוספת, בהתאם לשיתוף הפעולה של הנאשם.</w:t>
      </w:r>
    </w:p>
    <w:p w14:paraId="7C38B0E2" w14:textId="77777777" w:rsidR="00353157" w:rsidRPr="0048444C" w:rsidRDefault="00353157" w:rsidP="00353157">
      <w:pPr>
        <w:numPr>
          <w:ilvl w:val="0"/>
          <w:numId w:val="1"/>
        </w:numPr>
        <w:spacing w:before="240" w:after="240" w:line="360" w:lineRule="auto"/>
        <w:ind w:left="-57"/>
        <w:contextualSpacing/>
        <w:jc w:val="both"/>
        <w:rPr>
          <w:rtl/>
          <w:lang w:eastAsia="he-IL"/>
        </w:rPr>
      </w:pPr>
      <w:r w:rsidRPr="0048444C">
        <w:rPr>
          <w:rtl/>
          <w:lang w:eastAsia="he-IL"/>
        </w:rPr>
        <w:t>ב</w:t>
      </w:r>
      <w:r w:rsidRPr="0048444C">
        <w:rPr>
          <w:rFonts w:ascii="Arial" w:hAnsi="Arial"/>
          <w:rtl/>
          <w:lang w:eastAsia="he-IL"/>
        </w:rPr>
        <w:t xml:space="preserve">תסקיר לדיון הנוכחי, שישי במספר, מיום 13.07.21, </w:t>
      </w:r>
      <w:r w:rsidRPr="0048444C">
        <w:rPr>
          <w:rtl/>
          <w:lang w:eastAsia="he-IL"/>
        </w:rPr>
        <w:t>נמסר כי במשך התקופה מאז הדיון הקודם, הנאשם המשיך השתלבותו בטיפול אך הגיע למפגשים באופן לא סדיר וכי עלתה שאלה באשר למוטיבציה שלו לטיפול. כמו כן, הנאשם משתף בתכנים אישיים באופן מצומצם, ושירות המבחן מתרשם מהסתרה וטשטוש ביחס לקשיים עימם מתמודד, בין היתר, באשר לשימוש בסמים. כמו כן, שירות המבחן מתרשם כי הנאשם עדיין אינו ער לגורמי הסיכון במצבו.</w:t>
      </w:r>
    </w:p>
    <w:p w14:paraId="25E6CC0F" w14:textId="77777777" w:rsidR="00353157" w:rsidRPr="0048444C" w:rsidRDefault="00353157" w:rsidP="00353157">
      <w:pPr>
        <w:spacing w:line="360" w:lineRule="auto"/>
        <w:ind w:left="-57"/>
        <w:contextualSpacing/>
        <w:jc w:val="both"/>
        <w:rPr>
          <w:lang w:eastAsia="he-IL"/>
        </w:rPr>
      </w:pPr>
      <w:r w:rsidRPr="0048444C">
        <w:rPr>
          <w:rtl/>
          <w:lang w:eastAsia="he-IL"/>
        </w:rPr>
        <w:t>מחד, ניכר כי הנאשם מתחיל לזהות דפוסיו ומגלה יותר אחריות מבעבר לביצוע העבירות, אך מאידך, בדיקת שתן אותה מסר הנאשם ביום 22/06/21 נמצאה חיובית לשרידי קנאביס, ולבדיקה נוספת לא הגיע מבלי להודיע על כך. עוד שירות המבחן ציין בתסקירו כי הנאשם הציג בפניהם לראשונה רישיון לקנאביס רפואי, אך לא שיתף אותם בכוונתו להוציא הרישיון והתרשמותם היא כי הנאשם מוסר מידע חלקי ואף מסתיר שימושו בסם.</w:t>
      </w:r>
    </w:p>
    <w:p w14:paraId="222F1BF7" w14:textId="77777777" w:rsidR="00353157" w:rsidRPr="0048444C" w:rsidRDefault="00353157" w:rsidP="00353157">
      <w:pPr>
        <w:spacing w:line="360" w:lineRule="auto"/>
        <w:ind w:left="-57"/>
        <w:contextualSpacing/>
        <w:jc w:val="both"/>
        <w:rPr>
          <w:rtl/>
          <w:lang w:eastAsia="he-IL"/>
        </w:rPr>
      </w:pPr>
      <w:r w:rsidRPr="0048444C">
        <w:rPr>
          <w:rtl/>
          <w:lang w:eastAsia="he-IL"/>
        </w:rPr>
        <w:t>שירות המבחן סבור כי מעורבות טיפולית עשויה לסייע לנאשם ומדגיש חשיבות המשך הליך טיפולי רגשי, ומשכך ממליץ להעמיד הנאשם בצו מבחן למשך שנה וחצי. שירות המבחן סבור כי נוכח חומרת העבירות נכון להטיל ענישה מוחשית בדמות צו של"צ. באשר להרשעה, סבור שירות המבחן כי הרשעה נחוצה לשם העברת מסר אודות חומרת העבירות וכי זו תהווה גורם חיצוני מציב גבול.</w:t>
      </w:r>
    </w:p>
    <w:p w14:paraId="04509545" w14:textId="77777777" w:rsidR="00353157" w:rsidRDefault="00353157" w:rsidP="00353157">
      <w:pPr>
        <w:spacing w:before="240" w:after="80" w:line="360" w:lineRule="auto"/>
        <w:jc w:val="both"/>
        <w:rPr>
          <w:b/>
          <w:bCs/>
          <w:noProof/>
          <w:color w:val="000000"/>
          <w:sz w:val="28"/>
          <w:szCs w:val="28"/>
          <w:u w:val="single"/>
          <w:rtl/>
        </w:rPr>
      </w:pPr>
      <w:r w:rsidRPr="0048444C">
        <w:rPr>
          <w:b/>
          <w:bCs/>
          <w:noProof/>
          <w:color w:val="000000"/>
          <w:sz w:val="28"/>
          <w:szCs w:val="28"/>
          <w:u w:val="single"/>
          <w:rtl/>
        </w:rPr>
        <w:t>טיעוני הצדדים</w:t>
      </w:r>
    </w:p>
    <w:p w14:paraId="227B36EF" w14:textId="77777777" w:rsidR="00353157" w:rsidRPr="0048444C" w:rsidRDefault="00353157" w:rsidP="00353157">
      <w:pPr>
        <w:numPr>
          <w:ilvl w:val="0"/>
          <w:numId w:val="1"/>
        </w:numPr>
        <w:spacing w:before="240" w:after="240" w:line="360" w:lineRule="auto"/>
        <w:ind w:left="-63" w:hanging="357"/>
        <w:jc w:val="both"/>
        <w:rPr>
          <w:rFonts w:ascii="Arial" w:hAnsi="Arial"/>
          <w:rtl/>
          <w:lang w:eastAsia="he-IL"/>
        </w:rPr>
      </w:pPr>
      <w:r w:rsidRPr="0048444C">
        <w:rPr>
          <w:rFonts w:ascii="Arial" w:hAnsi="Arial"/>
          <w:b/>
          <w:bCs/>
          <w:u w:val="single"/>
          <w:rtl/>
          <w:lang w:eastAsia="he-IL"/>
        </w:rPr>
        <w:t>ב"כ המאשימה</w:t>
      </w:r>
      <w:r w:rsidRPr="0048444C">
        <w:rPr>
          <w:rFonts w:ascii="Arial" w:hAnsi="Arial"/>
          <w:rtl/>
          <w:lang w:eastAsia="he-IL"/>
        </w:rPr>
        <w:t xml:space="preserve">, </w:t>
      </w:r>
      <w:r w:rsidRPr="0048444C">
        <w:rPr>
          <w:rFonts w:ascii="Arial" w:hAnsi="Arial"/>
          <w:sz w:val="20"/>
          <w:rtl/>
          <w:lang w:eastAsia="he-IL"/>
        </w:rPr>
        <w:t>הפנתה לערכים המוגנים שנפגעו ולמדיניות הענישה הנוהגת והפנתה לפסיקה הנוקבת במתחמים עונשיים שונים.</w:t>
      </w:r>
    </w:p>
    <w:p w14:paraId="6BF73182" w14:textId="77777777" w:rsidR="00353157" w:rsidRPr="0048444C" w:rsidRDefault="00353157" w:rsidP="00353157">
      <w:pPr>
        <w:spacing w:before="240" w:after="240" w:line="360" w:lineRule="auto"/>
        <w:ind w:left="-57"/>
        <w:contextualSpacing/>
        <w:jc w:val="both"/>
        <w:rPr>
          <w:rFonts w:ascii="Arial" w:hAnsi="Arial"/>
          <w:lang w:eastAsia="he-IL"/>
        </w:rPr>
      </w:pPr>
      <w:r w:rsidRPr="0048444C">
        <w:rPr>
          <w:rFonts w:ascii="Arial" w:hAnsi="Arial"/>
          <w:b/>
          <w:bCs/>
          <w:rtl/>
          <w:lang w:eastAsia="he-IL"/>
        </w:rPr>
        <w:t>באשר לעבירת החזקת הסמים שלא לצריכה עצמית</w:t>
      </w:r>
      <w:r w:rsidRPr="0048444C">
        <w:rPr>
          <w:rFonts w:ascii="Arial" w:hAnsi="Arial"/>
          <w:rtl/>
          <w:lang w:eastAsia="he-IL"/>
        </w:rPr>
        <w:t>, עתרה למתחם עונשי שנע בין מספר חודשי מאסר שיכול וירוצו בעבודות שירות ועד ל-10 חודשי מאסר בפועל.</w:t>
      </w:r>
    </w:p>
    <w:p w14:paraId="05333B65" w14:textId="77777777" w:rsidR="00353157" w:rsidRPr="0048444C" w:rsidRDefault="00353157" w:rsidP="00353157">
      <w:pPr>
        <w:spacing w:before="240" w:after="240" w:line="360" w:lineRule="auto"/>
        <w:ind w:left="-57"/>
        <w:contextualSpacing/>
        <w:jc w:val="both"/>
        <w:rPr>
          <w:rFonts w:ascii="Arial" w:hAnsi="Arial"/>
          <w:rtl/>
          <w:lang w:eastAsia="he-IL"/>
        </w:rPr>
      </w:pPr>
      <w:r w:rsidRPr="0048444C">
        <w:rPr>
          <w:rFonts w:ascii="Arial" w:hAnsi="Arial"/>
          <w:b/>
          <w:bCs/>
          <w:rtl/>
          <w:lang w:eastAsia="he-IL"/>
        </w:rPr>
        <w:t>באשר לעבירת החזקת האגרופן</w:t>
      </w:r>
      <w:r w:rsidRPr="0048444C">
        <w:rPr>
          <w:rFonts w:ascii="Arial" w:hAnsi="Arial"/>
          <w:rtl/>
          <w:lang w:eastAsia="he-IL"/>
        </w:rPr>
        <w:t>, לעמדת המאשימה, מתחם העונש ההולם נע בין מאסר על תנאי ועד ל-6 חודשי מאסר בפועל. לגבי תיק זה, ציינה ב"כ המאשימה כי בהינתן הסכמה עונשית, תעתור למאסר על תנאי והתחייבות.</w:t>
      </w:r>
    </w:p>
    <w:p w14:paraId="197A4C37" w14:textId="77777777" w:rsidR="00353157" w:rsidRPr="0048444C" w:rsidRDefault="00353157" w:rsidP="00353157">
      <w:pPr>
        <w:spacing w:before="240" w:line="360" w:lineRule="auto"/>
        <w:ind w:left="-57"/>
        <w:contextualSpacing/>
        <w:jc w:val="both"/>
        <w:rPr>
          <w:rFonts w:ascii="Arial" w:hAnsi="Arial"/>
          <w:rtl/>
          <w:lang w:eastAsia="he-IL"/>
        </w:rPr>
      </w:pPr>
      <w:r w:rsidRPr="0048444C">
        <w:rPr>
          <w:rFonts w:ascii="Arial" w:hAnsi="Arial"/>
          <w:rtl/>
          <w:lang w:eastAsia="he-IL"/>
        </w:rPr>
        <w:t xml:space="preserve">ב"כ המאשימה בטיעוניה הפנתה להעדר עבר פלילי וגילו הצעיר של הנאשם, וכן להודאתו ולחסכון בזמן שיפוטי כנגזרת מכך מחד גיסא, ומאידך גיסא, להעדר אינדיקציה לקיום הליך שיקום. </w:t>
      </w:r>
      <w:r w:rsidRPr="0048444C">
        <w:rPr>
          <w:rFonts w:ascii="Arial" w:hAnsi="Arial"/>
          <w:sz w:val="20"/>
          <w:rtl/>
          <w:lang w:eastAsia="he-IL"/>
        </w:rPr>
        <w:t xml:space="preserve">ב"כ המאשימה ביקשה למקם את הנאשם בשליש התחתון של המתחם שהוצג, ולהשית עליו את העונשים הבאים: מספר חודשי מאסר, שיכול וירוצו בעבודות שירות, מאסר על תנאי, קנס ופסילה על תנאי, תוך הכרזת הנאשם כ"סוחר סמים" וחילוט הטלפון הנייד שנתפס. </w:t>
      </w:r>
    </w:p>
    <w:p w14:paraId="03CA8824" w14:textId="77777777" w:rsidR="00353157" w:rsidRPr="00FA3495" w:rsidRDefault="00353157" w:rsidP="00353157">
      <w:pPr>
        <w:numPr>
          <w:ilvl w:val="0"/>
          <w:numId w:val="1"/>
        </w:numPr>
        <w:spacing w:before="240" w:after="240" w:line="360" w:lineRule="auto"/>
        <w:ind w:left="-63" w:hanging="357"/>
        <w:jc w:val="both"/>
        <w:rPr>
          <w:rFonts w:ascii="Arial" w:hAnsi="Arial"/>
          <w:rtl/>
          <w:lang w:eastAsia="he-IL"/>
        </w:rPr>
      </w:pPr>
      <w:r w:rsidRPr="0048444C">
        <w:rPr>
          <w:rFonts w:ascii="Arial" w:hAnsi="Arial"/>
          <w:b/>
          <w:bCs/>
          <w:u w:val="single"/>
          <w:rtl/>
          <w:lang w:eastAsia="he-IL"/>
        </w:rPr>
        <w:t>ב"כ הנאשם</w:t>
      </w:r>
      <w:r w:rsidRPr="0048444C">
        <w:rPr>
          <w:rFonts w:ascii="Arial" w:hAnsi="Arial"/>
          <w:rtl/>
          <w:lang w:eastAsia="he-IL"/>
        </w:rPr>
        <w:t xml:space="preserve">, </w:t>
      </w:r>
      <w:r w:rsidRPr="0048444C">
        <w:rPr>
          <w:rFonts w:ascii="Arial" w:hAnsi="Arial"/>
          <w:sz w:val="20"/>
          <w:rtl/>
          <w:lang w:eastAsia="he-IL"/>
        </w:rPr>
        <w:t xml:space="preserve">טען באריכות רבה לטובתו של הנאשם, תוך שהדגיש את גילו הצעיר של הנאשם ועברו הנקי והפנה לפסיקה ענפה. לטענת הסנגור, לאור כמות הסם, סוג הסם (שלטענת הסנגור, השימוש העצמי בו יהיה חוקי בעתיד הנראה לעין), יש למקם את הנאשם בתחתית המתחם, אשר לעמדתו, צריך שיתחיל במאסר על תנאי. </w:t>
      </w:r>
      <w:r w:rsidRPr="0048444C">
        <w:rPr>
          <w:rFonts w:ascii="Arial" w:hAnsi="Arial"/>
          <w:rtl/>
          <w:lang w:eastAsia="he-IL"/>
        </w:rPr>
        <w:t xml:space="preserve">עוד סבר ב"כ הנאשם כי טרם בשלה העת לגזור את דינו של הנאשם, וכי יש לתת לנאשם הזדמנות נוספת ולהעדיף את האפיק השיקומי. </w:t>
      </w:r>
    </w:p>
    <w:p w14:paraId="0BD57C5D" w14:textId="77777777" w:rsidR="00353157" w:rsidRDefault="00353157" w:rsidP="00353157">
      <w:pPr>
        <w:numPr>
          <w:ilvl w:val="0"/>
          <w:numId w:val="1"/>
        </w:numPr>
        <w:spacing w:before="240" w:after="240" w:line="360" w:lineRule="auto"/>
        <w:ind w:left="-63" w:hanging="357"/>
        <w:jc w:val="both"/>
        <w:rPr>
          <w:rFonts w:ascii="Arial" w:hAnsi="Arial"/>
          <w:lang w:eastAsia="he-IL"/>
        </w:rPr>
      </w:pPr>
      <w:r w:rsidRPr="0048444C">
        <w:rPr>
          <w:rFonts w:ascii="Arial" w:hAnsi="Arial"/>
          <w:b/>
          <w:bCs/>
          <w:u w:val="single"/>
          <w:rtl/>
          <w:lang w:eastAsia="he-IL"/>
        </w:rPr>
        <w:t>הנאשם בדברו האחרון</w:t>
      </w:r>
      <w:r w:rsidRPr="0048444C">
        <w:rPr>
          <w:rFonts w:ascii="Arial" w:hAnsi="Arial"/>
          <w:rtl/>
          <w:lang w:eastAsia="he-IL"/>
        </w:rPr>
        <w:t xml:space="preserve"> מסר כי </w:t>
      </w:r>
      <w:r w:rsidRPr="007173F2">
        <w:rPr>
          <w:rFonts w:ascii="Arial" w:hAnsi="Arial"/>
          <w:sz w:val="20"/>
          <w:rtl/>
          <w:lang w:eastAsia="he-IL"/>
        </w:rPr>
        <w:t>מתחרט</w:t>
      </w:r>
      <w:r w:rsidRPr="0048444C">
        <w:rPr>
          <w:rFonts w:ascii="Arial" w:hAnsi="Arial"/>
          <w:rtl/>
          <w:lang w:eastAsia="he-IL"/>
        </w:rPr>
        <w:t xml:space="preserve"> על מה שעשה, וכי רוצה לשנות דרכיו. ציין כי חושש מהפגיעה בעתידו ובעסק שלו.</w:t>
      </w:r>
    </w:p>
    <w:p w14:paraId="1810A081" w14:textId="77777777" w:rsidR="00353157" w:rsidRDefault="00353157" w:rsidP="00353157">
      <w:pPr>
        <w:numPr>
          <w:ilvl w:val="0"/>
          <w:numId w:val="1"/>
        </w:numPr>
        <w:spacing w:before="240" w:after="240" w:line="360" w:lineRule="auto"/>
        <w:ind w:left="-63" w:hanging="357"/>
        <w:jc w:val="both"/>
        <w:rPr>
          <w:rFonts w:ascii="Arial" w:hAnsi="Arial"/>
          <w:lang w:eastAsia="he-IL"/>
        </w:rPr>
      </w:pPr>
      <w:r>
        <w:rPr>
          <w:rFonts w:ascii="Arial" w:hAnsi="Arial" w:hint="cs"/>
          <w:b/>
          <w:bCs/>
          <w:u w:val="single"/>
          <w:rtl/>
          <w:lang w:eastAsia="he-IL"/>
        </w:rPr>
        <w:t xml:space="preserve">בדיון הנוכחי, </w:t>
      </w:r>
      <w:r>
        <w:rPr>
          <w:rFonts w:ascii="Arial" w:hAnsi="Arial" w:hint="cs"/>
          <w:b/>
          <w:bCs/>
          <w:rtl/>
          <w:lang w:eastAsia="he-IL"/>
        </w:rPr>
        <w:t xml:space="preserve">ב"כ הנאשם </w:t>
      </w:r>
      <w:r w:rsidRPr="00FA3495">
        <w:rPr>
          <w:rFonts w:ascii="Arial" w:hAnsi="Arial" w:hint="cs"/>
          <w:rtl/>
          <w:lang w:eastAsia="he-IL"/>
        </w:rPr>
        <w:t>ביקש להוסיף טיעון לאור התסקיר הנוסף שהתקבל (השישי)</w:t>
      </w:r>
      <w:r>
        <w:rPr>
          <w:rFonts w:ascii="Arial" w:hAnsi="Arial" w:hint="cs"/>
          <w:rtl/>
          <w:lang w:eastAsia="he-IL"/>
        </w:rPr>
        <w:t>, ולמעשה טען כי לאור מסקנת התסקיר, יחד עם נסיבותיו האישיות של הנאשם, ובצירוף דברי כב' השופט גרוסקופף ב</w:t>
      </w:r>
      <w:hyperlink r:id="rId23" w:history="1">
        <w:r w:rsidR="0063431F" w:rsidRPr="0063431F">
          <w:rPr>
            <w:rFonts w:ascii="Arial" w:hAnsi="Arial"/>
            <w:b/>
            <w:bCs/>
            <w:color w:val="0000FF"/>
            <w:u w:val="single"/>
            <w:rtl/>
            <w:lang w:eastAsia="he-IL"/>
          </w:rPr>
          <w:t>בש"פ 3812/21</w:t>
        </w:r>
      </w:hyperlink>
      <w:r>
        <w:rPr>
          <w:rFonts w:ascii="Arial" w:hAnsi="Arial" w:hint="cs"/>
          <w:rtl/>
          <w:lang w:eastAsia="he-IL"/>
        </w:rPr>
        <w:t>, יש להביא לתוצאה על פיה יש לאמץ את המלצות התסקיר.</w:t>
      </w:r>
    </w:p>
    <w:p w14:paraId="50EA287D" w14:textId="77777777" w:rsidR="00353157" w:rsidRPr="00FA3495" w:rsidRDefault="00353157" w:rsidP="00353157">
      <w:pPr>
        <w:numPr>
          <w:ilvl w:val="0"/>
          <w:numId w:val="1"/>
        </w:numPr>
        <w:spacing w:before="240" w:after="240" w:line="360" w:lineRule="auto"/>
        <w:ind w:left="-63" w:hanging="357"/>
        <w:jc w:val="both"/>
        <w:rPr>
          <w:rFonts w:ascii="Arial" w:hAnsi="Arial"/>
          <w:rtl/>
          <w:lang w:eastAsia="he-IL"/>
        </w:rPr>
      </w:pPr>
      <w:r w:rsidRPr="00FA3495">
        <w:rPr>
          <w:rFonts w:ascii="Arial" w:hAnsi="Arial" w:hint="cs"/>
          <w:b/>
          <w:bCs/>
          <w:rtl/>
          <w:lang w:eastAsia="he-IL"/>
        </w:rPr>
        <w:t>באת כח המאשימה</w:t>
      </w:r>
      <w:r>
        <w:rPr>
          <w:rFonts w:ascii="Arial" w:hAnsi="Arial" w:hint="cs"/>
          <w:rtl/>
          <w:lang w:eastAsia="he-IL"/>
        </w:rPr>
        <w:t xml:space="preserve"> ביקשה לחזור על טיעוניה מהישיבה האחרונה.</w:t>
      </w:r>
    </w:p>
    <w:p w14:paraId="42202305" w14:textId="77777777" w:rsidR="00353157" w:rsidRPr="0048444C" w:rsidRDefault="00353157" w:rsidP="00353157">
      <w:pPr>
        <w:spacing w:after="80" w:line="360" w:lineRule="auto"/>
        <w:jc w:val="both"/>
        <w:rPr>
          <w:b/>
          <w:bCs/>
          <w:sz w:val="28"/>
          <w:szCs w:val="28"/>
          <w:u w:val="single"/>
          <w:rtl/>
        </w:rPr>
      </w:pPr>
      <w:r w:rsidRPr="0048444C">
        <w:rPr>
          <w:b/>
          <w:bCs/>
          <w:noProof/>
          <w:color w:val="000000"/>
          <w:sz w:val="28"/>
          <w:szCs w:val="28"/>
          <w:u w:val="single"/>
          <w:rtl/>
        </w:rPr>
        <w:t>שני אירועים- שני מתחמים</w:t>
      </w:r>
    </w:p>
    <w:p w14:paraId="65EC47F6" w14:textId="77777777" w:rsidR="00353157" w:rsidRPr="0048444C" w:rsidRDefault="00353157" w:rsidP="00353157">
      <w:pPr>
        <w:spacing w:after="160" w:line="360" w:lineRule="auto"/>
        <w:jc w:val="both"/>
        <w:rPr>
          <w:rFonts w:ascii="David" w:eastAsia="Calibri" w:hAnsi="David"/>
          <w:b/>
          <w:bCs/>
          <w:u w:val="single"/>
        </w:rPr>
      </w:pPr>
      <w:r w:rsidRPr="0048444C">
        <w:rPr>
          <w:noProof/>
          <w:rtl/>
        </w:rPr>
        <w:t>בענייננו</w:t>
      </w:r>
      <w:r w:rsidRPr="0048444C">
        <w:rPr>
          <w:rFonts w:ascii="Calibri" w:hAnsi="Calibri"/>
          <w:noProof/>
          <w:rtl/>
        </w:rPr>
        <w:t xml:space="preserve"> עסקינן </w:t>
      </w:r>
      <w:r w:rsidRPr="0048444C">
        <w:rPr>
          <w:rFonts w:ascii="Calibri" w:hAnsi="Calibri"/>
          <w:b/>
          <w:bCs/>
          <w:noProof/>
          <w:rtl/>
        </w:rPr>
        <w:t>בשני אירועים נפרדים,</w:t>
      </w:r>
      <w:r w:rsidRPr="0048444C">
        <w:rPr>
          <w:rFonts w:ascii="Calibri" w:hAnsi="Calibri"/>
          <w:noProof/>
          <w:rtl/>
        </w:rPr>
        <w:t xml:space="preserve"> בהתאם לכללים שנקבעו בפסיקת בית-המשפט העליון (ראו לעניין זה: </w:t>
      </w:r>
      <w:hyperlink r:id="rId24" w:history="1">
        <w:r w:rsidR="0063431F" w:rsidRPr="0063431F">
          <w:rPr>
            <w:rFonts w:ascii="Calibri" w:hAnsi="Calibri" w:hint="eastAsia"/>
            <w:noProof/>
            <w:color w:val="0000FF"/>
            <w:u w:val="single"/>
            <w:rtl/>
          </w:rPr>
          <w:t>ע</w:t>
        </w:r>
        <w:r w:rsidR="0063431F" w:rsidRPr="0063431F">
          <w:rPr>
            <w:rFonts w:ascii="Calibri" w:hAnsi="Calibri"/>
            <w:noProof/>
            <w:color w:val="0000FF"/>
            <w:u w:val="single"/>
            <w:rtl/>
          </w:rPr>
          <w:t>"</w:t>
        </w:r>
        <w:r w:rsidR="0063431F" w:rsidRPr="0063431F">
          <w:rPr>
            <w:rFonts w:ascii="Calibri" w:hAnsi="Calibri" w:hint="eastAsia"/>
            <w:noProof/>
            <w:color w:val="0000FF"/>
            <w:u w:val="single"/>
            <w:rtl/>
          </w:rPr>
          <w:t>פ</w:t>
        </w:r>
        <w:r w:rsidR="0063431F" w:rsidRPr="0063431F">
          <w:rPr>
            <w:rFonts w:ascii="Calibri" w:hAnsi="Calibri"/>
            <w:noProof/>
            <w:color w:val="0000FF"/>
            <w:u w:val="single"/>
            <w:rtl/>
          </w:rPr>
          <w:t xml:space="preserve"> 4910/13</w:t>
        </w:r>
      </w:hyperlink>
      <w:r w:rsidRPr="0048444C">
        <w:rPr>
          <w:rFonts w:ascii="Calibri" w:hAnsi="Calibri"/>
          <w:noProof/>
          <w:rtl/>
        </w:rPr>
        <w:t xml:space="preserve"> </w:t>
      </w:r>
      <w:r w:rsidRPr="0048444C">
        <w:rPr>
          <w:rFonts w:ascii="Calibri" w:hAnsi="Calibri" w:hint="cs"/>
          <w:b/>
          <w:bCs/>
          <w:noProof/>
          <w:rtl/>
        </w:rPr>
        <w:t xml:space="preserve">ג'אבר נ' מדינת ישראל, </w:t>
      </w:r>
      <w:r w:rsidRPr="0048444C">
        <w:rPr>
          <w:rFonts w:ascii="Calibri" w:hAnsi="Calibri" w:hint="cs"/>
          <w:noProof/>
          <w:rtl/>
        </w:rPr>
        <w:t>מפי כב' השופטת ברק-ארז</w:t>
      </w:r>
      <w:r w:rsidRPr="0048444C">
        <w:rPr>
          <w:rFonts w:ascii="Calibri" w:hAnsi="Calibri" w:hint="cs"/>
          <w:b/>
          <w:bCs/>
          <w:noProof/>
          <w:rtl/>
        </w:rPr>
        <w:t xml:space="preserve">, </w:t>
      </w:r>
      <w:r w:rsidRPr="0048444C">
        <w:rPr>
          <w:rFonts w:ascii="Calibri" w:hAnsi="Calibri" w:hint="cs"/>
          <w:noProof/>
          <w:rtl/>
        </w:rPr>
        <w:t xml:space="preserve">ניתן ביום 29.10.14; </w:t>
      </w:r>
      <w:hyperlink r:id="rId25" w:history="1">
        <w:r w:rsidR="0063431F" w:rsidRPr="0063431F">
          <w:rPr>
            <w:rFonts w:ascii="Calibri" w:hAnsi="Calibri" w:hint="eastAsia"/>
            <w:noProof/>
            <w:color w:val="0000FF"/>
            <w:u w:val="single"/>
            <w:rtl/>
          </w:rPr>
          <w:t>ע</w:t>
        </w:r>
        <w:r w:rsidR="0063431F" w:rsidRPr="0063431F">
          <w:rPr>
            <w:rFonts w:ascii="Calibri" w:hAnsi="Calibri"/>
            <w:noProof/>
            <w:color w:val="0000FF"/>
            <w:u w:val="single"/>
            <w:rtl/>
          </w:rPr>
          <w:t>"</w:t>
        </w:r>
        <w:r w:rsidR="0063431F" w:rsidRPr="0063431F">
          <w:rPr>
            <w:rFonts w:ascii="Calibri" w:hAnsi="Calibri" w:hint="eastAsia"/>
            <w:noProof/>
            <w:color w:val="0000FF"/>
            <w:u w:val="single"/>
            <w:rtl/>
          </w:rPr>
          <w:t>פ</w:t>
        </w:r>
        <w:r w:rsidR="0063431F" w:rsidRPr="0063431F">
          <w:rPr>
            <w:rFonts w:ascii="Calibri" w:hAnsi="Calibri"/>
            <w:noProof/>
            <w:color w:val="0000FF"/>
            <w:u w:val="single"/>
            <w:rtl/>
          </w:rPr>
          <w:t xml:space="preserve"> 9308/12</w:t>
        </w:r>
      </w:hyperlink>
      <w:r w:rsidRPr="0048444C">
        <w:rPr>
          <w:rFonts w:ascii="Calibri" w:hAnsi="Calibri"/>
          <w:noProof/>
          <w:rtl/>
        </w:rPr>
        <w:t xml:space="preserve"> </w:t>
      </w:r>
      <w:r w:rsidRPr="0048444C">
        <w:rPr>
          <w:rFonts w:ascii="Calibri" w:hAnsi="Calibri" w:hint="cs"/>
          <w:b/>
          <w:bCs/>
          <w:noProof/>
          <w:rtl/>
        </w:rPr>
        <w:t>עיסא נ' מדינת ישראל,</w:t>
      </w:r>
      <w:r w:rsidRPr="0048444C">
        <w:rPr>
          <w:rFonts w:ascii="Calibri" w:hAnsi="Calibri" w:hint="cs"/>
          <w:noProof/>
          <w:rtl/>
        </w:rPr>
        <w:t xml:space="preserve"> ניתן ביום 30.7.15). לא מצאתי כל קשר ענייני בין האירועים השונים: עסקינן באירועים בעלי אופי שונה, אשר בוצעו במועדים שונים ולפיכך יש לראות בעבירות השונות אירועים נפרדים. </w:t>
      </w:r>
    </w:p>
    <w:p w14:paraId="34919DB5" w14:textId="77777777" w:rsidR="00353157" w:rsidRPr="0048444C" w:rsidRDefault="00353157" w:rsidP="00353157">
      <w:pPr>
        <w:spacing w:after="80" w:line="360" w:lineRule="auto"/>
        <w:jc w:val="both"/>
        <w:rPr>
          <w:rFonts w:ascii="David" w:eastAsia="Calibri" w:hAnsi="David"/>
          <w:b/>
          <w:bCs/>
          <w:sz w:val="28"/>
          <w:szCs w:val="28"/>
          <w:rtl/>
        </w:rPr>
      </w:pPr>
      <w:r w:rsidRPr="0048444C">
        <w:rPr>
          <w:rFonts w:ascii="David" w:eastAsia="Calibri" w:hAnsi="David"/>
          <w:b/>
          <w:bCs/>
          <w:sz w:val="28"/>
          <w:szCs w:val="28"/>
          <w:u w:val="single"/>
          <w:rtl/>
        </w:rPr>
        <w:t xml:space="preserve">מתחם </w:t>
      </w:r>
      <w:r w:rsidRPr="0048444C">
        <w:rPr>
          <w:b/>
          <w:bCs/>
          <w:noProof/>
          <w:color w:val="000000"/>
          <w:sz w:val="28"/>
          <w:szCs w:val="28"/>
          <w:u w:val="single"/>
          <w:rtl/>
        </w:rPr>
        <w:t>העונש</w:t>
      </w:r>
      <w:r w:rsidRPr="0048444C">
        <w:rPr>
          <w:rFonts w:ascii="David" w:eastAsia="Calibri" w:hAnsi="David"/>
          <w:b/>
          <w:bCs/>
          <w:sz w:val="28"/>
          <w:szCs w:val="28"/>
          <w:u w:val="single"/>
          <w:rtl/>
        </w:rPr>
        <w:t xml:space="preserve"> ההולם</w:t>
      </w:r>
      <w:r w:rsidRPr="0048444C">
        <w:rPr>
          <w:rFonts w:ascii="David" w:eastAsia="Calibri" w:hAnsi="David"/>
          <w:b/>
          <w:bCs/>
          <w:sz w:val="28"/>
          <w:szCs w:val="28"/>
          <w:rtl/>
        </w:rPr>
        <w:t>:</w:t>
      </w:r>
    </w:p>
    <w:p w14:paraId="515BED76" w14:textId="77777777" w:rsidR="00353157" w:rsidRPr="0048444C" w:rsidRDefault="00353157" w:rsidP="00353157">
      <w:pPr>
        <w:numPr>
          <w:ilvl w:val="0"/>
          <w:numId w:val="1"/>
        </w:numPr>
        <w:spacing w:before="240" w:after="240" w:line="360" w:lineRule="auto"/>
        <w:ind w:left="-63" w:hanging="357"/>
        <w:jc w:val="both"/>
        <w:rPr>
          <w:rFonts w:ascii="David" w:eastAsia="Calibri" w:hAnsi="David"/>
          <w:lang w:eastAsia="he-IL"/>
        </w:rPr>
      </w:pPr>
      <w:r w:rsidRPr="0048444C">
        <w:rPr>
          <w:rFonts w:ascii="David" w:eastAsia="Calibri" w:hAnsi="David"/>
          <w:rtl/>
          <w:lang w:eastAsia="he-IL"/>
        </w:rPr>
        <w:t xml:space="preserve">בהתאם לתיקון 113 לחוק, יש לקבוע, בטרם קביעת העונש המתאים, מתחם עונש הולם למעשה העבירה בהתאם </w:t>
      </w:r>
      <w:r w:rsidRPr="007173F2">
        <w:rPr>
          <w:rFonts w:ascii="Arial" w:hAnsi="Arial"/>
          <w:sz w:val="20"/>
          <w:rtl/>
          <w:lang w:eastAsia="he-IL"/>
        </w:rPr>
        <w:t>לעקרון</w:t>
      </w:r>
      <w:r w:rsidRPr="0048444C">
        <w:rPr>
          <w:rFonts w:ascii="David" w:eastAsia="Calibri" w:hAnsi="David"/>
          <w:rtl/>
          <w:lang w:eastAsia="he-IL"/>
        </w:rPr>
        <w:t xml:space="preserve"> ההלימה ותוך התחשבות במידת הפגיעה בערך החברתי, במדיניות הענישה הנהוגה ובנסיבות הקשורות בביצוע העבירה. </w:t>
      </w:r>
    </w:p>
    <w:p w14:paraId="4EB1B75C" w14:textId="77777777" w:rsidR="00353157" w:rsidRDefault="00353157" w:rsidP="00353157">
      <w:pPr>
        <w:spacing w:after="160" w:line="360" w:lineRule="auto"/>
        <w:jc w:val="both"/>
        <w:rPr>
          <w:b/>
          <w:bCs/>
          <w:noProof/>
          <w:u w:val="single"/>
          <w:rtl/>
        </w:rPr>
      </w:pPr>
    </w:p>
    <w:p w14:paraId="12D4290E" w14:textId="77777777" w:rsidR="00353157" w:rsidRPr="0048444C" w:rsidRDefault="0063431F" w:rsidP="00353157">
      <w:pPr>
        <w:spacing w:after="160" w:line="360" w:lineRule="auto"/>
        <w:jc w:val="both"/>
        <w:rPr>
          <w:b/>
          <w:bCs/>
          <w:noProof/>
          <w:u w:val="single"/>
        </w:rPr>
      </w:pPr>
      <w:hyperlink r:id="rId26" w:history="1">
        <w:r w:rsidRPr="0063431F">
          <w:rPr>
            <w:b/>
            <w:bCs/>
            <w:noProof/>
            <w:color w:val="0000FF"/>
            <w:u w:val="single"/>
            <w:rtl/>
          </w:rPr>
          <w:t>ת"פ 34266-09-18</w:t>
        </w:r>
      </w:hyperlink>
      <w:r w:rsidR="00353157" w:rsidRPr="0048444C">
        <w:rPr>
          <w:b/>
          <w:bCs/>
          <w:noProof/>
          <w:u w:val="single"/>
          <w:rtl/>
        </w:rPr>
        <w:t>: החזקת קנבוס שלא לצריכה עצמית</w:t>
      </w:r>
    </w:p>
    <w:p w14:paraId="7037AF63" w14:textId="77777777" w:rsidR="00353157" w:rsidRPr="0048444C" w:rsidRDefault="00353157" w:rsidP="00353157">
      <w:pPr>
        <w:numPr>
          <w:ilvl w:val="0"/>
          <w:numId w:val="1"/>
        </w:numPr>
        <w:spacing w:before="240" w:after="240" w:line="360" w:lineRule="auto"/>
        <w:ind w:left="-63" w:hanging="357"/>
        <w:jc w:val="both"/>
        <w:rPr>
          <w:rFonts w:ascii="David" w:eastAsia="Calibri" w:hAnsi="David"/>
          <w:lang w:eastAsia="he-IL"/>
        </w:rPr>
      </w:pPr>
      <w:r w:rsidRPr="0048444C">
        <w:rPr>
          <w:rFonts w:ascii="David" w:eastAsia="Calibri" w:hAnsi="David"/>
          <w:rtl/>
          <w:lang w:eastAsia="he-IL"/>
        </w:rPr>
        <w:t xml:space="preserve">פסיקת בתי המשפט השונים שבה והדגישה את החומרה הרבה המיוחסת לעבירות סמים, עקב כובד משקלם של </w:t>
      </w:r>
      <w:r w:rsidRPr="007173F2">
        <w:rPr>
          <w:rFonts w:ascii="Arial" w:hAnsi="Arial"/>
          <w:sz w:val="20"/>
          <w:rtl/>
          <w:lang w:eastAsia="he-IL"/>
        </w:rPr>
        <w:t>הערכים</w:t>
      </w:r>
      <w:r w:rsidRPr="0048444C">
        <w:rPr>
          <w:rFonts w:ascii="David" w:eastAsia="Calibri" w:hAnsi="David"/>
          <w:rtl/>
          <w:lang w:eastAsia="he-IL"/>
        </w:rPr>
        <w:t xml:space="preserve"> החברתיים המוגנים בעבירות סמים וחומרת הפגיעה בהם על ידי העבריינים. </w:t>
      </w:r>
    </w:p>
    <w:p w14:paraId="235056BD" w14:textId="77777777" w:rsidR="00353157" w:rsidRPr="0048444C" w:rsidRDefault="00353157" w:rsidP="00353157">
      <w:pPr>
        <w:spacing w:before="240" w:after="240" w:line="360" w:lineRule="auto"/>
        <w:ind w:left="-63"/>
        <w:jc w:val="both"/>
        <w:rPr>
          <w:rFonts w:ascii="David" w:eastAsia="Calibri" w:hAnsi="David"/>
          <w:sz w:val="20"/>
          <w:rtl/>
          <w:lang w:eastAsia="he-IL"/>
        </w:rPr>
      </w:pPr>
      <w:r w:rsidRPr="0048444C">
        <w:rPr>
          <w:rFonts w:ascii="David" w:eastAsia="Calibri" w:hAnsi="David"/>
          <w:sz w:val="20"/>
          <w:rtl/>
          <w:lang w:eastAsia="he-IL"/>
        </w:rPr>
        <w:t>במעשיו, פגע בנאשם בערכים החברתיים של שמירה על בריאותו ושלומו הפיזי והנפשי של הציבור מפני נזקים הנגרמים כתוצאה משימוש בסמים והשפעתם הממכרת וההרסנית. לצד זאת, עומדים ההגנה על הציבור מפני נזקים עקיפים הנגרמים כתוצאה מעבריינות הנלווית לשימוש בסמים, ובכלל זאת ההגנה על הביטחון האישי והרכוש הציבור.</w:t>
      </w:r>
    </w:p>
    <w:p w14:paraId="5C1C482E" w14:textId="77777777" w:rsidR="00353157" w:rsidRPr="0048444C" w:rsidRDefault="00353157" w:rsidP="00353157">
      <w:pPr>
        <w:spacing w:before="240" w:after="240" w:line="360" w:lineRule="auto"/>
        <w:ind w:left="-63"/>
        <w:jc w:val="both"/>
        <w:rPr>
          <w:rFonts w:ascii="Calibri" w:hAnsi="Calibri"/>
          <w:b/>
          <w:bCs/>
          <w:rtl/>
        </w:rPr>
      </w:pPr>
      <w:r w:rsidRPr="0048444C">
        <w:rPr>
          <w:rFonts w:ascii="Calibri" w:eastAsia="Calibri" w:hAnsi="Calibri"/>
          <w:rtl/>
        </w:rPr>
        <w:t>ב</w:t>
      </w:r>
      <w:hyperlink r:id="rId27" w:history="1">
        <w:r w:rsidR="0063431F" w:rsidRPr="0063431F">
          <w:rPr>
            <w:rFonts w:ascii="Calibri" w:eastAsia="Calibri" w:hAnsi="Calibri" w:hint="cs"/>
            <w:color w:val="0000FF"/>
            <w:u w:val="single"/>
            <w:rtl/>
          </w:rPr>
          <w:t>ת</w:t>
        </w:r>
        <w:r w:rsidR="0063431F" w:rsidRPr="0063431F">
          <w:rPr>
            <w:rFonts w:ascii="Calibri" w:eastAsia="Calibri" w:hAnsi="Calibri"/>
            <w:color w:val="0000FF"/>
            <w:u w:val="single"/>
            <w:rtl/>
          </w:rPr>
          <w:t>"</w:t>
        </w:r>
        <w:r w:rsidR="0063431F" w:rsidRPr="0063431F">
          <w:rPr>
            <w:rFonts w:ascii="Calibri" w:eastAsia="Calibri" w:hAnsi="Calibri" w:hint="cs"/>
            <w:color w:val="0000FF"/>
            <w:u w:val="single"/>
            <w:rtl/>
          </w:rPr>
          <w:t>פ</w:t>
        </w:r>
        <w:r w:rsidR="0063431F" w:rsidRPr="0063431F">
          <w:rPr>
            <w:rFonts w:ascii="Calibri" w:eastAsia="Calibri" w:hAnsi="Calibri"/>
            <w:color w:val="0000FF"/>
            <w:u w:val="single"/>
            <w:rtl/>
          </w:rPr>
          <w:t xml:space="preserve"> (</w:t>
        </w:r>
        <w:r w:rsidR="0063431F" w:rsidRPr="0063431F">
          <w:rPr>
            <w:rFonts w:ascii="Calibri" w:eastAsia="Calibri" w:hAnsi="Calibri" w:hint="cs"/>
            <w:color w:val="0000FF"/>
            <w:u w:val="single"/>
            <w:rtl/>
          </w:rPr>
          <w:t>י</w:t>
        </w:r>
        <w:r w:rsidR="0063431F" w:rsidRPr="0063431F">
          <w:rPr>
            <w:rFonts w:ascii="Calibri" w:eastAsia="Calibri" w:hAnsi="Calibri"/>
            <w:color w:val="0000FF"/>
            <w:u w:val="single"/>
            <w:rtl/>
          </w:rPr>
          <w:t>-</w:t>
        </w:r>
        <w:r w:rsidR="0063431F" w:rsidRPr="0063431F">
          <w:rPr>
            <w:rFonts w:ascii="Calibri" w:eastAsia="Calibri" w:hAnsi="Calibri" w:hint="cs"/>
            <w:color w:val="0000FF"/>
            <w:u w:val="single"/>
            <w:rtl/>
          </w:rPr>
          <w:t>ם</w:t>
        </w:r>
        <w:r w:rsidR="0063431F" w:rsidRPr="0063431F">
          <w:rPr>
            <w:rFonts w:ascii="Calibri" w:eastAsia="Calibri" w:hAnsi="Calibri"/>
            <w:color w:val="0000FF"/>
            <w:u w:val="single"/>
            <w:rtl/>
          </w:rPr>
          <w:t>) 48938-01-15</w:t>
        </w:r>
      </w:hyperlink>
      <w:r w:rsidRPr="0048444C">
        <w:rPr>
          <w:rFonts w:ascii="Calibri" w:eastAsia="Calibri" w:hAnsi="Calibri"/>
          <w:rtl/>
        </w:rPr>
        <w:t xml:space="preserve"> </w:t>
      </w:r>
      <w:r w:rsidRPr="0048444C">
        <w:rPr>
          <w:rFonts w:ascii="Calibri" w:eastAsia="Calibri" w:hAnsi="Calibri" w:hint="cs"/>
          <w:b/>
          <w:bCs/>
          <w:rtl/>
        </w:rPr>
        <w:t>מדינת ישראל נ' דוד קריכלי</w:t>
      </w:r>
      <w:r w:rsidRPr="0048444C">
        <w:rPr>
          <w:rFonts w:ascii="Calibri" w:eastAsia="Calibri" w:hAnsi="Calibri" w:hint="cs"/>
          <w:rtl/>
        </w:rPr>
        <w:t xml:space="preserve"> </w:t>
      </w:r>
      <w:r w:rsidRPr="0048444C">
        <w:rPr>
          <w:rFonts w:eastAsia="Calibri"/>
          <w:rtl/>
        </w:rPr>
        <w:t xml:space="preserve">[פורסם בנבו] </w:t>
      </w:r>
      <w:r w:rsidRPr="0048444C">
        <w:rPr>
          <w:rFonts w:ascii="Calibri" w:eastAsia="Calibri" w:hAnsi="Calibri"/>
          <w:rtl/>
        </w:rPr>
        <w:t xml:space="preserve">(6.6.2016) (להלן: </w:t>
      </w:r>
      <w:r w:rsidRPr="0048444C">
        <w:rPr>
          <w:rFonts w:ascii="Calibri" w:eastAsia="Calibri" w:hAnsi="Calibri"/>
          <w:b/>
          <w:bCs/>
          <w:rtl/>
        </w:rPr>
        <w:t>"עניין קריכלי"</w:t>
      </w:r>
      <w:r w:rsidRPr="0048444C">
        <w:rPr>
          <w:rFonts w:ascii="Calibri" w:eastAsia="Calibri" w:hAnsi="Calibri"/>
          <w:rtl/>
        </w:rPr>
        <w:t xml:space="preserve">) צוין: </w:t>
      </w:r>
    </w:p>
    <w:p w14:paraId="4409FD67" w14:textId="77777777" w:rsidR="00353157" w:rsidRPr="0048444C" w:rsidRDefault="00353157" w:rsidP="00353157">
      <w:pPr>
        <w:spacing w:line="360" w:lineRule="auto"/>
        <w:ind w:left="720"/>
        <w:contextualSpacing/>
        <w:jc w:val="both"/>
        <w:rPr>
          <w:rFonts w:ascii="Calibri" w:hAnsi="Calibri"/>
          <w:b/>
          <w:bCs/>
        </w:rPr>
      </w:pPr>
      <w:r w:rsidRPr="0048444C">
        <w:rPr>
          <w:rFonts w:ascii="Calibri" w:eastAsia="Calibri" w:hAnsi="Calibri"/>
          <w:b/>
          <w:bCs/>
          <w:rtl/>
        </w:rPr>
        <w:t>"</w:t>
      </w:r>
      <w:r w:rsidRPr="0048444C">
        <w:rPr>
          <w:rFonts w:ascii="Calibri" w:hAnsi="Calibri"/>
          <w:b/>
          <w:bCs/>
          <w:rtl/>
        </w:rPr>
        <w:t>כידוע, נגע הסמים פוגע קשות בחברה, משחית את הגוף ואת הנפש, וגורם בדרך עקיפה אך בטוחה לעבירות רכוש, לזנות וקלקלותיה ולצורות החמורות של עבירות הרכוש, המגיעות במקרים רבים לכלל אלימות; שכן, מעבר לפגיעה במתמכרים, פיזית ונפשית, נאלצים המכורים המשועבדים להשחית עצמם, בעבירות שונות, והופכים מקרבנות הסחר לפוגעים בציבור הרחב. בתי המשפט הציבו להם מטרה לבער את אותה מכת מדינה, המכלה כל חלקה טובה".</w:t>
      </w:r>
    </w:p>
    <w:p w14:paraId="4E4B3973" w14:textId="77777777" w:rsidR="00353157" w:rsidRPr="0048444C" w:rsidRDefault="00353157" w:rsidP="00353157">
      <w:pPr>
        <w:numPr>
          <w:ilvl w:val="0"/>
          <w:numId w:val="1"/>
        </w:numPr>
        <w:spacing w:before="240" w:after="240" w:line="360" w:lineRule="auto"/>
        <w:ind w:left="-63" w:hanging="357"/>
        <w:jc w:val="both"/>
        <w:rPr>
          <w:rtl/>
          <w:lang w:eastAsia="he-IL"/>
        </w:rPr>
      </w:pPr>
      <w:r w:rsidRPr="0048444C">
        <w:rPr>
          <w:rtl/>
          <w:lang w:eastAsia="he-IL"/>
        </w:rPr>
        <w:t>באשר ל</w:t>
      </w:r>
      <w:r w:rsidRPr="0048444C">
        <w:rPr>
          <w:b/>
          <w:bCs/>
          <w:rtl/>
          <w:lang w:eastAsia="he-IL"/>
        </w:rPr>
        <w:t>נסיבות ביצוע העבירה</w:t>
      </w:r>
      <w:r w:rsidRPr="0048444C">
        <w:rPr>
          <w:rtl/>
          <w:lang w:eastAsia="he-IL"/>
        </w:rPr>
        <w:t xml:space="preserve">, נתתי דעתי לביצוע העבירה בגפו. כמו כן, התייחסתי לאפשרות שכפי העולה </w:t>
      </w:r>
      <w:r w:rsidRPr="007173F2">
        <w:rPr>
          <w:rFonts w:ascii="David" w:eastAsia="Calibri" w:hAnsi="David"/>
          <w:rtl/>
          <w:lang w:eastAsia="he-IL"/>
        </w:rPr>
        <w:t>מתסקירי</w:t>
      </w:r>
      <w:r w:rsidRPr="0048444C">
        <w:rPr>
          <w:rtl/>
          <w:lang w:eastAsia="he-IL"/>
        </w:rPr>
        <w:t xml:space="preserve"> שירות המבחן, הנאשם רכש את הסמים כדי לסייע לאחותו להתמודד עם מצבה הרפואי, בהיעדר מענה מספק בכמות הקנאביס הרפואי שברשותה. הסמים נמצאו בדירה בה הוא </w:t>
      </w:r>
      <w:r w:rsidRPr="007173F2">
        <w:rPr>
          <w:rFonts w:ascii="David" w:eastAsia="Calibri" w:hAnsi="David"/>
          <w:sz w:val="20"/>
          <w:rtl/>
          <w:lang w:eastAsia="he-IL"/>
        </w:rPr>
        <w:t>מתגורר</w:t>
      </w:r>
      <w:r w:rsidRPr="0048444C">
        <w:rPr>
          <w:rtl/>
          <w:lang w:eastAsia="he-IL"/>
        </w:rPr>
        <w:t xml:space="preserve"> ולא בשטח הציבורי או ברכב. עוד התייחסתי לגילו הצעיר של הנאשם בעת ביצוע העבירה, ובחנתי את סוג הסם, מסוכנותו, היקף הכמות שהוחזקה והאופן בו הוחזקו הסמים.</w:t>
      </w:r>
    </w:p>
    <w:p w14:paraId="36E7D33C" w14:textId="77777777" w:rsidR="00353157" w:rsidRPr="0048444C" w:rsidRDefault="00353157" w:rsidP="00353157">
      <w:pPr>
        <w:spacing w:before="240" w:after="240" w:line="360" w:lineRule="auto"/>
        <w:ind w:left="-63"/>
        <w:jc w:val="both"/>
        <w:rPr>
          <w:rtl/>
          <w:lang w:eastAsia="he-IL"/>
        </w:rPr>
      </w:pPr>
      <w:r w:rsidRPr="0048444C">
        <w:rPr>
          <w:rtl/>
          <w:lang w:eastAsia="he-IL"/>
        </w:rPr>
        <w:t xml:space="preserve">בעניינינו </w:t>
      </w:r>
      <w:r w:rsidRPr="007173F2">
        <w:rPr>
          <w:rFonts w:ascii="David" w:eastAsia="Calibri" w:hAnsi="David"/>
          <w:sz w:val="20"/>
          <w:rtl/>
          <w:lang w:eastAsia="he-IL"/>
        </w:rPr>
        <w:t>מדובר</w:t>
      </w:r>
      <w:r w:rsidRPr="0048444C">
        <w:rPr>
          <w:rtl/>
          <w:lang w:eastAsia="he-IL"/>
        </w:rPr>
        <w:t xml:space="preserve"> בסם הקנבוס, אשר אינו נמנה עם הסמים הקשים יותר. מאידך, סם הקנבוס נמצא במקומות שונים בדירתו של הנאשם, מחולק, מוסתר, ובכמות שאינה לצריכה עצמית (229.35 גרם נטו). </w:t>
      </w:r>
    </w:p>
    <w:p w14:paraId="769F7232" w14:textId="77777777" w:rsidR="00353157" w:rsidRPr="0048444C" w:rsidRDefault="00353157" w:rsidP="00353157">
      <w:pPr>
        <w:numPr>
          <w:ilvl w:val="0"/>
          <w:numId w:val="1"/>
        </w:numPr>
        <w:spacing w:before="240" w:after="240" w:line="360" w:lineRule="auto"/>
        <w:ind w:left="-63" w:hanging="357"/>
        <w:jc w:val="both"/>
        <w:rPr>
          <w:rtl/>
          <w:lang w:eastAsia="he-IL"/>
        </w:rPr>
      </w:pPr>
      <w:r w:rsidRPr="0048444C">
        <w:rPr>
          <w:rtl/>
          <w:lang w:eastAsia="he-IL"/>
        </w:rPr>
        <w:t xml:space="preserve">בנסיבות המתוארות, מסקנתי היא כי </w:t>
      </w:r>
      <w:r w:rsidRPr="0048444C">
        <w:rPr>
          <w:b/>
          <w:bCs/>
          <w:rtl/>
          <w:lang w:eastAsia="he-IL"/>
        </w:rPr>
        <w:t>מידת הפגיעה</w:t>
      </w:r>
      <w:r w:rsidRPr="0048444C">
        <w:rPr>
          <w:rtl/>
          <w:lang w:eastAsia="he-IL"/>
        </w:rPr>
        <w:t xml:space="preserve"> בערכים המוגנים במקרה זה איננה ברף הגבוה.</w:t>
      </w:r>
    </w:p>
    <w:p w14:paraId="5DECDA5A" w14:textId="77777777" w:rsidR="00353157" w:rsidRPr="0048444C" w:rsidRDefault="00353157" w:rsidP="00353157">
      <w:pPr>
        <w:numPr>
          <w:ilvl w:val="0"/>
          <w:numId w:val="1"/>
        </w:numPr>
        <w:spacing w:before="240" w:after="240" w:line="360" w:lineRule="auto"/>
        <w:ind w:left="-63" w:hanging="357"/>
        <w:jc w:val="both"/>
        <w:rPr>
          <w:rFonts w:ascii="David" w:hAnsi="David"/>
          <w:b/>
          <w:bCs/>
          <w:lang w:eastAsia="he-IL"/>
        </w:rPr>
      </w:pPr>
      <w:r w:rsidRPr="0048444C">
        <w:rPr>
          <w:rtl/>
          <w:lang w:eastAsia="he-IL"/>
        </w:rPr>
        <w:t>באשר למדיניות הענישה הנוהגת, כפי שצוין ב</w:t>
      </w:r>
      <w:r w:rsidRPr="0048444C">
        <w:rPr>
          <w:b/>
          <w:bCs/>
          <w:rtl/>
          <w:lang w:eastAsia="he-IL"/>
        </w:rPr>
        <w:t>עניין קריכלי</w:t>
      </w:r>
      <w:r w:rsidRPr="0048444C">
        <w:rPr>
          <w:rtl/>
          <w:lang w:eastAsia="he-IL"/>
        </w:rPr>
        <w:t>, ככלל, מדיניות הענישה בעבירות סמים היא מדיניות ענישה מחמירה. יחד עם זאת, מסקירת הפסיקה, עולה כי מדובר במנעד ענישה די רחב. לעיתים קרובות, נגזרים על נאשמים עונשי מאסר בגין ביצוע עבירות מהסוג הנדון, מאחורי סורג ובריח ממש, ולעיתים לריצוי בעבודות שירות.</w:t>
      </w:r>
    </w:p>
    <w:p w14:paraId="6281A801" w14:textId="77777777" w:rsidR="00353157" w:rsidRPr="0048444C" w:rsidRDefault="00353157" w:rsidP="00353157">
      <w:pPr>
        <w:spacing w:before="240" w:after="240" w:line="360" w:lineRule="auto"/>
        <w:ind w:left="-63"/>
        <w:jc w:val="both"/>
        <w:rPr>
          <w:rFonts w:ascii="Arial" w:hAnsi="Arial"/>
          <w:b/>
          <w:bCs/>
          <w:sz w:val="20"/>
          <w:lang w:eastAsia="he-IL"/>
        </w:rPr>
      </w:pPr>
      <w:r w:rsidRPr="0048444C">
        <w:rPr>
          <w:rFonts w:ascii="Arial" w:hAnsi="Arial"/>
          <w:sz w:val="20"/>
          <w:rtl/>
          <w:lang w:eastAsia="he-IL"/>
        </w:rPr>
        <w:t>להמחשה, ב</w:t>
      </w:r>
      <w:hyperlink r:id="rId28" w:history="1">
        <w:r w:rsidR="0063431F" w:rsidRPr="0063431F">
          <w:rPr>
            <w:rFonts w:ascii="Arial" w:hAnsi="Arial"/>
            <w:color w:val="0000FF"/>
            <w:sz w:val="20"/>
            <w:u w:val="single"/>
            <w:rtl/>
            <w:lang w:eastAsia="he-IL"/>
          </w:rPr>
          <w:t>ת"פ (ירושלים) 60525-06-18</w:t>
        </w:r>
      </w:hyperlink>
      <w:r w:rsidRPr="0048444C">
        <w:rPr>
          <w:rFonts w:ascii="Arial" w:hAnsi="Arial"/>
          <w:sz w:val="20"/>
          <w:rtl/>
          <w:lang w:eastAsia="he-IL"/>
        </w:rPr>
        <w:t xml:space="preserve"> </w:t>
      </w:r>
      <w:r w:rsidRPr="0048444C">
        <w:rPr>
          <w:rFonts w:ascii="Arial" w:hAnsi="Arial"/>
          <w:b/>
          <w:bCs/>
          <w:sz w:val="20"/>
          <w:rtl/>
          <w:lang w:eastAsia="he-IL"/>
        </w:rPr>
        <w:t xml:space="preserve">מדינת ישראל נ' אביב כהן </w:t>
      </w:r>
      <w:r w:rsidRPr="0048444C">
        <w:rPr>
          <w:rFonts w:ascii="Arial" w:hAnsi="Arial"/>
          <w:sz w:val="20"/>
          <w:rtl/>
          <w:lang w:eastAsia="he-IL"/>
        </w:rPr>
        <w:t>(2.1.20)</w:t>
      </w:r>
      <w:r w:rsidRPr="0048444C">
        <w:rPr>
          <w:rFonts w:ascii="Arial" w:hAnsi="Arial"/>
          <w:b/>
          <w:bCs/>
          <w:sz w:val="20"/>
          <w:rtl/>
          <w:lang w:eastAsia="he-IL"/>
        </w:rPr>
        <w:t xml:space="preserve"> </w:t>
      </w:r>
      <w:r w:rsidRPr="0048444C">
        <w:rPr>
          <w:rFonts w:ascii="David" w:hAnsi="David"/>
          <w:sz w:val="20"/>
          <w:rtl/>
          <w:lang w:eastAsia="he-IL"/>
        </w:rPr>
        <w:t xml:space="preserve">הנאשם הורשע על פי </w:t>
      </w:r>
      <w:r w:rsidRPr="007173F2">
        <w:rPr>
          <w:rFonts w:ascii="David" w:eastAsia="Calibri" w:hAnsi="David"/>
          <w:sz w:val="20"/>
          <w:rtl/>
          <w:lang w:eastAsia="he-IL"/>
        </w:rPr>
        <w:t>הודאתו</w:t>
      </w:r>
      <w:r w:rsidRPr="0048444C">
        <w:rPr>
          <w:rFonts w:ascii="David" w:hAnsi="David"/>
          <w:sz w:val="20"/>
          <w:rtl/>
          <w:lang w:eastAsia="he-IL"/>
        </w:rPr>
        <w:t xml:space="preserve"> בעובדות כתב האישום המתוקן, בעבירה של החזקת סם שלא לצריכה עצמית. על- פי המתואר בעובדות כתב האישום, החזיק הנאשם ברכבו, סם מסוכן מסוג קנבוס במשקל כולל</w:t>
      </w:r>
      <w:r w:rsidRPr="0048444C">
        <w:rPr>
          <w:rFonts w:ascii="David" w:hAnsi="David"/>
          <w:b/>
          <w:bCs/>
          <w:sz w:val="20"/>
          <w:rtl/>
          <w:lang w:eastAsia="he-IL"/>
        </w:rPr>
        <w:t xml:space="preserve"> </w:t>
      </w:r>
      <w:r w:rsidRPr="0048444C">
        <w:rPr>
          <w:rFonts w:ascii="David" w:hAnsi="David"/>
          <w:sz w:val="20"/>
          <w:rtl/>
          <w:lang w:eastAsia="he-IL"/>
        </w:rPr>
        <w:t xml:space="preserve">262.83 גרם נטו, שלא לצריכתו העצמית. באותן נסיבות, החזיק הנאשם במכשיר לגריסת סם ברכבו, ובחיפוש שנערך על גופו של נתפס סכום כסף בסך של 6950 ₪. בית המשפט קבע כי מתחם העונש ההולם בגין העבירה אותה ביצע הנאשם, הינו החל ממאסר על תנאי וצו של"צ לצד ענישה נלווית ועד 8 חודשי מאסר. </w:t>
      </w:r>
      <w:r w:rsidRPr="0048444C">
        <w:rPr>
          <w:rFonts w:ascii="Arial" w:hAnsi="Arial"/>
          <w:sz w:val="20"/>
          <w:rtl/>
          <w:lang w:eastAsia="he-IL"/>
        </w:rPr>
        <w:t xml:space="preserve">בית המשפט גזר על הנאשם, בן 27, רווק, שהודה במעשיו, נעדר עבר פלילי, עונש של </w:t>
      </w:r>
      <w:r w:rsidRPr="0048444C">
        <w:rPr>
          <w:sz w:val="20"/>
          <w:rtl/>
          <w:lang w:eastAsia="he-IL"/>
        </w:rPr>
        <w:t>מאסר למשך 75 יום אשר ירוצה על דרך עבודות השירות, לצד מע"ת, התחייבות בסך 3,500 ₪ וקנס בסך של 2,000 ₪.</w:t>
      </w:r>
    </w:p>
    <w:p w14:paraId="23170B20" w14:textId="77777777" w:rsidR="00353157" w:rsidRPr="0048444C" w:rsidRDefault="00353157" w:rsidP="00353157">
      <w:pPr>
        <w:spacing w:before="240" w:after="240" w:line="360" w:lineRule="auto"/>
        <w:ind w:left="-63"/>
        <w:jc w:val="both"/>
        <w:rPr>
          <w:rFonts w:ascii="Arial" w:hAnsi="Arial"/>
          <w:sz w:val="20"/>
          <w:rtl/>
          <w:lang w:eastAsia="he-IL"/>
        </w:rPr>
      </w:pPr>
      <w:r w:rsidRPr="0048444C">
        <w:rPr>
          <w:rFonts w:ascii="Arial" w:hAnsi="Arial"/>
          <w:sz w:val="20"/>
          <w:rtl/>
          <w:lang w:eastAsia="he-IL"/>
        </w:rPr>
        <w:t>ב</w:t>
      </w:r>
      <w:hyperlink r:id="rId29" w:history="1">
        <w:r w:rsidR="0063431F" w:rsidRPr="0063431F">
          <w:rPr>
            <w:rFonts w:ascii="Arial" w:hAnsi="Arial"/>
            <w:color w:val="0000FF"/>
            <w:sz w:val="20"/>
            <w:u w:val="single"/>
            <w:rtl/>
            <w:lang w:eastAsia="he-IL"/>
          </w:rPr>
          <w:t>עפ"ג (מרכז) 69406-01-20</w:t>
        </w:r>
      </w:hyperlink>
      <w:r w:rsidRPr="0048444C">
        <w:rPr>
          <w:rFonts w:ascii="Arial" w:hAnsi="Arial"/>
          <w:sz w:val="20"/>
          <w:rtl/>
          <w:lang w:eastAsia="he-IL"/>
        </w:rPr>
        <w:t xml:space="preserve"> </w:t>
      </w:r>
      <w:r w:rsidRPr="0048444C">
        <w:rPr>
          <w:rFonts w:ascii="Arial" w:hAnsi="Arial"/>
          <w:b/>
          <w:bCs/>
          <w:sz w:val="20"/>
          <w:rtl/>
          <w:lang w:eastAsia="he-IL"/>
        </w:rPr>
        <w:t xml:space="preserve">פרנקו נ' מדינת ישראל </w:t>
      </w:r>
      <w:r w:rsidRPr="0048444C">
        <w:rPr>
          <w:rFonts w:ascii="Arial" w:hAnsi="Arial"/>
          <w:sz w:val="20"/>
          <w:rtl/>
          <w:lang w:eastAsia="he-IL"/>
        </w:rPr>
        <w:t xml:space="preserve">(31.8.20) הנאשם הורשע על פי הודאתו בעבירה של החזקת סמים שלא לצריכה עצמית. </w:t>
      </w:r>
      <w:r w:rsidRPr="0048444C">
        <w:rPr>
          <w:rFonts w:ascii="David" w:hAnsi="David"/>
          <w:rtl/>
          <w:lang w:eastAsia="he-IL"/>
        </w:rPr>
        <w:t>לפי כתב האישום, ביום 6.12.17, החזיק הנאשם בחדרו 5 צנצנות המכילות סם מסוכן מסוג קנבוס במשקל של 80 גרם.</w:t>
      </w:r>
      <w:r w:rsidRPr="0048444C">
        <w:rPr>
          <w:rFonts w:ascii="David" w:hAnsi="David"/>
          <w:b/>
          <w:bCs/>
          <w:rtl/>
          <w:lang w:eastAsia="he-IL"/>
        </w:rPr>
        <w:t xml:space="preserve"> </w:t>
      </w:r>
      <w:r w:rsidRPr="0048444C">
        <w:rPr>
          <w:rFonts w:ascii="David" w:hAnsi="David"/>
          <w:rtl/>
          <w:lang w:eastAsia="he-IL"/>
        </w:rPr>
        <w:t xml:space="preserve">בית המשפט קבע כי </w:t>
      </w:r>
      <w:r w:rsidRPr="0048444C">
        <w:rPr>
          <w:rtl/>
          <w:lang w:eastAsia="he-IL"/>
        </w:rPr>
        <w:t>מתחם העונש ההולם את העבירה מושא כתב האישום, נע בין מאסר על תנאי ובין מאסר לתקופה של 6 חודשים, לצד ענישה נלווית.</w:t>
      </w:r>
      <w:r w:rsidRPr="0048444C">
        <w:rPr>
          <w:rFonts w:ascii="Arial" w:hAnsi="Arial"/>
          <w:sz w:val="20"/>
          <w:rtl/>
          <w:lang w:eastAsia="he-IL"/>
        </w:rPr>
        <w:t xml:space="preserve"> בית המשפט גזר על הנאשם, שנטל אחריות על מעשיו, תוך התייחסות לכך שלא שיתף פעולה עם שירות המבחן, שלחובתו 3 הרשעות קודמות בעבירות אלימות ורכוש, נסיבות חייו הלא פשוטות ומאמציו לסייע בכלכלת משפחתו, עונש של </w:t>
      </w:r>
      <w:r w:rsidRPr="0048444C">
        <w:rPr>
          <w:rtl/>
          <w:lang w:eastAsia="he-IL"/>
        </w:rPr>
        <w:t>מאסר בפועל לתקופה של 30 ימים, בניכוי ימי מעצרו לצד מע"ת וקנס בסך 500 ₪.</w:t>
      </w:r>
      <w:r w:rsidRPr="0048444C">
        <w:rPr>
          <w:rFonts w:ascii="Arial" w:hAnsi="Arial"/>
          <w:sz w:val="20"/>
          <w:rtl/>
          <w:lang w:eastAsia="he-IL"/>
        </w:rPr>
        <w:t xml:space="preserve"> הערעור שהוגש לבית המשפט </w:t>
      </w:r>
      <w:r w:rsidRPr="0048444C">
        <w:rPr>
          <w:rtl/>
          <w:lang w:eastAsia="he-IL"/>
        </w:rPr>
        <w:t>המחוזי</w:t>
      </w:r>
      <w:r w:rsidRPr="0048444C">
        <w:rPr>
          <w:rFonts w:ascii="Arial" w:hAnsi="Arial"/>
          <w:sz w:val="20"/>
          <w:rtl/>
          <w:lang w:eastAsia="he-IL"/>
        </w:rPr>
        <w:t xml:space="preserve"> נדחה.</w:t>
      </w:r>
    </w:p>
    <w:p w14:paraId="46129F85" w14:textId="77777777" w:rsidR="00353157" w:rsidRPr="0048444C" w:rsidRDefault="00353157" w:rsidP="00353157">
      <w:pPr>
        <w:spacing w:before="240" w:after="240" w:line="360" w:lineRule="auto"/>
        <w:ind w:left="-63"/>
        <w:jc w:val="both"/>
        <w:rPr>
          <w:rtl/>
          <w:lang w:eastAsia="he-IL"/>
        </w:rPr>
      </w:pPr>
      <w:r w:rsidRPr="0048444C">
        <w:rPr>
          <w:rFonts w:ascii="David" w:hAnsi="David"/>
          <w:rtl/>
          <w:lang w:eastAsia="he-IL"/>
        </w:rPr>
        <w:t>ב</w:t>
      </w:r>
      <w:hyperlink r:id="rId30" w:history="1">
        <w:r w:rsidR="0063431F" w:rsidRPr="0063431F">
          <w:rPr>
            <w:rFonts w:ascii="David" w:hAnsi="David"/>
            <w:color w:val="0000FF"/>
            <w:u w:val="single"/>
            <w:rtl/>
            <w:lang w:eastAsia="he-IL"/>
          </w:rPr>
          <w:t>ת"פ (תל-אביב) 46462-11-19</w:t>
        </w:r>
      </w:hyperlink>
      <w:r w:rsidRPr="0048444C">
        <w:rPr>
          <w:rFonts w:ascii="David" w:hAnsi="David"/>
          <w:rtl/>
          <w:lang w:eastAsia="he-IL"/>
        </w:rPr>
        <w:t xml:space="preserve"> </w:t>
      </w:r>
      <w:r w:rsidRPr="0048444C">
        <w:rPr>
          <w:rFonts w:ascii="David" w:hAnsi="David"/>
          <w:b/>
          <w:bCs/>
          <w:rtl/>
          <w:lang w:eastAsia="he-IL"/>
        </w:rPr>
        <w:t xml:space="preserve">מדינת ישראל נ' קפח </w:t>
      </w:r>
      <w:r w:rsidRPr="0048444C">
        <w:rPr>
          <w:rFonts w:ascii="David" w:hAnsi="David"/>
          <w:rtl/>
          <w:lang w:eastAsia="he-IL"/>
        </w:rPr>
        <w:t>(25.2.21))</w:t>
      </w:r>
      <w:r w:rsidRPr="0048444C">
        <w:rPr>
          <w:rtl/>
          <w:lang w:eastAsia="he-IL"/>
        </w:rPr>
        <w:t xml:space="preserve"> הורשע הנאשם </w:t>
      </w:r>
      <w:r w:rsidRPr="0048444C">
        <w:rPr>
          <w:rFonts w:ascii="David" w:hAnsi="David"/>
          <w:rtl/>
          <w:lang w:eastAsia="he-IL"/>
        </w:rPr>
        <w:t>בעבירות של סיוע לסחר בסמים, סחר בסמים בצוותא חדא והחזקת סם שלא לצריכה עצמית.</w:t>
      </w:r>
      <w:r w:rsidRPr="0048444C">
        <w:rPr>
          <w:rtl/>
          <w:lang w:eastAsia="he-IL"/>
        </w:rPr>
        <w:t xml:space="preserve"> הנאשם החזיק בבית אמו בסם מסוכן מסוג קנבוס במשקל כולל של 278 גרם, המחולק ל-3 שקיות.  בית המשפט קבע באשר לעבירת החזקת הסם מתחם עונשי שנע בין מאסר על תנאי מותנה ואף מאסר קצר ולו בעבודות שירות לבין 8 חודשי מאסר בפועל. בית המשפט גזר על הנאשם, בן 27, צעיר, ללא עבר פלילי או תיקים נוספים, תוך התחשבות בהיותו אב ל-2 פעוטות, הטיפול שעבר, ובדיקות השתן שנמצאו נקיות משרידי סם, עונש של 100 ימי מאסר שירוצו בדרך של עבודות שירות, לצד מע"ת, צו מבחן, קנס כספי בסך 1,000 ₪ וחילוט.</w:t>
      </w:r>
    </w:p>
    <w:p w14:paraId="537E8370" w14:textId="77777777" w:rsidR="00353157" w:rsidRPr="0048444C" w:rsidRDefault="00353157" w:rsidP="00353157">
      <w:pPr>
        <w:spacing w:before="240" w:after="240" w:line="360" w:lineRule="auto"/>
        <w:ind w:left="-63"/>
        <w:jc w:val="both"/>
        <w:rPr>
          <w:rFonts w:ascii="David" w:hAnsi="David"/>
          <w:rtl/>
          <w:lang w:eastAsia="he-IL"/>
        </w:rPr>
      </w:pPr>
      <w:r w:rsidRPr="007173F2">
        <w:rPr>
          <w:rFonts w:ascii="Arial" w:hAnsi="Arial"/>
          <w:sz w:val="20"/>
          <w:rtl/>
          <w:lang w:eastAsia="he-IL"/>
        </w:rPr>
        <w:t>וראו</w:t>
      </w:r>
      <w:r w:rsidRPr="0048444C">
        <w:rPr>
          <w:rtl/>
          <w:lang w:eastAsia="he-IL"/>
        </w:rPr>
        <w:t xml:space="preserve"> גם, </w:t>
      </w:r>
      <w:hyperlink r:id="rId31" w:history="1">
        <w:r w:rsidR="0063431F" w:rsidRPr="0063431F">
          <w:rPr>
            <w:rFonts w:ascii="David" w:hAnsi="David"/>
            <w:color w:val="0000FF"/>
            <w:u w:val="single"/>
            <w:rtl/>
            <w:lang w:eastAsia="he-IL"/>
          </w:rPr>
          <w:t>תפ (ק"ג) 7213-01-15</w:t>
        </w:r>
      </w:hyperlink>
      <w:r w:rsidR="0063431F">
        <w:rPr>
          <w:rFonts w:ascii="David" w:hAnsi="David"/>
          <w:rtl/>
          <w:lang w:eastAsia="he-IL"/>
        </w:rPr>
        <w:t xml:space="preserve"> </w:t>
      </w:r>
      <w:r w:rsidRPr="0048444C">
        <w:rPr>
          <w:rFonts w:ascii="David" w:hAnsi="David"/>
          <w:b/>
          <w:bCs/>
          <w:rtl/>
          <w:lang w:eastAsia="he-IL"/>
        </w:rPr>
        <w:t>מדינת ישראל נ' רוסטיסלב בזמן</w:t>
      </w:r>
      <w:r w:rsidRPr="0048444C">
        <w:rPr>
          <w:rFonts w:ascii="David" w:hAnsi="David"/>
          <w:rtl/>
          <w:lang w:eastAsia="he-IL"/>
        </w:rPr>
        <w:t xml:space="preserve"> (24.06.18)</w:t>
      </w:r>
      <w:r w:rsidRPr="0048444C">
        <w:rPr>
          <w:rtl/>
          <w:lang w:eastAsia="he-IL"/>
        </w:rPr>
        <w:t xml:space="preserve"> ו</w:t>
      </w:r>
      <w:hyperlink r:id="rId32" w:history="1">
        <w:r w:rsidR="0063431F" w:rsidRPr="0063431F">
          <w:rPr>
            <w:rFonts w:ascii="David" w:hAnsi="David"/>
            <w:color w:val="0000FF"/>
            <w:u w:val="single"/>
            <w:rtl/>
            <w:lang w:eastAsia="he-IL"/>
          </w:rPr>
          <w:t>ת"פ (תל-אביב) 46913-07-18</w:t>
        </w:r>
      </w:hyperlink>
      <w:r w:rsidRPr="0048444C">
        <w:rPr>
          <w:rFonts w:ascii="David" w:hAnsi="David"/>
          <w:rtl/>
          <w:lang w:eastAsia="he-IL"/>
        </w:rPr>
        <w:t xml:space="preserve"> </w:t>
      </w:r>
      <w:r w:rsidRPr="0048444C">
        <w:rPr>
          <w:rFonts w:ascii="David" w:hAnsi="David"/>
          <w:b/>
          <w:bCs/>
          <w:rtl/>
          <w:lang w:eastAsia="he-IL"/>
        </w:rPr>
        <w:t xml:space="preserve">מדינת ישראל נ' </w:t>
      </w:r>
      <w:r w:rsidRPr="0048444C">
        <w:rPr>
          <w:rFonts w:ascii="David" w:hAnsi="David"/>
          <w:b/>
          <w:bCs/>
          <w:lang w:eastAsia="he-IL"/>
        </w:rPr>
        <w:t>MAKSIMOV</w:t>
      </w:r>
      <w:r w:rsidRPr="0048444C">
        <w:rPr>
          <w:rFonts w:ascii="David" w:hAnsi="David"/>
          <w:b/>
          <w:bCs/>
          <w:rtl/>
          <w:lang w:eastAsia="he-IL"/>
        </w:rPr>
        <w:t xml:space="preserve"> </w:t>
      </w:r>
      <w:r w:rsidRPr="0048444C">
        <w:rPr>
          <w:rFonts w:ascii="David" w:hAnsi="David"/>
          <w:rtl/>
          <w:lang w:eastAsia="he-IL"/>
        </w:rPr>
        <w:t>(10.8.20).</w:t>
      </w:r>
    </w:p>
    <w:p w14:paraId="37853C86" w14:textId="77777777" w:rsidR="00353157" w:rsidRPr="0048444C" w:rsidRDefault="00353157" w:rsidP="00353157">
      <w:pPr>
        <w:numPr>
          <w:ilvl w:val="0"/>
          <w:numId w:val="1"/>
        </w:numPr>
        <w:spacing w:before="240" w:after="240" w:line="360" w:lineRule="auto"/>
        <w:ind w:left="-63" w:hanging="357"/>
        <w:jc w:val="both"/>
        <w:rPr>
          <w:lang w:eastAsia="he-IL"/>
        </w:rPr>
      </w:pPr>
      <w:r w:rsidRPr="0048444C">
        <w:rPr>
          <w:rtl/>
          <w:lang w:eastAsia="he-IL"/>
        </w:rPr>
        <w:t xml:space="preserve">לאחר שקילת נסיבות ביצוע העבירה, ובכלל זאת כמות הסמים וסוגם, מידת הפגיעה בערכים המוגנים והענישה </w:t>
      </w:r>
      <w:r w:rsidRPr="0048444C">
        <w:rPr>
          <w:rFonts w:ascii="David" w:hAnsi="David"/>
          <w:rtl/>
          <w:lang w:eastAsia="he-IL"/>
        </w:rPr>
        <w:t>הנוהגת</w:t>
      </w:r>
      <w:r w:rsidRPr="0048444C">
        <w:rPr>
          <w:rtl/>
          <w:lang w:eastAsia="he-IL"/>
        </w:rPr>
        <w:t xml:space="preserve">, </w:t>
      </w:r>
      <w:r w:rsidRPr="0048444C">
        <w:rPr>
          <w:b/>
          <w:bCs/>
          <w:rtl/>
          <w:lang w:eastAsia="he-IL"/>
        </w:rPr>
        <w:t>מתחם העונש ההולם במקרה שלפנינו, נע בין מאסר על תנאי לצד צו של"צ, וענישה נלווית ועד ל-8חודשי מאסר בפועל.</w:t>
      </w:r>
    </w:p>
    <w:p w14:paraId="0D6FBC8C" w14:textId="77777777" w:rsidR="00353157" w:rsidRPr="0048444C" w:rsidRDefault="0063431F" w:rsidP="00353157">
      <w:pPr>
        <w:spacing w:after="160" w:line="360" w:lineRule="auto"/>
        <w:jc w:val="both"/>
        <w:rPr>
          <w:b/>
          <w:bCs/>
          <w:noProof/>
          <w:u w:val="single"/>
          <w:rtl/>
        </w:rPr>
      </w:pPr>
      <w:hyperlink r:id="rId33" w:history="1">
        <w:r w:rsidRPr="0063431F">
          <w:rPr>
            <w:b/>
            <w:bCs/>
            <w:noProof/>
            <w:color w:val="0000FF"/>
            <w:u w:val="single"/>
            <w:rtl/>
          </w:rPr>
          <w:t>ת"פ 72063-03-19</w:t>
        </w:r>
      </w:hyperlink>
      <w:r w:rsidR="00353157" w:rsidRPr="0048444C">
        <w:rPr>
          <w:b/>
          <w:bCs/>
          <w:noProof/>
          <w:u w:val="single"/>
          <w:rtl/>
        </w:rPr>
        <w:t>: החזקת אגרופן</w:t>
      </w:r>
    </w:p>
    <w:p w14:paraId="12A0EE80" w14:textId="77777777" w:rsidR="00353157" w:rsidRPr="0048444C" w:rsidRDefault="00353157" w:rsidP="00353157">
      <w:pPr>
        <w:numPr>
          <w:ilvl w:val="0"/>
          <w:numId w:val="1"/>
        </w:numPr>
        <w:spacing w:before="240" w:after="240" w:line="360" w:lineRule="auto"/>
        <w:ind w:left="-63" w:hanging="357"/>
        <w:jc w:val="both"/>
        <w:rPr>
          <w:rFonts w:ascii="David" w:hAnsi="David"/>
          <w:rtl/>
          <w:lang w:eastAsia="he-IL"/>
        </w:rPr>
      </w:pPr>
      <w:r w:rsidRPr="0048444C">
        <w:rPr>
          <w:rFonts w:ascii="David" w:hAnsi="David"/>
          <w:rtl/>
          <w:lang w:eastAsia="he-IL"/>
        </w:rPr>
        <w:t xml:space="preserve">איסור הנשיאה של סכין או אגרופן שלא למטרה כשרה הוא מעין מעגל הגנה נוסף סביב העבירות </w:t>
      </w:r>
      <w:r w:rsidRPr="007173F2">
        <w:rPr>
          <w:rtl/>
          <w:lang w:eastAsia="he-IL"/>
        </w:rPr>
        <w:t>המגנות</w:t>
      </w:r>
      <w:r w:rsidRPr="0048444C">
        <w:rPr>
          <w:rFonts w:ascii="David" w:hAnsi="David"/>
          <w:rtl/>
          <w:lang w:eastAsia="he-IL"/>
        </w:rPr>
        <w:t xml:space="preserve"> על ערכים של שלמות הגוף, החיים והבריאות, שכן פוטנציאל הנזק ואף פוטנציאל ההתלקחות האלימה מוגברים פי כמה בנוכחות הברזל הקר – ראו </w:t>
      </w:r>
      <w:hyperlink r:id="rId34" w:history="1">
        <w:r w:rsidR="0063431F" w:rsidRPr="0063431F">
          <w:rPr>
            <w:rFonts w:ascii="David" w:hAnsi="David"/>
            <w:b/>
            <w:bCs/>
            <w:color w:val="0000FF"/>
            <w:u w:val="single"/>
            <w:rtl/>
            <w:lang w:eastAsia="he-IL"/>
          </w:rPr>
          <w:t xml:space="preserve">רע''פ </w:t>
        </w:r>
      </w:hyperlink>
      <w:r w:rsidRPr="0048444C">
        <w:rPr>
          <w:rFonts w:ascii="David" w:hAnsi="David"/>
          <w:b/>
          <w:bCs/>
          <w:rtl/>
          <w:lang w:eastAsia="he-IL"/>
        </w:rPr>
        <w:t xml:space="preserve"> </w:t>
      </w:r>
      <w:hyperlink r:id="rId35" w:history="1">
        <w:r w:rsidR="001C51B2" w:rsidRPr="001C51B2">
          <w:rPr>
            <w:rFonts w:ascii="David" w:hAnsi="David"/>
            <w:b/>
            <w:bCs/>
            <w:color w:val="0000FF"/>
            <w:u w:val="single"/>
            <w:rtl/>
            <w:lang w:eastAsia="he-IL"/>
          </w:rPr>
          <w:t xml:space="preserve">7484/08 </w:t>
        </w:r>
      </w:hyperlink>
      <w:r w:rsidRPr="0048444C">
        <w:rPr>
          <w:rFonts w:ascii="David" w:hAnsi="David"/>
          <w:b/>
          <w:bCs/>
          <w:rtl/>
          <w:lang w:eastAsia="he-IL"/>
        </w:rPr>
        <w:t xml:space="preserve"> פלוני נ' מדינת ישראל </w:t>
      </w:r>
      <w:r w:rsidRPr="0048444C">
        <w:rPr>
          <w:rFonts w:ascii="David" w:hAnsi="David"/>
          <w:rtl/>
          <w:lang w:eastAsia="he-IL"/>
        </w:rPr>
        <w:t xml:space="preserve"> (2009). </w:t>
      </w:r>
    </w:p>
    <w:p w14:paraId="42EA5B59" w14:textId="77777777" w:rsidR="00353157" w:rsidRPr="0048444C" w:rsidRDefault="00353157" w:rsidP="00353157">
      <w:pPr>
        <w:numPr>
          <w:ilvl w:val="0"/>
          <w:numId w:val="1"/>
        </w:numPr>
        <w:spacing w:before="240" w:after="240" w:line="360" w:lineRule="auto"/>
        <w:ind w:left="-63" w:hanging="357"/>
        <w:jc w:val="both"/>
        <w:rPr>
          <w:rtl/>
          <w:lang w:eastAsia="he-IL"/>
        </w:rPr>
      </w:pPr>
      <w:r w:rsidRPr="0048444C">
        <w:rPr>
          <w:rtl/>
          <w:lang w:eastAsia="he-IL"/>
        </w:rPr>
        <w:t>באשר ל</w:t>
      </w:r>
      <w:r w:rsidRPr="0048444C">
        <w:rPr>
          <w:b/>
          <w:bCs/>
          <w:rtl/>
          <w:lang w:eastAsia="he-IL"/>
        </w:rPr>
        <w:t>נסיבות ביצוע העבירה</w:t>
      </w:r>
      <w:r w:rsidRPr="0048444C">
        <w:rPr>
          <w:rtl/>
          <w:lang w:eastAsia="he-IL"/>
        </w:rPr>
        <w:t xml:space="preserve">, נתתי דעתי מחד לכך שהנאשם החזיק באגרופן במקום ציבורי, ומאידך לכך שהנאשם טען כי מדובר במחזיק מפתחות שקיבל במתנה, בו לא השתמש מעולם. </w:t>
      </w:r>
    </w:p>
    <w:p w14:paraId="33BF3DAC" w14:textId="77777777" w:rsidR="00353157" w:rsidRPr="0048444C" w:rsidRDefault="00353157" w:rsidP="00353157">
      <w:pPr>
        <w:numPr>
          <w:ilvl w:val="0"/>
          <w:numId w:val="1"/>
        </w:numPr>
        <w:spacing w:before="240" w:after="240" w:line="360" w:lineRule="auto"/>
        <w:ind w:left="-63" w:hanging="357"/>
        <w:jc w:val="both"/>
        <w:rPr>
          <w:rtl/>
          <w:lang w:eastAsia="he-IL"/>
        </w:rPr>
      </w:pPr>
      <w:r w:rsidRPr="0048444C">
        <w:rPr>
          <w:rtl/>
          <w:lang w:eastAsia="he-IL"/>
        </w:rPr>
        <w:t xml:space="preserve">בנסיבות המתוארות, מסקנתי היא כי </w:t>
      </w:r>
      <w:r w:rsidRPr="0048444C">
        <w:rPr>
          <w:b/>
          <w:bCs/>
          <w:rtl/>
          <w:lang w:eastAsia="he-IL"/>
        </w:rPr>
        <w:t>מידת הפגיעה</w:t>
      </w:r>
      <w:r w:rsidRPr="0048444C">
        <w:rPr>
          <w:rtl/>
          <w:lang w:eastAsia="he-IL"/>
        </w:rPr>
        <w:t xml:space="preserve"> בערכים המוגנים במקרה זה היא ברף הנמוך-בינוני.</w:t>
      </w:r>
    </w:p>
    <w:p w14:paraId="4AADCF3E" w14:textId="77777777" w:rsidR="00353157" w:rsidRPr="0048444C" w:rsidRDefault="00353157" w:rsidP="00353157">
      <w:pPr>
        <w:numPr>
          <w:ilvl w:val="0"/>
          <w:numId w:val="1"/>
        </w:numPr>
        <w:spacing w:before="240" w:after="240" w:line="360" w:lineRule="auto"/>
        <w:ind w:left="-63" w:hanging="357"/>
        <w:jc w:val="both"/>
        <w:rPr>
          <w:rFonts w:ascii="David" w:hAnsi="David"/>
          <w:b/>
          <w:bCs/>
          <w:rtl/>
          <w:lang w:eastAsia="he-IL"/>
        </w:rPr>
      </w:pPr>
      <w:r w:rsidRPr="0048444C">
        <w:rPr>
          <w:rtl/>
          <w:lang w:eastAsia="he-IL"/>
        </w:rPr>
        <w:t xml:space="preserve">בהתייחס למדיניות הענישה הנוהגת, </w:t>
      </w:r>
      <w:r w:rsidRPr="0048444C">
        <w:rPr>
          <w:b/>
          <w:bCs/>
          <w:rtl/>
          <w:lang w:eastAsia="he-IL"/>
        </w:rPr>
        <w:t>מתחם העונש ההולם הוא בין מאסר על תנאי לבין</w:t>
      </w:r>
      <w:r w:rsidRPr="0048444C">
        <w:rPr>
          <w:rFonts w:ascii="David" w:hAnsi="David"/>
          <w:b/>
          <w:bCs/>
          <w:rtl/>
          <w:lang w:eastAsia="he-IL"/>
        </w:rPr>
        <w:t xml:space="preserve"> </w:t>
      </w:r>
      <w:r w:rsidRPr="0048444C">
        <w:rPr>
          <w:b/>
          <w:bCs/>
          <w:rtl/>
          <w:lang w:eastAsia="he-IL"/>
        </w:rPr>
        <w:t xml:space="preserve">6 חודשי מאסר בפועל </w:t>
      </w:r>
      <w:r w:rsidRPr="0048444C">
        <w:rPr>
          <w:rFonts w:ascii="David" w:hAnsi="David"/>
          <w:rtl/>
          <w:lang w:eastAsia="he-IL"/>
        </w:rPr>
        <w:t xml:space="preserve">(וראו למשל </w:t>
      </w:r>
      <w:hyperlink r:id="rId36" w:history="1">
        <w:r w:rsidR="0063431F" w:rsidRPr="0063431F">
          <w:rPr>
            <w:rFonts w:ascii="David" w:hAnsi="David"/>
            <w:color w:val="0000FF"/>
            <w:u w:val="single"/>
            <w:rtl/>
            <w:lang w:eastAsia="he-IL"/>
          </w:rPr>
          <w:t>עפ (י-ם) 64851-12-17</w:t>
        </w:r>
      </w:hyperlink>
      <w:r w:rsidRPr="0048444C">
        <w:rPr>
          <w:rFonts w:ascii="David" w:hAnsi="David"/>
          <w:b/>
          <w:bCs/>
          <w:rtl/>
          <w:lang w:eastAsia="he-IL"/>
        </w:rPr>
        <w:t xml:space="preserve">‏ ‏ ינון משה נח נ' מדינת ישראל </w:t>
      </w:r>
      <w:r w:rsidRPr="0048444C">
        <w:rPr>
          <w:rFonts w:ascii="David" w:hAnsi="David"/>
          <w:rtl/>
          <w:lang w:eastAsia="he-IL"/>
        </w:rPr>
        <w:t>(16.10.18)</w:t>
      </w:r>
      <w:r w:rsidRPr="0048444C">
        <w:rPr>
          <w:rFonts w:ascii="David" w:hAnsi="David"/>
          <w:b/>
          <w:bCs/>
          <w:rtl/>
          <w:lang w:eastAsia="he-IL"/>
        </w:rPr>
        <w:t xml:space="preserve">; </w:t>
      </w:r>
      <w:hyperlink r:id="rId37" w:history="1">
        <w:r w:rsidR="0063431F" w:rsidRPr="0063431F">
          <w:rPr>
            <w:rFonts w:ascii="David" w:hAnsi="David"/>
            <w:color w:val="0000FF"/>
            <w:u w:val="single"/>
            <w:rtl/>
            <w:lang w:eastAsia="he-IL"/>
          </w:rPr>
          <w:t>ת"פ (תל-אביב) 7587-05-14</w:t>
        </w:r>
      </w:hyperlink>
      <w:r w:rsidRPr="0048444C">
        <w:rPr>
          <w:rFonts w:ascii="David" w:hAnsi="David"/>
          <w:rtl/>
          <w:lang w:eastAsia="he-IL"/>
        </w:rPr>
        <w:t xml:space="preserve"> </w:t>
      </w:r>
      <w:r w:rsidRPr="0048444C">
        <w:rPr>
          <w:rFonts w:ascii="David" w:hAnsi="David"/>
          <w:b/>
          <w:bCs/>
          <w:rtl/>
          <w:lang w:eastAsia="he-IL"/>
        </w:rPr>
        <w:t xml:space="preserve">מדינת ישראל נ' מושונוב </w:t>
      </w:r>
      <w:r w:rsidRPr="0048444C">
        <w:rPr>
          <w:rFonts w:ascii="David" w:hAnsi="David"/>
          <w:rtl/>
          <w:lang w:eastAsia="he-IL"/>
        </w:rPr>
        <w:t xml:space="preserve">(23.5.19); </w:t>
      </w:r>
      <w:hyperlink r:id="rId38" w:history="1">
        <w:r w:rsidR="0063431F" w:rsidRPr="0063431F">
          <w:rPr>
            <w:rFonts w:ascii="David" w:hAnsi="David"/>
            <w:color w:val="0000FF"/>
            <w:u w:val="single"/>
            <w:rtl/>
            <w:lang w:eastAsia="he-IL"/>
          </w:rPr>
          <w:t>ת"פ (תל-אביב) 71945-07-17</w:t>
        </w:r>
      </w:hyperlink>
      <w:r w:rsidRPr="0048444C">
        <w:rPr>
          <w:rFonts w:ascii="David" w:hAnsi="David"/>
          <w:rtl/>
          <w:lang w:eastAsia="he-IL"/>
        </w:rPr>
        <w:t xml:space="preserve"> </w:t>
      </w:r>
      <w:r w:rsidRPr="0048444C">
        <w:rPr>
          <w:rFonts w:ascii="David" w:hAnsi="David"/>
          <w:b/>
          <w:bCs/>
          <w:rtl/>
          <w:lang w:eastAsia="he-IL"/>
        </w:rPr>
        <w:t xml:space="preserve">מדינת ישראל נ' שייב </w:t>
      </w:r>
      <w:r w:rsidRPr="0048444C">
        <w:rPr>
          <w:rFonts w:ascii="David" w:hAnsi="David"/>
          <w:rtl/>
          <w:lang w:eastAsia="he-IL"/>
        </w:rPr>
        <w:t>(23.9.20)).</w:t>
      </w:r>
    </w:p>
    <w:p w14:paraId="08F45C9C" w14:textId="77777777" w:rsidR="00353157" w:rsidRPr="0048444C" w:rsidRDefault="00353157" w:rsidP="00353157">
      <w:pPr>
        <w:spacing w:after="160" w:line="360" w:lineRule="auto"/>
        <w:jc w:val="both"/>
        <w:rPr>
          <w:b/>
          <w:bCs/>
          <w:noProof/>
          <w:sz w:val="28"/>
          <w:szCs w:val="28"/>
          <w:u w:val="single"/>
        </w:rPr>
      </w:pPr>
      <w:r w:rsidRPr="0048444C">
        <w:rPr>
          <w:b/>
          <w:bCs/>
          <w:noProof/>
          <w:sz w:val="28"/>
          <w:szCs w:val="28"/>
          <w:u w:val="single"/>
          <w:rtl/>
        </w:rPr>
        <w:t xml:space="preserve">סטייה ממתחם העונש </w:t>
      </w:r>
    </w:p>
    <w:p w14:paraId="21919368" w14:textId="77777777" w:rsidR="00353157" w:rsidRPr="0048444C" w:rsidRDefault="00353157" w:rsidP="00353157">
      <w:pPr>
        <w:spacing w:before="240" w:after="240" w:line="360" w:lineRule="auto"/>
        <w:ind w:left="-63"/>
        <w:jc w:val="both"/>
        <w:rPr>
          <w:rFonts w:ascii="Calibri" w:hAnsi="Calibri"/>
          <w:highlight w:val="yellow"/>
          <w:rtl/>
          <w:lang w:eastAsia="he-IL"/>
        </w:rPr>
      </w:pPr>
      <w:r w:rsidRPr="007173F2">
        <w:rPr>
          <w:rFonts w:ascii="David" w:hAnsi="David"/>
          <w:rtl/>
          <w:lang w:eastAsia="he-IL"/>
        </w:rPr>
        <w:t>במקרה</w:t>
      </w:r>
      <w:r w:rsidRPr="0048444C">
        <w:rPr>
          <w:rFonts w:ascii="David" w:hAnsi="David"/>
          <w:color w:val="000000"/>
          <w:rtl/>
          <w:lang w:eastAsia="he-IL"/>
        </w:rPr>
        <w:t xml:space="preserve"> דנן, לא מצאתי כי קיימים שיקולים אשר מצדיקים סטייה מהמתחם, לחומרה או לקולא.</w:t>
      </w:r>
    </w:p>
    <w:p w14:paraId="68D0C23D" w14:textId="77777777" w:rsidR="00353157" w:rsidRPr="0048444C" w:rsidRDefault="00353157" w:rsidP="00353157">
      <w:pPr>
        <w:spacing w:after="160" w:line="360" w:lineRule="auto"/>
        <w:jc w:val="both"/>
        <w:rPr>
          <w:b/>
          <w:bCs/>
          <w:noProof/>
          <w:sz w:val="28"/>
          <w:szCs w:val="28"/>
          <w:rtl/>
        </w:rPr>
      </w:pPr>
      <w:r w:rsidRPr="007173F2">
        <w:rPr>
          <w:b/>
          <w:bCs/>
          <w:noProof/>
          <w:sz w:val="28"/>
          <w:szCs w:val="28"/>
          <w:rtl/>
        </w:rPr>
        <w:t>מיקום הנאשם בתוך</w:t>
      </w:r>
      <w:r w:rsidRPr="0048444C">
        <w:rPr>
          <w:b/>
          <w:bCs/>
          <w:noProof/>
          <w:sz w:val="28"/>
          <w:szCs w:val="28"/>
          <w:rtl/>
        </w:rPr>
        <w:t xml:space="preserve"> המתחם</w:t>
      </w:r>
    </w:p>
    <w:p w14:paraId="2BB8869D" w14:textId="77777777" w:rsidR="00353157" w:rsidRPr="0048444C" w:rsidRDefault="00353157" w:rsidP="00353157">
      <w:pPr>
        <w:numPr>
          <w:ilvl w:val="0"/>
          <w:numId w:val="1"/>
        </w:numPr>
        <w:spacing w:before="240" w:after="240" w:line="360" w:lineRule="auto"/>
        <w:ind w:left="-63" w:hanging="357"/>
        <w:jc w:val="both"/>
        <w:rPr>
          <w:rtl/>
          <w:lang w:eastAsia="he-IL"/>
        </w:rPr>
      </w:pPr>
      <w:r w:rsidRPr="0048444C">
        <w:rPr>
          <w:rtl/>
          <w:lang w:eastAsia="he-IL"/>
        </w:rPr>
        <w:t xml:space="preserve">כמצוות המחוקק, </w:t>
      </w:r>
      <w:hyperlink r:id="rId39" w:history="1">
        <w:r w:rsidR="0041027B" w:rsidRPr="0041027B">
          <w:rPr>
            <w:rStyle w:val="Hyperlink"/>
            <w:rtl/>
            <w:lang w:eastAsia="he-IL"/>
          </w:rPr>
          <w:t>בסעיף 40יא</w:t>
        </w:r>
      </w:hyperlink>
      <w:r w:rsidRPr="0048444C">
        <w:rPr>
          <w:rtl/>
          <w:lang w:eastAsia="he-IL"/>
        </w:rPr>
        <w:t xml:space="preserve"> לחוק, על בית המשפט לקחת בחשבון, בעת ענישת הנאשם, את נסיבותיו האישיות אשר אינן קשורות בביצוע העבירה. במקרה דנן נסיבות אלו נלמדות מטיעוני ההגנה, מתסקיר שירות המבחן ומדברי הנאשם.</w:t>
      </w:r>
    </w:p>
    <w:p w14:paraId="6110F074" w14:textId="77777777" w:rsidR="00353157" w:rsidRPr="0048444C" w:rsidRDefault="00353157" w:rsidP="00353157">
      <w:pPr>
        <w:spacing w:after="160" w:line="360" w:lineRule="auto"/>
        <w:jc w:val="both"/>
        <w:rPr>
          <w:b/>
          <w:bCs/>
          <w:u w:val="single"/>
          <w:lang w:eastAsia="he-IL"/>
        </w:rPr>
      </w:pPr>
      <w:r w:rsidRPr="0048444C">
        <w:rPr>
          <w:b/>
          <w:bCs/>
          <w:u w:val="single"/>
          <w:rtl/>
          <w:lang w:eastAsia="he-IL"/>
        </w:rPr>
        <w:t>הנסיבות הקונקרטיות</w:t>
      </w:r>
    </w:p>
    <w:p w14:paraId="61E56D8D" w14:textId="77777777" w:rsidR="00353157" w:rsidRPr="0048444C" w:rsidRDefault="00353157" w:rsidP="00353157">
      <w:pPr>
        <w:numPr>
          <w:ilvl w:val="0"/>
          <w:numId w:val="1"/>
        </w:numPr>
        <w:spacing w:before="240" w:after="240" w:line="360" w:lineRule="auto"/>
        <w:ind w:left="-63" w:hanging="357"/>
        <w:jc w:val="both"/>
        <w:rPr>
          <w:rtl/>
          <w:lang w:eastAsia="he-IL"/>
        </w:rPr>
      </w:pPr>
      <w:r w:rsidRPr="0048444C">
        <w:rPr>
          <w:rtl/>
          <w:lang w:eastAsia="he-IL"/>
        </w:rPr>
        <w:t xml:space="preserve">הנאשם יליד 1993, רווק, מתגורר בבית הוריו בחולון, בעלים ומנהל עסק בתחום התקנת צנרת ומיזוג. </w:t>
      </w:r>
    </w:p>
    <w:p w14:paraId="39A8AB24" w14:textId="77777777" w:rsidR="00353157" w:rsidRPr="0048444C" w:rsidRDefault="00353157" w:rsidP="00353157">
      <w:pPr>
        <w:numPr>
          <w:ilvl w:val="0"/>
          <w:numId w:val="1"/>
        </w:numPr>
        <w:spacing w:before="240" w:after="240" w:line="360" w:lineRule="auto"/>
        <w:ind w:left="-63" w:hanging="357"/>
        <w:jc w:val="both"/>
        <w:rPr>
          <w:lang w:eastAsia="he-IL"/>
        </w:rPr>
      </w:pPr>
      <w:r w:rsidRPr="0048444C">
        <w:rPr>
          <w:rtl/>
          <w:lang w:eastAsia="he-IL"/>
        </w:rPr>
        <w:t xml:space="preserve">הנאשם הודה במסגרת הסדר טיעון בכתב האישום, וכן צירף את </w:t>
      </w:r>
      <w:hyperlink r:id="rId40" w:history="1">
        <w:r w:rsidR="0063431F" w:rsidRPr="0063431F">
          <w:rPr>
            <w:color w:val="0000FF"/>
            <w:u w:val="single"/>
            <w:rtl/>
            <w:lang w:eastAsia="he-IL"/>
          </w:rPr>
          <w:t>ת"פ 72063-03-19</w:t>
        </w:r>
      </w:hyperlink>
      <w:r w:rsidRPr="0048444C">
        <w:rPr>
          <w:rtl/>
          <w:lang w:eastAsia="he-IL"/>
        </w:rPr>
        <w:t xml:space="preserve"> ובכך חסך בזמן שיפוטי ונטל אחריות על מעשיו. </w:t>
      </w:r>
    </w:p>
    <w:p w14:paraId="16BA53A8" w14:textId="77777777" w:rsidR="00353157" w:rsidRPr="007173F2" w:rsidRDefault="00353157" w:rsidP="00353157">
      <w:pPr>
        <w:spacing w:before="240" w:after="240" w:line="360" w:lineRule="auto"/>
        <w:ind w:left="-63"/>
        <w:jc w:val="both"/>
        <w:rPr>
          <w:rFonts w:ascii="David" w:hAnsi="David"/>
          <w:color w:val="000000"/>
          <w:lang w:eastAsia="he-IL"/>
        </w:rPr>
      </w:pPr>
      <w:r w:rsidRPr="007173F2">
        <w:rPr>
          <w:rFonts w:ascii="David" w:hAnsi="David"/>
          <w:color w:val="000000"/>
          <w:rtl/>
          <w:lang w:eastAsia="he-IL"/>
        </w:rPr>
        <w:t xml:space="preserve">הנאשם לא עבר הליך טיפולי במסגרת שירות המבחן, והיום אנו נמצאים בחלוף כמעט שנתיים מאז הכרעת הדין בעניינו, שניתנה ביום 24.09.19. הנאשם טרם מיצה את ההליך השיקומי, אליו ביקש סנגורו להפנותו. עוד נראה כי בחלוף הזמן, מידת שיתוף הפעולה של הנאשם עם שירות המבחן יורדת, עדיין עולים קשיים בשיתוף הפעולה, ושירות המבחן, בתסקירו לדיון הנוכחי, התרשם כי הנאשם בעל דפוסי חשיבה בלתי בשלים וילדותיים וכי הנאשם נוקט בדפוסי טשטוש והסתרה בהתנהלותו, במיוחד סביב השימוש בסמים. הנאשם סירב למסור דגימות שתן תקופה ארוכה, ובחודש מרץ האחרון, בדיקת שתן אותה מסר נמצאה חיובית לשרידי סם מסוג קוקאין, וכן בחודש יוני בדיקה אותה מסר נמצאה חיובית לשרידי קנאביס. לבדיקה נוספת שנקבעה לא הגיע מבלי להודיע על כך. </w:t>
      </w:r>
    </w:p>
    <w:p w14:paraId="052803C4" w14:textId="77777777" w:rsidR="00353157" w:rsidRPr="007173F2" w:rsidRDefault="00353157" w:rsidP="00353157">
      <w:pPr>
        <w:spacing w:before="240" w:after="240" w:line="360" w:lineRule="auto"/>
        <w:ind w:left="-63"/>
        <w:jc w:val="both"/>
        <w:rPr>
          <w:rFonts w:ascii="David" w:hAnsi="David"/>
          <w:color w:val="000000"/>
          <w:rtl/>
          <w:lang w:eastAsia="he-IL"/>
        </w:rPr>
      </w:pPr>
      <w:r w:rsidRPr="007173F2">
        <w:rPr>
          <w:rFonts w:ascii="David" w:hAnsi="David"/>
          <w:color w:val="000000"/>
          <w:rtl/>
          <w:lang w:eastAsia="he-IL"/>
        </w:rPr>
        <w:t>כמו כן, הנאשם הציג ביוני 2021 אישור לקנאביס רפואי, זאת מבלי ששיתף את השירות בתהליך הוצאת הרישיון, ושירות המבחן התרשם כי הנאשם מוסר מידע חלקי ודפוסי הסתרה באשר לצריכת הסמים.</w:t>
      </w:r>
    </w:p>
    <w:p w14:paraId="6B251E5D" w14:textId="77777777" w:rsidR="00353157" w:rsidRPr="0048444C" w:rsidRDefault="00353157" w:rsidP="00353157">
      <w:pPr>
        <w:numPr>
          <w:ilvl w:val="0"/>
          <w:numId w:val="1"/>
        </w:numPr>
        <w:spacing w:before="240" w:after="240" w:line="360" w:lineRule="auto"/>
        <w:ind w:left="-63" w:hanging="357"/>
        <w:jc w:val="both"/>
        <w:rPr>
          <w:lang w:eastAsia="he-IL"/>
        </w:rPr>
      </w:pPr>
      <w:r w:rsidRPr="0048444C">
        <w:rPr>
          <w:rtl/>
          <w:lang w:eastAsia="he-IL"/>
        </w:rPr>
        <w:t>מאידך, בקביעת עונשו של הנאשם נתתי דעתי למצבה הרפואי של אחותו ולהשפעה האפשרית של עונשו על מצבה, נוכח הקשר ביניהם, כפי שעולה מתסקיר שירות המבחן. עוד נתתי דעתי לפגיעה האפשרית של העונש בנאשם, נוכח עיסוקו, הגם שההגנה לא סיפקה מסמכים המעידים על פגיעה קונקרטית.</w:t>
      </w:r>
    </w:p>
    <w:p w14:paraId="0A0ABD6A" w14:textId="77777777" w:rsidR="00353157" w:rsidRPr="0048444C" w:rsidRDefault="00353157" w:rsidP="00353157">
      <w:pPr>
        <w:numPr>
          <w:ilvl w:val="0"/>
          <w:numId w:val="1"/>
        </w:numPr>
        <w:spacing w:before="240" w:after="240" w:line="360" w:lineRule="auto"/>
        <w:ind w:left="-63" w:hanging="357"/>
        <w:jc w:val="both"/>
        <w:rPr>
          <w:lang w:eastAsia="he-IL"/>
        </w:rPr>
      </w:pPr>
      <w:r w:rsidRPr="0048444C">
        <w:rPr>
          <w:rtl/>
          <w:lang w:eastAsia="he-IL"/>
        </w:rPr>
        <w:t>עוד נתתי דעתי לחלוף הזמן, שכן מדובר בעבירות משנת 2018, ומאז לא נפתחו לנאשם תיקים נוספים, ולהיותו נעדר עבר פלילי.</w:t>
      </w:r>
    </w:p>
    <w:p w14:paraId="59114713" w14:textId="77777777" w:rsidR="00353157" w:rsidRPr="0048444C" w:rsidRDefault="00353157" w:rsidP="00353157">
      <w:pPr>
        <w:numPr>
          <w:ilvl w:val="0"/>
          <w:numId w:val="1"/>
        </w:numPr>
        <w:spacing w:before="240" w:after="240" w:line="360" w:lineRule="auto"/>
        <w:ind w:left="-63" w:hanging="357"/>
        <w:jc w:val="both"/>
        <w:rPr>
          <w:lang w:eastAsia="he-IL"/>
        </w:rPr>
      </w:pPr>
      <w:r w:rsidRPr="0048444C">
        <w:rPr>
          <w:rtl/>
          <w:lang w:eastAsia="he-IL"/>
        </w:rPr>
        <w:t>שירות המבחן בתסקירו האחרון ממליץ לבית המשפט לבכר את הפן השיקומי ולהטיל על הנאשם צו מבחן, לצד צו של"צ, בהיקף של 200 שעות. שירות המבחן סבור כי צו השל"צ יהווה עבור הנאשם ענישה מוחשית וקונקרטית אשר תתן ביטוי לחומרת מעשיו ולצד זאת תאפשר לו להשקיע מאמצים בהליך הטיפולי הדרוש לו.</w:t>
      </w:r>
    </w:p>
    <w:p w14:paraId="06E08D41" w14:textId="77777777" w:rsidR="00353157" w:rsidRDefault="00353157" w:rsidP="00353157">
      <w:pPr>
        <w:numPr>
          <w:ilvl w:val="0"/>
          <w:numId w:val="1"/>
        </w:numPr>
        <w:spacing w:before="240" w:after="240" w:line="360" w:lineRule="auto"/>
        <w:ind w:left="-63" w:hanging="357"/>
        <w:jc w:val="both"/>
        <w:rPr>
          <w:sz w:val="20"/>
          <w:lang w:eastAsia="he-IL"/>
        </w:rPr>
      </w:pPr>
      <w:r w:rsidRPr="0048444C">
        <w:rPr>
          <w:sz w:val="20"/>
          <w:rtl/>
          <w:lang w:eastAsia="he-IL"/>
        </w:rPr>
        <w:t xml:space="preserve">אכן </w:t>
      </w:r>
      <w:r w:rsidRPr="007173F2">
        <w:rPr>
          <w:rtl/>
          <w:lang w:eastAsia="he-IL"/>
        </w:rPr>
        <w:t>האינטרס</w:t>
      </w:r>
      <w:r w:rsidRPr="0048444C">
        <w:rPr>
          <w:sz w:val="20"/>
          <w:rtl/>
          <w:lang w:eastAsia="he-IL"/>
        </w:rPr>
        <w:t xml:space="preserve"> הנוגע לשיקומו של הנאשם משרת את החברה בכללותה. יחד עם זאת, אינטרס זה מהווה אך שיקול אחד מבין מכלול השיקולים העומדים בפני בית המשפט בבואו לגזור את עונשו של הנאשם (ולעניין זה ראו </w:t>
      </w:r>
      <w:hyperlink r:id="rId41" w:history="1">
        <w:r w:rsidR="0063431F" w:rsidRPr="0063431F">
          <w:rPr>
            <w:b/>
            <w:bCs/>
            <w:color w:val="0000FF"/>
            <w:sz w:val="20"/>
            <w:u w:val="single"/>
            <w:rtl/>
            <w:lang w:eastAsia="he-IL"/>
          </w:rPr>
          <w:t>רע"פ 1787/15</w:t>
        </w:r>
      </w:hyperlink>
      <w:r w:rsidRPr="0048444C">
        <w:rPr>
          <w:b/>
          <w:bCs/>
          <w:sz w:val="20"/>
          <w:rtl/>
          <w:lang w:eastAsia="he-IL"/>
        </w:rPr>
        <w:t xml:space="preserve"> עמר נ' מדינת ישראל</w:t>
      </w:r>
      <w:r w:rsidRPr="0048444C">
        <w:rPr>
          <w:sz w:val="20"/>
          <w:rtl/>
          <w:lang w:eastAsia="he-IL"/>
        </w:rPr>
        <w:t>).</w:t>
      </w:r>
    </w:p>
    <w:p w14:paraId="6F97B8EC" w14:textId="77777777" w:rsidR="00353157" w:rsidRPr="0048444C" w:rsidRDefault="00353157" w:rsidP="00353157">
      <w:pPr>
        <w:numPr>
          <w:ilvl w:val="0"/>
          <w:numId w:val="1"/>
        </w:numPr>
        <w:spacing w:before="240" w:after="240" w:line="360" w:lineRule="auto"/>
        <w:ind w:left="-63" w:hanging="357"/>
        <w:jc w:val="both"/>
        <w:rPr>
          <w:lang w:eastAsia="he-IL"/>
        </w:rPr>
      </w:pPr>
      <w:r w:rsidRPr="0048444C">
        <w:rPr>
          <w:sz w:val="20"/>
          <w:rtl/>
          <w:lang w:eastAsia="he-IL"/>
        </w:rPr>
        <w:t>לאחר ששמעתי את טיעוני הצדדים, לא מצאתי כי תיק זה מצדיק סטייה ממתחם העונש ההולם. אכן הנאשם היה מטופל במסגרת שירות המבחן תקופה ארוכה, אך לא ניכר כי הנאשם עבר תהליך בשירות המבחן, אשר יש בו כדי להצדיק סטייה זו. לצד זאת, נסיבות ביצוע העבירות מלמדות על חומרה לא מבוטלת.</w:t>
      </w:r>
    </w:p>
    <w:p w14:paraId="2A9E2C6C" w14:textId="77777777" w:rsidR="00353157" w:rsidRPr="0048444C" w:rsidRDefault="00353157" w:rsidP="00353157">
      <w:pPr>
        <w:numPr>
          <w:ilvl w:val="0"/>
          <w:numId w:val="1"/>
        </w:numPr>
        <w:spacing w:before="240" w:after="240" w:line="360" w:lineRule="auto"/>
        <w:ind w:left="-63" w:hanging="357"/>
        <w:jc w:val="both"/>
        <w:rPr>
          <w:rtl/>
          <w:lang w:eastAsia="he-IL"/>
        </w:rPr>
      </w:pPr>
      <w:r w:rsidRPr="0048444C">
        <w:rPr>
          <w:rtl/>
          <w:lang w:eastAsia="he-IL"/>
        </w:rPr>
        <w:t xml:space="preserve">עם זאת, לאור מכלול הנסיבות שאינן קשורות בביצוע העבירות אותן פירטתי לעיל, מצאתי לנכון למקם את הנאשם </w:t>
      </w:r>
      <w:r w:rsidRPr="0048444C">
        <w:rPr>
          <w:b/>
          <w:bCs/>
          <w:rtl/>
          <w:lang w:eastAsia="he-IL"/>
        </w:rPr>
        <w:t>ברף הנמוך של המתחם</w:t>
      </w:r>
      <w:r w:rsidRPr="0048444C">
        <w:rPr>
          <w:rtl/>
          <w:lang w:eastAsia="he-IL"/>
        </w:rPr>
        <w:t>, לגבי עבירת הסמים, ולקבל ולאשר את ההסכמה העונשית לגבי עבירת החזקת האגרופן.</w:t>
      </w:r>
    </w:p>
    <w:p w14:paraId="111AFA49" w14:textId="77777777" w:rsidR="00353157" w:rsidRPr="0048444C" w:rsidRDefault="00353157" w:rsidP="00353157">
      <w:pPr>
        <w:numPr>
          <w:ilvl w:val="0"/>
          <w:numId w:val="1"/>
        </w:numPr>
        <w:spacing w:before="240" w:after="240" w:line="360" w:lineRule="auto"/>
        <w:ind w:left="-63" w:hanging="357"/>
        <w:jc w:val="both"/>
        <w:rPr>
          <w:lang w:eastAsia="he-IL"/>
        </w:rPr>
      </w:pPr>
      <w:r w:rsidRPr="0048444C">
        <w:rPr>
          <w:rtl/>
          <w:lang w:eastAsia="he-IL"/>
        </w:rPr>
        <w:t>מאחר ופטור בלא כלום אי אפשר, ועל בית המשפט מוטלת חובה לבטא את חומרת העבירות בענישה קונקרטית וממשית. לנוכח הנתונים, מצאתי מקום להשתת מאסר בפועל גם אם קצר, ועל דרך עבודות שירות.</w:t>
      </w:r>
    </w:p>
    <w:p w14:paraId="53008E32" w14:textId="77777777" w:rsidR="00353157" w:rsidRPr="0048444C" w:rsidRDefault="00353157" w:rsidP="00353157">
      <w:pPr>
        <w:spacing w:after="160" w:line="360" w:lineRule="auto"/>
        <w:jc w:val="both"/>
        <w:rPr>
          <w:b/>
          <w:bCs/>
          <w:noProof/>
          <w:sz w:val="28"/>
          <w:szCs w:val="28"/>
          <w:u w:val="single"/>
          <w:rtl/>
        </w:rPr>
      </w:pPr>
      <w:r w:rsidRPr="0048444C">
        <w:rPr>
          <w:b/>
          <w:bCs/>
          <w:noProof/>
          <w:sz w:val="28"/>
          <w:szCs w:val="28"/>
          <w:u w:val="single"/>
          <w:rtl/>
        </w:rPr>
        <w:t>עונש כולל או נפרד וחפיפה או הצטברות בין המתחמים</w:t>
      </w:r>
    </w:p>
    <w:p w14:paraId="575BFF89" w14:textId="77777777" w:rsidR="00353157" w:rsidRPr="0048444C" w:rsidRDefault="00353157" w:rsidP="00353157">
      <w:pPr>
        <w:numPr>
          <w:ilvl w:val="0"/>
          <w:numId w:val="1"/>
        </w:numPr>
        <w:spacing w:before="240" w:after="240" w:line="360" w:lineRule="auto"/>
        <w:ind w:left="-63" w:hanging="357"/>
        <w:jc w:val="both"/>
        <w:rPr>
          <w:lang w:eastAsia="he-IL"/>
        </w:rPr>
      </w:pPr>
      <w:r w:rsidRPr="0048444C">
        <w:rPr>
          <w:rtl/>
          <w:lang w:eastAsia="he-IL"/>
        </w:rPr>
        <w:t xml:space="preserve">לאור העובדה שמדובר בשתי עבירות שבוצעו בשנת 2018 על ידי הנאשם, כשהוא נעדר עבר פלילי, עליהן נותן את הדין לאחר שביצע צירוף תיקים, מצאתי שנכון לגזור על הנאשם עונש כולל אחד. </w:t>
      </w:r>
    </w:p>
    <w:p w14:paraId="7F670FC5" w14:textId="77777777" w:rsidR="00353157" w:rsidRPr="0048444C" w:rsidRDefault="00353157" w:rsidP="00353157">
      <w:pPr>
        <w:spacing w:after="160" w:line="360" w:lineRule="auto"/>
        <w:jc w:val="both"/>
        <w:rPr>
          <w:b/>
          <w:bCs/>
          <w:noProof/>
          <w:color w:val="000000"/>
          <w:sz w:val="28"/>
          <w:szCs w:val="28"/>
          <w:u w:val="single"/>
          <w:rtl/>
        </w:rPr>
      </w:pPr>
      <w:r w:rsidRPr="0048444C">
        <w:rPr>
          <w:b/>
          <w:bCs/>
          <w:noProof/>
          <w:color w:val="000000"/>
          <w:sz w:val="28"/>
          <w:szCs w:val="28"/>
          <w:u w:val="single"/>
          <w:rtl/>
        </w:rPr>
        <w:t>סוף דבר</w:t>
      </w:r>
    </w:p>
    <w:p w14:paraId="2FD4F313" w14:textId="77777777" w:rsidR="00353157" w:rsidRPr="0048444C" w:rsidRDefault="00353157" w:rsidP="00353157">
      <w:pPr>
        <w:numPr>
          <w:ilvl w:val="0"/>
          <w:numId w:val="1"/>
        </w:numPr>
        <w:spacing w:before="240" w:after="240" w:line="360" w:lineRule="auto"/>
        <w:ind w:left="-63" w:hanging="357"/>
        <w:jc w:val="both"/>
        <w:rPr>
          <w:color w:val="000000"/>
          <w:sz w:val="20"/>
          <w:rtl/>
          <w:lang w:eastAsia="he-IL"/>
        </w:rPr>
      </w:pPr>
      <w:r w:rsidRPr="0048444C">
        <w:rPr>
          <w:color w:val="000000"/>
          <w:sz w:val="20"/>
          <w:rtl/>
          <w:lang w:eastAsia="he-IL"/>
        </w:rPr>
        <w:t xml:space="preserve">לצד האינטרס הציבורי הדורש ענישה מוחשית ומרתיעה בעבירות כגון דא, יש לזכור ולהזכיר כי הענישה, גם לאחר תיקון 113, היא לעולם </w:t>
      </w:r>
      <w:r w:rsidRPr="0048444C">
        <w:rPr>
          <w:b/>
          <w:bCs/>
          <w:color w:val="000000"/>
          <w:sz w:val="20"/>
          <w:rtl/>
          <w:lang w:eastAsia="he-IL"/>
        </w:rPr>
        <w:t>אינדיבידואלית</w:t>
      </w:r>
      <w:r w:rsidRPr="0048444C">
        <w:rPr>
          <w:color w:val="000000"/>
          <w:sz w:val="20"/>
          <w:rtl/>
          <w:lang w:eastAsia="he-IL"/>
        </w:rPr>
        <w:t>. לעניין זה יפים הדברים שנאמרו ב</w:t>
      </w:r>
      <w:hyperlink r:id="rId42" w:history="1">
        <w:r w:rsidR="0063431F" w:rsidRPr="0063431F">
          <w:rPr>
            <w:color w:val="0000FF"/>
            <w:sz w:val="20"/>
            <w:u w:val="single"/>
            <w:rtl/>
            <w:lang w:eastAsia="he-IL"/>
          </w:rPr>
          <w:t>ע״פ 433/89</w:t>
        </w:r>
      </w:hyperlink>
      <w:r w:rsidRPr="0048444C">
        <w:rPr>
          <w:b/>
          <w:bCs/>
          <w:color w:val="000000"/>
          <w:sz w:val="20"/>
          <w:rtl/>
          <w:lang w:eastAsia="he-IL"/>
        </w:rPr>
        <w:t xml:space="preserve"> אטיאס נגד מדינת ישראל</w:t>
      </w:r>
      <w:r w:rsidRPr="0048444C">
        <w:rPr>
          <w:color w:val="000000"/>
          <w:sz w:val="20"/>
          <w:rtl/>
          <w:lang w:eastAsia="he-IL"/>
        </w:rPr>
        <w:t xml:space="preserve"> (פורסם במאגרים המשפטיים) (03.10.1989):</w:t>
      </w:r>
    </w:p>
    <w:p w14:paraId="177DF925" w14:textId="77777777" w:rsidR="00353157" w:rsidRPr="0048444C" w:rsidRDefault="00353157" w:rsidP="00353157">
      <w:pPr>
        <w:spacing w:after="80" w:line="360" w:lineRule="auto"/>
        <w:ind w:left="720" w:right="680"/>
        <w:jc w:val="both"/>
        <w:rPr>
          <w:b/>
          <w:bCs/>
          <w:noProof/>
          <w:color w:val="000000"/>
          <w:rtl/>
        </w:rPr>
      </w:pPr>
      <w:r w:rsidRPr="0048444C">
        <w:rPr>
          <w:b/>
          <w:bCs/>
          <w:noProof/>
          <w:color w:val="000000"/>
          <w:rtl/>
        </w:rPr>
        <w:t>״זאת תורת הגישה האינדיווידואלית בתורת הענישה, המקובלת עלינו כקו מנחה בסוגיה קשה וסבוכה זו של הענישה ומטרותיה, ואין אנו רשאים ל"הקל" על עצמנו ולהחמיר עם הנאשם, מתוך הסתמכות על הנימוק והחשש שמא הקלה במקרה מסוים הראוי לכך תשמש תקדים למקרים אחרים שאינם ראויים לכך. חזקה על בית המשפט שיידע להבחין בין מקרה למקרה לגופן של נסיבות ולעיצומם של דברים״</w:t>
      </w:r>
    </w:p>
    <w:p w14:paraId="56CBC0BB" w14:textId="77777777" w:rsidR="00353157" w:rsidRPr="0048444C" w:rsidRDefault="00353157" w:rsidP="00353157">
      <w:pPr>
        <w:numPr>
          <w:ilvl w:val="0"/>
          <w:numId w:val="1"/>
        </w:numPr>
        <w:spacing w:before="240" w:after="240" w:line="360" w:lineRule="auto"/>
        <w:ind w:left="-63" w:hanging="357"/>
        <w:jc w:val="both"/>
        <w:rPr>
          <w:color w:val="000000"/>
          <w:lang w:eastAsia="he-IL"/>
        </w:rPr>
      </w:pPr>
      <w:r w:rsidRPr="0048444C">
        <w:rPr>
          <w:color w:val="000000"/>
          <w:rtl/>
          <w:lang w:eastAsia="he-IL"/>
        </w:rPr>
        <w:t xml:space="preserve">הנני גוזרת על </w:t>
      </w:r>
      <w:r w:rsidRPr="007173F2">
        <w:rPr>
          <w:color w:val="000000"/>
          <w:sz w:val="20"/>
          <w:rtl/>
          <w:lang w:eastAsia="he-IL"/>
        </w:rPr>
        <w:t>הנאשם</w:t>
      </w:r>
      <w:r w:rsidRPr="0048444C">
        <w:rPr>
          <w:color w:val="000000"/>
          <w:rtl/>
          <w:lang w:eastAsia="he-IL"/>
        </w:rPr>
        <w:t xml:space="preserve"> כדלקמן:</w:t>
      </w:r>
    </w:p>
    <w:p w14:paraId="61AD99ED" w14:textId="77777777" w:rsidR="00353157" w:rsidRPr="0048444C" w:rsidRDefault="00353157" w:rsidP="00353157">
      <w:pPr>
        <w:numPr>
          <w:ilvl w:val="1"/>
          <w:numId w:val="2"/>
        </w:numPr>
        <w:spacing w:after="80" w:line="360" w:lineRule="auto"/>
        <w:ind w:left="360"/>
        <w:contextualSpacing/>
        <w:jc w:val="both"/>
        <w:rPr>
          <w:b/>
          <w:bCs/>
          <w:color w:val="000000"/>
          <w:sz w:val="20"/>
          <w:rtl/>
          <w:lang w:eastAsia="he-IL"/>
        </w:rPr>
      </w:pPr>
      <w:r w:rsidRPr="0048444C">
        <w:rPr>
          <w:b/>
          <w:bCs/>
          <w:color w:val="000000"/>
          <w:sz w:val="20"/>
          <w:rtl/>
          <w:lang w:eastAsia="he-IL"/>
        </w:rPr>
        <w:t>מאסר לתקופה של 30 יום, שירוצה בדרך של עבודות שירות.</w:t>
      </w:r>
    </w:p>
    <w:p w14:paraId="5BF70AB0" w14:textId="77777777" w:rsidR="00353157" w:rsidRPr="0048444C" w:rsidRDefault="00353157" w:rsidP="00353157">
      <w:pPr>
        <w:numPr>
          <w:ilvl w:val="1"/>
          <w:numId w:val="2"/>
        </w:numPr>
        <w:spacing w:after="80" w:line="360" w:lineRule="auto"/>
        <w:ind w:left="360"/>
        <w:contextualSpacing/>
        <w:jc w:val="both"/>
        <w:rPr>
          <w:color w:val="000000"/>
          <w:sz w:val="20"/>
          <w:lang w:eastAsia="he-IL"/>
        </w:rPr>
      </w:pPr>
      <w:r w:rsidRPr="0048444C">
        <w:rPr>
          <w:color w:val="000000"/>
          <w:sz w:val="20"/>
          <w:rtl/>
          <w:lang w:eastAsia="he-IL"/>
        </w:rPr>
        <w:t xml:space="preserve">אני מטילה על הנאשם ביצוען של העבודות המפורטות בחוות דעתו של הממונה על עבודות השירות, עפ"י הוראות סעיף </w:t>
      </w:r>
      <w:hyperlink r:id="rId43" w:history="1">
        <w:r w:rsidR="0041027B" w:rsidRPr="0041027B">
          <w:rPr>
            <w:rStyle w:val="Hyperlink"/>
            <w:sz w:val="20"/>
            <w:rtl/>
            <w:lang w:eastAsia="he-IL"/>
          </w:rPr>
          <w:t>1 ב(ב)</w:t>
        </w:r>
      </w:hyperlink>
      <w:r w:rsidRPr="0048444C">
        <w:rPr>
          <w:color w:val="000000"/>
          <w:sz w:val="20"/>
          <w:rtl/>
          <w:lang w:eastAsia="he-IL"/>
        </w:rPr>
        <w:t xml:space="preserve"> ל</w:t>
      </w:r>
      <w:hyperlink r:id="rId44" w:history="1">
        <w:r w:rsidR="0063431F" w:rsidRPr="0063431F">
          <w:rPr>
            <w:color w:val="0000FF"/>
            <w:sz w:val="20"/>
            <w:u w:val="single"/>
            <w:rtl/>
            <w:lang w:eastAsia="he-IL"/>
          </w:rPr>
          <w:t>חוק העונשין</w:t>
        </w:r>
      </w:hyperlink>
      <w:r w:rsidRPr="0048444C">
        <w:rPr>
          <w:color w:val="000000"/>
          <w:sz w:val="20"/>
          <w:rtl/>
          <w:lang w:eastAsia="he-IL"/>
        </w:rPr>
        <w:t>, תשל"ז – 1977. הנאשם יבצע את עבודות השירות ב"בית לשובע", בכתובת צ'לנוב 18 בתל אביב-יפו.</w:t>
      </w:r>
    </w:p>
    <w:p w14:paraId="2F61E9DD" w14:textId="77777777" w:rsidR="00353157" w:rsidRPr="0048444C" w:rsidRDefault="00353157" w:rsidP="00353157">
      <w:pPr>
        <w:numPr>
          <w:ilvl w:val="1"/>
          <w:numId w:val="2"/>
        </w:numPr>
        <w:spacing w:after="80" w:line="360" w:lineRule="auto"/>
        <w:ind w:left="360"/>
        <w:contextualSpacing/>
        <w:jc w:val="both"/>
        <w:rPr>
          <w:color w:val="000000"/>
          <w:sz w:val="20"/>
          <w:lang w:eastAsia="he-IL"/>
        </w:rPr>
      </w:pPr>
      <w:r w:rsidRPr="0048444C">
        <w:rPr>
          <w:color w:val="000000"/>
          <w:sz w:val="20"/>
          <w:rtl/>
          <w:lang w:eastAsia="he-IL"/>
        </w:rPr>
        <w:t>תחילתן של ביצוע העבודות ביום 26/10/2021, והן תיהיינה בפיקוח מפקח אחראיאלעד דרור, מפקח על עבודות שירות. טלפון: 0504062509.</w:t>
      </w:r>
    </w:p>
    <w:p w14:paraId="5A559AA6" w14:textId="77777777" w:rsidR="00353157" w:rsidRPr="0048444C" w:rsidRDefault="00353157" w:rsidP="00353157">
      <w:pPr>
        <w:snapToGrid w:val="0"/>
        <w:spacing w:after="80" w:line="360" w:lineRule="auto"/>
        <w:ind w:left="360"/>
        <w:contextualSpacing/>
        <w:jc w:val="both"/>
        <w:rPr>
          <w:b/>
          <w:bCs/>
          <w:color w:val="000000"/>
          <w:sz w:val="20"/>
          <w:lang w:eastAsia="he-IL"/>
        </w:rPr>
      </w:pPr>
      <w:r w:rsidRPr="0048444C">
        <w:rPr>
          <w:b/>
          <w:bCs/>
          <w:color w:val="000000"/>
          <w:sz w:val="20"/>
          <w:rtl/>
          <w:lang w:eastAsia="he-IL"/>
        </w:rPr>
        <w:t>על הנאשם להתייצב לפני המפקח על עבודות השירות לצורך קליטה והצבה בתאריך תחילת העבודה, בשעה 08:00 במשרדי הממונה על עבודות השירות, יחידת ברקאי – עבודות שירות – שלוחת מרכז - רמלה.</w:t>
      </w:r>
    </w:p>
    <w:p w14:paraId="211ACA91" w14:textId="77777777" w:rsidR="00353157" w:rsidRPr="0048444C" w:rsidRDefault="00353157" w:rsidP="00353157">
      <w:pPr>
        <w:snapToGrid w:val="0"/>
        <w:spacing w:after="80" w:line="360" w:lineRule="auto"/>
        <w:ind w:left="360"/>
        <w:contextualSpacing/>
        <w:jc w:val="both"/>
        <w:rPr>
          <w:color w:val="000000"/>
          <w:sz w:val="20"/>
          <w:rtl/>
          <w:lang w:eastAsia="he-IL"/>
        </w:rPr>
      </w:pPr>
      <w:r w:rsidRPr="0048444C">
        <w:rPr>
          <w:color w:val="000000"/>
          <w:sz w:val="20"/>
          <w:rtl/>
          <w:lang w:eastAsia="he-IL"/>
        </w:rPr>
        <w:t>אני מודיעה לנאשם כי עליו להודיע לממונה על כל שינוי, אם יחול, בכתובת מגוריו, וכן עליו לעמוד בתנאי הפיקוח, שכן אי מילוי עבודות השירות עפ"י הנחיות המפקח, עלול להביא להפסקתן ולכליאה במתקן כליאה.</w:t>
      </w:r>
    </w:p>
    <w:p w14:paraId="1BD9E49C" w14:textId="77777777" w:rsidR="00353157" w:rsidRPr="0048444C" w:rsidRDefault="00353157" w:rsidP="00353157">
      <w:pPr>
        <w:autoSpaceDE w:val="0"/>
        <w:autoSpaceDN w:val="0"/>
        <w:adjustRightInd w:val="0"/>
        <w:spacing w:line="360" w:lineRule="auto"/>
        <w:ind w:left="294"/>
        <w:jc w:val="both"/>
        <w:rPr>
          <w:b/>
          <w:bCs/>
          <w:rtl/>
        </w:rPr>
      </w:pPr>
      <w:r w:rsidRPr="0048444C">
        <w:rPr>
          <w:b/>
          <w:bCs/>
          <w:noProof/>
          <w:rtl/>
        </w:rPr>
        <w:t xml:space="preserve">בית המשפט מזהיר את הנאשם, </w:t>
      </w:r>
      <w:r w:rsidRPr="0048444C">
        <w:rPr>
          <w:rFonts w:hint="cs"/>
          <w:b/>
          <w:bCs/>
          <w:noProof/>
        </w:rPr>
        <w:t xml:space="preserve"> </w:t>
      </w:r>
      <w:r w:rsidRPr="0048444C">
        <w:rPr>
          <w:b/>
          <w:bCs/>
          <w:noProof/>
          <w:rtl/>
        </w:rPr>
        <w:t>כי במהלך</w:t>
      </w:r>
      <w:r w:rsidRPr="0048444C">
        <w:rPr>
          <w:rFonts w:hint="cs"/>
          <w:b/>
          <w:bCs/>
          <w:noProof/>
        </w:rPr>
        <w:t xml:space="preserve"> </w:t>
      </w:r>
      <w:r w:rsidRPr="0048444C">
        <w:rPr>
          <w:b/>
          <w:bCs/>
          <w:noProof/>
          <w:rtl/>
        </w:rPr>
        <w:t>ריצוי</w:t>
      </w:r>
      <w:r w:rsidRPr="0048444C">
        <w:rPr>
          <w:rFonts w:hint="cs"/>
          <w:b/>
          <w:bCs/>
          <w:noProof/>
        </w:rPr>
        <w:t xml:space="preserve"> </w:t>
      </w:r>
      <w:r w:rsidRPr="0048444C">
        <w:rPr>
          <w:b/>
          <w:bCs/>
          <w:noProof/>
          <w:rtl/>
        </w:rPr>
        <w:t>ע"ש</w:t>
      </w:r>
      <w:r w:rsidRPr="0048444C">
        <w:rPr>
          <w:rFonts w:hint="cs"/>
          <w:b/>
          <w:bCs/>
          <w:noProof/>
        </w:rPr>
        <w:t xml:space="preserve"> </w:t>
      </w:r>
      <w:r w:rsidRPr="0048444C">
        <w:rPr>
          <w:b/>
          <w:bCs/>
          <w:noProof/>
          <w:rtl/>
        </w:rPr>
        <w:t>יהיה</w:t>
      </w:r>
      <w:r w:rsidRPr="0048444C">
        <w:rPr>
          <w:rFonts w:hint="cs"/>
          <w:b/>
          <w:bCs/>
          <w:noProof/>
        </w:rPr>
        <w:t xml:space="preserve"> </w:t>
      </w:r>
      <w:r w:rsidRPr="0048444C">
        <w:rPr>
          <w:b/>
          <w:bCs/>
          <w:noProof/>
          <w:rtl/>
        </w:rPr>
        <w:t>נתון</w:t>
      </w:r>
      <w:r w:rsidRPr="0048444C">
        <w:rPr>
          <w:rFonts w:hint="cs"/>
          <w:b/>
          <w:bCs/>
          <w:noProof/>
        </w:rPr>
        <w:t xml:space="preserve"> </w:t>
      </w:r>
      <w:r w:rsidRPr="0048444C">
        <w:rPr>
          <w:b/>
          <w:bCs/>
          <w:noProof/>
          <w:rtl/>
        </w:rPr>
        <w:t>למעקב</w:t>
      </w:r>
      <w:r w:rsidRPr="0048444C">
        <w:rPr>
          <w:rFonts w:hint="cs"/>
          <w:b/>
          <w:bCs/>
          <w:noProof/>
        </w:rPr>
        <w:t xml:space="preserve"> </w:t>
      </w:r>
      <w:r w:rsidRPr="0048444C">
        <w:rPr>
          <w:b/>
          <w:bCs/>
          <w:noProof/>
          <w:rtl/>
        </w:rPr>
        <w:t>של</w:t>
      </w:r>
      <w:r w:rsidRPr="0048444C">
        <w:rPr>
          <w:rFonts w:hint="cs"/>
          <w:b/>
          <w:bCs/>
          <w:noProof/>
        </w:rPr>
        <w:t xml:space="preserve"> </w:t>
      </w:r>
      <w:r w:rsidRPr="0048444C">
        <w:rPr>
          <w:b/>
          <w:bCs/>
          <w:noProof/>
          <w:rtl/>
        </w:rPr>
        <w:t>בדיקות</w:t>
      </w:r>
      <w:r w:rsidRPr="0048444C">
        <w:rPr>
          <w:rFonts w:hint="cs"/>
          <w:b/>
          <w:bCs/>
          <w:noProof/>
        </w:rPr>
        <w:t xml:space="preserve"> </w:t>
      </w:r>
      <w:r w:rsidRPr="0048444C">
        <w:rPr>
          <w:b/>
          <w:bCs/>
          <w:noProof/>
          <w:rtl/>
        </w:rPr>
        <w:t>שתן לאיתור סמים, סירוב לבדיקה</w:t>
      </w:r>
      <w:r w:rsidRPr="0048444C">
        <w:rPr>
          <w:rFonts w:hint="cs"/>
          <w:b/>
          <w:bCs/>
          <w:noProof/>
        </w:rPr>
        <w:t xml:space="preserve"> </w:t>
      </w:r>
      <w:r w:rsidRPr="0048444C">
        <w:rPr>
          <w:b/>
          <w:bCs/>
          <w:noProof/>
          <w:rtl/>
        </w:rPr>
        <w:t>או</w:t>
      </w:r>
      <w:r w:rsidRPr="0048444C">
        <w:rPr>
          <w:rFonts w:hint="cs"/>
          <w:b/>
          <w:bCs/>
          <w:noProof/>
        </w:rPr>
        <w:t xml:space="preserve"> </w:t>
      </w:r>
      <w:r w:rsidRPr="0048444C">
        <w:rPr>
          <w:b/>
          <w:bCs/>
          <w:noProof/>
          <w:rtl/>
        </w:rPr>
        <w:t>בדיקה</w:t>
      </w:r>
      <w:r w:rsidRPr="0048444C">
        <w:rPr>
          <w:rFonts w:hint="cs"/>
          <w:b/>
          <w:bCs/>
          <w:noProof/>
        </w:rPr>
        <w:t xml:space="preserve"> </w:t>
      </w:r>
      <w:r w:rsidRPr="0048444C">
        <w:rPr>
          <w:b/>
          <w:bCs/>
          <w:noProof/>
          <w:rtl/>
        </w:rPr>
        <w:t>עם</w:t>
      </w:r>
      <w:r w:rsidRPr="0048444C">
        <w:rPr>
          <w:rFonts w:hint="cs"/>
          <w:b/>
          <w:bCs/>
          <w:noProof/>
        </w:rPr>
        <w:t xml:space="preserve"> </w:t>
      </w:r>
      <w:r w:rsidRPr="0048444C">
        <w:rPr>
          <w:b/>
          <w:bCs/>
          <w:noProof/>
          <w:rtl/>
        </w:rPr>
        <w:t>ממצאים</w:t>
      </w:r>
      <w:r w:rsidRPr="0048444C">
        <w:rPr>
          <w:rFonts w:hint="cs"/>
          <w:b/>
          <w:bCs/>
          <w:noProof/>
        </w:rPr>
        <w:t xml:space="preserve"> </w:t>
      </w:r>
      <w:r w:rsidRPr="0048444C">
        <w:rPr>
          <w:b/>
          <w:bCs/>
          <w:noProof/>
          <w:rtl/>
        </w:rPr>
        <w:t>חיוביים, או ניסיון לזיוף דגימת שתן,</w:t>
      </w:r>
      <w:r w:rsidRPr="0048444C">
        <w:rPr>
          <w:rFonts w:hint="cs"/>
          <w:b/>
          <w:bCs/>
          <w:noProof/>
        </w:rPr>
        <w:t xml:space="preserve"> </w:t>
      </w:r>
      <w:r w:rsidRPr="0048444C">
        <w:rPr>
          <w:b/>
          <w:bCs/>
          <w:noProof/>
          <w:rtl/>
        </w:rPr>
        <w:t>יהוו</w:t>
      </w:r>
      <w:r w:rsidRPr="0048444C">
        <w:rPr>
          <w:rFonts w:hint="cs"/>
          <w:b/>
          <w:bCs/>
          <w:noProof/>
        </w:rPr>
        <w:t xml:space="preserve"> </w:t>
      </w:r>
      <w:r w:rsidRPr="0048444C">
        <w:rPr>
          <w:b/>
          <w:bCs/>
          <w:noProof/>
          <w:rtl/>
        </w:rPr>
        <w:t>עילה</w:t>
      </w:r>
      <w:r w:rsidRPr="0048444C">
        <w:rPr>
          <w:rFonts w:hint="cs"/>
          <w:b/>
          <w:bCs/>
          <w:noProof/>
        </w:rPr>
        <w:t xml:space="preserve"> </w:t>
      </w:r>
      <w:r w:rsidRPr="0048444C">
        <w:rPr>
          <w:b/>
          <w:bCs/>
          <w:noProof/>
          <w:rtl/>
        </w:rPr>
        <w:t>להפסקה</w:t>
      </w:r>
      <w:r w:rsidRPr="0048444C">
        <w:rPr>
          <w:rFonts w:hint="cs"/>
          <w:b/>
          <w:bCs/>
          <w:noProof/>
        </w:rPr>
        <w:t xml:space="preserve"> </w:t>
      </w:r>
      <w:r w:rsidRPr="0048444C">
        <w:rPr>
          <w:b/>
          <w:bCs/>
          <w:noProof/>
          <w:rtl/>
        </w:rPr>
        <w:t>מנהלית</w:t>
      </w:r>
      <w:r w:rsidRPr="0048444C">
        <w:rPr>
          <w:rFonts w:hint="cs"/>
          <w:b/>
          <w:bCs/>
          <w:noProof/>
        </w:rPr>
        <w:t xml:space="preserve"> </w:t>
      </w:r>
      <w:r w:rsidRPr="0048444C">
        <w:rPr>
          <w:b/>
          <w:bCs/>
          <w:noProof/>
          <w:rtl/>
        </w:rPr>
        <w:t>וריצוי</w:t>
      </w:r>
      <w:r w:rsidRPr="0048444C">
        <w:rPr>
          <w:rFonts w:hint="cs"/>
          <w:b/>
          <w:bCs/>
          <w:noProof/>
        </w:rPr>
        <w:t xml:space="preserve"> </w:t>
      </w:r>
      <w:r w:rsidRPr="0048444C">
        <w:rPr>
          <w:b/>
          <w:bCs/>
          <w:noProof/>
          <w:rtl/>
        </w:rPr>
        <w:t>העונש</w:t>
      </w:r>
      <w:r w:rsidRPr="0048444C">
        <w:rPr>
          <w:rFonts w:hint="cs"/>
          <w:b/>
          <w:bCs/>
          <w:noProof/>
        </w:rPr>
        <w:t xml:space="preserve"> </w:t>
      </w:r>
      <w:r w:rsidRPr="0048444C">
        <w:rPr>
          <w:b/>
          <w:bCs/>
          <w:noProof/>
          <w:rtl/>
        </w:rPr>
        <w:t>במאסר בפועל.</w:t>
      </w:r>
    </w:p>
    <w:p w14:paraId="1123F689" w14:textId="77777777" w:rsidR="00353157" w:rsidRPr="0048444C" w:rsidRDefault="00353157" w:rsidP="00353157">
      <w:pPr>
        <w:autoSpaceDE w:val="0"/>
        <w:autoSpaceDN w:val="0"/>
        <w:adjustRightInd w:val="0"/>
        <w:spacing w:line="360" w:lineRule="auto"/>
        <w:ind w:left="294"/>
        <w:jc w:val="both"/>
        <w:rPr>
          <w:b/>
          <w:bCs/>
          <w:noProof/>
        </w:rPr>
      </w:pPr>
      <w:r w:rsidRPr="0048444C">
        <w:rPr>
          <w:b/>
          <w:bCs/>
          <w:noProof/>
          <w:rtl/>
        </w:rPr>
        <w:t>בית המשפט מזהיר את הנאשם, כי</w:t>
      </w:r>
      <w:r w:rsidRPr="0048444C">
        <w:rPr>
          <w:rFonts w:hint="cs"/>
          <w:b/>
          <w:bCs/>
          <w:noProof/>
        </w:rPr>
        <w:t xml:space="preserve"> </w:t>
      </w:r>
      <w:r w:rsidRPr="0048444C">
        <w:rPr>
          <w:b/>
          <w:bCs/>
          <w:noProof/>
          <w:rtl/>
        </w:rPr>
        <w:t>אין לשתות אלכוהול</w:t>
      </w:r>
      <w:r w:rsidRPr="0048444C">
        <w:rPr>
          <w:rFonts w:hint="cs"/>
          <w:b/>
          <w:bCs/>
          <w:noProof/>
        </w:rPr>
        <w:t xml:space="preserve"> </w:t>
      </w:r>
      <w:r w:rsidRPr="0048444C">
        <w:rPr>
          <w:b/>
          <w:bCs/>
          <w:noProof/>
          <w:rtl/>
        </w:rPr>
        <w:t>במהלך</w:t>
      </w:r>
      <w:r w:rsidRPr="0048444C">
        <w:rPr>
          <w:rFonts w:hint="cs"/>
          <w:b/>
          <w:bCs/>
          <w:noProof/>
        </w:rPr>
        <w:t xml:space="preserve"> </w:t>
      </w:r>
      <w:r w:rsidRPr="0048444C">
        <w:rPr>
          <w:b/>
          <w:bCs/>
          <w:noProof/>
          <w:rtl/>
        </w:rPr>
        <w:t>העבודה</w:t>
      </w:r>
      <w:r w:rsidRPr="0048444C">
        <w:rPr>
          <w:rFonts w:hint="cs"/>
          <w:b/>
          <w:bCs/>
          <w:noProof/>
        </w:rPr>
        <w:t xml:space="preserve"> </w:t>
      </w:r>
      <w:r w:rsidRPr="0048444C">
        <w:rPr>
          <w:b/>
          <w:bCs/>
          <w:noProof/>
          <w:rtl/>
        </w:rPr>
        <w:t>ואין</w:t>
      </w:r>
      <w:r w:rsidRPr="0048444C">
        <w:rPr>
          <w:rFonts w:hint="cs"/>
          <w:b/>
          <w:bCs/>
          <w:noProof/>
        </w:rPr>
        <w:t xml:space="preserve"> </w:t>
      </w:r>
      <w:r w:rsidRPr="0048444C">
        <w:rPr>
          <w:b/>
          <w:bCs/>
          <w:noProof/>
          <w:rtl/>
        </w:rPr>
        <w:t>להגיע בגילופין, התנהגות</w:t>
      </w:r>
      <w:r w:rsidRPr="0048444C">
        <w:rPr>
          <w:rFonts w:hint="cs"/>
          <w:b/>
          <w:bCs/>
          <w:noProof/>
        </w:rPr>
        <w:t xml:space="preserve"> </w:t>
      </w:r>
      <w:r w:rsidRPr="0048444C">
        <w:rPr>
          <w:b/>
          <w:bCs/>
          <w:noProof/>
          <w:rtl/>
        </w:rPr>
        <w:t>מסוג</w:t>
      </w:r>
      <w:r w:rsidRPr="0048444C">
        <w:rPr>
          <w:rFonts w:hint="cs"/>
          <w:b/>
          <w:bCs/>
          <w:noProof/>
        </w:rPr>
        <w:t xml:space="preserve"> </w:t>
      </w:r>
      <w:r w:rsidRPr="0048444C">
        <w:rPr>
          <w:b/>
          <w:bCs/>
          <w:noProof/>
          <w:rtl/>
        </w:rPr>
        <w:t>זה</w:t>
      </w:r>
      <w:r w:rsidRPr="0048444C">
        <w:rPr>
          <w:rFonts w:hint="cs"/>
          <w:b/>
          <w:bCs/>
          <w:noProof/>
        </w:rPr>
        <w:t xml:space="preserve"> </w:t>
      </w:r>
      <w:r w:rsidRPr="0048444C">
        <w:rPr>
          <w:b/>
          <w:bCs/>
          <w:noProof/>
          <w:rtl/>
        </w:rPr>
        <w:t>תהווה</w:t>
      </w:r>
      <w:r w:rsidRPr="0048444C">
        <w:rPr>
          <w:rFonts w:hint="cs"/>
          <w:b/>
          <w:bCs/>
          <w:noProof/>
        </w:rPr>
        <w:t xml:space="preserve"> </w:t>
      </w:r>
      <w:r w:rsidRPr="0048444C">
        <w:rPr>
          <w:b/>
          <w:bCs/>
          <w:noProof/>
          <w:rtl/>
        </w:rPr>
        <w:t>עילה</w:t>
      </w:r>
      <w:r w:rsidRPr="0048444C">
        <w:rPr>
          <w:rFonts w:hint="cs"/>
          <w:b/>
          <w:bCs/>
          <w:noProof/>
        </w:rPr>
        <w:t xml:space="preserve"> </w:t>
      </w:r>
      <w:r w:rsidRPr="0048444C">
        <w:rPr>
          <w:b/>
          <w:bCs/>
          <w:noProof/>
          <w:rtl/>
        </w:rPr>
        <w:t>להפסקה</w:t>
      </w:r>
      <w:r w:rsidRPr="0048444C">
        <w:rPr>
          <w:rFonts w:hint="cs"/>
          <w:b/>
          <w:bCs/>
          <w:noProof/>
        </w:rPr>
        <w:t xml:space="preserve"> </w:t>
      </w:r>
      <w:r w:rsidRPr="0048444C">
        <w:rPr>
          <w:b/>
          <w:bCs/>
          <w:noProof/>
          <w:rtl/>
        </w:rPr>
        <w:t>מנהלית</w:t>
      </w:r>
      <w:r w:rsidRPr="0048444C">
        <w:rPr>
          <w:rFonts w:hint="cs"/>
          <w:b/>
          <w:bCs/>
          <w:noProof/>
        </w:rPr>
        <w:t xml:space="preserve"> </w:t>
      </w:r>
      <w:r w:rsidRPr="0048444C">
        <w:rPr>
          <w:b/>
          <w:bCs/>
          <w:noProof/>
          <w:rtl/>
        </w:rPr>
        <w:t>וריצוי</w:t>
      </w:r>
      <w:r w:rsidRPr="0048444C">
        <w:rPr>
          <w:rFonts w:hint="cs"/>
          <w:b/>
          <w:bCs/>
          <w:noProof/>
        </w:rPr>
        <w:t xml:space="preserve"> </w:t>
      </w:r>
      <w:r w:rsidRPr="0048444C">
        <w:rPr>
          <w:b/>
          <w:bCs/>
          <w:noProof/>
          <w:rtl/>
        </w:rPr>
        <w:t>העונש</w:t>
      </w:r>
      <w:r w:rsidRPr="0048444C">
        <w:rPr>
          <w:rFonts w:hint="cs"/>
          <w:b/>
          <w:bCs/>
          <w:noProof/>
        </w:rPr>
        <w:t xml:space="preserve"> </w:t>
      </w:r>
      <w:r w:rsidRPr="0048444C">
        <w:rPr>
          <w:b/>
          <w:bCs/>
          <w:noProof/>
          <w:rtl/>
        </w:rPr>
        <w:t>במאסר</w:t>
      </w:r>
      <w:r w:rsidRPr="0048444C">
        <w:rPr>
          <w:rFonts w:hint="cs"/>
          <w:b/>
          <w:bCs/>
          <w:noProof/>
        </w:rPr>
        <w:t xml:space="preserve"> </w:t>
      </w:r>
      <w:r w:rsidRPr="0048444C">
        <w:rPr>
          <w:b/>
          <w:bCs/>
          <w:noProof/>
          <w:rtl/>
        </w:rPr>
        <w:t>בפועל.</w:t>
      </w:r>
    </w:p>
    <w:p w14:paraId="2BB5B2A6" w14:textId="77777777" w:rsidR="00353157" w:rsidRPr="0048444C" w:rsidRDefault="00353157" w:rsidP="00353157">
      <w:pPr>
        <w:autoSpaceDE w:val="0"/>
        <w:autoSpaceDN w:val="0"/>
        <w:adjustRightInd w:val="0"/>
        <w:spacing w:line="360" w:lineRule="auto"/>
        <w:ind w:left="294"/>
        <w:jc w:val="both"/>
        <w:rPr>
          <w:b/>
          <w:bCs/>
          <w:noProof/>
          <w:rtl/>
        </w:rPr>
      </w:pPr>
      <w:r w:rsidRPr="0048444C">
        <w:rPr>
          <w:b/>
          <w:bCs/>
          <w:noProof/>
          <w:rtl/>
        </w:rPr>
        <w:t>בית</w:t>
      </w:r>
      <w:r w:rsidRPr="0048444C">
        <w:rPr>
          <w:rFonts w:hint="cs"/>
          <w:b/>
          <w:bCs/>
          <w:noProof/>
        </w:rPr>
        <w:t xml:space="preserve"> </w:t>
      </w:r>
      <w:r w:rsidRPr="0048444C">
        <w:rPr>
          <w:b/>
          <w:bCs/>
          <w:noProof/>
          <w:rtl/>
        </w:rPr>
        <w:t>המשפט</w:t>
      </w:r>
      <w:r w:rsidRPr="0048444C">
        <w:rPr>
          <w:rFonts w:hint="cs"/>
          <w:b/>
          <w:bCs/>
          <w:noProof/>
        </w:rPr>
        <w:t xml:space="preserve"> </w:t>
      </w:r>
      <w:r w:rsidRPr="0048444C">
        <w:rPr>
          <w:b/>
          <w:bCs/>
          <w:noProof/>
          <w:rtl/>
        </w:rPr>
        <w:t xml:space="preserve">מזהיר את הנאשם, </w:t>
      </w:r>
      <w:r w:rsidRPr="0048444C">
        <w:rPr>
          <w:rFonts w:hint="cs"/>
          <w:b/>
          <w:bCs/>
          <w:noProof/>
        </w:rPr>
        <w:t xml:space="preserve"> </w:t>
      </w:r>
      <w:r w:rsidRPr="0048444C">
        <w:rPr>
          <w:b/>
          <w:bCs/>
          <w:noProof/>
          <w:rtl/>
        </w:rPr>
        <w:t>כי</w:t>
      </w:r>
      <w:r w:rsidRPr="0048444C">
        <w:rPr>
          <w:rFonts w:hint="cs"/>
          <w:b/>
          <w:bCs/>
          <w:noProof/>
        </w:rPr>
        <w:t xml:space="preserve"> </w:t>
      </w:r>
      <w:r w:rsidRPr="0048444C">
        <w:rPr>
          <w:b/>
          <w:bCs/>
          <w:noProof/>
          <w:rtl/>
        </w:rPr>
        <w:t>מדובר</w:t>
      </w:r>
      <w:r w:rsidRPr="0048444C">
        <w:rPr>
          <w:rFonts w:hint="cs"/>
          <w:b/>
          <w:bCs/>
          <w:noProof/>
        </w:rPr>
        <w:t xml:space="preserve"> </w:t>
      </w:r>
      <w:r w:rsidRPr="0048444C">
        <w:rPr>
          <w:b/>
          <w:bCs/>
          <w:noProof/>
          <w:rtl/>
        </w:rPr>
        <w:t>בתנאי</w:t>
      </w:r>
      <w:r w:rsidRPr="0048444C">
        <w:rPr>
          <w:rFonts w:hint="cs"/>
          <w:b/>
          <w:bCs/>
          <w:noProof/>
        </w:rPr>
        <w:t xml:space="preserve"> </w:t>
      </w:r>
      <w:r w:rsidRPr="0048444C">
        <w:rPr>
          <w:b/>
          <w:bCs/>
          <w:noProof/>
          <w:rtl/>
        </w:rPr>
        <w:t>העסקה</w:t>
      </w:r>
      <w:r w:rsidRPr="0048444C">
        <w:rPr>
          <w:rFonts w:hint="cs"/>
          <w:b/>
          <w:bCs/>
          <w:noProof/>
        </w:rPr>
        <w:t xml:space="preserve"> </w:t>
      </w:r>
      <w:r w:rsidRPr="0048444C">
        <w:rPr>
          <w:b/>
          <w:bCs/>
          <w:noProof/>
          <w:rtl/>
        </w:rPr>
        <w:t>קפדניים</w:t>
      </w:r>
      <w:r w:rsidRPr="0048444C">
        <w:rPr>
          <w:rFonts w:hint="cs"/>
          <w:b/>
          <w:bCs/>
          <w:noProof/>
        </w:rPr>
        <w:t xml:space="preserve"> </w:t>
      </w:r>
      <w:r w:rsidRPr="0048444C">
        <w:rPr>
          <w:b/>
          <w:bCs/>
          <w:noProof/>
          <w:rtl/>
        </w:rPr>
        <w:t>המצריכים התייצבות רציפה על-פי הנחיות החוק והממונה, לרבות איסור על שתיית אלכוהול או שימוש אסור בסמים, כל</w:t>
      </w:r>
      <w:r w:rsidRPr="0048444C">
        <w:rPr>
          <w:rFonts w:hint="cs"/>
          <w:b/>
          <w:bCs/>
          <w:noProof/>
        </w:rPr>
        <w:t xml:space="preserve"> </w:t>
      </w:r>
      <w:r w:rsidRPr="0048444C">
        <w:rPr>
          <w:b/>
          <w:bCs/>
          <w:noProof/>
          <w:rtl/>
        </w:rPr>
        <w:t>חריגה</w:t>
      </w:r>
      <w:r w:rsidRPr="0048444C">
        <w:rPr>
          <w:rFonts w:hint="cs"/>
          <w:b/>
          <w:bCs/>
          <w:noProof/>
        </w:rPr>
        <w:t xml:space="preserve"> </w:t>
      </w:r>
      <w:r w:rsidRPr="0048444C">
        <w:rPr>
          <w:b/>
          <w:bCs/>
          <w:noProof/>
          <w:rtl/>
        </w:rPr>
        <w:t>מכללים</w:t>
      </w:r>
      <w:r w:rsidRPr="0048444C">
        <w:rPr>
          <w:rFonts w:hint="cs"/>
          <w:b/>
          <w:bCs/>
          <w:noProof/>
        </w:rPr>
        <w:t xml:space="preserve"> </w:t>
      </w:r>
      <w:r w:rsidRPr="0048444C">
        <w:rPr>
          <w:b/>
          <w:bCs/>
          <w:noProof/>
          <w:rtl/>
        </w:rPr>
        <w:t>אלו</w:t>
      </w:r>
      <w:r w:rsidRPr="0048444C">
        <w:rPr>
          <w:rFonts w:hint="cs"/>
          <w:b/>
          <w:bCs/>
          <w:noProof/>
        </w:rPr>
        <w:t xml:space="preserve"> </w:t>
      </w:r>
      <w:r w:rsidRPr="0048444C">
        <w:rPr>
          <w:b/>
          <w:bCs/>
          <w:noProof/>
          <w:rtl/>
        </w:rPr>
        <w:t>יש בה</w:t>
      </w:r>
      <w:r w:rsidRPr="0048444C">
        <w:rPr>
          <w:rFonts w:hint="cs"/>
          <w:b/>
          <w:bCs/>
          <w:noProof/>
        </w:rPr>
        <w:t xml:space="preserve"> </w:t>
      </w:r>
      <w:r w:rsidRPr="0048444C">
        <w:rPr>
          <w:b/>
          <w:bCs/>
          <w:noProof/>
          <w:rtl/>
        </w:rPr>
        <w:t>כדי</w:t>
      </w:r>
      <w:r w:rsidRPr="0048444C">
        <w:rPr>
          <w:rFonts w:hint="cs"/>
          <w:b/>
          <w:bCs/>
          <w:noProof/>
        </w:rPr>
        <w:t xml:space="preserve"> </w:t>
      </w:r>
      <w:r w:rsidRPr="0048444C">
        <w:rPr>
          <w:b/>
          <w:bCs/>
          <w:noProof/>
          <w:rtl/>
        </w:rPr>
        <w:t>להפסיק</w:t>
      </w:r>
      <w:r w:rsidRPr="0048444C">
        <w:rPr>
          <w:rFonts w:hint="cs"/>
          <w:b/>
          <w:bCs/>
          <w:noProof/>
        </w:rPr>
        <w:t xml:space="preserve"> </w:t>
      </w:r>
      <w:r w:rsidRPr="0048444C">
        <w:rPr>
          <w:b/>
          <w:bCs/>
          <w:noProof/>
          <w:rtl/>
        </w:rPr>
        <w:t>את</w:t>
      </w:r>
      <w:r w:rsidRPr="0048444C">
        <w:rPr>
          <w:rFonts w:hint="cs"/>
          <w:b/>
          <w:bCs/>
          <w:noProof/>
        </w:rPr>
        <w:t xml:space="preserve"> </w:t>
      </w:r>
      <w:r w:rsidRPr="0048444C">
        <w:rPr>
          <w:b/>
          <w:bCs/>
          <w:noProof/>
          <w:rtl/>
        </w:rPr>
        <w:t>עבודות</w:t>
      </w:r>
      <w:r w:rsidRPr="0048444C">
        <w:rPr>
          <w:rFonts w:hint="cs"/>
          <w:b/>
          <w:bCs/>
          <w:noProof/>
        </w:rPr>
        <w:t xml:space="preserve"> </w:t>
      </w:r>
      <w:r w:rsidRPr="0048444C">
        <w:rPr>
          <w:b/>
          <w:bCs/>
          <w:noProof/>
          <w:rtl/>
        </w:rPr>
        <w:t>השירות</w:t>
      </w:r>
      <w:r w:rsidRPr="0048444C">
        <w:rPr>
          <w:rFonts w:hint="cs"/>
          <w:b/>
          <w:bCs/>
          <w:noProof/>
        </w:rPr>
        <w:t xml:space="preserve"> </w:t>
      </w:r>
      <w:r w:rsidRPr="0048444C">
        <w:rPr>
          <w:b/>
          <w:bCs/>
          <w:noProof/>
          <w:rtl/>
        </w:rPr>
        <w:t>ורצוי</w:t>
      </w:r>
      <w:r w:rsidRPr="0048444C">
        <w:rPr>
          <w:rFonts w:hint="cs"/>
          <w:b/>
          <w:bCs/>
          <w:noProof/>
        </w:rPr>
        <w:t xml:space="preserve"> </w:t>
      </w:r>
      <w:r w:rsidRPr="0048444C">
        <w:rPr>
          <w:b/>
          <w:bCs/>
          <w:noProof/>
          <w:rtl/>
        </w:rPr>
        <w:t>יתרת</w:t>
      </w:r>
      <w:r w:rsidRPr="0048444C">
        <w:rPr>
          <w:rFonts w:hint="cs"/>
          <w:b/>
          <w:bCs/>
          <w:noProof/>
        </w:rPr>
        <w:t xml:space="preserve"> </w:t>
      </w:r>
      <w:r w:rsidRPr="0048444C">
        <w:rPr>
          <w:b/>
          <w:bCs/>
          <w:noProof/>
          <w:rtl/>
        </w:rPr>
        <w:t>העונש</w:t>
      </w:r>
      <w:r w:rsidRPr="0048444C">
        <w:rPr>
          <w:rFonts w:hint="cs"/>
          <w:b/>
          <w:bCs/>
          <w:noProof/>
        </w:rPr>
        <w:t xml:space="preserve"> </w:t>
      </w:r>
      <w:r w:rsidRPr="0048444C">
        <w:rPr>
          <w:b/>
          <w:bCs/>
          <w:noProof/>
          <w:rtl/>
        </w:rPr>
        <w:t>במאסר</w:t>
      </w:r>
      <w:r w:rsidRPr="0048444C">
        <w:rPr>
          <w:rFonts w:hint="cs"/>
          <w:b/>
          <w:bCs/>
          <w:noProof/>
        </w:rPr>
        <w:t xml:space="preserve"> </w:t>
      </w:r>
      <w:r w:rsidRPr="0048444C">
        <w:rPr>
          <w:b/>
          <w:bCs/>
          <w:noProof/>
          <w:rtl/>
        </w:rPr>
        <w:t>בפועל.</w:t>
      </w:r>
    </w:p>
    <w:p w14:paraId="74934BB7" w14:textId="77777777" w:rsidR="00353157" w:rsidRPr="0048444C" w:rsidRDefault="00353157" w:rsidP="00353157">
      <w:pPr>
        <w:snapToGrid w:val="0"/>
        <w:spacing w:line="360" w:lineRule="auto"/>
        <w:ind w:left="294"/>
        <w:contextualSpacing/>
        <w:jc w:val="both"/>
        <w:rPr>
          <w:b/>
          <w:bCs/>
          <w:sz w:val="20"/>
          <w:u w:val="single"/>
          <w:rtl/>
          <w:lang w:eastAsia="he-IL"/>
        </w:rPr>
      </w:pPr>
      <w:r w:rsidRPr="0048444C">
        <w:rPr>
          <w:b/>
          <w:bCs/>
          <w:sz w:val="20"/>
          <w:u w:val="single"/>
          <w:rtl/>
          <w:lang w:eastAsia="he-IL"/>
        </w:rPr>
        <w:t>המזכירות תעביר הודעה על גזר הדין לממונה על עבודת השירות.</w:t>
      </w:r>
    </w:p>
    <w:p w14:paraId="51CC9B46" w14:textId="77777777" w:rsidR="00353157" w:rsidRPr="0048444C" w:rsidRDefault="00353157" w:rsidP="00353157">
      <w:pPr>
        <w:numPr>
          <w:ilvl w:val="1"/>
          <w:numId w:val="2"/>
        </w:numPr>
        <w:spacing w:after="80" w:line="360" w:lineRule="auto"/>
        <w:ind w:left="360"/>
        <w:contextualSpacing/>
        <w:jc w:val="both"/>
        <w:rPr>
          <w:color w:val="000000"/>
          <w:sz w:val="20"/>
          <w:rtl/>
          <w:lang w:eastAsia="he-IL"/>
        </w:rPr>
      </w:pPr>
      <w:r w:rsidRPr="0048444C">
        <w:rPr>
          <w:color w:val="000000"/>
          <w:sz w:val="20"/>
          <w:rtl/>
          <w:lang w:eastAsia="he-IL"/>
        </w:rPr>
        <w:t>צו מבחן למשך שנה וחצי מהיום כהמלצת שירות המבחן.</w:t>
      </w:r>
    </w:p>
    <w:p w14:paraId="316DA692" w14:textId="77777777" w:rsidR="00353157" w:rsidRPr="0048444C" w:rsidRDefault="00353157" w:rsidP="00353157">
      <w:pPr>
        <w:spacing w:after="80" w:line="360" w:lineRule="auto"/>
        <w:ind w:left="360"/>
        <w:contextualSpacing/>
        <w:jc w:val="both"/>
        <w:rPr>
          <w:color w:val="000000"/>
          <w:sz w:val="20"/>
          <w:lang w:eastAsia="he-IL"/>
        </w:rPr>
      </w:pPr>
      <w:r w:rsidRPr="0048444C">
        <w:rPr>
          <w:color w:val="000000"/>
          <w:sz w:val="20"/>
          <w:rtl/>
          <w:lang w:eastAsia="he-IL"/>
        </w:rPr>
        <w:t>אני מזהירה את הנאשם כי אי מילוי צו המבחן עלול להוביל להפקעתו, החזרתו לאולם בית המשפט וגזירת ענישה חלופית ונוספת, לרבות מאסר.</w:t>
      </w:r>
    </w:p>
    <w:p w14:paraId="569BF638" w14:textId="77777777" w:rsidR="00353157" w:rsidRPr="0048444C" w:rsidRDefault="00353157" w:rsidP="00353157">
      <w:pPr>
        <w:numPr>
          <w:ilvl w:val="1"/>
          <w:numId w:val="2"/>
        </w:numPr>
        <w:spacing w:after="80" w:line="360" w:lineRule="auto"/>
        <w:ind w:left="360"/>
        <w:contextualSpacing/>
        <w:jc w:val="both"/>
        <w:rPr>
          <w:color w:val="000000"/>
          <w:lang w:eastAsia="he-IL"/>
        </w:rPr>
      </w:pPr>
      <w:r w:rsidRPr="0048444C">
        <w:rPr>
          <w:color w:val="000000"/>
          <w:rtl/>
          <w:lang w:eastAsia="he-IL"/>
        </w:rPr>
        <w:t xml:space="preserve">מאסר למשך 6 חודשים ואולם הנאשם לא יישא בעונש זה אלא אם יעבור עבירת סמים מסוג פשע בתוך שלוש שנים מהיום. </w:t>
      </w:r>
    </w:p>
    <w:p w14:paraId="3841B19D" w14:textId="77777777" w:rsidR="00353157" w:rsidRPr="0048444C" w:rsidRDefault="00353157" w:rsidP="00353157">
      <w:pPr>
        <w:numPr>
          <w:ilvl w:val="1"/>
          <w:numId w:val="2"/>
        </w:numPr>
        <w:spacing w:after="80" w:line="360" w:lineRule="auto"/>
        <w:ind w:left="360"/>
        <w:contextualSpacing/>
        <w:jc w:val="both"/>
        <w:rPr>
          <w:color w:val="000000"/>
          <w:lang w:eastAsia="he-IL"/>
        </w:rPr>
      </w:pPr>
      <w:r w:rsidRPr="0048444C">
        <w:rPr>
          <w:color w:val="000000"/>
          <w:rtl/>
          <w:lang w:eastAsia="he-IL"/>
        </w:rPr>
        <w:t>מאסר למשך 4 חודשים ואולם הנאשם לא יישא בעונש זה אלא אם יעבור עבירת סמים מסוג עוון בתוך שלוש שנים מהיום.</w:t>
      </w:r>
    </w:p>
    <w:p w14:paraId="4B47A3C2" w14:textId="77777777" w:rsidR="00353157" w:rsidRPr="0048444C" w:rsidRDefault="00353157" w:rsidP="00353157">
      <w:pPr>
        <w:numPr>
          <w:ilvl w:val="1"/>
          <w:numId w:val="2"/>
        </w:numPr>
        <w:spacing w:after="80" w:line="360" w:lineRule="auto"/>
        <w:ind w:left="360"/>
        <w:contextualSpacing/>
        <w:jc w:val="both"/>
        <w:rPr>
          <w:color w:val="000000"/>
          <w:lang w:eastAsia="he-IL"/>
        </w:rPr>
      </w:pPr>
      <w:r w:rsidRPr="0048444C">
        <w:rPr>
          <w:color w:val="000000"/>
          <w:rtl/>
          <w:lang w:eastAsia="he-IL"/>
        </w:rPr>
        <w:t xml:space="preserve">מאסר למשך 3 חודשים ואולם הנאשם לא יישא בעונש זה אלא אם יעבור עבירה של החזקת סכין או אגרופן שלא כדין בתוך שנתיים מהיום.  </w:t>
      </w:r>
    </w:p>
    <w:p w14:paraId="16622D82" w14:textId="77777777" w:rsidR="00353157" w:rsidRPr="0048444C" w:rsidRDefault="00353157" w:rsidP="00353157">
      <w:pPr>
        <w:numPr>
          <w:ilvl w:val="1"/>
          <w:numId w:val="2"/>
        </w:numPr>
        <w:spacing w:after="80" w:line="360" w:lineRule="auto"/>
        <w:ind w:left="360"/>
        <w:contextualSpacing/>
        <w:jc w:val="both"/>
        <w:rPr>
          <w:color w:val="000000"/>
          <w:lang w:eastAsia="he-IL"/>
        </w:rPr>
      </w:pPr>
      <w:r w:rsidRPr="0048444C">
        <w:rPr>
          <w:color w:val="000000"/>
          <w:rtl/>
          <w:lang w:eastAsia="he-IL"/>
        </w:rPr>
        <w:t>קנס בסך 2000 ₪ או</w:t>
      </w:r>
      <w:r>
        <w:rPr>
          <w:color w:val="000000"/>
          <w:rtl/>
          <w:lang w:eastAsia="he-IL"/>
        </w:rPr>
        <w:t xml:space="preserve"> 30 ימים תמורתם. הקנס ישולם ב-</w:t>
      </w:r>
      <w:r>
        <w:rPr>
          <w:rFonts w:hint="cs"/>
          <w:color w:val="000000"/>
          <w:rtl/>
          <w:lang w:eastAsia="he-IL"/>
        </w:rPr>
        <w:t>5</w:t>
      </w:r>
      <w:r w:rsidRPr="0048444C">
        <w:rPr>
          <w:color w:val="000000"/>
          <w:rtl/>
          <w:lang w:eastAsia="he-IL"/>
        </w:rPr>
        <w:t xml:space="preserve"> תשלומים, החל מיום</w:t>
      </w:r>
      <w:r>
        <w:rPr>
          <w:rFonts w:hint="cs"/>
          <w:color w:val="000000"/>
          <w:rtl/>
          <w:lang w:eastAsia="he-IL"/>
        </w:rPr>
        <w:t xml:space="preserve"> 01/10/21</w:t>
      </w:r>
      <w:r w:rsidRPr="0048444C">
        <w:rPr>
          <w:color w:val="000000"/>
          <w:rtl/>
          <w:lang w:eastAsia="he-IL"/>
        </w:rPr>
        <w:t xml:space="preserve"> ובכל 1 לחודש לאחר מכן. אי עמידה באחד התשלומים תביא לפרעון יתרת הקנס באופן מיידי. </w:t>
      </w:r>
    </w:p>
    <w:p w14:paraId="4F789A82" w14:textId="77777777" w:rsidR="00353157" w:rsidRPr="0048444C" w:rsidRDefault="00353157" w:rsidP="00353157">
      <w:pPr>
        <w:numPr>
          <w:ilvl w:val="1"/>
          <w:numId w:val="2"/>
        </w:numPr>
        <w:spacing w:after="80" w:line="360" w:lineRule="auto"/>
        <w:ind w:left="360"/>
        <w:contextualSpacing/>
        <w:jc w:val="both"/>
        <w:rPr>
          <w:color w:val="000000"/>
          <w:lang w:eastAsia="he-IL"/>
        </w:rPr>
      </w:pPr>
      <w:r w:rsidRPr="0048444C">
        <w:rPr>
          <w:color w:val="000000"/>
          <w:rtl/>
          <w:lang w:eastAsia="he-IL"/>
        </w:rPr>
        <w:t>הנאשם יחתום על התחייבות כספית בסך 5</w:t>
      </w:r>
      <w:r>
        <w:rPr>
          <w:color w:val="000000"/>
          <w:rtl/>
          <w:lang w:eastAsia="he-IL"/>
        </w:rPr>
        <w:t>,000 ש״ח שלא לעבור עבירות בהן ה</w:t>
      </w:r>
      <w:r>
        <w:rPr>
          <w:rFonts w:hint="cs"/>
          <w:color w:val="000000"/>
          <w:rtl/>
          <w:lang w:eastAsia="he-IL"/>
        </w:rPr>
        <w:t>ורשע</w:t>
      </w:r>
      <w:r w:rsidRPr="0048444C">
        <w:rPr>
          <w:color w:val="000000"/>
          <w:rtl/>
          <w:lang w:eastAsia="he-IL"/>
        </w:rPr>
        <w:t xml:space="preserve"> והכל תוך שנה מהיום. </w:t>
      </w:r>
    </w:p>
    <w:p w14:paraId="60CC559A" w14:textId="77777777" w:rsidR="00353157" w:rsidRPr="009B7E1E" w:rsidRDefault="00353157" w:rsidP="00353157">
      <w:pPr>
        <w:numPr>
          <w:ilvl w:val="1"/>
          <w:numId w:val="2"/>
        </w:numPr>
        <w:spacing w:after="80" w:line="360" w:lineRule="auto"/>
        <w:ind w:left="360"/>
        <w:contextualSpacing/>
        <w:jc w:val="both"/>
        <w:rPr>
          <w:sz w:val="20"/>
          <w:rtl/>
          <w:lang w:eastAsia="he-IL"/>
        </w:rPr>
      </w:pPr>
      <w:r>
        <w:rPr>
          <w:rFonts w:hint="cs"/>
          <w:sz w:val="20"/>
          <w:rtl/>
          <w:lang w:eastAsia="he-IL"/>
        </w:rPr>
        <w:t>נוכח הסכמת הצדדים, ו</w:t>
      </w:r>
      <w:r w:rsidRPr="009B7E1E">
        <w:rPr>
          <w:sz w:val="20"/>
          <w:rtl/>
          <w:lang w:eastAsia="he-IL"/>
        </w:rPr>
        <w:t xml:space="preserve">בהתאם </w:t>
      </w:r>
      <w:r>
        <w:rPr>
          <w:sz w:val="20"/>
          <w:rtl/>
          <w:lang w:eastAsia="he-IL"/>
        </w:rPr>
        <w:t xml:space="preserve">לסמכותי </w:t>
      </w:r>
      <w:hyperlink r:id="rId45" w:history="1">
        <w:r w:rsidR="0041027B" w:rsidRPr="0041027B">
          <w:rPr>
            <w:rStyle w:val="Hyperlink"/>
            <w:sz w:val="20"/>
            <w:rtl/>
            <w:lang w:eastAsia="he-IL"/>
          </w:rPr>
          <w:t>שבסעיף 36א</w:t>
        </w:r>
      </w:hyperlink>
      <w:r>
        <w:rPr>
          <w:sz w:val="20"/>
          <w:rtl/>
          <w:lang w:eastAsia="he-IL"/>
        </w:rPr>
        <w:t xml:space="preserve"> לפקודת הסמים</w:t>
      </w:r>
      <w:r>
        <w:rPr>
          <w:rFonts w:hint="cs"/>
          <w:sz w:val="20"/>
          <w:rtl/>
          <w:lang w:eastAsia="he-IL"/>
        </w:rPr>
        <w:t xml:space="preserve">, אני מורה </w:t>
      </w:r>
      <w:r w:rsidRPr="009B7E1E">
        <w:rPr>
          <w:sz w:val="20"/>
          <w:rtl/>
          <w:lang w:eastAsia="he-IL"/>
        </w:rPr>
        <w:t xml:space="preserve">על חילוט הטלפון הנייד, כפי המפורט בכתב האישום. </w:t>
      </w:r>
    </w:p>
    <w:p w14:paraId="19FCCFC3" w14:textId="77777777" w:rsidR="00353157" w:rsidRDefault="00353157" w:rsidP="00353157">
      <w:pPr>
        <w:spacing w:line="360" w:lineRule="auto"/>
        <w:jc w:val="both"/>
        <w:rPr>
          <w:b/>
          <w:bCs/>
          <w:noProof/>
          <w:u w:val="single"/>
          <w:rtl/>
        </w:rPr>
      </w:pPr>
    </w:p>
    <w:p w14:paraId="12BB2503" w14:textId="77777777" w:rsidR="00353157" w:rsidRPr="0048444C" w:rsidRDefault="00353157" w:rsidP="00353157">
      <w:pPr>
        <w:spacing w:line="360" w:lineRule="auto"/>
        <w:jc w:val="both"/>
        <w:rPr>
          <w:b/>
          <w:bCs/>
          <w:noProof/>
          <w:u w:val="single"/>
          <w:rtl/>
        </w:rPr>
      </w:pPr>
      <w:r w:rsidRPr="0048444C">
        <w:rPr>
          <w:b/>
          <w:bCs/>
          <w:noProof/>
          <w:u w:val="single"/>
          <w:rtl/>
        </w:rPr>
        <w:t>המזכירות תעביר גזר הדין לממונה על עבודות השירות</w:t>
      </w:r>
      <w:r>
        <w:rPr>
          <w:rFonts w:hint="cs"/>
          <w:b/>
          <w:bCs/>
          <w:noProof/>
          <w:u w:val="single"/>
          <w:rtl/>
        </w:rPr>
        <w:t xml:space="preserve"> ולשירות המבחן</w:t>
      </w:r>
      <w:r w:rsidRPr="0048444C">
        <w:rPr>
          <w:b/>
          <w:bCs/>
          <w:noProof/>
          <w:u w:val="single"/>
          <w:rtl/>
        </w:rPr>
        <w:t xml:space="preserve">. </w:t>
      </w:r>
    </w:p>
    <w:p w14:paraId="3087AE45" w14:textId="77777777" w:rsidR="00353157" w:rsidRPr="0048444C" w:rsidRDefault="00353157" w:rsidP="00353157">
      <w:pPr>
        <w:spacing w:line="360" w:lineRule="auto"/>
        <w:jc w:val="both"/>
        <w:rPr>
          <w:b/>
          <w:bCs/>
          <w:noProof/>
          <w:u w:val="single"/>
        </w:rPr>
      </w:pPr>
      <w:r w:rsidRPr="0048444C">
        <w:rPr>
          <w:b/>
          <w:bCs/>
          <w:noProof/>
          <w:u w:val="single"/>
          <w:rtl/>
        </w:rPr>
        <w:t xml:space="preserve">מוצגים </w:t>
      </w:r>
      <w:r>
        <w:rPr>
          <w:b/>
          <w:bCs/>
          <w:noProof/>
          <w:u w:val="single"/>
          <w:rtl/>
        </w:rPr>
        <w:t>–</w:t>
      </w:r>
      <w:r>
        <w:rPr>
          <w:rFonts w:hint="cs"/>
          <w:b/>
          <w:bCs/>
          <w:noProof/>
          <w:u w:val="single"/>
          <w:rtl/>
        </w:rPr>
        <w:t xml:space="preserve"> למעט הטלפון הנייד, </w:t>
      </w:r>
      <w:r w:rsidRPr="0048444C">
        <w:rPr>
          <w:b/>
          <w:bCs/>
          <w:noProof/>
          <w:u w:val="single"/>
          <w:rtl/>
        </w:rPr>
        <w:t>יושמדו בחלוף תקופת הערעור.</w:t>
      </w:r>
    </w:p>
    <w:p w14:paraId="60356029" w14:textId="77777777" w:rsidR="00353157" w:rsidRPr="0048444C" w:rsidRDefault="00353157" w:rsidP="00353157">
      <w:pPr>
        <w:spacing w:line="360" w:lineRule="auto"/>
        <w:jc w:val="both"/>
        <w:rPr>
          <w:b/>
          <w:bCs/>
          <w:u w:val="single"/>
          <w:rtl/>
        </w:rPr>
      </w:pPr>
      <w:r w:rsidRPr="0048444C">
        <w:rPr>
          <w:b/>
          <w:bCs/>
          <w:noProof/>
          <w:u w:val="single"/>
          <w:rtl/>
        </w:rPr>
        <w:t>זכות ערעור לבית המשפט המחוזי בתל-אביב בתוך 45 יום מהיום.</w:t>
      </w:r>
    </w:p>
    <w:p w14:paraId="7AB6EF97" w14:textId="77777777" w:rsidR="00353157" w:rsidRPr="00B05847" w:rsidRDefault="00353157" w:rsidP="00353157">
      <w:pPr>
        <w:rPr>
          <w:rtl/>
        </w:rPr>
      </w:pPr>
    </w:p>
    <w:p w14:paraId="571266DF" w14:textId="77777777" w:rsidR="00353157" w:rsidRPr="00B05847" w:rsidRDefault="00353157" w:rsidP="00353157">
      <w:pPr>
        <w:rPr>
          <w:rtl/>
        </w:rPr>
      </w:pPr>
    </w:p>
    <w:p w14:paraId="78014BF4" w14:textId="77777777" w:rsidR="00353157" w:rsidRPr="0063431F" w:rsidRDefault="0063431F" w:rsidP="00353157">
      <w:pPr>
        <w:rPr>
          <w:color w:val="FFFFFF"/>
          <w:sz w:val="2"/>
          <w:szCs w:val="2"/>
          <w:rtl/>
        </w:rPr>
      </w:pPr>
      <w:r w:rsidRPr="0063431F">
        <w:rPr>
          <w:color w:val="FFFFFF"/>
          <w:sz w:val="2"/>
          <w:szCs w:val="2"/>
          <w:rtl/>
        </w:rPr>
        <w:t>5129371</w:t>
      </w:r>
    </w:p>
    <w:p w14:paraId="64CBD2C3" w14:textId="77777777" w:rsidR="00353157" w:rsidRPr="00250B83" w:rsidRDefault="0063431F" w:rsidP="00353157">
      <w:pPr>
        <w:rPr>
          <w:rtl/>
        </w:rPr>
      </w:pPr>
      <w:bookmarkStart w:id="8" w:name="Nitan"/>
      <w:r w:rsidRPr="0063431F">
        <w:rPr>
          <w:rFonts w:ascii="Arial" w:hAnsi="Arial"/>
          <w:color w:val="FFFFFF"/>
          <w:sz w:val="2"/>
          <w:szCs w:val="2"/>
          <w:rtl/>
        </w:rPr>
        <w:t>54678313</w:t>
      </w:r>
      <w:r>
        <w:rPr>
          <w:rFonts w:ascii="Arial" w:hAnsi="Arial"/>
          <w:rtl/>
        </w:rPr>
        <w:t xml:space="preserve">ניתן היום,  י' אב תשפ"א, 19 יולי 2021, בנוכחות הצדדים. </w:t>
      </w:r>
      <w:bookmarkEnd w:id="8"/>
    </w:p>
    <w:p w14:paraId="7A617E3E" w14:textId="77777777" w:rsidR="00353157" w:rsidRPr="00250B83" w:rsidRDefault="00353157" w:rsidP="0063431F">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093516F3" w14:textId="77777777" w:rsidR="00353157" w:rsidRPr="00250B83" w:rsidRDefault="00353157" w:rsidP="00353157">
      <w:pPr>
        <w:jc w:val="center"/>
        <w:rPr>
          <w:rFonts w:ascii="Arial" w:hAnsi="Arial"/>
          <w:rtl/>
        </w:rPr>
      </w:pPr>
    </w:p>
    <w:p w14:paraId="54BE16A8" w14:textId="77777777" w:rsidR="0063431F" w:rsidRDefault="0063431F" w:rsidP="0063431F">
      <w:pPr>
        <w:rPr>
          <w:rtl/>
        </w:rPr>
      </w:pPr>
    </w:p>
    <w:p w14:paraId="1B781595" w14:textId="77777777" w:rsidR="0063431F" w:rsidRDefault="0063431F" w:rsidP="0063431F">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68E0B3D7" w14:textId="77777777" w:rsidR="00E67FB9" w:rsidRPr="00E67FB9" w:rsidRDefault="00E67FB9" w:rsidP="00E67FB9">
      <w:pPr>
        <w:keepNext/>
        <w:rPr>
          <w:rFonts w:ascii="David" w:hAnsi="David"/>
          <w:color w:val="000000"/>
          <w:sz w:val="22"/>
          <w:szCs w:val="22"/>
          <w:rtl/>
        </w:rPr>
      </w:pPr>
    </w:p>
    <w:p w14:paraId="0F604096" w14:textId="77777777" w:rsidR="00E67FB9" w:rsidRPr="00E67FB9" w:rsidRDefault="00E67FB9" w:rsidP="00E67FB9">
      <w:pPr>
        <w:keepNext/>
        <w:rPr>
          <w:rFonts w:ascii="David" w:hAnsi="David"/>
          <w:color w:val="000000"/>
          <w:sz w:val="22"/>
          <w:szCs w:val="22"/>
          <w:rtl/>
        </w:rPr>
      </w:pPr>
      <w:r w:rsidRPr="00E67FB9">
        <w:rPr>
          <w:rFonts w:ascii="David" w:hAnsi="David"/>
          <w:color w:val="000000"/>
          <w:sz w:val="22"/>
          <w:szCs w:val="22"/>
          <w:rtl/>
        </w:rPr>
        <w:t>עדי יעקובוביץ 54678313-/</w:t>
      </w:r>
    </w:p>
    <w:p w14:paraId="7A9A692B" w14:textId="77777777" w:rsidR="0063431F" w:rsidRPr="0063431F" w:rsidRDefault="00E67FB9" w:rsidP="00E67FB9">
      <w:pPr>
        <w:rPr>
          <w:color w:val="0000FF"/>
          <w:u w:val="single"/>
        </w:rPr>
      </w:pPr>
      <w:r w:rsidRPr="00E67FB9">
        <w:rPr>
          <w:color w:val="000000"/>
          <w:u w:val="single"/>
          <w:rtl/>
        </w:rPr>
        <w:t>נוסח מסמך זה כפוף לשינויי ניסוח ועריכה</w:t>
      </w:r>
    </w:p>
    <w:sectPr w:rsidR="0063431F" w:rsidRPr="0063431F" w:rsidSect="00E67FB9">
      <w:headerReference w:type="even" r:id="rId47"/>
      <w:headerReference w:type="default" r:id="rId48"/>
      <w:footerReference w:type="even" r:id="rId49"/>
      <w:footerReference w:type="default" r:id="rId50"/>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B7BE1A" w14:textId="77777777" w:rsidR="00BD1F01" w:rsidRDefault="00BD1F01" w:rsidP="00610D73">
      <w:r>
        <w:separator/>
      </w:r>
    </w:p>
  </w:endnote>
  <w:endnote w:type="continuationSeparator" w:id="0">
    <w:p w14:paraId="055CE962" w14:textId="77777777" w:rsidR="00BD1F01" w:rsidRDefault="00BD1F01" w:rsidP="00610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0BC7C" w14:textId="77777777" w:rsidR="00E67FB9" w:rsidRDefault="00E67FB9" w:rsidP="00E67FB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B1BBBF0" w14:textId="77777777" w:rsidR="00152D57" w:rsidRPr="00E67FB9" w:rsidRDefault="00E67FB9" w:rsidP="00E67FB9">
    <w:pPr>
      <w:pStyle w:val="a5"/>
      <w:pBdr>
        <w:top w:val="single" w:sz="4" w:space="1" w:color="auto"/>
        <w:between w:val="single" w:sz="4" w:space="0" w:color="auto"/>
      </w:pBdr>
      <w:spacing w:after="60"/>
      <w:jc w:val="center"/>
      <w:rPr>
        <w:rFonts w:ascii="FrankRuehl" w:hAnsi="FrankRuehl" w:cs="FrankRuehl"/>
        <w:color w:val="000000"/>
      </w:rPr>
    </w:pPr>
    <w:r w:rsidRPr="00E67FB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AAA92" w14:textId="77777777" w:rsidR="00E67FB9" w:rsidRDefault="00E67FB9" w:rsidP="00E67FB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91911">
      <w:rPr>
        <w:rFonts w:ascii="FrankRuehl" w:hAnsi="FrankRuehl" w:cs="FrankRuehl"/>
        <w:noProof/>
        <w:rtl/>
      </w:rPr>
      <w:t>1</w:t>
    </w:r>
    <w:r>
      <w:rPr>
        <w:rFonts w:ascii="FrankRuehl" w:hAnsi="FrankRuehl" w:cs="FrankRuehl"/>
        <w:rtl/>
      </w:rPr>
      <w:fldChar w:fldCharType="end"/>
    </w:r>
  </w:p>
  <w:p w14:paraId="12FE9CE0" w14:textId="77777777" w:rsidR="00152D57" w:rsidRPr="00E67FB9" w:rsidRDefault="00E67FB9" w:rsidP="00E67FB9">
    <w:pPr>
      <w:pStyle w:val="a5"/>
      <w:pBdr>
        <w:top w:val="single" w:sz="4" w:space="1" w:color="auto"/>
        <w:between w:val="single" w:sz="4" w:space="0" w:color="auto"/>
      </w:pBdr>
      <w:spacing w:after="60"/>
      <w:jc w:val="center"/>
      <w:rPr>
        <w:rFonts w:ascii="FrankRuehl" w:hAnsi="FrankRuehl" w:cs="FrankRuehl"/>
        <w:color w:val="000000"/>
      </w:rPr>
    </w:pPr>
    <w:r w:rsidRPr="00E67FB9">
      <w:rPr>
        <w:rFonts w:ascii="FrankRuehl" w:hAnsi="FrankRuehl" w:cs="FrankRuehl"/>
        <w:color w:val="000000"/>
      </w:rPr>
      <w:pict w14:anchorId="5CFF0E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B283BD" w14:textId="77777777" w:rsidR="00BD1F01" w:rsidRDefault="00BD1F01" w:rsidP="00610D73">
      <w:r>
        <w:separator/>
      </w:r>
    </w:p>
  </w:footnote>
  <w:footnote w:type="continuationSeparator" w:id="0">
    <w:p w14:paraId="09FDDA7C" w14:textId="77777777" w:rsidR="00BD1F01" w:rsidRDefault="00BD1F01" w:rsidP="00610D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9D912" w14:textId="77777777" w:rsidR="0063431F" w:rsidRPr="00E67FB9" w:rsidRDefault="00E67FB9" w:rsidP="00E67FB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34266-09-18</w:t>
    </w:r>
    <w:r>
      <w:rPr>
        <w:rFonts w:ascii="David" w:hAnsi="David"/>
        <w:color w:val="000000"/>
        <w:sz w:val="22"/>
        <w:szCs w:val="22"/>
        <w:rtl/>
      </w:rPr>
      <w:tab/>
      <w:t xml:space="preserve"> מדינת ישראל נ' אלעד קסלר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6B3CA" w14:textId="77777777" w:rsidR="0063431F" w:rsidRPr="00E67FB9" w:rsidRDefault="00E67FB9" w:rsidP="00E67FB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34266-09-18</w:t>
    </w:r>
    <w:r>
      <w:rPr>
        <w:rFonts w:ascii="David" w:hAnsi="David"/>
        <w:color w:val="000000"/>
        <w:sz w:val="22"/>
        <w:szCs w:val="22"/>
        <w:rtl/>
      </w:rPr>
      <w:tab/>
      <w:t xml:space="preserve"> מדינת ישראל נ' אלעד קסלר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F16A05"/>
    <w:multiLevelType w:val="hybridMultilevel"/>
    <w:tmpl w:val="39062A14"/>
    <w:lvl w:ilvl="0" w:tplc="5B064FCA">
      <w:start w:val="1"/>
      <w:numFmt w:val="decimal"/>
      <w:lvlText w:val="%1."/>
      <w:lvlJc w:val="left"/>
      <w:pPr>
        <w:ind w:left="360" w:hanging="360"/>
      </w:pPr>
      <w:rPr>
        <w:rFonts w:ascii="David" w:hAnsi="David" w:cs="David" w:hint="default"/>
        <w:b w:val="0"/>
        <w:bCs w:val="0"/>
        <w:sz w:val="24"/>
        <w:szCs w:val="24"/>
      </w:rPr>
    </w:lvl>
    <w:lvl w:ilvl="1" w:tplc="FFB0B8C6">
      <w:start w:val="1"/>
      <w:numFmt w:val="hebrew1"/>
      <w:lvlText w:val="%2."/>
      <w:lvlJc w:val="center"/>
      <w:pPr>
        <w:ind w:left="786" w:hanging="360"/>
      </w:pPr>
      <w:rPr>
        <w:b w:val="0"/>
        <w:bCs w:val="0"/>
        <w:sz w:val="24"/>
        <w:szCs w:val="24"/>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61E97CCD"/>
    <w:multiLevelType w:val="hybridMultilevel"/>
    <w:tmpl w:val="39062A14"/>
    <w:lvl w:ilvl="0" w:tplc="5B064FCA">
      <w:start w:val="1"/>
      <w:numFmt w:val="decimal"/>
      <w:lvlText w:val="%1."/>
      <w:lvlJc w:val="left"/>
      <w:pPr>
        <w:ind w:left="360" w:hanging="360"/>
      </w:pPr>
      <w:rPr>
        <w:rFonts w:ascii="David" w:hAnsi="David" w:cs="David" w:hint="default"/>
        <w:b w:val="0"/>
        <w:bCs w:val="0"/>
        <w:sz w:val="24"/>
        <w:szCs w:val="24"/>
      </w:rPr>
    </w:lvl>
    <w:lvl w:ilvl="1" w:tplc="FFB0B8C6">
      <w:start w:val="1"/>
      <w:numFmt w:val="hebrew1"/>
      <w:lvlText w:val="%2."/>
      <w:lvlJc w:val="center"/>
      <w:pPr>
        <w:ind w:left="786" w:hanging="360"/>
      </w:pPr>
      <w:rPr>
        <w:b w:val="0"/>
        <w:bCs w:val="0"/>
        <w:sz w:val="24"/>
        <w:szCs w:val="24"/>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5832202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387361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53157"/>
    <w:rsid w:val="00006687"/>
    <w:rsid w:val="00152D57"/>
    <w:rsid w:val="001B5A3B"/>
    <w:rsid w:val="001C51B2"/>
    <w:rsid w:val="00353157"/>
    <w:rsid w:val="0041027B"/>
    <w:rsid w:val="00586C2A"/>
    <w:rsid w:val="00610D73"/>
    <w:rsid w:val="0063431F"/>
    <w:rsid w:val="00695179"/>
    <w:rsid w:val="00BD1F01"/>
    <w:rsid w:val="00C563A8"/>
    <w:rsid w:val="00C91911"/>
    <w:rsid w:val="00D0201C"/>
    <w:rsid w:val="00E67FB9"/>
    <w:rsid w:val="00E74E01"/>
    <w:rsid w:val="00F71A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86C1518"/>
  <w15:chartTrackingRefBased/>
  <w15:docId w15:val="{6F3FFA78-30D6-49E7-9ED7-22332D6E3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5315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53157"/>
    <w:pPr>
      <w:tabs>
        <w:tab w:val="center" w:pos="4153"/>
        <w:tab w:val="right" w:pos="8306"/>
      </w:tabs>
    </w:pPr>
  </w:style>
  <w:style w:type="character" w:customStyle="1" w:styleId="a4">
    <w:name w:val="כותרת עליונה תו"/>
    <w:link w:val="a3"/>
    <w:rsid w:val="00353157"/>
    <w:rPr>
      <w:rFonts w:ascii="Times New Roman" w:eastAsia="Times New Roman" w:hAnsi="Times New Roman" w:cs="David"/>
      <w:sz w:val="24"/>
      <w:szCs w:val="24"/>
    </w:rPr>
  </w:style>
  <w:style w:type="paragraph" w:styleId="a5">
    <w:name w:val="footer"/>
    <w:basedOn w:val="a"/>
    <w:link w:val="a6"/>
    <w:rsid w:val="00353157"/>
    <w:pPr>
      <w:tabs>
        <w:tab w:val="center" w:pos="4153"/>
        <w:tab w:val="right" w:pos="8306"/>
      </w:tabs>
    </w:pPr>
  </w:style>
  <w:style w:type="character" w:customStyle="1" w:styleId="a6">
    <w:name w:val="כותרת תחתונה תו"/>
    <w:link w:val="a5"/>
    <w:rsid w:val="00353157"/>
    <w:rPr>
      <w:rFonts w:ascii="Times New Roman" w:eastAsia="Times New Roman" w:hAnsi="Times New Roman" w:cs="David"/>
      <w:sz w:val="24"/>
      <w:szCs w:val="24"/>
    </w:rPr>
  </w:style>
  <w:style w:type="table" w:styleId="a7">
    <w:name w:val="Table Grid"/>
    <w:basedOn w:val="a1"/>
    <w:rsid w:val="0035315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53157"/>
  </w:style>
  <w:style w:type="table" w:customStyle="1" w:styleId="1">
    <w:name w:val="רשת טבלה1"/>
    <w:basedOn w:val="a1"/>
    <w:next w:val="a7"/>
    <w:rsid w:val="00353157"/>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6343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b.b" TargetMode="External"/><Relationship Id="rId18" Type="http://schemas.openxmlformats.org/officeDocument/2006/relationships/hyperlink" Target="http://www.nevo.co.il/law/4216/7.c" TargetMode="External"/><Relationship Id="rId26" Type="http://schemas.openxmlformats.org/officeDocument/2006/relationships/hyperlink" Target="http://www.nevo.co.il/case/24998582" TargetMode="External"/><Relationship Id="rId39" Type="http://schemas.openxmlformats.org/officeDocument/2006/relationships/hyperlink" Target="http://www.nevo.co.il/law/70301/40ja" TargetMode="External"/><Relationship Id="rId21" Type="http://schemas.openxmlformats.org/officeDocument/2006/relationships/hyperlink" Target="http://www.nevo.co.il/law/70301/186.a" TargetMode="External"/><Relationship Id="rId34" Type="http://schemas.openxmlformats.org/officeDocument/2006/relationships/hyperlink" Target="http://www.nevo.co.il/case/5670124" TargetMode="External"/><Relationship Id="rId42" Type="http://schemas.openxmlformats.org/officeDocument/2006/relationships/hyperlink" Target="http://www.nevo.co.il/case/17941073"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case/24998582" TargetMode="External"/><Relationship Id="rId2" Type="http://schemas.openxmlformats.org/officeDocument/2006/relationships/styles" Target="styles.xml"/><Relationship Id="rId16" Type="http://schemas.openxmlformats.org/officeDocument/2006/relationships/hyperlink" Target="http://www.nevo.co.il/case/24998582" TargetMode="External"/><Relationship Id="rId29" Type="http://schemas.openxmlformats.org/officeDocument/2006/relationships/hyperlink" Target="http://www.nevo.co.il/case/26406170" TargetMode="External"/><Relationship Id="rId11" Type="http://schemas.openxmlformats.org/officeDocument/2006/relationships/hyperlink" Target="http://www.nevo.co.il/law/4216/36a" TargetMode="External"/><Relationship Id="rId24" Type="http://schemas.openxmlformats.org/officeDocument/2006/relationships/hyperlink" Target="http://www.nevo.co.il/case/13093721" TargetMode="External"/><Relationship Id="rId32" Type="http://schemas.openxmlformats.org/officeDocument/2006/relationships/hyperlink" Target="http://www.nevo.co.il/case/24398360" TargetMode="External"/><Relationship Id="rId37" Type="http://schemas.openxmlformats.org/officeDocument/2006/relationships/hyperlink" Target="http://www.nevo.co.il/case/16910841" TargetMode="External"/><Relationship Id="rId40" Type="http://schemas.openxmlformats.org/officeDocument/2006/relationships/hyperlink" Target="http://www.nevo.co.il/case/25584608" TargetMode="External"/><Relationship Id="rId45" Type="http://schemas.openxmlformats.org/officeDocument/2006/relationships/hyperlink" Target="http://www.nevo.co.il/law/4216/36a" TargetMode="Externa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case/27665264" TargetMode="External"/><Relationship Id="rId28" Type="http://schemas.openxmlformats.org/officeDocument/2006/relationships/hyperlink" Target="http://www.nevo.co.il/case/24335465" TargetMode="External"/><Relationship Id="rId36" Type="http://schemas.openxmlformats.org/officeDocument/2006/relationships/hyperlink" Target="http://www.nevo.co.il/case/23447810" TargetMode="External"/><Relationship Id="rId49" Type="http://schemas.openxmlformats.org/officeDocument/2006/relationships/footer" Target="footer1.xml"/><Relationship Id="rId10" Type="http://schemas.openxmlformats.org/officeDocument/2006/relationships/hyperlink" Target="http://www.nevo.co.il/law/4216/7.c" TargetMode="External"/><Relationship Id="rId19" Type="http://schemas.openxmlformats.org/officeDocument/2006/relationships/hyperlink" Target="http://www.nevo.co.il/law/4216" TargetMode="External"/><Relationship Id="rId31" Type="http://schemas.openxmlformats.org/officeDocument/2006/relationships/hyperlink" Target="http://www.nevo.co.il/case/18790963" TargetMode="External"/><Relationship Id="rId44" Type="http://schemas.openxmlformats.org/officeDocument/2006/relationships/hyperlink" Target="http://www.nevo.co.il/law/70301"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186.a"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18841309" TargetMode="External"/><Relationship Id="rId30" Type="http://schemas.openxmlformats.org/officeDocument/2006/relationships/hyperlink" Target="http://www.nevo.co.il/case/26202402" TargetMode="External"/><Relationship Id="rId35" Type="http://schemas.openxmlformats.org/officeDocument/2006/relationships/hyperlink" Target="http://www.nevo.co.il/case/5670124" TargetMode="External"/><Relationship Id="rId43" Type="http://schemas.openxmlformats.org/officeDocument/2006/relationships/hyperlink" Target="http://www.nevo.co.il/law/70301/1b.b" TargetMode="External"/><Relationship Id="rId48" Type="http://schemas.openxmlformats.org/officeDocument/2006/relationships/header" Target="header2.xml"/><Relationship Id="rId8" Type="http://schemas.openxmlformats.org/officeDocument/2006/relationships/hyperlink" Target="http://www.nevo.co.il/law/4216"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7.a" TargetMode="External"/><Relationship Id="rId25" Type="http://schemas.openxmlformats.org/officeDocument/2006/relationships/hyperlink" Target="http://www.nevo.co.il/case/5576587" TargetMode="External"/><Relationship Id="rId33" Type="http://schemas.openxmlformats.org/officeDocument/2006/relationships/hyperlink" Target="http://www.nevo.co.il/case/25584608" TargetMode="External"/><Relationship Id="rId38" Type="http://schemas.openxmlformats.org/officeDocument/2006/relationships/hyperlink" Target="http://www.nevo.co.il/case/22875354"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case/25584608" TargetMode="External"/><Relationship Id="rId41" Type="http://schemas.openxmlformats.org/officeDocument/2006/relationships/hyperlink" Target="http://www.nevo.co.il/case/20111708"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3752</Words>
  <Characters>18763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22471</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2883708</vt:i4>
      </vt:variant>
      <vt:variant>
        <vt:i4>114</vt:i4>
      </vt:variant>
      <vt:variant>
        <vt:i4>0</vt:i4>
      </vt:variant>
      <vt:variant>
        <vt:i4>5</vt:i4>
      </vt:variant>
      <vt:variant>
        <vt:lpwstr>http://www.nevo.co.il/law/4216/36a</vt:lpwstr>
      </vt:variant>
      <vt:variant>
        <vt:lpwstr/>
      </vt:variant>
      <vt:variant>
        <vt:i4>7995492</vt:i4>
      </vt:variant>
      <vt:variant>
        <vt:i4>111</vt:i4>
      </vt:variant>
      <vt:variant>
        <vt:i4>0</vt:i4>
      </vt:variant>
      <vt:variant>
        <vt:i4>5</vt:i4>
      </vt:variant>
      <vt:variant>
        <vt:lpwstr>http://www.nevo.co.il/law/70301</vt:lpwstr>
      </vt:variant>
      <vt:variant>
        <vt:lpwstr/>
      </vt:variant>
      <vt:variant>
        <vt:i4>5570634</vt:i4>
      </vt:variant>
      <vt:variant>
        <vt:i4>108</vt:i4>
      </vt:variant>
      <vt:variant>
        <vt:i4>0</vt:i4>
      </vt:variant>
      <vt:variant>
        <vt:i4>5</vt:i4>
      </vt:variant>
      <vt:variant>
        <vt:lpwstr>http://www.nevo.co.il/law/70301/1b.b</vt:lpwstr>
      </vt:variant>
      <vt:variant>
        <vt:lpwstr/>
      </vt:variant>
      <vt:variant>
        <vt:i4>4063351</vt:i4>
      </vt:variant>
      <vt:variant>
        <vt:i4>105</vt:i4>
      </vt:variant>
      <vt:variant>
        <vt:i4>0</vt:i4>
      </vt:variant>
      <vt:variant>
        <vt:i4>5</vt:i4>
      </vt:variant>
      <vt:variant>
        <vt:lpwstr>http://www.nevo.co.il/case/17941073</vt:lpwstr>
      </vt:variant>
      <vt:variant>
        <vt:lpwstr/>
      </vt:variant>
      <vt:variant>
        <vt:i4>3276914</vt:i4>
      </vt:variant>
      <vt:variant>
        <vt:i4>102</vt:i4>
      </vt:variant>
      <vt:variant>
        <vt:i4>0</vt:i4>
      </vt:variant>
      <vt:variant>
        <vt:i4>5</vt:i4>
      </vt:variant>
      <vt:variant>
        <vt:lpwstr>http://www.nevo.co.il/case/20111708</vt:lpwstr>
      </vt:variant>
      <vt:variant>
        <vt:lpwstr/>
      </vt:variant>
      <vt:variant>
        <vt:i4>3342463</vt:i4>
      </vt:variant>
      <vt:variant>
        <vt:i4>99</vt:i4>
      </vt:variant>
      <vt:variant>
        <vt:i4>0</vt:i4>
      </vt:variant>
      <vt:variant>
        <vt:i4>5</vt:i4>
      </vt:variant>
      <vt:variant>
        <vt:lpwstr>http://www.nevo.co.il/case/25584608</vt:lpwstr>
      </vt:variant>
      <vt:variant>
        <vt:lpwstr/>
      </vt:variant>
      <vt:variant>
        <vt:i4>262155</vt:i4>
      </vt:variant>
      <vt:variant>
        <vt:i4>96</vt:i4>
      </vt:variant>
      <vt:variant>
        <vt:i4>0</vt:i4>
      </vt:variant>
      <vt:variant>
        <vt:i4>5</vt:i4>
      </vt:variant>
      <vt:variant>
        <vt:lpwstr>http://www.nevo.co.il/law/70301/40ja</vt:lpwstr>
      </vt:variant>
      <vt:variant>
        <vt:lpwstr/>
      </vt:variant>
      <vt:variant>
        <vt:i4>3801202</vt:i4>
      </vt:variant>
      <vt:variant>
        <vt:i4>93</vt:i4>
      </vt:variant>
      <vt:variant>
        <vt:i4>0</vt:i4>
      </vt:variant>
      <vt:variant>
        <vt:i4>5</vt:i4>
      </vt:variant>
      <vt:variant>
        <vt:lpwstr>http://www.nevo.co.il/case/22875354</vt:lpwstr>
      </vt:variant>
      <vt:variant>
        <vt:lpwstr/>
      </vt:variant>
      <vt:variant>
        <vt:i4>3932283</vt:i4>
      </vt:variant>
      <vt:variant>
        <vt:i4>90</vt:i4>
      </vt:variant>
      <vt:variant>
        <vt:i4>0</vt:i4>
      </vt:variant>
      <vt:variant>
        <vt:i4>5</vt:i4>
      </vt:variant>
      <vt:variant>
        <vt:lpwstr>http://www.nevo.co.il/case/16910841</vt:lpwstr>
      </vt:variant>
      <vt:variant>
        <vt:lpwstr/>
      </vt:variant>
      <vt:variant>
        <vt:i4>3145851</vt:i4>
      </vt:variant>
      <vt:variant>
        <vt:i4>87</vt:i4>
      </vt:variant>
      <vt:variant>
        <vt:i4>0</vt:i4>
      </vt:variant>
      <vt:variant>
        <vt:i4>5</vt:i4>
      </vt:variant>
      <vt:variant>
        <vt:lpwstr>http://www.nevo.co.il/case/23447810</vt:lpwstr>
      </vt:variant>
      <vt:variant>
        <vt:lpwstr/>
      </vt:variant>
      <vt:variant>
        <vt:i4>3604592</vt:i4>
      </vt:variant>
      <vt:variant>
        <vt:i4>84</vt:i4>
      </vt:variant>
      <vt:variant>
        <vt:i4>0</vt:i4>
      </vt:variant>
      <vt:variant>
        <vt:i4>5</vt:i4>
      </vt:variant>
      <vt:variant>
        <vt:lpwstr>http://www.nevo.co.il/case/5670124</vt:lpwstr>
      </vt:variant>
      <vt:variant>
        <vt:lpwstr/>
      </vt:variant>
      <vt:variant>
        <vt:i4>3604592</vt:i4>
      </vt:variant>
      <vt:variant>
        <vt:i4>81</vt:i4>
      </vt:variant>
      <vt:variant>
        <vt:i4>0</vt:i4>
      </vt:variant>
      <vt:variant>
        <vt:i4>5</vt:i4>
      </vt:variant>
      <vt:variant>
        <vt:lpwstr>http://www.nevo.co.il/case/5670124</vt:lpwstr>
      </vt:variant>
      <vt:variant>
        <vt:lpwstr/>
      </vt:variant>
      <vt:variant>
        <vt:i4>3342463</vt:i4>
      </vt:variant>
      <vt:variant>
        <vt:i4>78</vt:i4>
      </vt:variant>
      <vt:variant>
        <vt:i4>0</vt:i4>
      </vt:variant>
      <vt:variant>
        <vt:i4>5</vt:i4>
      </vt:variant>
      <vt:variant>
        <vt:lpwstr>http://www.nevo.co.il/case/25584608</vt:lpwstr>
      </vt:variant>
      <vt:variant>
        <vt:lpwstr/>
      </vt:variant>
      <vt:variant>
        <vt:i4>4128890</vt:i4>
      </vt:variant>
      <vt:variant>
        <vt:i4>75</vt:i4>
      </vt:variant>
      <vt:variant>
        <vt:i4>0</vt:i4>
      </vt:variant>
      <vt:variant>
        <vt:i4>5</vt:i4>
      </vt:variant>
      <vt:variant>
        <vt:lpwstr>http://www.nevo.co.il/case/24398360</vt:lpwstr>
      </vt:variant>
      <vt:variant>
        <vt:lpwstr/>
      </vt:variant>
      <vt:variant>
        <vt:i4>3145852</vt:i4>
      </vt:variant>
      <vt:variant>
        <vt:i4>72</vt:i4>
      </vt:variant>
      <vt:variant>
        <vt:i4>0</vt:i4>
      </vt:variant>
      <vt:variant>
        <vt:i4>5</vt:i4>
      </vt:variant>
      <vt:variant>
        <vt:lpwstr>http://www.nevo.co.il/case/18790963</vt:lpwstr>
      </vt:variant>
      <vt:variant>
        <vt:lpwstr/>
      </vt:variant>
      <vt:variant>
        <vt:i4>3276918</vt:i4>
      </vt:variant>
      <vt:variant>
        <vt:i4>69</vt:i4>
      </vt:variant>
      <vt:variant>
        <vt:i4>0</vt:i4>
      </vt:variant>
      <vt:variant>
        <vt:i4>5</vt:i4>
      </vt:variant>
      <vt:variant>
        <vt:lpwstr>http://www.nevo.co.il/case/26202402</vt:lpwstr>
      </vt:variant>
      <vt:variant>
        <vt:lpwstr/>
      </vt:variant>
      <vt:variant>
        <vt:i4>3604595</vt:i4>
      </vt:variant>
      <vt:variant>
        <vt:i4>66</vt:i4>
      </vt:variant>
      <vt:variant>
        <vt:i4>0</vt:i4>
      </vt:variant>
      <vt:variant>
        <vt:i4>5</vt:i4>
      </vt:variant>
      <vt:variant>
        <vt:lpwstr>http://www.nevo.co.il/case/26406170</vt:lpwstr>
      </vt:variant>
      <vt:variant>
        <vt:lpwstr/>
      </vt:variant>
      <vt:variant>
        <vt:i4>3276919</vt:i4>
      </vt:variant>
      <vt:variant>
        <vt:i4>63</vt:i4>
      </vt:variant>
      <vt:variant>
        <vt:i4>0</vt:i4>
      </vt:variant>
      <vt:variant>
        <vt:i4>5</vt:i4>
      </vt:variant>
      <vt:variant>
        <vt:lpwstr>http://www.nevo.co.il/case/24335465</vt:lpwstr>
      </vt:variant>
      <vt:variant>
        <vt:lpwstr/>
      </vt:variant>
      <vt:variant>
        <vt:i4>3670139</vt:i4>
      </vt:variant>
      <vt:variant>
        <vt:i4>60</vt:i4>
      </vt:variant>
      <vt:variant>
        <vt:i4>0</vt:i4>
      </vt:variant>
      <vt:variant>
        <vt:i4>5</vt:i4>
      </vt:variant>
      <vt:variant>
        <vt:lpwstr>http://www.nevo.co.il/case/18841309</vt:lpwstr>
      </vt:variant>
      <vt:variant>
        <vt:lpwstr/>
      </vt:variant>
      <vt:variant>
        <vt:i4>3866748</vt:i4>
      </vt:variant>
      <vt:variant>
        <vt:i4>57</vt:i4>
      </vt:variant>
      <vt:variant>
        <vt:i4>0</vt:i4>
      </vt:variant>
      <vt:variant>
        <vt:i4>5</vt:i4>
      </vt:variant>
      <vt:variant>
        <vt:lpwstr>http://www.nevo.co.il/case/24998582</vt:lpwstr>
      </vt:variant>
      <vt:variant>
        <vt:lpwstr/>
      </vt:variant>
      <vt:variant>
        <vt:i4>3145855</vt:i4>
      </vt:variant>
      <vt:variant>
        <vt:i4>54</vt:i4>
      </vt:variant>
      <vt:variant>
        <vt:i4>0</vt:i4>
      </vt:variant>
      <vt:variant>
        <vt:i4>5</vt:i4>
      </vt:variant>
      <vt:variant>
        <vt:lpwstr>http://www.nevo.co.il/case/5576587</vt:lpwstr>
      </vt:variant>
      <vt:variant>
        <vt:lpwstr/>
      </vt:variant>
      <vt:variant>
        <vt:i4>3145849</vt:i4>
      </vt:variant>
      <vt:variant>
        <vt:i4>51</vt:i4>
      </vt:variant>
      <vt:variant>
        <vt:i4>0</vt:i4>
      </vt:variant>
      <vt:variant>
        <vt:i4>5</vt:i4>
      </vt:variant>
      <vt:variant>
        <vt:lpwstr>http://www.nevo.co.il/case/13093721</vt:lpwstr>
      </vt:variant>
      <vt:variant>
        <vt:lpwstr/>
      </vt:variant>
      <vt:variant>
        <vt:i4>3604599</vt:i4>
      </vt:variant>
      <vt:variant>
        <vt:i4>48</vt:i4>
      </vt:variant>
      <vt:variant>
        <vt:i4>0</vt:i4>
      </vt:variant>
      <vt:variant>
        <vt:i4>5</vt:i4>
      </vt:variant>
      <vt:variant>
        <vt:lpwstr>http://www.nevo.co.il/case/27665264</vt:lpwstr>
      </vt:variant>
      <vt:variant>
        <vt:lpwstr/>
      </vt:variant>
      <vt:variant>
        <vt:i4>7995492</vt:i4>
      </vt:variant>
      <vt:variant>
        <vt:i4>45</vt:i4>
      </vt:variant>
      <vt:variant>
        <vt:i4>0</vt:i4>
      </vt:variant>
      <vt:variant>
        <vt:i4>5</vt:i4>
      </vt:variant>
      <vt:variant>
        <vt:lpwstr>http://www.nevo.co.il/law/70301</vt:lpwstr>
      </vt:variant>
      <vt:variant>
        <vt:lpwstr/>
      </vt:variant>
      <vt:variant>
        <vt:i4>4390994</vt:i4>
      </vt:variant>
      <vt:variant>
        <vt:i4>42</vt:i4>
      </vt:variant>
      <vt:variant>
        <vt:i4>0</vt:i4>
      </vt:variant>
      <vt:variant>
        <vt:i4>5</vt:i4>
      </vt:variant>
      <vt:variant>
        <vt:lpwstr>http://www.nevo.co.il/law/70301/186.a</vt:lpwstr>
      </vt:variant>
      <vt:variant>
        <vt:lpwstr/>
      </vt:variant>
      <vt:variant>
        <vt:i4>3342463</vt:i4>
      </vt:variant>
      <vt:variant>
        <vt:i4>39</vt:i4>
      </vt:variant>
      <vt:variant>
        <vt:i4>0</vt:i4>
      </vt:variant>
      <vt:variant>
        <vt:i4>5</vt:i4>
      </vt:variant>
      <vt:variant>
        <vt:lpwstr>http://www.nevo.co.il/case/25584608</vt:lpwstr>
      </vt:variant>
      <vt:variant>
        <vt:lpwstr/>
      </vt:variant>
      <vt:variant>
        <vt:i4>8257637</vt:i4>
      </vt:variant>
      <vt:variant>
        <vt:i4>36</vt:i4>
      </vt:variant>
      <vt:variant>
        <vt:i4>0</vt:i4>
      </vt:variant>
      <vt:variant>
        <vt:i4>5</vt:i4>
      </vt:variant>
      <vt:variant>
        <vt:lpwstr>http://www.nevo.co.il/law/4216</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3866748</vt:i4>
      </vt:variant>
      <vt:variant>
        <vt:i4>27</vt:i4>
      </vt:variant>
      <vt:variant>
        <vt:i4>0</vt:i4>
      </vt:variant>
      <vt:variant>
        <vt:i4>5</vt:i4>
      </vt:variant>
      <vt:variant>
        <vt:lpwstr>http://www.nevo.co.il/case/24998582</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4390994</vt:i4>
      </vt:variant>
      <vt:variant>
        <vt:i4>21</vt:i4>
      </vt:variant>
      <vt:variant>
        <vt:i4>0</vt:i4>
      </vt:variant>
      <vt:variant>
        <vt:i4>5</vt:i4>
      </vt:variant>
      <vt:variant>
        <vt:lpwstr>http://www.nevo.co.il/law/70301/186.a</vt:lpwstr>
      </vt:variant>
      <vt:variant>
        <vt:lpwstr/>
      </vt:variant>
      <vt:variant>
        <vt:i4>5570634</vt:i4>
      </vt:variant>
      <vt:variant>
        <vt:i4>18</vt:i4>
      </vt:variant>
      <vt:variant>
        <vt:i4>0</vt:i4>
      </vt:variant>
      <vt:variant>
        <vt:i4>5</vt:i4>
      </vt:variant>
      <vt:variant>
        <vt:lpwstr>http://www.nevo.co.il/law/70301/1b.b</vt:lpwstr>
      </vt:variant>
      <vt:variant>
        <vt:lpwstr/>
      </vt:variant>
      <vt:variant>
        <vt:i4>7995492</vt:i4>
      </vt:variant>
      <vt:variant>
        <vt:i4>15</vt:i4>
      </vt:variant>
      <vt:variant>
        <vt:i4>0</vt:i4>
      </vt:variant>
      <vt:variant>
        <vt:i4>5</vt:i4>
      </vt:variant>
      <vt:variant>
        <vt:lpwstr>http://www.nevo.co.il/law/70301</vt:lpwstr>
      </vt:variant>
      <vt:variant>
        <vt:lpwstr/>
      </vt:variant>
      <vt:variant>
        <vt:i4>2883708</vt:i4>
      </vt:variant>
      <vt:variant>
        <vt:i4>12</vt:i4>
      </vt:variant>
      <vt:variant>
        <vt:i4>0</vt:i4>
      </vt:variant>
      <vt:variant>
        <vt:i4>5</vt:i4>
      </vt:variant>
      <vt:variant>
        <vt:lpwstr>http://www.nevo.co.il/law/4216/36a</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3866748</vt:i4>
      </vt:variant>
      <vt:variant>
        <vt:i4>0</vt:i4>
      </vt:variant>
      <vt:variant>
        <vt:i4>0</vt:i4>
      </vt:variant>
      <vt:variant>
        <vt:i4>5</vt:i4>
      </vt:variant>
      <vt:variant>
        <vt:lpwstr>http://www.nevo.co.il/case/24998582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2025-04-22T23:53:00Z</dcterms:created>
  <dcterms:modified xsi:type="dcterms:W3CDTF">2025-04-22T23:53:00Z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34266</vt:lpwstr>
  </property>
  <property fmtid="{D5CDD505-2E9C-101B-9397-08002B2CF9AE}" pid="6" name="NEWPARTB">
    <vt:lpwstr>09</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אלעד קסלר</vt:lpwstr>
  </property>
  <property fmtid="{D5CDD505-2E9C-101B-9397-08002B2CF9AE}" pid="10" name="LAWYER">
    <vt:lpwstr>ג'סיקה קובורסי;מאיה הבר;אמיר נבון</vt:lpwstr>
  </property>
  <property fmtid="{D5CDD505-2E9C-101B-9397-08002B2CF9AE}" pid="11" name="JUDGE">
    <vt:lpwstr>עדי יעקובוביץ</vt:lpwstr>
  </property>
  <property fmtid="{D5CDD505-2E9C-101B-9397-08002B2CF9AE}" pid="12" name="CITY">
    <vt:lpwstr>ת"א</vt:lpwstr>
  </property>
  <property fmtid="{D5CDD505-2E9C-101B-9397-08002B2CF9AE}" pid="13" name="DATE">
    <vt:lpwstr>20210719</vt:lpwstr>
  </property>
  <property fmtid="{D5CDD505-2E9C-101B-9397-08002B2CF9AE}" pid="14" name="TYPE_N_DATE">
    <vt:lpwstr>38020210719</vt:lpwstr>
  </property>
  <property fmtid="{D5CDD505-2E9C-101B-9397-08002B2CF9AE}" pid="15" name="WORDNUMPAGES">
    <vt:lpwstr>10</vt:lpwstr>
  </property>
  <property fmtid="{D5CDD505-2E9C-101B-9397-08002B2CF9AE}" pid="16" name="TYPE_ABS_DATE">
    <vt:lpwstr>380020210719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24998582:3;25584608:3;27665264;13093721;5576587;18841309;24335465;26406170;26202402;18790963;24398360;5670124:2;23447810;16910841;22875354;20111708;17941073</vt:lpwstr>
  </property>
  <property fmtid="{D5CDD505-2E9C-101B-9397-08002B2CF9AE}" pid="36" name="LAWLISTTMP1">
    <vt:lpwstr>4216/007.a;007.c;036a</vt:lpwstr>
  </property>
  <property fmtid="{D5CDD505-2E9C-101B-9397-08002B2CF9AE}" pid="37" name="LAWLISTTMP2">
    <vt:lpwstr>70301/186.a;40ja;001b.b</vt:lpwstr>
  </property>
</Properties>
</file>