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701E6A" w:rsidRPr="005732E0" w14:paraId="5EC3EFCD" w14:textId="77777777" w:rsidTr="00611FBA">
        <w:trPr>
          <w:trHeight w:hRule="exact" w:val="418"/>
          <w:jc w:val="center"/>
        </w:trPr>
        <w:tc>
          <w:tcPr>
            <w:tcW w:w="8523" w:type="dxa"/>
            <w:gridSpan w:val="2"/>
          </w:tcPr>
          <w:p w14:paraId="7D486E7F" w14:textId="77777777" w:rsidR="00701E6A" w:rsidRPr="005732E0" w:rsidRDefault="00701E6A" w:rsidP="000355A6">
            <w:pPr>
              <w:pStyle w:val="a3"/>
              <w:jc w:val="center"/>
              <w:rPr>
                <w:rFonts w:ascii="Tahoma" w:hAnsi="Tahoma"/>
                <w:color w:val="000080"/>
                <w:sz w:val="32"/>
                <w:szCs w:val="32"/>
                <w:rtl/>
              </w:rPr>
            </w:pPr>
            <w:bookmarkStart w:id="0" w:name="LastJudge"/>
            <w:r w:rsidRPr="005732E0">
              <w:rPr>
                <w:rFonts w:ascii="Tahoma" w:hAnsi="Tahoma"/>
                <w:b/>
                <w:bCs/>
                <w:color w:val="000080"/>
                <w:sz w:val="32"/>
                <w:szCs w:val="32"/>
                <w:rtl/>
              </w:rPr>
              <w:t>בית משפט השלום בתל אביב - יפו</w:t>
            </w:r>
          </w:p>
        </w:tc>
      </w:tr>
      <w:tr w:rsidR="00701E6A" w:rsidRPr="005732E0" w14:paraId="72DBCDDA" w14:textId="77777777" w:rsidTr="00611FBA">
        <w:trPr>
          <w:trHeight w:val="337"/>
          <w:jc w:val="center"/>
        </w:trPr>
        <w:tc>
          <w:tcPr>
            <w:tcW w:w="4946" w:type="dxa"/>
          </w:tcPr>
          <w:p w14:paraId="1DD37A72" w14:textId="77777777" w:rsidR="00701E6A" w:rsidRPr="005732E0" w:rsidRDefault="00701E6A" w:rsidP="000355A6">
            <w:pPr>
              <w:rPr>
                <w:sz w:val="26"/>
                <w:szCs w:val="26"/>
                <w:rtl/>
              </w:rPr>
            </w:pPr>
            <w:r w:rsidRPr="005732E0">
              <w:rPr>
                <w:sz w:val="26"/>
                <w:szCs w:val="26"/>
                <w:rtl/>
              </w:rPr>
              <w:t>ת"פ</w:t>
            </w:r>
            <w:r w:rsidRPr="005732E0">
              <w:rPr>
                <w:rFonts w:hint="cs"/>
                <w:sz w:val="26"/>
                <w:szCs w:val="26"/>
                <w:rtl/>
              </w:rPr>
              <w:t xml:space="preserve"> </w:t>
            </w:r>
            <w:r w:rsidRPr="005732E0">
              <w:rPr>
                <w:sz w:val="26"/>
                <w:szCs w:val="26"/>
                <w:rtl/>
              </w:rPr>
              <w:t>39058-09-18</w:t>
            </w:r>
            <w:r w:rsidRPr="005732E0">
              <w:rPr>
                <w:rFonts w:hint="cs"/>
                <w:sz w:val="26"/>
                <w:szCs w:val="26"/>
                <w:rtl/>
              </w:rPr>
              <w:t xml:space="preserve"> </w:t>
            </w:r>
            <w:r w:rsidRPr="005732E0">
              <w:rPr>
                <w:sz w:val="26"/>
                <w:szCs w:val="26"/>
                <w:rtl/>
              </w:rPr>
              <w:t>מדינת ישראל נ' ליבוביץ</w:t>
            </w:r>
          </w:p>
        </w:tc>
        <w:tc>
          <w:tcPr>
            <w:tcW w:w="3577" w:type="dxa"/>
          </w:tcPr>
          <w:p w14:paraId="550D1B43" w14:textId="77777777" w:rsidR="00701E6A" w:rsidRPr="005732E0" w:rsidRDefault="00701E6A" w:rsidP="000355A6">
            <w:pPr>
              <w:pStyle w:val="a3"/>
              <w:jc w:val="right"/>
              <w:rPr>
                <w:rFonts w:cs="FrankRuehl"/>
                <w:sz w:val="28"/>
                <w:szCs w:val="28"/>
                <w:rtl/>
              </w:rPr>
            </w:pPr>
          </w:p>
        </w:tc>
      </w:tr>
    </w:tbl>
    <w:p w14:paraId="75750F57" w14:textId="77777777" w:rsidR="00701E6A" w:rsidRPr="005732E0" w:rsidRDefault="00701E6A" w:rsidP="00701E6A">
      <w:pPr>
        <w:pStyle w:val="a3"/>
        <w:rPr>
          <w:rtl/>
        </w:rPr>
      </w:pPr>
      <w:r w:rsidRPr="005732E0">
        <w:rPr>
          <w:rFonts w:hint="cs"/>
          <w:rtl/>
        </w:rPr>
        <w:t xml:space="preserve"> </w:t>
      </w:r>
    </w:p>
    <w:p w14:paraId="26DA7338" w14:textId="77777777" w:rsidR="00701E6A" w:rsidRPr="005732E0" w:rsidRDefault="00701E6A" w:rsidP="00701E6A">
      <w:pPr>
        <w:rPr>
          <w:rFonts w:ascii="David" w:hAnsi="David"/>
          <w:rtl/>
        </w:rPr>
      </w:pPr>
    </w:p>
    <w:p w14:paraId="2582F380" w14:textId="77777777" w:rsidR="00701E6A" w:rsidRPr="005732E0" w:rsidRDefault="00701E6A" w:rsidP="00701E6A">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26"/>
        <w:gridCol w:w="3399"/>
      </w:tblGrid>
      <w:tr w:rsidR="00701E6A" w:rsidRPr="005732E0" w14:paraId="24AEB395" w14:textId="77777777" w:rsidTr="00701E6A">
        <w:trPr>
          <w:trHeight w:val="295"/>
          <w:jc w:val="center"/>
        </w:trPr>
        <w:tc>
          <w:tcPr>
            <w:tcW w:w="8820" w:type="dxa"/>
            <w:gridSpan w:val="3"/>
            <w:tcBorders>
              <w:top w:val="nil"/>
              <w:left w:val="nil"/>
              <w:bottom w:val="nil"/>
              <w:right w:val="nil"/>
            </w:tcBorders>
            <w:shd w:val="clear" w:color="auto" w:fill="auto"/>
          </w:tcPr>
          <w:p w14:paraId="2BC44C45" w14:textId="77777777" w:rsidR="00701E6A" w:rsidRPr="005732E0" w:rsidRDefault="00701E6A" w:rsidP="00701E6A">
            <w:pPr>
              <w:jc w:val="both"/>
              <w:rPr>
                <w:rFonts w:ascii="David" w:hAnsi="David"/>
                <w:b/>
                <w:bCs/>
                <w:sz w:val="26"/>
                <w:szCs w:val="26"/>
              </w:rPr>
            </w:pPr>
            <w:r w:rsidRPr="005732E0">
              <w:rPr>
                <w:rFonts w:ascii="David" w:hAnsi="David" w:hint="cs"/>
                <w:b/>
                <w:bCs/>
                <w:sz w:val="26"/>
                <w:szCs w:val="26"/>
                <w:rtl/>
              </w:rPr>
              <w:t>ל</w:t>
            </w:r>
            <w:r w:rsidRPr="005732E0">
              <w:rPr>
                <w:rFonts w:ascii="David" w:hAnsi="David"/>
                <w:b/>
                <w:bCs/>
                <w:sz w:val="26"/>
                <w:szCs w:val="26"/>
                <w:rtl/>
              </w:rPr>
              <w:t xml:space="preserve">פני </w:t>
            </w:r>
            <w:r w:rsidRPr="005732E0">
              <w:rPr>
                <w:rFonts w:ascii="David" w:hAnsi="David" w:hint="cs"/>
                <w:b/>
                <w:bCs/>
                <w:sz w:val="26"/>
                <w:szCs w:val="26"/>
                <w:rtl/>
              </w:rPr>
              <w:t>כבוד ה</w:t>
            </w:r>
            <w:r w:rsidRPr="005732E0">
              <w:rPr>
                <w:rFonts w:ascii="David" w:hAnsi="David"/>
                <w:b/>
                <w:bCs/>
                <w:sz w:val="26"/>
                <w:szCs w:val="26"/>
                <w:rtl/>
              </w:rPr>
              <w:t>שופטת</w:t>
            </w:r>
            <w:r w:rsidRPr="005732E0">
              <w:rPr>
                <w:rFonts w:ascii="David" w:hAnsi="David" w:hint="cs"/>
                <w:b/>
                <w:bCs/>
                <w:sz w:val="26"/>
                <w:szCs w:val="26"/>
                <w:rtl/>
              </w:rPr>
              <w:t xml:space="preserve">  </w:t>
            </w:r>
            <w:r w:rsidRPr="005732E0">
              <w:rPr>
                <w:rFonts w:ascii="David" w:hAnsi="David"/>
                <w:b/>
                <w:bCs/>
                <w:sz w:val="26"/>
                <w:szCs w:val="26"/>
                <w:rtl/>
              </w:rPr>
              <w:t>דנה אמיר</w:t>
            </w:r>
          </w:p>
        </w:tc>
      </w:tr>
      <w:tr w:rsidR="00701E6A" w:rsidRPr="005732E0" w14:paraId="781E9562" w14:textId="77777777" w:rsidTr="00701E6A">
        <w:trPr>
          <w:trHeight w:val="355"/>
          <w:jc w:val="center"/>
        </w:trPr>
        <w:tc>
          <w:tcPr>
            <w:tcW w:w="885" w:type="dxa"/>
            <w:tcBorders>
              <w:top w:val="nil"/>
              <w:left w:val="nil"/>
              <w:bottom w:val="nil"/>
              <w:right w:val="nil"/>
            </w:tcBorders>
            <w:shd w:val="clear" w:color="auto" w:fill="auto"/>
          </w:tcPr>
          <w:p w14:paraId="5D2C1DAA" w14:textId="77777777" w:rsidR="00701E6A" w:rsidRPr="005732E0" w:rsidRDefault="00701E6A" w:rsidP="00701E6A">
            <w:pPr>
              <w:jc w:val="both"/>
              <w:rPr>
                <w:rFonts w:ascii="David" w:hAnsi="David"/>
                <w:b/>
                <w:bCs/>
                <w:sz w:val="26"/>
                <w:szCs w:val="26"/>
              </w:rPr>
            </w:pPr>
            <w:bookmarkStart w:id="1" w:name="FirstAppellant"/>
            <w:r w:rsidRPr="005732E0">
              <w:rPr>
                <w:rFonts w:ascii="David" w:hAnsi="David" w:hint="cs"/>
                <w:sz w:val="26"/>
                <w:szCs w:val="26"/>
                <w:rtl/>
              </w:rPr>
              <w:t>ה</w:t>
            </w:r>
            <w:r w:rsidRPr="005732E0">
              <w:rPr>
                <w:rFonts w:ascii="David" w:hAnsi="David"/>
                <w:sz w:val="26"/>
                <w:szCs w:val="26"/>
                <w:rtl/>
              </w:rPr>
              <w:t>מאשימה</w:t>
            </w:r>
          </w:p>
        </w:tc>
        <w:tc>
          <w:tcPr>
            <w:tcW w:w="4384" w:type="dxa"/>
            <w:tcBorders>
              <w:top w:val="nil"/>
              <w:left w:val="nil"/>
              <w:bottom w:val="nil"/>
              <w:right w:val="nil"/>
            </w:tcBorders>
            <w:shd w:val="clear" w:color="auto" w:fill="auto"/>
          </w:tcPr>
          <w:p w14:paraId="007AE7FD" w14:textId="77777777" w:rsidR="00701E6A" w:rsidRPr="005732E0" w:rsidRDefault="00701E6A" w:rsidP="000355A6">
            <w:pPr>
              <w:rPr>
                <w:rFonts w:ascii="David" w:hAnsi="David"/>
                <w:sz w:val="26"/>
                <w:szCs w:val="26"/>
              </w:rPr>
            </w:pPr>
            <w:r w:rsidRPr="005732E0">
              <w:rPr>
                <w:rFonts w:ascii="David" w:hAnsi="David"/>
                <w:sz w:val="26"/>
                <w:szCs w:val="26"/>
                <w:rtl/>
              </w:rPr>
              <w:t>מדינת ישראל</w:t>
            </w:r>
          </w:p>
        </w:tc>
        <w:tc>
          <w:tcPr>
            <w:tcW w:w="3551" w:type="dxa"/>
            <w:tcBorders>
              <w:top w:val="nil"/>
              <w:left w:val="nil"/>
              <w:bottom w:val="nil"/>
              <w:right w:val="nil"/>
            </w:tcBorders>
            <w:shd w:val="clear" w:color="auto" w:fill="auto"/>
          </w:tcPr>
          <w:p w14:paraId="0622979A" w14:textId="77777777" w:rsidR="00701E6A" w:rsidRPr="005732E0" w:rsidRDefault="00701E6A" w:rsidP="00701E6A">
            <w:pPr>
              <w:jc w:val="both"/>
              <w:rPr>
                <w:rFonts w:ascii="David" w:hAnsi="David"/>
                <w:sz w:val="26"/>
                <w:szCs w:val="26"/>
              </w:rPr>
            </w:pPr>
          </w:p>
        </w:tc>
      </w:tr>
      <w:bookmarkEnd w:id="1"/>
      <w:tr w:rsidR="00701E6A" w:rsidRPr="005732E0" w14:paraId="7EF51802" w14:textId="77777777" w:rsidTr="00701E6A">
        <w:trPr>
          <w:trHeight w:val="373"/>
          <w:jc w:val="center"/>
        </w:trPr>
        <w:tc>
          <w:tcPr>
            <w:tcW w:w="885" w:type="dxa"/>
            <w:tcBorders>
              <w:top w:val="nil"/>
              <w:left w:val="nil"/>
              <w:bottom w:val="nil"/>
              <w:right w:val="nil"/>
            </w:tcBorders>
            <w:shd w:val="clear" w:color="auto" w:fill="auto"/>
          </w:tcPr>
          <w:p w14:paraId="4855BCE8" w14:textId="77777777" w:rsidR="00701E6A" w:rsidRPr="005732E0" w:rsidRDefault="00701E6A" w:rsidP="00701E6A">
            <w:pPr>
              <w:jc w:val="both"/>
              <w:rPr>
                <w:rFonts w:ascii="David" w:hAnsi="David"/>
                <w:sz w:val="26"/>
                <w:szCs w:val="26"/>
                <w:rtl/>
              </w:rPr>
            </w:pPr>
          </w:p>
        </w:tc>
        <w:tc>
          <w:tcPr>
            <w:tcW w:w="7935" w:type="dxa"/>
            <w:gridSpan w:val="2"/>
            <w:tcBorders>
              <w:top w:val="nil"/>
              <w:left w:val="nil"/>
              <w:bottom w:val="nil"/>
              <w:right w:val="nil"/>
            </w:tcBorders>
            <w:shd w:val="clear" w:color="auto" w:fill="auto"/>
          </w:tcPr>
          <w:p w14:paraId="1C3CE4E1" w14:textId="77777777" w:rsidR="00701E6A" w:rsidRPr="005732E0" w:rsidRDefault="00701E6A" w:rsidP="00701E6A">
            <w:pPr>
              <w:jc w:val="center"/>
              <w:rPr>
                <w:rFonts w:ascii="David" w:hAnsi="David"/>
                <w:b/>
                <w:bCs/>
                <w:sz w:val="26"/>
                <w:szCs w:val="26"/>
                <w:rtl/>
              </w:rPr>
            </w:pPr>
          </w:p>
          <w:p w14:paraId="672541FC" w14:textId="77777777" w:rsidR="00701E6A" w:rsidRPr="005732E0" w:rsidRDefault="00701E6A" w:rsidP="00701E6A">
            <w:pPr>
              <w:jc w:val="center"/>
              <w:rPr>
                <w:rFonts w:ascii="David" w:hAnsi="David"/>
                <w:b/>
                <w:bCs/>
                <w:sz w:val="26"/>
                <w:szCs w:val="26"/>
                <w:rtl/>
              </w:rPr>
            </w:pPr>
            <w:r w:rsidRPr="005732E0">
              <w:rPr>
                <w:rFonts w:ascii="David" w:hAnsi="David"/>
                <w:b/>
                <w:bCs/>
                <w:sz w:val="26"/>
                <w:szCs w:val="26"/>
                <w:rtl/>
              </w:rPr>
              <w:t>נגד</w:t>
            </w:r>
          </w:p>
          <w:p w14:paraId="1B614DDF" w14:textId="77777777" w:rsidR="00701E6A" w:rsidRPr="005732E0" w:rsidRDefault="00701E6A" w:rsidP="00701E6A">
            <w:pPr>
              <w:jc w:val="both"/>
              <w:rPr>
                <w:rFonts w:ascii="David" w:hAnsi="David"/>
                <w:sz w:val="26"/>
                <w:szCs w:val="26"/>
              </w:rPr>
            </w:pPr>
          </w:p>
        </w:tc>
      </w:tr>
      <w:tr w:rsidR="00701E6A" w:rsidRPr="005732E0" w14:paraId="65AC1438" w14:textId="77777777" w:rsidTr="00701E6A">
        <w:trPr>
          <w:trHeight w:val="355"/>
          <w:jc w:val="center"/>
        </w:trPr>
        <w:tc>
          <w:tcPr>
            <w:tcW w:w="885" w:type="dxa"/>
            <w:tcBorders>
              <w:top w:val="nil"/>
              <w:left w:val="nil"/>
              <w:bottom w:val="nil"/>
              <w:right w:val="nil"/>
            </w:tcBorders>
            <w:shd w:val="clear" w:color="auto" w:fill="auto"/>
          </w:tcPr>
          <w:p w14:paraId="1BA7072E" w14:textId="77777777" w:rsidR="00701E6A" w:rsidRPr="005732E0" w:rsidRDefault="00701E6A" w:rsidP="000355A6">
            <w:pPr>
              <w:rPr>
                <w:rFonts w:ascii="David" w:hAnsi="David"/>
                <w:sz w:val="26"/>
                <w:szCs w:val="26"/>
                <w:rtl/>
              </w:rPr>
            </w:pPr>
            <w:r w:rsidRPr="005732E0">
              <w:rPr>
                <w:rFonts w:ascii="David" w:hAnsi="David" w:hint="cs"/>
                <w:sz w:val="26"/>
                <w:szCs w:val="26"/>
                <w:rtl/>
              </w:rPr>
              <w:t>ה</w:t>
            </w:r>
            <w:r w:rsidRPr="005732E0">
              <w:rPr>
                <w:rFonts w:ascii="David" w:hAnsi="David"/>
                <w:sz w:val="26"/>
                <w:szCs w:val="26"/>
                <w:rtl/>
              </w:rPr>
              <w:t>נאשם</w:t>
            </w:r>
          </w:p>
        </w:tc>
        <w:tc>
          <w:tcPr>
            <w:tcW w:w="4384" w:type="dxa"/>
            <w:tcBorders>
              <w:top w:val="nil"/>
              <w:left w:val="nil"/>
              <w:bottom w:val="nil"/>
              <w:right w:val="nil"/>
            </w:tcBorders>
            <w:shd w:val="clear" w:color="auto" w:fill="auto"/>
          </w:tcPr>
          <w:p w14:paraId="71CB2C53" w14:textId="77777777" w:rsidR="00701E6A" w:rsidRPr="005732E0" w:rsidRDefault="00701E6A" w:rsidP="000355A6">
            <w:pPr>
              <w:rPr>
                <w:rFonts w:ascii="David" w:hAnsi="David"/>
                <w:sz w:val="26"/>
                <w:szCs w:val="26"/>
                <w:rtl/>
              </w:rPr>
            </w:pPr>
            <w:r w:rsidRPr="005732E0">
              <w:rPr>
                <w:rFonts w:ascii="David" w:hAnsi="David"/>
                <w:sz w:val="26"/>
                <w:szCs w:val="26"/>
                <w:rtl/>
              </w:rPr>
              <w:t>לירן ליבוביץ</w:t>
            </w:r>
          </w:p>
        </w:tc>
        <w:tc>
          <w:tcPr>
            <w:tcW w:w="3551" w:type="dxa"/>
            <w:tcBorders>
              <w:top w:val="nil"/>
              <w:left w:val="nil"/>
              <w:bottom w:val="nil"/>
              <w:right w:val="nil"/>
            </w:tcBorders>
            <w:shd w:val="clear" w:color="auto" w:fill="auto"/>
          </w:tcPr>
          <w:p w14:paraId="1A706A56" w14:textId="77777777" w:rsidR="00701E6A" w:rsidRPr="005732E0" w:rsidRDefault="00701E6A" w:rsidP="00701E6A">
            <w:pPr>
              <w:jc w:val="right"/>
              <w:rPr>
                <w:rFonts w:ascii="David" w:hAnsi="David"/>
                <w:sz w:val="26"/>
                <w:szCs w:val="26"/>
              </w:rPr>
            </w:pPr>
          </w:p>
        </w:tc>
      </w:tr>
    </w:tbl>
    <w:p w14:paraId="1590A447" w14:textId="77777777" w:rsidR="00701E6A" w:rsidRPr="005732E0" w:rsidRDefault="00701E6A" w:rsidP="00701E6A">
      <w:pPr>
        <w:rPr>
          <w:rFonts w:ascii="David" w:hAnsi="David"/>
          <w:rtl/>
        </w:rPr>
      </w:pPr>
    </w:p>
    <w:p w14:paraId="68FAFBE7" w14:textId="77777777" w:rsidR="00701E6A" w:rsidRPr="005732E0" w:rsidRDefault="00701E6A" w:rsidP="00701E6A">
      <w:pPr>
        <w:pStyle w:val="12"/>
        <w:jc w:val="both"/>
        <w:rPr>
          <w:rFonts w:ascii="David" w:hAnsi="David"/>
          <w:b w:val="0"/>
          <w:bCs w:val="0"/>
          <w:u w:val="none"/>
        </w:rPr>
      </w:pPr>
      <w:r w:rsidRPr="005732E0">
        <w:rPr>
          <w:rFonts w:ascii="David" w:hAnsi="David"/>
          <w:u w:val="none"/>
          <w:rtl/>
        </w:rPr>
        <w:t>נוכחים</w:t>
      </w:r>
      <w:r w:rsidRPr="005732E0">
        <w:rPr>
          <w:rFonts w:ascii="David" w:hAnsi="David"/>
          <w:b w:val="0"/>
          <w:bCs w:val="0"/>
          <w:u w:val="none"/>
          <w:rtl/>
        </w:rPr>
        <w:t>:</w:t>
      </w:r>
    </w:p>
    <w:p w14:paraId="7F9EAB06" w14:textId="77777777" w:rsidR="00701E6A" w:rsidRPr="005732E0" w:rsidRDefault="00701E6A" w:rsidP="00701E6A">
      <w:pPr>
        <w:pStyle w:val="12"/>
        <w:jc w:val="both"/>
        <w:rPr>
          <w:rFonts w:ascii="David" w:hAnsi="David"/>
          <w:b w:val="0"/>
          <w:bCs w:val="0"/>
          <w:u w:val="none"/>
          <w:rtl/>
        </w:rPr>
      </w:pPr>
      <w:bookmarkStart w:id="2" w:name="FirstLawyer"/>
      <w:r w:rsidRPr="005732E0">
        <w:rPr>
          <w:rFonts w:ascii="David" w:hAnsi="David" w:hint="cs"/>
          <w:b w:val="0"/>
          <w:bCs w:val="0"/>
          <w:u w:val="none"/>
          <w:rtl/>
        </w:rPr>
        <w:t>ב"כ</w:t>
      </w:r>
      <w:bookmarkEnd w:id="2"/>
      <w:r w:rsidRPr="005732E0">
        <w:rPr>
          <w:rFonts w:ascii="David" w:hAnsi="David" w:hint="cs"/>
          <w:b w:val="0"/>
          <w:bCs w:val="0"/>
          <w:u w:val="none"/>
          <w:rtl/>
        </w:rPr>
        <w:t xml:space="preserve"> המאשימה </w:t>
      </w:r>
      <w:r w:rsidRPr="005732E0">
        <w:rPr>
          <w:rFonts w:ascii="David" w:hAnsi="David"/>
          <w:b w:val="0"/>
          <w:bCs w:val="0"/>
          <w:u w:val="none"/>
          <w:rtl/>
        </w:rPr>
        <w:t>–</w:t>
      </w:r>
      <w:r w:rsidRPr="005732E0">
        <w:rPr>
          <w:rFonts w:ascii="David" w:hAnsi="David" w:hint="cs"/>
          <w:b w:val="0"/>
          <w:bCs w:val="0"/>
          <w:u w:val="none"/>
          <w:rtl/>
        </w:rPr>
        <w:t xml:space="preserve"> עו"ד ליהי אזולאי</w:t>
      </w:r>
    </w:p>
    <w:p w14:paraId="05140AC8" w14:textId="77777777" w:rsidR="00701E6A" w:rsidRPr="005732E0" w:rsidRDefault="00701E6A" w:rsidP="00701E6A">
      <w:pPr>
        <w:pStyle w:val="12"/>
        <w:jc w:val="both"/>
        <w:rPr>
          <w:rFonts w:ascii="David" w:hAnsi="David"/>
          <w:b w:val="0"/>
          <w:bCs w:val="0"/>
          <w:u w:val="none"/>
          <w:rtl/>
        </w:rPr>
      </w:pPr>
      <w:r w:rsidRPr="005732E0">
        <w:rPr>
          <w:rFonts w:ascii="David" w:hAnsi="David" w:hint="cs"/>
          <w:b w:val="0"/>
          <w:bCs w:val="0"/>
          <w:u w:val="none"/>
          <w:rtl/>
        </w:rPr>
        <w:t xml:space="preserve">ב"כ הנאשם </w:t>
      </w:r>
      <w:r w:rsidRPr="005732E0">
        <w:rPr>
          <w:rFonts w:ascii="David" w:hAnsi="David"/>
          <w:b w:val="0"/>
          <w:bCs w:val="0"/>
          <w:u w:val="none"/>
          <w:rtl/>
        </w:rPr>
        <w:t>–</w:t>
      </w:r>
      <w:r w:rsidRPr="005732E0">
        <w:rPr>
          <w:rFonts w:ascii="David" w:hAnsi="David" w:hint="cs"/>
          <w:b w:val="0"/>
          <w:bCs w:val="0"/>
          <w:u w:val="none"/>
          <w:rtl/>
        </w:rPr>
        <w:t xml:space="preserve"> עו"ד ענבר קינן</w:t>
      </w:r>
    </w:p>
    <w:p w14:paraId="6CEE4909" w14:textId="77777777" w:rsidR="00701E6A" w:rsidRPr="005732E0" w:rsidRDefault="00701E6A" w:rsidP="00701E6A">
      <w:pPr>
        <w:pStyle w:val="12"/>
        <w:jc w:val="both"/>
        <w:rPr>
          <w:rFonts w:ascii="David" w:hAnsi="David"/>
          <w:b w:val="0"/>
          <w:bCs w:val="0"/>
          <w:u w:val="none"/>
          <w:rtl/>
        </w:rPr>
      </w:pPr>
      <w:r w:rsidRPr="005732E0">
        <w:rPr>
          <w:rFonts w:ascii="David" w:hAnsi="David" w:hint="cs"/>
          <w:b w:val="0"/>
          <w:bCs w:val="0"/>
          <w:u w:val="none"/>
          <w:rtl/>
        </w:rPr>
        <w:t>הנאשם</w:t>
      </w:r>
    </w:p>
    <w:p w14:paraId="0C74C8D2" w14:textId="77777777" w:rsidR="00611FBA" w:rsidRPr="00611FBA" w:rsidRDefault="00611FBA" w:rsidP="00611FBA">
      <w:pPr>
        <w:spacing w:before="120" w:after="120" w:line="240" w:lineRule="exact"/>
        <w:ind w:left="283" w:hanging="283"/>
        <w:jc w:val="both"/>
        <w:rPr>
          <w:rFonts w:ascii="FrankRuehl" w:hAnsi="FrankRuehl" w:cs="FrankRuehl"/>
          <w:rtl/>
        </w:rPr>
      </w:pPr>
    </w:p>
    <w:p w14:paraId="7748DF27" w14:textId="77777777" w:rsidR="004241DE" w:rsidRDefault="004241DE" w:rsidP="004241DE">
      <w:pPr>
        <w:rPr>
          <w:rFonts w:ascii="David" w:hAnsi="David"/>
          <w:rtl/>
        </w:rPr>
      </w:pPr>
      <w:bookmarkStart w:id="3" w:name="LawTable"/>
      <w:bookmarkEnd w:id="3"/>
    </w:p>
    <w:p w14:paraId="41A5C438" w14:textId="77777777" w:rsidR="004241DE" w:rsidRPr="004241DE" w:rsidRDefault="004241DE" w:rsidP="004241DE">
      <w:pPr>
        <w:spacing w:before="120" w:after="120" w:line="240" w:lineRule="exact"/>
        <w:ind w:left="283" w:hanging="283"/>
        <w:jc w:val="both"/>
        <w:rPr>
          <w:rFonts w:ascii="FrankRuehl" w:hAnsi="FrankRuehl" w:cs="FrankRuehl"/>
          <w:rtl/>
        </w:rPr>
      </w:pPr>
    </w:p>
    <w:p w14:paraId="0F65654C" w14:textId="77777777" w:rsidR="004241DE" w:rsidRPr="004241DE" w:rsidRDefault="004241DE" w:rsidP="004241DE">
      <w:pPr>
        <w:spacing w:before="120" w:after="120" w:line="240" w:lineRule="exact"/>
        <w:ind w:left="283" w:hanging="283"/>
        <w:jc w:val="both"/>
        <w:rPr>
          <w:rFonts w:ascii="FrankRuehl" w:hAnsi="FrankRuehl" w:cs="FrankRuehl"/>
          <w:rtl/>
        </w:rPr>
      </w:pPr>
    </w:p>
    <w:p w14:paraId="3FEBDCFE" w14:textId="77777777" w:rsidR="004241DE" w:rsidRPr="004241DE" w:rsidRDefault="004241DE" w:rsidP="004241DE">
      <w:pPr>
        <w:spacing w:before="120" w:after="120" w:line="240" w:lineRule="exact"/>
        <w:ind w:left="283" w:hanging="283"/>
        <w:jc w:val="both"/>
        <w:rPr>
          <w:rFonts w:ascii="FrankRuehl" w:hAnsi="FrankRuehl" w:cs="FrankRuehl"/>
          <w:rtl/>
        </w:rPr>
      </w:pPr>
      <w:r w:rsidRPr="004241DE">
        <w:rPr>
          <w:rFonts w:ascii="FrankRuehl" w:hAnsi="FrankRuehl" w:cs="FrankRuehl"/>
          <w:rtl/>
        </w:rPr>
        <w:t xml:space="preserve">חקיקה שאוזכרה: </w:t>
      </w:r>
    </w:p>
    <w:p w14:paraId="5689C195" w14:textId="77777777" w:rsidR="004241DE" w:rsidRPr="004241DE" w:rsidRDefault="004241DE" w:rsidP="004241DE">
      <w:pPr>
        <w:spacing w:before="120" w:after="120" w:line="240" w:lineRule="exact"/>
        <w:ind w:left="283" w:hanging="283"/>
        <w:jc w:val="both"/>
        <w:rPr>
          <w:rFonts w:ascii="FrankRuehl" w:hAnsi="FrankRuehl" w:cs="FrankRuehl"/>
          <w:rtl/>
        </w:rPr>
      </w:pPr>
      <w:hyperlink r:id="rId7" w:history="1">
        <w:r w:rsidRPr="004241DE">
          <w:rPr>
            <w:rFonts w:ascii="FrankRuehl" w:hAnsi="FrankRuehl" w:cs="FrankRuehl"/>
            <w:color w:val="0000FF"/>
            <w:rtl/>
          </w:rPr>
          <w:t>פקודת הסמים המסוכנים [נוסח חדש], תשל"ג-1973</w:t>
        </w:r>
      </w:hyperlink>
      <w:r w:rsidRPr="004241DE">
        <w:rPr>
          <w:rFonts w:ascii="FrankRuehl" w:hAnsi="FrankRuehl" w:cs="FrankRuehl"/>
          <w:rtl/>
        </w:rPr>
        <w:t xml:space="preserve">: סע'  </w:t>
      </w:r>
      <w:hyperlink r:id="rId8" w:history="1">
        <w:r w:rsidRPr="004241DE">
          <w:rPr>
            <w:rFonts w:ascii="FrankRuehl" w:hAnsi="FrankRuehl" w:cs="FrankRuehl"/>
            <w:color w:val="0000FF"/>
            <w:rtl/>
          </w:rPr>
          <w:t>6</w:t>
        </w:r>
      </w:hyperlink>
    </w:p>
    <w:p w14:paraId="7DD44BA4" w14:textId="77777777" w:rsidR="004241DE" w:rsidRPr="004241DE" w:rsidRDefault="004241DE" w:rsidP="004241DE">
      <w:pPr>
        <w:spacing w:before="120" w:after="120" w:line="240" w:lineRule="exact"/>
        <w:ind w:left="283" w:hanging="283"/>
        <w:jc w:val="both"/>
        <w:rPr>
          <w:rFonts w:ascii="FrankRuehl" w:hAnsi="FrankRuehl" w:cs="FrankRuehl"/>
          <w:rtl/>
        </w:rPr>
      </w:pPr>
      <w:hyperlink r:id="rId9" w:history="1">
        <w:r w:rsidRPr="004241DE">
          <w:rPr>
            <w:rFonts w:ascii="FrankRuehl" w:hAnsi="FrankRuehl" w:cs="FrankRuehl"/>
            <w:color w:val="0000FF"/>
            <w:rtl/>
          </w:rPr>
          <w:t>חוק העונשין, תשל"ז-1977</w:t>
        </w:r>
      </w:hyperlink>
    </w:p>
    <w:p w14:paraId="5466BC9A" w14:textId="77777777" w:rsidR="004241DE" w:rsidRPr="004241DE" w:rsidRDefault="004241DE" w:rsidP="004241DE">
      <w:pPr>
        <w:rPr>
          <w:rFonts w:ascii="David" w:hAnsi="David"/>
          <w:rtl/>
        </w:rPr>
      </w:pPr>
      <w:bookmarkStart w:id="4" w:name="LawTable_End"/>
      <w:bookmarkEnd w:id="4"/>
    </w:p>
    <w:p w14:paraId="045E3AB0" w14:textId="77777777" w:rsidR="00701E6A" w:rsidRPr="00611FBA" w:rsidRDefault="00701E6A" w:rsidP="00611FBA">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01E6A" w:rsidRPr="00050703" w14:paraId="3D6826F6" w14:textId="77777777" w:rsidTr="00701E6A">
        <w:trPr>
          <w:trHeight w:val="355"/>
          <w:jc w:val="center"/>
        </w:trPr>
        <w:tc>
          <w:tcPr>
            <w:tcW w:w="8820" w:type="dxa"/>
            <w:tcBorders>
              <w:top w:val="nil"/>
              <w:left w:val="nil"/>
              <w:bottom w:val="nil"/>
              <w:right w:val="nil"/>
            </w:tcBorders>
            <w:shd w:val="clear" w:color="auto" w:fill="auto"/>
          </w:tcPr>
          <w:p w14:paraId="2DFE2424" w14:textId="77777777" w:rsidR="005732E0" w:rsidRPr="005732E0" w:rsidRDefault="005732E0" w:rsidP="005732E0">
            <w:pPr>
              <w:spacing w:line="360" w:lineRule="auto"/>
              <w:jc w:val="center"/>
              <w:rPr>
                <w:rFonts w:ascii="David" w:hAnsi="David"/>
                <w:b/>
                <w:bCs/>
                <w:sz w:val="28"/>
                <w:szCs w:val="28"/>
                <w:u w:val="single"/>
                <w:rtl/>
              </w:rPr>
            </w:pPr>
            <w:bookmarkStart w:id="5" w:name="PsakDin" w:colFirst="0" w:colLast="0"/>
            <w:bookmarkEnd w:id="0"/>
            <w:r w:rsidRPr="005732E0">
              <w:rPr>
                <w:rFonts w:ascii="David" w:hAnsi="David"/>
                <w:b/>
                <w:bCs/>
                <w:sz w:val="28"/>
                <w:szCs w:val="28"/>
                <w:u w:val="single"/>
                <w:rtl/>
              </w:rPr>
              <w:t>גזר דין</w:t>
            </w:r>
          </w:p>
          <w:p w14:paraId="09BD4762" w14:textId="77777777" w:rsidR="00701E6A" w:rsidRPr="005732E0" w:rsidRDefault="00701E6A" w:rsidP="005732E0">
            <w:pPr>
              <w:spacing w:line="360" w:lineRule="auto"/>
              <w:jc w:val="center"/>
              <w:rPr>
                <w:rFonts w:ascii="David" w:hAnsi="David"/>
                <w:bCs/>
                <w:sz w:val="28"/>
                <w:szCs w:val="28"/>
                <w:u w:val="single"/>
                <w:rtl/>
              </w:rPr>
            </w:pPr>
          </w:p>
        </w:tc>
      </w:tr>
      <w:bookmarkEnd w:id="5"/>
    </w:tbl>
    <w:p w14:paraId="5FAB7339" w14:textId="77777777" w:rsidR="00701E6A" w:rsidRPr="00050703" w:rsidRDefault="00701E6A" w:rsidP="00701E6A">
      <w:pPr>
        <w:rPr>
          <w:rFonts w:ascii="David" w:hAnsi="David"/>
          <w:rtl/>
        </w:rPr>
      </w:pPr>
    </w:p>
    <w:p w14:paraId="4F7032F7" w14:textId="77777777" w:rsidR="00701E6A" w:rsidRPr="00050703" w:rsidRDefault="00701E6A" w:rsidP="00701E6A">
      <w:pPr>
        <w:rPr>
          <w:rFonts w:ascii="David" w:hAnsi="David"/>
          <w:b/>
          <w:bCs/>
          <w:u w:val="single"/>
        </w:rPr>
      </w:pPr>
      <w:r w:rsidRPr="00050703">
        <w:rPr>
          <w:rFonts w:ascii="David" w:hAnsi="David"/>
          <w:b/>
          <w:bCs/>
          <w:u w:val="single"/>
          <w:rtl/>
        </w:rPr>
        <w:t>רקע ועובדות כתב האישום</w:t>
      </w:r>
    </w:p>
    <w:p w14:paraId="1E5FFEBB" w14:textId="77777777" w:rsidR="00701E6A" w:rsidRPr="00050703" w:rsidRDefault="00701E6A" w:rsidP="00701E6A">
      <w:pPr>
        <w:rPr>
          <w:rFonts w:ascii="David" w:hAnsi="David"/>
          <w:b/>
          <w:bCs/>
          <w:u w:val="single"/>
          <w:rtl/>
        </w:rPr>
      </w:pPr>
    </w:p>
    <w:p w14:paraId="63BC0CF8" w14:textId="77777777" w:rsidR="00701E6A" w:rsidRPr="00050703" w:rsidRDefault="00701E6A" w:rsidP="00701E6A">
      <w:pPr>
        <w:pStyle w:val="1"/>
        <w:numPr>
          <w:ilvl w:val="0"/>
          <w:numId w:val="1"/>
        </w:numPr>
        <w:spacing w:after="240" w:line="360" w:lineRule="auto"/>
        <w:ind w:left="0" w:firstLine="0"/>
        <w:jc w:val="both"/>
        <w:rPr>
          <w:rFonts w:ascii="David" w:hAnsi="David" w:cs="David"/>
        </w:rPr>
      </w:pPr>
      <w:bookmarkStart w:id="6" w:name="ABSTRACT_START"/>
      <w:bookmarkEnd w:id="6"/>
      <w:r w:rsidRPr="00050703">
        <w:rPr>
          <w:rFonts w:ascii="David" w:hAnsi="David" w:cs="David"/>
          <w:rtl/>
        </w:rPr>
        <w:t xml:space="preserve">בהמשך להליך של גישור ולאחר תיקון כתב האישום בעניינו, הודה הנאשם והורשע בעבירה של גידול, יצור והכנת סמים מסוכנים לפי </w:t>
      </w:r>
      <w:hyperlink r:id="rId10" w:history="1">
        <w:r w:rsidR="00611FBA" w:rsidRPr="00611FBA">
          <w:rPr>
            <w:rStyle w:val="Hyperlink"/>
            <w:rFonts w:ascii="David" w:hAnsi="David" w:cs="David"/>
            <w:rtl/>
          </w:rPr>
          <w:t>סעיף 6</w:t>
        </w:r>
      </w:hyperlink>
      <w:r w:rsidRPr="00050703">
        <w:rPr>
          <w:rFonts w:ascii="David" w:hAnsi="David" w:cs="David"/>
          <w:rtl/>
        </w:rPr>
        <w:t xml:space="preserve"> ל</w:t>
      </w:r>
      <w:hyperlink r:id="rId11" w:history="1">
        <w:r w:rsidR="005732E0" w:rsidRPr="005732E0">
          <w:rPr>
            <w:rFonts w:ascii="David" w:hAnsi="David" w:cs="David"/>
            <w:color w:val="0000FF"/>
            <w:u w:val="single"/>
            <w:rtl/>
          </w:rPr>
          <w:t>פקודת הסמים המסוכנים</w:t>
        </w:r>
      </w:hyperlink>
      <w:r w:rsidRPr="00050703">
        <w:rPr>
          <w:rFonts w:ascii="David" w:hAnsi="David" w:cs="David"/>
          <w:rtl/>
        </w:rPr>
        <w:t xml:space="preserve"> (נוסח חדש) תשל"ג-1973 (להלן: </w:t>
      </w:r>
      <w:r w:rsidRPr="00050703">
        <w:rPr>
          <w:rFonts w:ascii="David" w:hAnsi="David" w:cs="David"/>
          <w:b/>
          <w:bCs/>
          <w:rtl/>
        </w:rPr>
        <w:t>"פקודת הסמים"</w:t>
      </w:r>
      <w:r w:rsidRPr="00050703">
        <w:rPr>
          <w:rFonts w:ascii="David" w:hAnsi="David" w:cs="David"/>
          <w:rtl/>
        </w:rPr>
        <w:t xml:space="preserve">) אשר יוחסה לו בכתב האישום המתוקן מיום 7.7.2020 (להלן: </w:t>
      </w:r>
      <w:r w:rsidRPr="00050703">
        <w:rPr>
          <w:rFonts w:ascii="David" w:hAnsi="David" w:cs="David"/>
          <w:b/>
          <w:bCs/>
          <w:rtl/>
        </w:rPr>
        <w:t>"כתב האישום"</w:t>
      </w:r>
      <w:r w:rsidRPr="00050703">
        <w:rPr>
          <w:rFonts w:ascii="David" w:hAnsi="David" w:cs="David"/>
          <w:rtl/>
        </w:rPr>
        <w:t xml:space="preserve">). על פי המפורט בכתב האישום שבעובדותיו הודה הנאשם, משך תקופה שאורכה המדויק איננו ידוע למאשימה, אך קדמה ליום 4.9.2018, גידל הנאשם בדירה בבת ים 12 שתילי סם מסוכן מסוג קנביס במשקל כולל של 4.6 ק"ג שלא לצריכתו העצמית וללא היתר או רישיון מאת המנהל. לצורך גידול הסמים המסוכנים שכר הנאשם את הדירה האמורה והחזיק בה, בין היתר, ציוד לגידול כגון מנורות, שנאי, מאורר, מפוח ומתקן לייבוש. </w:t>
      </w:r>
    </w:p>
    <w:p w14:paraId="404A7969" w14:textId="77777777" w:rsidR="00701E6A" w:rsidRPr="00050703" w:rsidRDefault="00701E6A" w:rsidP="00701E6A">
      <w:pPr>
        <w:pStyle w:val="1"/>
        <w:spacing w:after="240"/>
        <w:ind w:left="0"/>
        <w:jc w:val="both"/>
        <w:rPr>
          <w:rFonts w:ascii="David" w:hAnsi="David" w:cs="David"/>
          <w:rtl/>
        </w:rPr>
      </w:pPr>
      <w:bookmarkStart w:id="7" w:name="ABSTRACT_END"/>
      <w:bookmarkEnd w:id="7"/>
    </w:p>
    <w:p w14:paraId="04207987" w14:textId="77777777" w:rsidR="00701E6A" w:rsidRPr="00050703" w:rsidRDefault="00701E6A" w:rsidP="00701E6A">
      <w:pPr>
        <w:pStyle w:val="1"/>
        <w:spacing w:line="360" w:lineRule="auto"/>
        <w:ind w:left="0"/>
        <w:jc w:val="both"/>
        <w:rPr>
          <w:rFonts w:ascii="David" w:hAnsi="David" w:cs="David"/>
        </w:rPr>
      </w:pPr>
      <w:r w:rsidRPr="00050703">
        <w:rPr>
          <w:rFonts w:ascii="David" w:hAnsi="David" w:cs="David"/>
          <w:b/>
          <w:bCs/>
          <w:u w:val="single"/>
          <w:rtl/>
        </w:rPr>
        <w:t>תמצית טיעוני הצדדים לעונש והשתלשלות העניינים</w:t>
      </w:r>
    </w:p>
    <w:p w14:paraId="6CE2F559" w14:textId="77777777" w:rsidR="00701E6A" w:rsidRPr="00050703" w:rsidRDefault="00701E6A" w:rsidP="00701E6A">
      <w:pPr>
        <w:pStyle w:val="1"/>
        <w:numPr>
          <w:ilvl w:val="0"/>
          <w:numId w:val="1"/>
        </w:numPr>
        <w:spacing w:after="240" w:line="360" w:lineRule="auto"/>
        <w:ind w:left="0" w:firstLine="0"/>
        <w:jc w:val="both"/>
        <w:rPr>
          <w:rFonts w:ascii="David" w:hAnsi="David" w:cs="David"/>
        </w:rPr>
      </w:pPr>
      <w:r w:rsidRPr="00050703">
        <w:rPr>
          <w:rFonts w:ascii="David" w:hAnsi="David" w:cs="David"/>
          <w:b/>
          <w:bCs/>
          <w:rtl/>
        </w:rPr>
        <w:t>בטיעוניה לעונש הפנתה ב"כ המאשימה</w:t>
      </w:r>
      <w:r w:rsidRPr="00050703">
        <w:rPr>
          <w:rFonts w:ascii="David" w:hAnsi="David" w:cs="David"/>
          <w:rtl/>
        </w:rPr>
        <w:t xml:space="preserve"> לעובדות כתב האישום, למעבדה שהקים הנאשם, לכמויות הסם שגידל ולמספר השתילים, והגישה דוח מסכם חקירת מז"פ ובו תמונות של המעבדה (</w:t>
      </w:r>
      <w:r w:rsidRPr="00050703">
        <w:rPr>
          <w:rFonts w:ascii="David" w:hAnsi="David" w:cs="David"/>
          <w:b/>
          <w:bCs/>
          <w:rtl/>
        </w:rPr>
        <w:t>עת/1</w:t>
      </w:r>
      <w:r w:rsidRPr="00050703">
        <w:rPr>
          <w:rFonts w:ascii="David" w:hAnsi="David" w:cs="David"/>
          <w:rtl/>
        </w:rPr>
        <w:t>). בראי הערכים המוגנים בעבירה בה הורשע הנאשם ומידת הפגיעה בהם</w:t>
      </w:r>
      <w:r w:rsidRPr="00050703">
        <w:rPr>
          <w:rFonts w:ascii="David" w:hAnsi="David" w:cs="David" w:hint="cs"/>
          <w:rtl/>
        </w:rPr>
        <w:t>,</w:t>
      </w:r>
      <w:r w:rsidRPr="00050703">
        <w:rPr>
          <w:rFonts w:ascii="David" w:hAnsi="David" w:cs="David"/>
          <w:rtl/>
        </w:rPr>
        <w:t xml:space="preserve"> שהיא </w:t>
      </w:r>
      <w:r w:rsidRPr="00050703">
        <w:rPr>
          <w:rFonts w:ascii="David" w:hAnsi="David" w:cs="David"/>
          <w:rtl/>
        </w:rPr>
        <w:lastRenderedPageBreak/>
        <w:t>לטענתה בינונית-גבוהה במקרה דנן, מתחם העונש ההולם ביחס לנאשם לשיטת המאשימה הוא בין 8 ועד 20 חודשי מאסר בפועל. ב"כ המאשימה הפנתה לפסיקה לתמיכה בטענותיה. לטענת ב"כ המאשימה הנאשם הוא חוליה חשובה בשרשרת מפיצי הסמים משהוא זה אשר גידל את הסם, ולכן יש להטיל עליו את האחריות המוטלת על כל הגורמים בשרשרת הפצת הסם. ב"כ המאשימה הגישה את הרישום התעבורתי של הנאשם (</w:t>
      </w:r>
      <w:r w:rsidRPr="00050703">
        <w:rPr>
          <w:rFonts w:ascii="David" w:hAnsi="David" w:cs="David"/>
          <w:b/>
          <w:bCs/>
          <w:rtl/>
        </w:rPr>
        <w:t>עת/2</w:t>
      </w:r>
      <w:r w:rsidRPr="00050703">
        <w:rPr>
          <w:rFonts w:ascii="David" w:hAnsi="David" w:cs="David"/>
          <w:rtl/>
        </w:rPr>
        <w:t>) וציינה שלבד מהרישום התעבורתי הנאשם נעדר עבר פלילי. בנסיבות אלה עתרה למיקום  הנאשם בתחתית מתחם הענישה, תוך שהדגישה כי הנאשם לא עבר כל הליך טיפולי-שיקומי ולכן אין מקום סטייה לקולה מהמתחם אשר ייקבע. בנוסף, עתרה להשתת מאסר מותנה, קנס ופסילת רישיון הנהיגה של הנאשם.</w:t>
      </w:r>
    </w:p>
    <w:p w14:paraId="59EB5835" w14:textId="77777777" w:rsidR="00701E6A" w:rsidRPr="00050703" w:rsidRDefault="00701E6A" w:rsidP="00701E6A">
      <w:pPr>
        <w:pStyle w:val="1"/>
        <w:spacing w:after="240"/>
        <w:ind w:left="0"/>
        <w:jc w:val="both"/>
        <w:rPr>
          <w:rFonts w:ascii="David" w:hAnsi="David" w:cs="David"/>
          <w:rtl/>
        </w:rPr>
      </w:pPr>
    </w:p>
    <w:p w14:paraId="34A3D347" w14:textId="77777777" w:rsidR="00701E6A" w:rsidRPr="00050703" w:rsidRDefault="00701E6A" w:rsidP="00701E6A">
      <w:pPr>
        <w:pStyle w:val="1"/>
        <w:numPr>
          <w:ilvl w:val="0"/>
          <w:numId w:val="1"/>
        </w:numPr>
        <w:spacing w:after="240" w:line="360" w:lineRule="auto"/>
        <w:ind w:left="0" w:firstLine="0"/>
        <w:jc w:val="both"/>
        <w:rPr>
          <w:rFonts w:ascii="David" w:hAnsi="David" w:cs="David"/>
          <w:rtl/>
        </w:rPr>
      </w:pPr>
      <w:r w:rsidRPr="00050703">
        <w:rPr>
          <w:rFonts w:ascii="David" w:hAnsi="David" w:cs="David"/>
          <w:b/>
          <w:bCs/>
          <w:rtl/>
        </w:rPr>
        <w:t>ב"כ הנאשם</w:t>
      </w:r>
      <w:r w:rsidRPr="00050703">
        <w:rPr>
          <w:rFonts w:ascii="David" w:hAnsi="David" w:cs="David"/>
          <w:rtl/>
        </w:rPr>
        <w:t xml:space="preserve"> חלקה על עמדת המאשימה באשר למתחם הענישה, טענה להבחנה בין המקרה דנן לפסיקה אליה הפנתה המאשימה ועתרה לקביעת מתחם ענישה שתחתיתו מספר חודשי מאסר על תנאי ותקרתו 8 חודשי מאסר בפועל שיכול וירוצו בעבודות שירות והפנתה לפסיקה. לטענת ב"כ הנאשם במקרה דנן אין עדות לסחר בסם והמדובר בגידול לשימוש עצמי. כמו כן טענה כי יש לתת את הדעת לכך שלפי כתב האישום אין לדעת כמה זמן הייתה קיימת המעבדה טרם גולתה על ידי המשטרה. ב"כ הנאשם הפנתה לכך שהנאשם שהוא נעדר עבר פלילי, הביע חרטה וחסך מזמנו של בית המשפט ומזמנו של שירות המבחן. בנסיבות אלה לעמדתה יש למקם את עונשו של הנאשם בתחתית מתחם הענישה, ולגזור על הנאשם עונש של מאסר על תנאי. עוד עתרה כי ככל שיוטל על  הנאשם עונש מאסר לריצוי בעבודות שירות, יהיה זה לתקופה קצרה, משעל הנאשם לכלכל את משפחתו והוא אינו עובד מאז יום מעצרו. בנוסף ציינה כי הנאשם נמצא תחת תנאים מגבילים משך שנתיים ולא נרשמה כל הפרה לחובתו.</w:t>
      </w:r>
    </w:p>
    <w:p w14:paraId="0BED2576" w14:textId="77777777" w:rsidR="00701E6A" w:rsidRPr="00050703" w:rsidRDefault="00701E6A" w:rsidP="00701E6A">
      <w:pPr>
        <w:pStyle w:val="1"/>
        <w:spacing w:after="240"/>
        <w:ind w:left="0"/>
        <w:jc w:val="both"/>
        <w:rPr>
          <w:rFonts w:ascii="David" w:hAnsi="David" w:cs="David"/>
          <w:rtl/>
        </w:rPr>
      </w:pPr>
    </w:p>
    <w:p w14:paraId="23C2CB1A" w14:textId="77777777" w:rsidR="00701E6A" w:rsidRPr="00050703" w:rsidRDefault="00701E6A" w:rsidP="00701E6A">
      <w:pPr>
        <w:pStyle w:val="1"/>
        <w:numPr>
          <w:ilvl w:val="0"/>
          <w:numId w:val="1"/>
        </w:numPr>
        <w:spacing w:after="240" w:line="360" w:lineRule="auto"/>
        <w:ind w:left="0" w:firstLine="0"/>
        <w:jc w:val="both"/>
        <w:rPr>
          <w:rFonts w:ascii="David" w:hAnsi="David" w:cs="David"/>
        </w:rPr>
      </w:pPr>
      <w:r w:rsidRPr="00050703">
        <w:rPr>
          <w:rFonts w:ascii="David" w:hAnsi="David" w:cs="David"/>
          <w:rtl/>
        </w:rPr>
        <w:t xml:space="preserve">הנאשם הביע חרטה וצער על מעשיו וציין כי רצונו להשתקם ולכלכל את משפחתו. </w:t>
      </w:r>
    </w:p>
    <w:p w14:paraId="02F676DF" w14:textId="77777777" w:rsidR="00701E6A" w:rsidRPr="00050703" w:rsidRDefault="00701E6A" w:rsidP="00701E6A">
      <w:pPr>
        <w:pStyle w:val="1"/>
        <w:spacing w:after="240"/>
        <w:ind w:left="0"/>
        <w:jc w:val="both"/>
        <w:rPr>
          <w:rFonts w:ascii="David" w:hAnsi="David" w:cs="David"/>
          <w:rtl/>
        </w:rPr>
      </w:pPr>
    </w:p>
    <w:p w14:paraId="443AF4FF" w14:textId="77777777" w:rsidR="00701E6A" w:rsidRPr="00050703" w:rsidRDefault="00701E6A" w:rsidP="00701E6A">
      <w:pPr>
        <w:pStyle w:val="1"/>
        <w:numPr>
          <w:ilvl w:val="0"/>
          <w:numId w:val="1"/>
        </w:numPr>
        <w:spacing w:after="240" w:line="360" w:lineRule="auto"/>
        <w:ind w:left="0" w:firstLine="0"/>
        <w:jc w:val="both"/>
        <w:rPr>
          <w:rFonts w:ascii="David" w:hAnsi="David" w:cs="David"/>
        </w:rPr>
      </w:pPr>
      <w:r w:rsidRPr="00050703">
        <w:rPr>
          <w:rFonts w:ascii="David" w:hAnsi="David" w:cs="David"/>
          <w:rtl/>
        </w:rPr>
        <w:t>בסיום הטיעונים לעונש ציינו והתייחסו הצדדים לעונש אשר נגזר ב</w:t>
      </w:r>
      <w:hyperlink r:id="rId12" w:history="1">
        <w:r w:rsidR="005732E0" w:rsidRPr="005732E0">
          <w:rPr>
            <w:rFonts w:ascii="David" w:hAnsi="David" w:cs="David"/>
            <w:color w:val="0000FF"/>
            <w:u w:val="single"/>
            <w:rtl/>
          </w:rPr>
          <w:t>ת"פ 39126-09-18</w:t>
        </w:r>
      </w:hyperlink>
      <w:r w:rsidRPr="00050703">
        <w:rPr>
          <w:rFonts w:ascii="David" w:hAnsi="David" w:cs="David"/>
          <w:rtl/>
        </w:rPr>
        <w:t xml:space="preserve"> </w:t>
      </w:r>
      <w:r w:rsidRPr="00050703">
        <w:rPr>
          <w:rFonts w:ascii="David" w:hAnsi="David" w:cs="David"/>
          <w:b/>
          <w:bCs/>
          <w:rtl/>
        </w:rPr>
        <w:t xml:space="preserve">מדינת ישראל נ' אוחנה </w:t>
      </w:r>
      <w:r w:rsidRPr="00050703">
        <w:rPr>
          <w:rFonts w:ascii="David" w:hAnsi="David" w:cs="David"/>
          <w:rtl/>
        </w:rPr>
        <w:t>(14.7.2019) (להלן: "</w:t>
      </w:r>
      <w:r w:rsidRPr="00050703">
        <w:rPr>
          <w:rFonts w:ascii="David" w:hAnsi="David" w:cs="David"/>
          <w:b/>
          <w:bCs/>
          <w:rtl/>
        </w:rPr>
        <w:t>עניין אוחנה</w:t>
      </w:r>
      <w:r w:rsidRPr="00050703">
        <w:rPr>
          <w:rFonts w:ascii="David" w:hAnsi="David" w:cs="David"/>
          <w:rtl/>
        </w:rPr>
        <w:t xml:space="preserve">"), משאוחנה נעצר במסגרת אותה הפרשה, הגם שבקשר למעבדת סמים אחרת. </w:t>
      </w:r>
    </w:p>
    <w:p w14:paraId="24D5A605" w14:textId="77777777" w:rsidR="00701E6A" w:rsidRPr="00050703" w:rsidRDefault="00701E6A" w:rsidP="00701E6A">
      <w:pPr>
        <w:pStyle w:val="1"/>
        <w:spacing w:after="240"/>
        <w:ind w:left="0"/>
        <w:jc w:val="both"/>
        <w:rPr>
          <w:rFonts w:ascii="David" w:hAnsi="David" w:cs="David"/>
        </w:rPr>
      </w:pPr>
    </w:p>
    <w:p w14:paraId="334ECDF5" w14:textId="77777777" w:rsidR="00701E6A" w:rsidRPr="00050703" w:rsidRDefault="00701E6A" w:rsidP="00701E6A">
      <w:pPr>
        <w:pStyle w:val="1"/>
        <w:spacing w:after="240" w:line="360" w:lineRule="auto"/>
        <w:ind w:left="0"/>
        <w:jc w:val="both"/>
        <w:rPr>
          <w:rFonts w:ascii="David" w:hAnsi="David" w:cs="David"/>
          <w:b/>
          <w:bCs/>
          <w:u w:val="single"/>
        </w:rPr>
      </w:pPr>
      <w:r w:rsidRPr="00050703">
        <w:rPr>
          <w:rFonts w:ascii="David" w:hAnsi="David" w:cs="David"/>
          <w:b/>
          <w:bCs/>
          <w:u w:val="single"/>
          <w:rtl/>
        </w:rPr>
        <w:t>מתחם העונש ההולם</w:t>
      </w:r>
    </w:p>
    <w:p w14:paraId="713FF60F" w14:textId="77777777" w:rsidR="00701E6A" w:rsidRPr="00050703" w:rsidRDefault="00701E6A" w:rsidP="00701E6A">
      <w:pPr>
        <w:pStyle w:val="1"/>
        <w:numPr>
          <w:ilvl w:val="0"/>
          <w:numId w:val="1"/>
        </w:numPr>
        <w:spacing w:after="240" w:line="360" w:lineRule="auto"/>
        <w:ind w:left="0" w:firstLine="0"/>
        <w:jc w:val="both"/>
        <w:rPr>
          <w:rFonts w:ascii="David" w:hAnsi="David" w:cs="David"/>
        </w:rPr>
      </w:pPr>
      <w:r w:rsidRPr="00050703">
        <w:rPr>
          <w:rFonts w:ascii="David" w:hAnsi="David" w:cs="David"/>
          <w:rtl/>
        </w:rPr>
        <w:t xml:space="preserve">קביעת מתחם העונש ההולם נעשית על פי עיקרון ההלימה. במסגרת קביעה זו יש להתחשב בערך החברתי אשר נפגע, במידת הפגיעה בו, במדיניות הענישה הנוהגת ובנסיבות ביצוע העבירה. במקרה דנן, המדובר בביצוע עבירה של גידול, ייצור, והכנת סמים מסוכנים לה מייחסים המחוקק ובתי המשפט חומרה רבה, לא כל שכן כאשר עסקינן בגידול תוך תכנון ושימוש באביזרים לשם כך. זאת לאור הערכים החשובים המוגנים בעבירה, והצורך להילחם בנגע הסם הפוגע בבריאותו, שלומו, וביטחונו של הציבור ובחוסן החברתי, ולצדו סכנת ההתמכרות על כל השלכותיה ההרסניות. מובן כי במקרים </w:t>
      </w:r>
      <w:r w:rsidRPr="00050703">
        <w:rPr>
          <w:rFonts w:ascii="David" w:hAnsi="David" w:cs="David" w:hint="cs"/>
          <w:rtl/>
        </w:rPr>
        <w:t xml:space="preserve">רבים </w:t>
      </w:r>
      <w:r w:rsidRPr="00050703">
        <w:rPr>
          <w:rFonts w:ascii="David" w:hAnsi="David" w:cs="David"/>
          <w:rtl/>
        </w:rPr>
        <w:t>מגדלי הקנביס הם חוליה חשובה בשרשרת הפצת הסם. אמנם, קנביס נמנה על הסמים הקלים ואינו מצוי במדרג הגבוה מבין הסמים השונים, ואף נטען ונמצא כי לקנביס יתרונות ושימושים חיוביים לצד חסרונותיו (כמפורט ב</w:t>
      </w:r>
      <w:r w:rsidRPr="00050703">
        <w:rPr>
          <w:rFonts w:ascii="David" w:hAnsi="David" w:cs="David"/>
          <w:b/>
          <w:bCs/>
          <w:rtl/>
        </w:rPr>
        <w:t>הצעת חוק הסמים המסוכנים (עבירת קנס מיוחדת- הוראת שעה)</w:t>
      </w:r>
      <w:r w:rsidRPr="00050703">
        <w:rPr>
          <w:rFonts w:ascii="David" w:hAnsi="David" w:cs="David"/>
          <w:rtl/>
        </w:rPr>
        <w:t xml:space="preserve"> תשע"ח-2018, ה"ח 1211). יחד עם זאת, האיסור החוקי אף על החזקתו לשימוש עצמי שריר וקיים, לא כל שכן גידולו במעבדה מאובזרת כמו </w:t>
      </w:r>
      <w:r w:rsidRPr="00050703">
        <w:rPr>
          <w:rFonts w:ascii="David" w:hAnsi="David" w:cs="David"/>
          <w:rtl/>
        </w:rPr>
        <w:lastRenderedPageBreak/>
        <w:t>בענייננו. ראו דברי בית המשפט ב</w:t>
      </w:r>
      <w:hyperlink r:id="rId13" w:history="1">
        <w:r w:rsidR="005732E0" w:rsidRPr="005732E0">
          <w:rPr>
            <w:rFonts w:ascii="David" w:hAnsi="David" w:cs="David"/>
            <w:color w:val="0000FF"/>
            <w:u w:val="single"/>
            <w:rtl/>
          </w:rPr>
          <w:t>עפ"ג (ת"א) 12819-11-15</w:t>
        </w:r>
      </w:hyperlink>
      <w:r w:rsidRPr="00050703">
        <w:rPr>
          <w:rFonts w:ascii="David" w:hAnsi="David" w:cs="David"/>
          <w:rtl/>
        </w:rPr>
        <w:t xml:space="preserve"> </w:t>
      </w:r>
      <w:r w:rsidRPr="00050703">
        <w:rPr>
          <w:rFonts w:ascii="David" w:hAnsi="David" w:cs="David"/>
          <w:b/>
          <w:bCs/>
          <w:rtl/>
        </w:rPr>
        <w:t>מדינת ישראל נ' בן צבי</w:t>
      </w:r>
      <w:r w:rsidRPr="00050703">
        <w:rPr>
          <w:rFonts w:ascii="David" w:hAnsi="David" w:cs="David"/>
          <w:rtl/>
        </w:rPr>
        <w:t xml:space="preserve"> (16.12.2015) (להלן: "</w:t>
      </w:r>
      <w:r w:rsidRPr="00050703">
        <w:rPr>
          <w:rFonts w:ascii="David" w:hAnsi="David" w:cs="David"/>
          <w:b/>
          <w:bCs/>
          <w:rtl/>
        </w:rPr>
        <w:t>עניין בן צבי</w:t>
      </w:r>
      <w:r w:rsidRPr="00050703">
        <w:rPr>
          <w:rFonts w:ascii="David" w:hAnsi="David" w:cs="David"/>
          <w:rtl/>
        </w:rPr>
        <w:t>")</w:t>
      </w:r>
      <w:r w:rsidRPr="00050703">
        <w:rPr>
          <w:rFonts w:ascii="David" w:hAnsi="David" w:cs="David" w:hint="cs"/>
          <w:rtl/>
        </w:rPr>
        <w:t>:</w:t>
      </w:r>
    </w:p>
    <w:p w14:paraId="3DCF9748" w14:textId="77777777" w:rsidR="00701E6A" w:rsidRPr="00050703" w:rsidRDefault="00701E6A" w:rsidP="00701E6A">
      <w:pPr>
        <w:pStyle w:val="1"/>
        <w:spacing w:after="240"/>
        <w:ind w:left="502" w:right="737"/>
        <w:jc w:val="both"/>
        <w:rPr>
          <w:rFonts w:ascii="David" w:hAnsi="David" w:cs="David"/>
          <w:b/>
          <w:bCs/>
        </w:rPr>
      </w:pPr>
    </w:p>
    <w:p w14:paraId="5FEB8C7B" w14:textId="77777777" w:rsidR="00701E6A" w:rsidRPr="00050703" w:rsidRDefault="00701E6A" w:rsidP="00701E6A">
      <w:pPr>
        <w:pStyle w:val="1"/>
        <w:spacing w:after="240"/>
        <w:ind w:left="502" w:right="737"/>
        <w:jc w:val="both"/>
        <w:rPr>
          <w:rFonts w:ascii="David" w:hAnsi="David" w:cs="David"/>
          <w:b/>
          <w:bCs/>
          <w:rtl/>
        </w:rPr>
      </w:pPr>
      <w:r w:rsidRPr="00050703">
        <w:rPr>
          <w:rFonts w:ascii="David" w:hAnsi="David" w:cs="David"/>
          <w:b/>
          <w:bCs/>
          <w:rtl/>
        </w:rPr>
        <w:t>"... לא בכדי הציב המחוקק בצדה של עברת גידול הסם עונש מקסימלי השווה לעונש שמוטל על הפצת סם וסחר בסם. יש בכך אמירה נורמטיבית לצד אמירה אופרטיבית. מידת החומרה שבגידול סם איננה נופלת מזו של הפצת הסם. מי שמגדל סם בכמויות כאלה חזקה עליו שאיננו מתכוון רק לשימוש עצמי... ".</w:t>
      </w:r>
    </w:p>
    <w:p w14:paraId="6A793707" w14:textId="77777777" w:rsidR="00701E6A" w:rsidRPr="00050703" w:rsidRDefault="00701E6A" w:rsidP="00701E6A">
      <w:pPr>
        <w:pStyle w:val="1"/>
        <w:spacing w:after="240" w:line="360" w:lineRule="auto"/>
        <w:ind w:left="0"/>
        <w:jc w:val="both"/>
        <w:rPr>
          <w:rFonts w:ascii="David" w:hAnsi="David" w:cs="David"/>
          <w:rtl/>
        </w:rPr>
      </w:pPr>
    </w:p>
    <w:p w14:paraId="4740FA68" w14:textId="77777777" w:rsidR="00701E6A" w:rsidRPr="00050703" w:rsidRDefault="00701E6A" w:rsidP="00701E6A">
      <w:pPr>
        <w:pStyle w:val="1"/>
        <w:numPr>
          <w:ilvl w:val="0"/>
          <w:numId w:val="1"/>
        </w:numPr>
        <w:spacing w:after="240" w:line="360" w:lineRule="auto"/>
        <w:ind w:left="0" w:firstLine="0"/>
        <w:jc w:val="both"/>
        <w:rPr>
          <w:rFonts w:ascii="David" w:hAnsi="David" w:cs="David"/>
        </w:rPr>
      </w:pPr>
      <w:r w:rsidRPr="00050703">
        <w:rPr>
          <w:rFonts w:ascii="David" w:hAnsi="David" w:cs="David"/>
          <w:b/>
          <w:bCs/>
          <w:rtl/>
        </w:rPr>
        <w:t>באשר לנסיבות ביצוע העבירה</w:t>
      </w:r>
      <w:r w:rsidRPr="00050703">
        <w:rPr>
          <w:rFonts w:ascii="David" w:hAnsi="David" w:cs="David"/>
          <w:rtl/>
        </w:rPr>
        <w:t xml:space="preserve">, במקרה דנן המדובר כאמור בגידול של 12 שתילים של קנביס על ידי הנאשם במשקל של כ-4.6 ק"ג. משקל השתילים אותם גידל הנאשם אמנם ממשי, אך להשקפתי המשקל אינו הגורם היחיד או אפילו העיקרי ללמד על חומרת הנסיבות, בשים לב לכך שמועד גילוי המעבדה הוא שרירותי, ומשקל השתילים תלוי פעמים רבות בגודלם בעת תפיסתם. דווקא כמות השתילים שגודלו במעבדה, שאינם רבים, 12 במספר, </w:t>
      </w:r>
      <w:r w:rsidRPr="00050703">
        <w:rPr>
          <w:rFonts w:ascii="David" w:hAnsi="David" w:cs="David" w:hint="cs"/>
          <w:rtl/>
        </w:rPr>
        <w:t>מלמדים על מיתון מסוים בנסיבות</w:t>
      </w:r>
      <w:r w:rsidRPr="00050703">
        <w:rPr>
          <w:rFonts w:ascii="David" w:hAnsi="David" w:cs="David"/>
          <w:rtl/>
        </w:rPr>
        <w:t xml:space="preserve">, </w:t>
      </w:r>
      <w:r w:rsidRPr="00050703">
        <w:rPr>
          <w:rFonts w:ascii="David" w:hAnsi="David" w:cs="David" w:hint="cs"/>
          <w:rtl/>
        </w:rPr>
        <w:t>וכך גם</w:t>
      </w:r>
      <w:r w:rsidRPr="00050703">
        <w:rPr>
          <w:rFonts w:ascii="David" w:hAnsi="David" w:cs="David"/>
          <w:rtl/>
        </w:rPr>
        <w:t xml:space="preserve"> העובדה שלא נתפסו ב</w:t>
      </w:r>
      <w:r w:rsidRPr="00050703">
        <w:rPr>
          <w:rFonts w:ascii="David" w:hAnsi="David" w:cs="David" w:hint="cs"/>
          <w:rtl/>
        </w:rPr>
        <w:t>דירה</w:t>
      </w:r>
      <w:r w:rsidRPr="00050703">
        <w:rPr>
          <w:rFonts w:ascii="David" w:hAnsi="David" w:cs="David"/>
          <w:rtl/>
        </w:rPr>
        <w:t xml:space="preserve"> כספים או סמים </w:t>
      </w:r>
      <w:r w:rsidRPr="00050703">
        <w:rPr>
          <w:rFonts w:ascii="David" w:hAnsi="David" w:cs="David" w:hint="cs"/>
          <w:rtl/>
        </w:rPr>
        <w:t xml:space="preserve">נוספים או סמים </w:t>
      </w:r>
      <w:r w:rsidRPr="00050703">
        <w:rPr>
          <w:rFonts w:ascii="David" w:hAnsi="David" w:cs="David"/>
          <w:rtl/>
        </w:rPr>
        <w:t xml:space="preserve">מחולקים. לצד זאת, עצם בחירתו של הנאשם להקים מעבדה הנחזית בלוח הצילומים </w:t>
      </w:r>
      <w:r w:rsidRPr="00050703">
        <w:rPr>
          <w:rFonts w:ascii="David" w:hAnsi="David" w:cs="David"/>
          <w:b/>
          <w:bCs/>
          <w:rtl/>
        </w:rPr>
        <w:t>עת/1</w:t>
      </w:r>
      <w:r w:rsidRPr="00050703">
        <w:rPr>
          <w:rFonts w:ascii="David" w:hAnsi="David" w:cs="David"/>
          <w:rtl/>
        </w:rPr>
        <w:t xml:space="preserve"> בדירה אותה שכר, תוך אבזורה בציוד לגידול כגון מנורות, שנאי, מאורר, מפוח ומתקן לייבוש, מלמד על התכנון שלצד ביצוע העבירה ועל ההוצאה כספית לצידה – ובכך על החומרה שבמעשיו</w:t>
      </w:r>
      <w:r w:rsidRPr="00050703">
        <w:rPr>
          <w:rFonts w:ascii="David" w:hAnsi="David" w:cs="David" w:hint="cs"/>
          <w:rtl/>
        </w:rPr>
        <w:t xml:space="preserve">. </w:t>
      </w:r>
      <w:r w:rsidRPr="00050703">
        <w:rPr>
          <w:rFonts w:ascii="David" w:hAnsi="David" w:cs="David"/>
          <w:rtl/>
        </w:rPr>
        <w:t xml:space="preserve">המפורט </w:t>
      </w:r>
      <w:r w:rsidRPr="00050703">
        <w:rPr>
          <w:rFonts w:ascii="David" w:hAnsi="David" w:cs="David" w:hint="cs"/>
          <w:rtl/>
        </w:rPr>
        <w:t xml:space="preserve">אף </w:t>
      </w:r>
      <w:r w:rsidRPr="00050703">
        <w:rPr>
          <w:rFonts w:ascii="David" w:hAnsi="David" w:cs="David"/>
          <w:rtl/>
        </w:rPr>
        <w:t xml:space="preserve">אינו מאפשר לקבוע כי המדובר במקרה זה בגידול קנביס לצריכה עצמית כטענת ההגנה. בנסיבות אלה מידת הפגיעה בערכים המוגנים ממעשי הנאשם היא ברף הבינוני. </w:t>
      </w:r>
    </w:p>
    <w:p w14:paraId="22D35315" w14:textId="77777777" w:rsidR="00701E6A" w:rsidRPr="00050703" w:rsidRDefault="00701E6A" w:rsidP="00701E6A">
      <w:pPr>
        <w:pStyle w:val="1"/>
        <w:spacing w:after="240"/>
        <w:ind w:left="0"/>
        <w:jc w:val="both"/>
        <w:rPr>
          <w:rFonts w:ascii="David" w:hAnsi="David" w:cs="David"/>
        </w:rPr>
      </w:pPr>
    </w:p>
    <w:p w14:paraId="2027044E" w14:textId="77777777" w:rsidR="00701E6A" w:rsidRPr="00050703" w:rsidRDefault="00701E6A" w:rsidP="00701E6A">
      <w:pPr>
        <w:pStyle w:val="1"/>
        <w:numPr>
          <w:ilvl w:val="0"/>
          <w:numId w:val="1"/>
        </w:numPr>
        <w:spacing w:after="240" w:line="360" w:lineRule="auto"/>
        <w:ind w:left="0" w:firstLine="0"/>
        <w:jc w:val="both"/>
        <w:rPr>
          <w:rFonts w:ascii="David" w:hAnsi="David" w:cs="David"/>
        </w:rPr>
      </w:pPr>
      <w:r w:rsidRPr="00050703">
        <w:rPr>
          <w:rFonts w:ascii="David" w:hAnsi="David" w:cs="David"/>
          <w:rtl/>
        </w:rPr>
        <w:t xml:space="preserve">מדיניות הענישה הנוהגת בעבירות גידול סם תוך הקמת מעבדה, בנסיבות והיקפים דומים, כוללת פעמים רבות עונשי מאסר ממשיים מאחורי סורג ובריח. תחתית מתחמי הענישה נקבעת לעיתים לתקופה אותה ניתן לרצות בעבודות שירות, בפרט לאחר תיקון 133 </w:t>
      </w:r>
      <w:hyperlink r:id="rId14" w:history="1">
        <w:r w:rsidR="005732E0" w:rsidRPr="005732E0">
          <w:rPr>
            <w:rFonts w:ascii="David" w:hAnsi="David" w:cs="David"/>
            <w:color w:val="0000FF"/>
            <w:u w:val="single"/>
            <w:rtl/>
          </w:rPr>
          <w:t>חוק העונשין</w:t>
        </w:r>
      </w:hyperlink>
      <w:r w:rsidRPr="00050703">
        <w:rPr>
          <w:rFonts w:ascii="David" w:hAnsi="David" w:cs="David"/>
          <w:rtl/>
        </w:rPr>
        <w:t xml:space="preserve">, תשל"ז – 1977 אשר האריך </w:t>
      </w:r>
      <w:r w:rsidRPr="00050703">
        <w:rPr>
          <w:rFonts w:ascii="David" w:hAnsi="David" w:cs="David" w:hint="cs"/>
          <w:rtl/>
        </w:rPr>
        <w:t xml:space="preserve"> בהוראת שעה </w:t>
      </w:r>
      <w:r w:rsidRPr="00050703">
        <w:rPr>
          <w:rFonts w:ascii="David" w:hAnsi="David" w:cs="David"/>
          <w:rtl/>
        </w:rPr>
        <w:t>את משך תקופת המאסר אותה ניתן לרצות בעבודות שירות ל – 9 חודשים. תקרת המתחם נקבעת בדרך כלל למאסר ממשי מאחורי סורג ובריח. ראו לשם הדוגמא:</w:t>
      </w:r>
    </w:p>
    <w:p w14:paraId="13DCD63E" w14:textId="77777777" w:rsidR="00701E6A" w:rsidRPr="00050703" w:rsidRDefault="005732E0" w:rsidP="00701E6A">
      <w:pPr>
        <w:spacing w:after="240" w:line="360" w:lineRule="auto"/>
        <w:jc w:val="both"/>
        <w:rPr>
          <w:rFonts w:ascii="David" w:hAnsi="David"/>
        </w:rPr>
      </w:pPr>
      <w:hyperlink r:id="rId15" w:history="1">
        <w:r w:rsidRPr="005732E0">
          <w:rPr>
            <w:rFonts w:ascii="David" w:hAnsi="David"/>
            <w:color w:val="0000FF"/>
            <w:u w:val="single"/>
            <w:rtl/>
          </w:rPr>
          <w:t>רע"פ 1787/15</w:t>
        </w:r>
      </w:hyperlink>
      <w:r w:rsidR="00701E6A" w:rsidRPr="00050703">
        <w:rPr>
          <w:rFonts w:ascii="David" w:hAnsi="David"/>
          <w:rtl/>
        </w:rPr>
        <w:t xml:space="preserve"> </w:t>
      </w:r>
      <w:r w:rsidR="00701E6A" w:rsidRPr="00050703">
        <w:rPr>
          <w:rFonts w:ascii="David" w:hAnsi="David"/>
          <w:b/>
          <w:bCs/>
          <w:rtl/>
        </w:rPr>
        <w:t>עמר נ' מדינת ישראל</w:t>
      </w:r>
      <w:r w:rsidR="00701E6A" w:rsidRPr="00050703">
        <w:rPr>
          <w:rFonts w:ascii="David" w:hAnsi="David"/>
          <w:rtl/>
        </w:rPr>
        <w:t xml:space="preserve"> (24.3.2015) שם הורשע המבקש על יסוד הודאתו בעבירה של גידול סמים, החזקת סמים שלא לצריכה עצמית והחזקת כלים להכנת סמים שלא לצריכה עצמית. המבקש גידל בביתו 9 שתילים של סם מסוג קנביס במשקל 4.38 ק"ג, בנוסף החזיק בדירה קנבוס במשקל כולל של 1.907 ק"ג והחזיק ציוד לגידול סמים. בית משפט השלום קבע כי מתחם העונש נע בין 8 ו-20 חודשי מאסר בפועל תוך שציין </w:t>
      </w:r>
      <w:r w:rsidR="00701E6A" w:rsidRPr="00050703">
        <w:rPr>
          <w:rFonts w:ascii="David" w:hAnsi="David" w:hint="cs"/>
          <w:rtl/>
        </w:rPr>
        <w:t xml:space="preserve">לחומרה </w:t>
      </w:r>
      <w:r w:rsidR="00701E6A" w:rsidRPr="00050703">
        <w:rPr>
          <w:rFonts w:ascii="David" w:hAnsi="David"/>
          <w:rtl/>
        </w:rPr>
        <w:t xml:space="preserve">את כמויות הסם שנתפסו שמורות בקופסאות </w:t>
      </w:r>
      <w:r w:rsidR="00701E6A" w:rsidRPr="00050703">
        <w:rPr>
          <w:rFonts w:ascii="David" w:hAnsi="David" w:hint="cs"/>
          <w:rtl/>
        </w:rPr>
        <w:t xml:space="preserve">ואת </w:t>
      </w:r>
      <w:r w:rsidR="00701E6A" w:rsidRPr="00050703">
        <w:rPr>
          <w:rFonts w:ascii="David" w:hAnsi="David"/>
          <w:rtl/>
        </w:rPr>
        <w:t>כמות הגזם</w:t>
      </w:r>
      <w:r w:rsidR="00701E6A" w:rsidRPr="00050703">
        <w:rPr>
          <w:rFonts w:ascii="David" w:hAnsi="David" w:hint="cs"/>
          <w:rtl/>
        </w:rPr>
        <w:t xml:space="preserve">, </w:t>
      </w:r>
      <w:r w:rsidR="00701E6A" w:rsidRPr="00050703">
        <w:rPr>
          <w:rFonts w:ascii="David" w:hAnsi="David"/>
          <w:rtl/>
        </w:rPr>
        <w:t xml:space="preserve">המעידים </w:t>
      </w:r>
      <w:r w:rsidR="00701E6A" w:rsidRPr="00050703">
        <w:rPr>
          <w:rFonts w:ascii="David" w:hAnsi="David" w:hint="cs"/>
          <w:rtl/>
        </w:rPr>
        <w:t>על כך ש</w:t>
      </w:r>
      <w:r w:rsidR="00701E6A" w:rsidRPr="00050703">
        <w:rPr>
          <w:rFonts w:ascii="David" w:hAnsi="David"/>
          <w:rtl/>
        </w:rPr>
        <w:t xml:space="preserve">הנאשם עסק בגידול </w:t>
      </w:r>
      <w:r w:rsidR="00701E6A" w:rsidRPr="00050703">
        <w:rPr>
          <w:rFonts w:ascii="David" w:hAnsi="David" w:hint="cs"/>
          <w:rtl/>
        </w:rPr>
        <w:t xml:space="preserve">סמים משך </w:t>
      </w:r>
      <w:r w:rsidR="00701E6A" w:rsidRPr="00050703">
        <w:rPr>
          <w:rFonts w:ascii="David" w:hAnsi="David"/>
          <w:rtl/>
        </w:rPr>
        <w:t>תקופה ממושכת, והטיל על המבקש מאסר בפועל לתקופה של 8 חודשים, מאסר על תנאי, קנס, ופסילת רישיון על תנאי. בית המשפט המחוזי דחה את ערעורו של המבקש. בית המשפט העליון דחה את בקשתו של המבקש לרשות ערעור.</w:t>
      </w:r>
    </w:p>
    <w:p w14:paraId="1A13BAF4" w14:textId="77777777" w:rsidR="00701E6A" w:rsidRPr="00050703" w:rsidRDefault="005732E0" w:rsidP="00701E6A">
      <w:pPr>
        <w:spacing w:after="240" w:line="360" w:lineRule="auto"/>
        <w:jc w:val="both"/>
        <w:rPr>
          <w:rFonts w:ascii="David" w:hAnsi="David"/>
          <w:rtl/>
        </w:rPr>
      </w:pPr>
      <w:hyperlink r:id="rId16" w:history="1">
        <w:r w:rsidRPr="005732E0">
          <w:rPr>
            <w:rFonts w:ascii="David" w:hAnsi="David"/>
            <w:color w:val="0000FF"/>
            <w:u w:val="single"/>
            <w:rtl/>
          </w:rPr>
          <w:t>רע"פ 7005/14</w:t>
        </w:r>
      </w:hyperlink>
      <w:r w:rsidR="00701E6A" w:rsidRPr="00050703">
        <w:rPr>
          <w:rFonts w:ascii="David" w:hAnsi="David"/>
          <w:rtl/>
        </w:rPr>
        <w:t xml:space="preserve"> </w:t>
      </w:r>
      <w:r w:rsidR="00701E6A" w:rsidRPr="00050703">
        <w:rPr>
          <w:rFonts w:ascii="David" w:hAnsi="David"/>
          <w:b/>
          <w:bCs/>
          <w:rtl/>
        </w:rPr>
        <w:t>דגן נ' מדינת ישראל</w:t>
      </w:r>
      <w:r w:rsidR="00701E6A" w:rsidRPr="00050703">
        <w:rPr>
          <w:rFonts w:ascii="David" w:hAnsi="David"/>
          <w:rtl/>
        </w:rPr>
        <w:t xml:space="preserve"> (30.11.2014) שם הורשע המבקש על יסוד הודאתו בגידול קנביס בביתו והחזקת סם לצריכה עצמית, במשקל כולל של כ-2.7 ק"ג. המבקש טען שהסם גודל לצריכתו העצמית עקב מצבו הרפואי. למבקש עבר פלילי והתסקיר בעניינו לא היה חיובי. בית משפט השלום קבע מתחם </w:t>
      </w:r>
      <w:r w:rsidR="00701E6A" w:rsidRPr="00050703">
        <w:rPr>
          <w:rFonts w:ascii="David" w:hAnsi="David" w:hint="cs"/>
          <w:rtl/>
        </w:rPr>
        <w:t xml:space="preserve">ענישה </w:t>
      </w:r>
      <w:r w:rsidR="00701E6A" w:rsidRPr="00050703">
        <w:rPr>
          <w:rFonts w:ascii="David" w:hAnsi="David"/>
          <w:rtl/>
        </w:rPr>
        <w:t>שבין 6 ו-12 חודשי מאסר</w:t>
      </w:r>
      <w:r w:rsidR="00701E6A" w:rsidRPr="00050703">
        <w:rPr>
          <w:rFonts w:ascii="David" w:hAnsi="David" w:hint="cs"/>
          <w:rtl/>
        </w:rPr>
        <w:t>, הוא המתחם לו עתרה המאשימה כפי שסיכמו הצדדים שתטען במסגרת הסדר הטיעון</w:t>
      </w:r>
      <w:r w:rsidR="00701E6A" w:rsidRPr="00050703">
        <w:rPr>
          <w:rFonts w:ascii="David" w:hAnsi="David"/>
          <w:rtl/>
        </w:rPr>
        <w:t xml:space="preserve">, וגזר על המבקש 10 חודשי מאסר וענישה נלווית.  ערעור שהוגש לבית המשפט המחוזי נדחה. בית המשפט העליון דחה את בקשת המבקש וקבע כי העונש אינו חורג ממדיניות הענישה המקובלת והראויה במקרים דומים. </w:t>
      </w:r>
    </w:p>
    <w:p w14:paraId="01F7DF7D" w14:textId="77777777" w:rsidR="00701E6A" w:rsidRPr="00050703" w:rsidRDefault="005732E0" w:rsidP="00701E6A">
      <w:pPr>
        <w:spacing w:after="240" w:line="360" w:lineRule="auto"/>
        <w:jc w:val="both"/>
        <w:rPr>
          <w:rFonts w:ascii="David" w:hAnsi="David"/>
          <w:rtl/>
        </w:rPr>
      </w:pPr>
      <w:hyperlink r:id="rId17" w:history="1">
        <w:r w:rsidRPr="005732E0">
          <w:rPr>
            <w:rFonts w:ascii="David" w:hAnsi="David"/>
            <w:color w:val="0000FF"/>
            <w:u w:val="single"/>
            <w:rtl/>
          </w:rPr>
          <w:t>רע"פ 6987/13</w:t>
        </w:r>
      </w:hyperlink>
      <w:r w:rsidR="00701E6A" w:rsidRPr="00050703">
        <w:rPr>
          <w:rFonts w:ascii="David" w:hAnsi="David"/>
          <w:b/>
          <w:bCs/>
          <w:rtl/>
        </w:rPr>
        <w:t xml:space="preserve"> אברמוב נ' מדינת ישראל</w:t>
      </w:r>
      <w:r w:rsidR="00701E6A" w:rsidRPr="00050703">
        <w:rPr>
          <w:rFonts w:ascii="David" w:hAnsi="David"/>
          <w:rtl/>
        </w:rPr>
        <w:t xml:space="preserve"> (21.10.2013) שם הורשע המבקש על יסוד הודאתו בעבירות גידול סמים במשקל של כ-10 ק"ג, החזקת כלים להכנת סם שלא לצריכה עצמית, החזקת סמים שלא לצריכה עצמית ונהיגה בזמן פסילה, ללא רישיון נהיגה תקף וללא ביטוח. בית משפט השלום קבע כי מתחם העונש נע בין 6 חודשי מאסר לריצוי בדרך של עבודות שרות ועד 24 חודשי מאסר בפועל, וגזר על המבקש 12 חודשי מאסר בפועל ועונשים נלווים. ערעור שהוגש לבית המשפט המחוזי נדחה, כמו גם בקשה לרשות ערעור שהוגשה לבית המשפט העליון.</w:t>
      </w:r>
    </w:p>
    <w:p w14:paraId="1D455E68" w14:textId="77777777" w:rsidR="00701E6A" w:rsidRPr="00050703" w:rsidRDefault="005732E0" w:rsidP="00701E6A">
      <w:pPr>
        <w:pStyle w:val="1"/>
        <w:spacing w:after="240" w:line="360" w:lineRule="auto"/>
        <w:ind w:left="0"/>
        <w:jc w:val="both"/>
        <w:rPr>
          <w:rFonts w:ascii="David" w:hAnsi="David" w:cs="David"/>
          <w:rtl/>
        </w:rPr>
      </w:pPr>
      <w:hyperlink r:id="rId18" w:history="1">
        <w:r w:rsidRPr="005732E0">
          <w:rPr>
            <w:rFonts w:ascii="David" w:hAnsi="David" w:cs="David"/>
            <w:color w:val="0000FF"/>
            <w:u w:val="single"/>
            <w:rtl/>
          </w:rPr>
          <w:t>עפ"ג (ק"ג) 13901-11-15</w:t>
        </w:r>
      </w:hyperlink>
      <w:r w:rsidR="00701E6A" w:rsidRPr="00050703">
        <w:rPr>
          <w:rFonts w:ascii="David" w:hAnsi="David" w:cs="David"/>
          <w:rtl/>
        </w:rPr>
        <w:t xml:space="preserve"> </w:t>
      </w:r>
      <w:r w:rsidR="00701E6A" w:rsidRPr="00050703">
        <w:rPr>
          <w:rFonts w:ascii="David" w:hAnsi="David" w:cs="David"/>
          <w:b/>
          <w:bCs/>
          <w:rtl/>
        </w:rPr>
        <w:t>עזרא נ' מדינת ישראל</w:t>
      </w:r>
      <w:r w:rsidR="00701E6A" w:rsidRPr="00050703">
        <w:rPr>
          <w:rFonts w:ascii="David" w:hAnsi="David" w:cs="David"/>
          <w:rtl/>
        </w:rPr>
        <w:t xml:space="preserve"> (9.12.2015) שם הורשע המערער על יסוד הודאתו בגידול 5 שתילי קנביס במשקל 1.2 ק"ג. בית משפט השלום קבע מתחם שבין 6 חודשי עבודות שירות ובין 18 חודשי מאסר וגזר על המערער 45 ימי מאסר שיכול וירוצו בעבודות שירות. בית המשפט המחוזי דחה את הערעור וקבע כי אין המדובר בענישה החורגת מענישה ראויה וכי על המערער הוטל עונש מקל אשר יש בו התחשבות רבה במכלול נסיבות חייו.</w:t>
      </w:r>
    </w:p>
    <w:p w14:paraId="094384C4" w14:textId="77777777" w:rsidR="00701E6A" w:rsidRPr="00050703" w:rsidRDefault="00701E6A" w:rsidP="00701E6A">
      <w:pPr>
        <w:pStyle w:val="1"/>
        <w:spacing w:after="240" w:line="360" w:lineRule="auto"/>
        <w:ind w:left="0"/>
        <w:jc w:val="both"/>
        <w:rPr>
          <w:rFonts w:ascii="David" w:hAnsi="David" w:cs="David"/>
          <w:rtl/>
        </w:rPr>
      </w:pPr>
    </w:p>
    <w:p w14:paraId="7E491A88" w14:textId="77777777" w:rsidR="00701E6A" w:rsidRPr="00050703" w:rsidRDefault="005732E0" w:rsidP="00701E6A">
      <w:pPr>
        <w:pStyle w:val="1"/>
        <w:spacing w:after="240" w:line="360" w:lineRule="auto"/>
        <w:ind w:left="0"/>
        <w:jc w:val="both"/>
        <w:rPr>
          <w:rFonts w:ascii="David" w:hAnsi="David" w:cs="David"/>
          <w:rtl/>
        </w:rPr>
      </w:pPr>
      <w:hyperlink r:id="rId19" w:history="1">
        <w:r w:rsidRPr="005732E0">
          <w:rPr>
            <w:rFonts w:ascii="David" w:hAnsi="David" w:cs="David"/>
            <w:color w:val="0000FF"/>
            <w:u w:val="single"/>
            <w:rtl/>
          </w:rPr>
          <w:t>עפ"ג (ת"א) 40089-12-14</w:t>
        </w:r>
      </w:hyperlink>
      <w:r w:rsidR="00701E6A" w:rsidRPr="00050703">
        <w:rPr>
          <w:rFonts w:ascii="David" w:hAnsi="David" w:cs="David" w:hint="cs"/>
          <w:rtl/>
        </w:rPr>
        <w:t xml:space="preserve"> </w:t>
      </w:r>
      <w:r w:rsidR="00701E6A" w:rsidRPr="00050703">
        <w:rPr>
          <w:rFonts w:ascii="David" w:hAnsi="David" w:cs="David" w:hint="cs"/>
          <w:b/>
          <w:bCs/>
          <w:rtl/>
        </w:rPr>
        <w:t>מדינת ישראל נ' מורי</w:t>
      </w:r>
      <w:r w:rsidR="00701E6A" w:rsidRPr="00050703">
        <w:rPr>
          <w:rFonts w:ascii="David" w:hAnsi="David" w:cs="David" w:hint="cs"/>
          <w:rtl/>
        </w:rPr>
        <w:t xml:space="preserve"> (18.3.2015), המערער הורשע בהחזקת קנביס לצריכה עצמית וכן בגידול 15 שתילי קנביס במשקל 3.4 ק"ג לצד עבירה של הפרעה לשוטר. בית המשפט המחוזי התערב בעונש אשר נגזר על ידי בית משפט השלום, וקבע כי על מתחם הענישה לעמוד לכל הפחות בין 6 ו- 18 חודשי מאסר בפועל. על המערער נגזרו 6 חודשי מאסר לריצוי בעבודות שירות לצד פסילת רישיון נהיגה לשנה. </w:t>
      </w:r>
    </w:p>
    <w:p w14:paraId="558BD09C" w14:textId="77777777" w:rsidR="00701E6A" w:rsidRPr="00050703" w:rsidRDefault="00701E6A" w:rsidP="00701E6A">
      <w:pPr>
        <w:pStyle w:val="1"/>
        <w:spacing w:after="240" w:line="360" w:lineRule="auto"/>
        <w:ind w:left="0"/>
        <w:jc w:val="both"/>
        <w:rPr>
          <w:rFonts w:ascii="David" w:hAnsi="David" w:cs="David"/>
          <w:rtl/>
        </w:rPr>
      </w:pPr>
    </w:p>
    <w:p w14:paraId="6FCEDE97" w14:textId="77777777" w:rsidR="00701E6A" w:rsidRPr="00050703" w:rsidRDefault="00701E6A" w:rsidP="00701E6A">
      <w:pPr>
        <w:pStyle w:val="1"/>
        <w:spacing w:after="240" w:line="360" w:lineRule="auto"/>
        <w:ind w:left="0"/>
        <w:jc w:val="both"/>
        <w:rPr>
          <w:rFonts w:ascii="David" w:hAnsi="David" w:cs="David"/>
          <w:rtl/>
        </w:rPr>
      </w:pPr>
      <w:r w:rsidRPr="00050703">
        <w:rPr>
          <w:rFonts w:ascii="David" w:hAnsi="David" w:cs="David"/>
          <w:rtl/>
        </w:rPr>
        <w:t xml:space="preserve">ראו גם </w:t>
      </w:r>
      <w:r w:rsidRPr="00050703">
        <w:rPr>
          <w:rFonts w:ascii="David" w:hAnsi="David" w:cs="David"/>
          <w:b/>
          <w:bCs/>
          <w:rtl/>
        </w:rPr>
        <w:t>עניין אוחנה</w:t>
      </w:r>
      <w:r w:rsidRPr="00050703">
        <w:rPr>
          <w:rFonts w:ascii="David" w:hAnsi="David" w:cs="David"/>
          <w:rtl/>
        </w:rPr>
        <w:t xml:space="preserve"> אליו הצדדים והערעור שהוגש על גזר הדין  ב</w:t>
      </w:r>
      <w:hyperlink r:id="rId20" w:history="1">
        <w:r w:rsidR="005732E0" w:rsidRPr="005732E0">
          <w:rPr>
            <w:rFonts w:ascii="David" w:hAnsi="David" w:cs="David"/>
            <w:color w:val="0000FF"/>
            <w:u w:val="single"/>
            <w:rtl/>
          </w:rPr>
          <w:t>עפ"ג 44763-08-19</w:t>
        </w:r>
      </w:hyperlink>
      <w:r w:rsidRPr="00050703">
        <w:rPr>
          <w:rFonts w:ascii="David" w:hAnsi="David" w:cs="David"/>
          <w:rtl/>
        </w:rPr>
        <w:t xml:space="preserve"> </w:t>
      </w:r>
      <w:r w:rsidRPr="00050703">
        <w:rPr>
          <w:rFonts w:ascii="David" w:hAnsi="David" w:cs="David"/>
          <w:b/>
          <w:bCs/>
          <w:rtl/>
        </w:rPr>
        <w:t>אוחנה נ' מדינת ישראל</w:t>
      </w:r>
      <w:r w:rsidRPr="00050703">
        <w:rPr>
          <w:rFonts w:ascii="David" w:hAnsi="David" w:cs="David"/>
          <w:rtl/>
        </w:rPr>
        <w:t xml:space="preserve"> (16.12.2019). כאמור</w:t>
      </w:r>
      <w:r w:rsidRPr="00050703">
        <w:rPr>
          <w:rFonts w:ascii="David" w:hAnsi="David" w:cs="David" w:hint="cs"/>
          <w:rtl/>
        </w:rPr>
        <w:t>, ב</w:t>
      </w:r>
      <w:r w:rsidRPr="00050703">
        <w:rPr>
          <w:rFonts w:ascii="David" w:hAnsi="David" w:cs="David"/>
          <w:rtl/>
        </w:rPr>
        <w:t xml:space="preserve">מקרה זה נעצר אוחנה במסגרת אותה פרשה בה נעצר הנאשם בעניינו, הגם שהעבירות שבביצוען הורשע אינן קשורות לנאשם במקרה דנן. בהבחנה לחומרה מעניינו של הנאשם, אוחנה הורשע בגידול עשרות רבות של שתילים של סם מסוכן מסוג קנביס ב- 42 אדניות, במשקל כולל של 14 ק"ג, לצד החזקת סם שלא לצריכה עצמית במשקל 280 גרם. גם אוחנה שכר דירה לשם גידול הקנביס וצייד אותה במפוחים, שרשרים, מד לחות וטמפרטורה, אדניות, רפלקטורים, שנאי חשמל, חומרי דישון, כלי דישון וכלי עבודה. </w:t>
      </w:r>
      <w:r w:rsidRPr="00050703">
        <w:rPr>
          <w:rFonts w:ascii="David" w:hAnsi="David" w:cs="David"/>
          <w:b/>
          <w:bCs/>
          <w:rtl/>
        </w:rPr>
        <w:t>בעניין אוחנה</w:t>
      </w:r>
      <w:r w:rsidRPr="00050703">
        <w:rPr>
          <w:rFonts w:ascii="David" w:hAnsi="David" w:cs="David"/>
          <w:rtl/>
        </w:rPr>
        <w:t xml:space="preserve"> נקבע מתחם ענישה שבין 8 ו-20 חודשי מאסר בפועל, ונגזר עליו עונש מאסר בן 8 חודשים לצד ענישה נלווית, תוך שבית משפט השלום קובע כי עונשו של הנאשם ירוצה מאחורי סורג ובריח בראי חומרת הנסיבות וכמות הסם. בערעור על גזר הדין, בהסכמת הצדדים, התערב בית המשפט המחוזי בעונש המאסר שנגזר על אוחנה וקבע כי אוחנה ירצה 9 חודשי מאסר בעבודות שירות ולא מאחורי סורג ובריח לצד צו מבחן והענישה הנלווית כפי שנקבעה בבית משפט השלום.</w:t>
      </w:r>
    </w:p>
    <w:p w14:paraId="6E3E329A" w14:textId="77777777" w:rsidR="00701E6A" w:rsidRPr="00050703" w:rsidRDefault="00701E6A" w:rsidP="00701E6A">
      <w:pPr>
        <w:pStyle w:val="1"/>
        <w:spacing w:after="240"/>
        <w:ind w:left="0"/>
        <w:jc w:val="both"/>
        <w:rPr>
          <w:rFonts w:ascii="David" w:hAnsi="David" w:cs="David"/>
          <w:rtl/>
        </w:rPr>
      </w:pPr>
    </w:p>
    <w:p w14:paraId="63281F93" w14:textId="77777777" w:rsidR="00701E6A" w:rsidRPr="00050703" w:rsidRDefault="00701E6A" w:rsidP="00701E6A">
      <w:pPr>
        <w:pStyle w:val="1"/>
        <w:numPr>
          <w:ilvl w:val="0"/>
          <w:numId w:val="1"/>
        </w:numPr>
        <w:spacing w:after="240" w:line="360" w:lineRule="auto"/>
        <w:ind w:left="0" w:firstLine="0"/>
        <w:jc w:val="both"/>
        <w:rPr>
          <w:rFonts w:ascii="David" w:hAnsi="David" w:cs="David"/>
          <w:rtl/>
        </w:rPr>
      </w:pPr>
      <w:r w:rsidRPr="00050703">
        <w:rPr>
          <w:rFonts w:ascii="David" w:hAnsi="David" w:cs="David"/>
          <w:rtl/>
        </w:rPr>
        <w:t xml:space="preserve">לאחר סקירת המפורט לעיל, בראי מדיניות הענישה הנוהגת, נסיבות ביצוע העבירה, הערכים המוגנים שנפגעו ומידת הפגיעה בהם, מצאתי להעמיד את מתחם הענישה לעבירה בה הורשע הנאשם, בין </w:t>
      </w:r>
      <w:r w:rsidRPr="00050703">
        <w:rPr>
          <w:rFonts w:ascii="David" w:hAnsi="David" w:cs="David" w:hint="cs"/>
          <w:rtl/>
        </w:rPr>
        <w:t>6</w:t>
      </w:r>
      <w:r w:rsidRPr="00050703">
        <w:rPr>
          <w:rFonts w:ascii="David" w:hAnsi="David" w:cs="David"/>
          <w:rtl/>
        </w:rPr>
        <w:t xml:space="preserve"> חודשי מאסר שיכול וירוצו בעבודות שירות </w:t>
      </w:r>
      <w:r w:rsidRPr="00050703">
        <w:rPr>
          <w:rFonts w:ascii="David" w:hAnsi="David" w:cs="David" w:hint="cs"/>
          <w:rtl/>
        </w:rPr>
        <w:t>ל</w:t>
      </w:r>
      <w:r w:rsidRPr="00050703">
        <w:rPr>
          <w:rFonts w:ascii="David" w:hAnsi="David" w:cs="David"/>
          <w:rtl/>
        </w:rPr>
        <w:t>בין 18 חודשי מאסר בפועל, לצד ענישה נלוות הכוללת מאסר על תנאי, קנס ופסילה על תנאי.</w:t>
      </w:r>
    </w:p>
    <w:p w14:paraId="15503E52" w14:textId="77777777" w:rsidR="00701E6A" w:rsidRPr="00050703" w:rsidRDefault="00701E6A" w:rsidP="00701E6A">
      <w:pPr>
        <w:pStyle w:val="1"/>
        <w:jc w:val="both"/>
        <w:rPr>
          <w:rFonts w:ascii="David" w:hAnsi="David" w:cs="David"/>
        </w:rPr>
      </w:pPr>
    </w:p>
    <w:p w14:paraId="42738331" w14:textId="77777777" w:rsidR="00701E6A" w:rsidRPr="00050703" w:rsidRDefault="00701E6A" w:rsidP="00701E6A">
      <w:pPr>
        <w:pStyle w:val="1"/>
        <w:spacing w:after="240" w:line="360" w:lineRule="auto"/>
        <w:ind w:left="0"/>
        <w:jc w:val="both"/>
        <w:rPr>
          <w:rFonts w:ascii="David" w:hAnsi="David" w:cs="David"/>
          <w:b/>
          <w:bCs/>
          <w:u w:val="single"/>
        </w:rPr>
      </w:pPr>
      <w:r w:rsidRPr="00050703">
        <w:rPr>
          <w:rFonts w:ascii="David" w:hAnsi="David" w:cs="David"/>
          <w:b/>
          <w:bCs/>
          <w:u w:val="single"/>
          <w:rtl/>
        </w:rPr>
        <w:t>גזירת עונשו של הנאשם</w:t>
      </w:r>
    </w:p>
    <w:p w14:paraId="647CB981" w14:textId="77777777" w:rsidR="00701E6A" w:rsidRPr="00050703" w:rsidRDefault="00701E6A" w:rsidP="00701E6A">
      <w:pPr>
        <w:pStyle w:val="1"/>
        <w:spacing w:after="240"/>
        <w:ind w:left="0"/>
        <w:jc w:val="both"/>
        <w:rPr>
          <w:rFonts w:ascii="David" w:hAnsi="David" w:cs="David"/>
          <w:b/>
          <w:bCs/>
          <w:rtl/>
        </w:rPr>
      </w:pPr>
    </w:p>
    <w:p w14:paraId="1FE56760" w14:textId="77777777" w:rsidR="00701E6A" w:rsidRPr="00050703" w:rsidRDefault="00701E6A" w:rsidP="00701E6A">
      <w:pPr>
        <w:pStyle w:val="1"/>
        <w:numPr>
          <w:ilvl w:val="0"/>
          <w:numId w:val="1"/>
        </w:numPr>
        <w:spacing w:line="360" w:lineRule="auto"/>
        <w:ind w:left="0" w:firstLine="0"/>
        <w:jc w:val="both"/>
        <w:rPr>
          <w:rFonts w:ascii="David" w:hAnsi="David" w:cs="David"/>
          <w:rtl/>
        </w:rPr>
      </w:pPr>
      <w:r w:rsidRPr="00050703">
        <w:rPr>
          <w:rFonts w:ascii="David" w:hAnsi="David" w:cs="David"/>
          <w:rtl/>
        </w:rPr>
        <w:t xml:space="preserve">לא מתקיימות במקרה זה נסיבות לחריגה לקולא או לחומרה ממתחם הענישה שנקבע. הנאשם נעדר עבר פלילי למעט עברו התעבורתי אודותיו ניתן ללמוד מתדפיס המידע </w:t>
      </w:r>
      <w:r w:rsidRPr="00050703">
        <w:rPr>
          <w:rFonts w:ascii="David" w:hAnsi="David" w:cs="David"/>
          <w:b/>
          <w:bCs/>
          <w:rtl/>
        </w:rPr>
        <w:t>עת/2</w:t>
      </w:r>
      <w:r w:rsidRPr="00050703">
        <w:rPr>
          <w:rFonts w:ascii="David" w:hAnsi="David" w:cs="David"/>
          <w:rtl/>
        </w:rPr>
        <w:t>, הודה וחסך זמן שיפוטי. הנאשם אף הביע צער וחרטה על ביצוע העבירות. כל אלה ישקלו לזכותו. הנאשם יליד שנת 1993, ואב לתינוקת, מצבו הכלכלי מורכב, ולדבריו אינו עובד מאז מעצרו בחודש ספטמבר 2018. אין ספק כי כל עונש שייגזר על הנאשם יקשה עליו ועל בני משפחתו ולא רק בפן הכלכלי ועניין זה בה בין שיקולי. הנאשם נתון תחת תנאים מגבילים משך תקופה ארוכה, מיום מעצרו, ולדברי באת כוחו לא נרשמה כל הפרה לחובתו. כל אלה מביאים למסקנה כי נכון למקם את עונשו של הנאשם בתחתית מתחם הענישה וכך יקבע. זוהי גם עתירת המאשימה במקרה דנן.</w:t>
      </w:r>
    </w:p>
    <w:p w14:paraId="3EBB9BBA" w14:textId="77777777" w:rsidR="00701E6A" w:rsidRPr="00050703" w:rsidRDefault="00701E6A" w:rsidP="00701E6A">
      <w:pPr>
        <w:pStyle w:val="1"/>
        <w:ind w:left="0"/>
        <w:jc w:val="both"/>
        <w:rPr>
          <w:rFonts w:ascii="David" w:hAnsi="David" w:cs="David"/>
        </w:rPr>
      </w:pPr>
    </w:p>
    <w:p w14:paraId="3E51FDD8" w14:textId="77777777" w:rsidR="00701E6A" w:rsidRPr="00050703" w:rsidRDefault="00701E6A" w:rsidP="00701E6A">
      <w:pPr>
        <w:pStyle w:val="1"/>
        <w:numPr>
          <w:ilvl w:val="0"/>
          <w:numId w:val="1"/>
        </w:numPr>
        <w:spacing w:line="360" w:lineRule="auto"/>
        <w:ind w:left="0" w:firstLine="0"/>
        <w:jc w:val="both"/>
        <w:rPr>
          <w:rFonts w:ascii="David" w:hAnsi="David" w:cs="David"/>
        </w:rPr>
      </w:pPr>
      <w:r w:rsidRPr="00050703">
        <w:rPr>
          <w:rFonts w:ascii="David" w:hAnsi="David" w:cs="David"/>
          <w:rtl/>
        </w:rPr>
        <w:t xml:space="preserve">לאחר שקילת כלל המפורט לעיל, אני גוזרת על הנאשם את העונשים הבאים: </w:t>
      </w:r>
    </w:p>
    <w:p w14:paraId="6A84280D" w14:textId="77777777" w:rsidR="00701E6A" w:rsidRPr="00050703" w:rsidRDefault="00701E6A" w:rsidP="00701E6A">
      <w:pPr>
        <w:tabs>
          <w:tab w:val="left" w:pos="1527"/>
        </w:tabs>
        <w:jc w:val="both"/>
        <w:rPr>
          <w:rFonts w:ascii="David" w:hAnsi="David"/>
          <w:rtl/>
        </w:rPr>
      </w:pPr>
      <w:r w:rsidRPr="00050703">
        <w:rPr>
          <w:rFonts w:ascii="David" w:hAnsi="David"/>
          <w:rtl/>
        </w:rPr>
        <w:tab/>
      </w:r>
    </w:p>
    <w:p w14:paraId="6B0159BB" w14:textId="77777777" w:rsidR="00701E6A" w:rsidRPr="00050703" w:rsidRDefault="00701E6A" w:rsidP="00701E6A">
      <w:pPr>
        <w:pStyle w:val="a9"/>
        <w:numPr>
          <w:ilvl w:val="0"/>
          <w:numId w:val="2"/>
        </w:numPr>
        <w:spacing w:line="360" w:lineRule="auto"/>
        <w:jc w:val="both"/>
        <w:rPr>
          <w:rFonts w:ascii="David" w:hAnsi="David" w:cs="David"/>
        </w:rPr>
      </w:pPr>
      <w:r w:rsidRPr="00050703">
        <w:rPr>
          <w:rFonts w:ascii="David" w:hAnsi="David" w:cs="David"/>
          <w:rtl/>
        </w:rPr>
        <w:t xml:space="preserve">מאסר בפועל לתקופה של </w:t>
      </w:r>
      <w:r w:rsidRPr="00050703">
        <w:rPr>
          <w:rFonts w:ascii="David" w:hAnsi="David" w:cs="David" w:hint="cs"/>
          <w:rtl/>
        </w:rPr>
        <w:t>6</w:t>
      </w:r>
      <w:r w:rsidRPr="00050703">
        <w:rPr>
          <w:rFonts w:ascii="David" w:hAnsi="David" w:cs="David"/>
          <w:rtl/>
        </w:rPr>
        <w:t xml:space="preserve"> חודשים, שירוצה בדרך של עבודות שירות, בהתאם לחוות-דעת הממונה על עבודות השירות במרכז קשר-שור ברח' פרופסור שור 40, חולון. הנאשם יתייצב במפקדת מחוז מרכז ביום </w:t>
      </w:r>
      <w:r w:rsidRPr="00050703">
        <w:rPr>
          <w:rFonts w:ascii="David" w:hAnsi="David" w:cs="David" w:hint="cs"/>
          <w:rtl/>
        </w:rPr>
        <w:t>03/03/21 בשעה 08:00 לתחילת ריצוי עונשו, בשים לב להמלצת הממונה על עבודות השירות על נימוקיה בקשר למועד ולהשלכות נגיף הקורונה</w:t>
      </w:r>
      <w:r w:rsidRPr="00050703">
        <w:rPr>
          <w:rFonts w:ascii="David" w:hAnsi="David" w:cs="David"/>
          <w:rtl/>
        </w:rPr>
        <w:t>. הובהרה לנאשם המשמעות של אי עמידה בתנאי עבודות השירות.</w:t>
      </w:r>
    </w:p>
    <w:p w14:paraId="2DDC4110" w14:textId="77777777" w:rsidR="00701E6A" w:rsidRPr="00701E6A" w:rsidRDefault="00701E6A" w:rsidP="00701E6A">
      <w:pPr>
        <w:tabs>
          <w:tab w:val="left" w:pos="1587"/>
        </w:tabs>
        <w:jc w:val="both"/>
        <w:rPr>
          <w:rFonts w:ascii="David" w:eastAsia="Calibri" w:hAnsi="David"/>
          <w:rtl/>
        </w:rPr>
      </w:pPr>
      <w:r w:rsidRPr="00701E6A">
        <w:rPr>
          <w:rFonts w:ascii="David" w:eastAsia="Calibri" w:hAnsi="David"/>
          <w:rtl/>
        </w:rPr>
        <w:tab/>
      </w:r>
    </w:p>
    <w:p w14:paraId="75B8CC77" w14:textId="77777777" w:rsidR="00701E6A" w:rsidRPr="00050703" w:rsidRDefault="00701E6A" w:rsidP="00701E6A">
      <w:pPr>
        <w:pStyle w:val="a9"/>
        <w:numPr>
          <w:ilvl w:val="0"/>
          <w:numId w:val="2"/>
        </w:numPr>
        <w:spacing w:line="360" w:lineRule="auto"/>
        <w:jc w:val="both"/>
        <w:rPr>
          <w:rFonts w:ascii="David" w:hAnsi="David" w:cs="David"/>
          <w:rtl/>
        </w:rPr>
      </w:pPr>
      <w:r w:rsidRPr="00050703">
        <w:rPr>
          <w:rFonts w:ascii="David" w:hAnsi="David" w:cs="David"/>
          <w:rtl/>
        </w:rPr>
        <w:t>מאסר על תנאי למשך 6 חודשים, לתקופה של 3 שנים והתנאי שהנאשם לא יעבור עבירת פשע על פי פקודת הסמים.</w:t>
      </w:r>
    </w:p>
    <w:p w14:paraId="4D88E046" w14:textId="77777777" w:rsidR="00701E6A" w:rsidRPr="00050703" w:rsidRDefault="00701E6A" w:rsidP="00701E6A">
      <w:pPr>
        <w:pStyle w:val="a9"/>
        <w:rPr>
          <w:rFonts w:ascii="David" w:hAnsi="David" w:cs="David"/>
          <w:rtl/>
        </w:rPr>
      </w:pPr>
    </w:p>
    <w:p w14:paraId="1710BEC4" w14:textId="77777777" w:rsidR="00701E6A" w:rsidRPr="00050703" w:rsidRDefault="00701E6A" w:rsidP="00701E6A">
      <w:pPr>
        <w:pStyle w:val="a9"/>
        <w:numPr>
          <w:ilvl w:val="0"/>
          <w:numId w:val="2"/>
        </w:numPr>
        <w:spacing w:line="360" w:lineRule="auto"/>
        <w:jc w:val="both"/>
        <w:rPr>
          <w:rFonts w:ascii="David" w:hAnsi="David" w:cs="David"/>
        </w:rPr>
      </w:pPr>
      <w:r w:rsidRPr="00050703">
        <w:rPr>
          <w:rFonts w:ascii="David" w:hAnsi="David" w:cs="David"/>
          <w:rtl/>
        </w:rPr>
        <w:t>מאסר על תנאי למשך 3 חודשים, לתקופה של 3 שנים והתנאי שהנאשם לא יעבור עבירת עוון על פי פקודת הסמים.</w:t>
      </w:r>
    </w:p>
    <w:p w14:paraId="787316CD" w14:textId="77777777" w:rsidR="00701E6A" w:rsidRPr="00050703" w:rsidRDefault="00701E6A" w:rsidP="00701E6A">
      <w:pPr>
        <w:jc w:val="both"/>
        <w:rPr>
          <w:rFonts w:ascii="David" w:hAnsi="David"/>
          <w:rtl/>
        </w:rPr>
      </w:pPr>
    </w:p>
    <w:p w14:paraId="723EC01D" w14:textId="77777777" w:rsidR="00701E6A" w:rsidRPr="00050703" w:rsidRDefault="00701E6A" w:rsidP="00701E6A">
      <w:pPr>
        <w:pStyle w:val="a9"/>
        <w:numPr>
          <w:ilvl w:val="0"/>
          <w:numId w:val="2"/>
        </w:numPr>
        <w:spacing w:line="360" w:lineRule="auto"/>
        <w:jc w:val="both"/>
        <w:rPr>
          <w:rFonts w:ascii="David" w:hAnsi="David" w:cs="David"/>
        </w:rPr>
      </w:pPr>
      <w:r w:rsidRPr="00050703">
        <w:rPr>
          <w:rFonts w:ascii="David" w:hAnsi="David" w:cs="David"/>
          <w:rtl/>
        </w:rPr>
        <w:t xml:space="preserve">אני פוסלת את הנאשם מלקבל או להחזיק רישיון נהיגה למשך 3 חודשים, וזאת על תנאי, והתנאי הוא שמשך שנתיים מהיום לא יעבור עבירה על </w:t>
      </w:r>
      <w:hyperlink r:id="rId21" w:history="1">
        <w:r w:rsidR="005732E0" w:rsidRPr="005732E0">
          <w:rPr>
            <w:rFonts w:ascii="David" w:hAnsi="David" w:cs="David"/>
            <w:color w:val="0000FF"/>
            <w:u w:val="single"/>
            <w:rtl/>
          </w:rPr>
          <w:t>פקודת הסמים המסוכנים</w:t>
        </w:r>
      </w:hyperlink>
      <w:r w:rsidRPr="00050703">
        <w:rPr>
          <w:rFonts w:ascii="David" w:hAnsi="David" w:cs="David"/>
          <w:rtl/>
        </w:rPr>
        <w:t xml:space="preserve"> [נוסח חדש], תשל"ג- 1973.</w:t>
      </w:r>
    </w:p>
    <w:p w14:paraId="6C5D0C4C" w14:textId="77777777" w:rsidR="00701E6A" w:rsidRPr="00050703" w:rsidRDefault="00701E6A" w:rsidP="00701E6A">
      <w:pPr>
        <w:pStyle w:val="a9"/>
        <w:ind w:left="1440"/>
        <w:jc w:val="both"/>
        <w:rPr>
          <w:rFonts w:ascii="David" w:hAnsi="David" w:cs="David"/>
          <w:rtl/>
        </w:rPr>
      </w:pPr>
    </w:p>
    <w:p w14:paraId="48ADB1E0" w14:textId="77777777" w:rsidR="00701E6A" w:rsidRPr="00050703" w:rsidRDefault="00701E6A" w:rsidP="00701E6A">
      <w:pPr>
        <w:pStyle w:val="a9"/>
        <w:numPr>
          <w:ilvl w:val="0"/>
          <w:numId w:val="2"/>
        </w:numPr>
        <w:spacing w:line="360" w:lineRule="auto"/>
        <w:jc w:val="both"/>
        <w:rPr>
          <w:rFonts w:ascii="David" w:hAnsi="David" w:cs="David"/>
        </w:rPr>
      </w:pPr>
      <w:r w:rsidRPr="00050703">
        <w:rPr>
          <w:rFonts w:ascii="David" w:eastAsia="Times New Roman" w:hAnsi="David" w:cs="David"/>
          <w:rtl/>
        </w:rPr>
        <w:t xml:space="preserve">קנס בסך 1,000 ₪ או 14 ימי מאסר תמורתו. </w:t>
      </w:r>
      <w:r w:rsidRPr="00050703">
        <w:rPr>
          <w:rFonts w:ascii="David" w:eastAsia="Times New Roman" w:hAnsi="David" w:cs="David" w:hint="cs"/>
          <w:rtl/>
        </w:rPr>
        <w:t>בכפוף לכל מניעה על פי דין, 1,000 ₪ מתוך סכום הפיקדון בהליך המ"ת הקשור ישמשו לתשלום הקנס, ויתרת הסכום תושב לנאשם.</w:t>
      </w:r>
    </w:p>
    <w:p w14:paraId="4A8DB85D" w14:textId="77777777" w:rsidR="00701E6A" w:rsidRPr="00701E6A" w:rsidRDefault="00701E6A" w:rsidP="00701E6A">
      <w:pPr>
        <w:ind w:left="720" w:hanging="720"/>
        <w:jc w:val="both"/>
        <w:rPr>
          <w:rFonts w:ascii="David" w:eastAsia="Calibri" w:hAnsi="David"/>
          <w:rtl/>
        </w:rPr>
      </w:pPr>
    </w:p>
    <w:p w14:paraId="39E6A765" w14:textId="77777777" w:rsidR="00701E6A" w:rsidRPr="00050703" w:rsidRDefault="00701E6A" w:rsidP="00701E6A">
      <w:pPr>
        <w:pStyle w:val="1"/>
        <w:spacing w:line="360" w:lineRule="auto"/>
        <w:ind w:left="0"/>
        <w:jc w:val="both"/>
        <w:rPr>
          <w:rFonts w:ascii="David" w:hAnsi="David" w:cs="David"/>
        </w:rPr>
      </w:pPr>
      <w:r w:rsidRPr="00050703">
        <w:rPr>
          <w:rFonts w:ascii="David" w:hAnsi="David" w:cs="David"/>
          <w:b/>
          <w:bCs/>
          <w:rtl/>
        </w:rPr>
        <w:t>ניתן צו להשמדת הסמים</w:t>
      </w:r>
      <w:r w:rsidRPr="00050703">
        <w:rPr>
          <w:rFonts w:ascii="David" w:hAnsi="David" w:cs="David"/>
          <w:rtl/>
        </w:rPr>
        <w:t>.</w:t>
      </w:r>
    </w:p>
    <w:p w14:paraId="60B09ED6" w14:textId="77777777" w:rsidR="00701E6A" w:rsidRPr="00050703" w:rsidRDefault="00701E6A" w:rsidP="00701E6A">
      <w:pPr>
        <w:pStyle w:val="1"/>
        <w:spacing w:line="360" w:lineRule="auto"/>
        <w:ind w:left="-57"/>
        <w:jc w:val="both"/>
        <w:rPr>
          <w:rFonts w:ascii="David" w:hAnsi="David" w:cs="David" w:hint="cs"/>
          <w:b/>
          <w:bCs/>
          <w:rtl/>
        </w:rPr>
      </w:pPr>
      <w:r w:rsidRPr="00050703">
        <w:rPr>
          <w:rFonts w:ascii="David" w:hAnsi="David" w:cs="David" w:hint="cs"/>
          <w:b/>
          <w:bCs/>
          <w:rtl/>
        </w:rPr>
        <w:t xml:space="preserve"> </w:t>
      </w:r>
      <w:r w:rsidRPr="00050703">
        <w:rPr>
          <w:rFonts w:ascii="David" w:hAnsi="David" w:cs="David"/>
          <w:b/>
          <w:bCs/>
          <w:rtl/>
        </w:rPr>
        <w:t>ניתן צו למוצגים לשיקול דעת קצין משטרה</w:t>
      </w:r>
      <w:r w:rsidRPr="00050703">
        <w:rPr>
          <w:rFonts w:ascii="David" w:hAnsi="David" w:cs="David"/>
          <w:rtl/>
        </w:rPr>
        <w:t>.</w:t>
      </w:r>
      <w:r w:rsidR="00DC6B26">
        <w:rPr>
          <w:rFonts w:ascii="David" w:hAnsi="David" w:cs="David" w:hint="cs"/>
          <w:b/>
          <w:bCs/>
          <w:rtl/>
        </w:rPr>
        <w:t xml:space="preserve"> </w:t>
      </w:r>
    </w:p>
    <w:p w14:paraId="72CA6D14" w14:textId="77777777" w:rsidR="00701E6A" w:rsidRPr="00050703" w:rsidRDefault="00701E6A" w:rsidP="00701E6A">
      <w:pPr>
        <w:jc w:val="both"/>
        <w:rPr>
          <w:rFonts w:ascii="David" w:hAnsi="David"/>
          <w:rtl/>
        </w:rPr>
      </w:pPr>
    </w:p>
    <w:p w14:paraId="5AC78356" w14:textId="77777777" w:rsidR="00701E6A" w:rsidRPr="00050703" w:rsidRDefault="00701E6A" w:rsidP="00701E6A">
      <w:pPr>
        <w:spacing w:line="360" w:lineRule="auto"/>
        <w:jc w:val="both"/>
        <w:rPr>
          <w:rFonts w:ascii="David" w:hAnsi="David"/>
        </w:rPr>
      </w:pPr>
      <w:r w:rsidRPr="00050703">
        <w:rPr>
          <w:rFonts w:ascii="David" w:hAnsi="David"/>
          <w:rtl/>
        </w:rPr>
        <w:t xml:space="preserve">זכות ערעור לבית-המשפט המחוזי בתוך 45 יום מהיום. </w:t>
      </w:r>
    </w:p>
    <w:p w14:paraId="330669D0" w14:textId="77777777" w:rsidR="00701E6A" w:rsidRPr="00050703" w:rsidRDefault="00701E6A" w:rsidP="00701E6A">
      <w:pPr>
        <w:jc w:val="both"/>
        <w:rPr>
          <w:rFonts w:ascii="David" w:hAnsi="David"/>
          <w:rtl/>
        </w:rPr>
      </w:pPr>
    </w:p>
    <w:p w14:paraId="181615CD" w14:textId="77777777" w:rsidR="00701E6A" w:rsidRPr="00050703" w:rsidRDefault="00701E6A" w:rsidP="00701E6A">
      <w:pPr>
        <w:spacing w:line="360" w:lineRule="auto"/>
        <w:jc w:val="both"/>
        <w:rPr>
          <w:rFonts w:ascii="David" w:hAnsi="David"/>
          <w:u w:val="single"/>
          <w:rtl/>
        </w:rPr>
      </w:pPr>
      <w:r w:rsidRPr="00050703">
        <w:rPr>
          <w:rFonts w:ascii="David" w:hAnsi="David"/>
          <w:u w:val="single"/>
          <w:rtl/>
        </w:rPr>
        <w:t>המזכירות תשלח עותק גזר הדין לממונה על עבודות השירות</w:t>
      </w:r>
      <w:r w:rsidRPr="00050703">
        <w:rPr>
          <w:rFonts w:ascii="David" w:hAnsi="David"/>
          <w:rtl/>
        </w:rPr>
        <w:t>.</w:t>
      </w:r>
    </w:p>
    <w:p w14:paraId="224F06A8" w14:textId="77777777" w:rsidR="00701E6A" w:rsidRPr="00050703" w:rsidRDefault="00701E6A" w:rsidP="00701E6A">
      <w:pPr>
        <w:rPr>
          <w:rFonts w:ascii="David" w:hAnsi="David"/>
          <w:rtl/>
        </w:rPr>
      </w:pPr>
    </w:p>
    <w:p w14:paraId="4CBF22D0" w14:textId="77777777" w:rsidR="00701E6A" w:rsidRPr="00050703" w:rsidRDefault="00701E6A" w:rsidP="00701E6A">
      <w:pPr>
        <w:rPr>
          <w:rFonts w:ascii="David" w:hAnsi="David"/>
          <w:rtl/>
        </w:rPr>
      </w:pPr>
    </w:p>
    <w:p w14:paraId="5BA75FDA" w14:textId="77777777" w:rsidR="00701E6A" w:rsidRPr="00050703" w:rsidRDefault="00701E6A" w:rsidP="00701E6A">
      <w:pPr>
        <w:rPr>
          <w:rFonts w:ascii="David" w:hAnsi="David"/>
          <w:rtl/>
        </w:rPr>
      </w:pPr>
    </w:p>
    <w:p w14:paraId="3F150350" w14:textId="77777777" w:rsidR="00701E6A" w:rsidRPr="00050703" w:rsidRDefault="00701E6A" w:rsidP="00701E6A">
      <w:pPr>
        <w:rPr>
          <w:rFonts w:ascii="David" w:hAnsi="David"/>
          <w:rtl/>
        </w:rPr>
      </w:pPr>
    </w:p>
    <w:p w14:paraId="242CFB17" w14:textId="77777777" w:rsidR="00701E6A" w:rsidRPr="005732E0" w:rsidRDefault="005732E0" w:rsidP="00701E6A">
      <w:pPr>
        <w:rPr>
          <w:rFonts w:ascii="David" w:hAnsi="David"/>
          <w:color w:val="FFFFFF"/>
          <w:sz w:val="2"/>
          <w:szCs w:val="2"/>
          <w:rtl/>
        </w:rPr>
      </w:pPr>
      <w:r w:rsidRPr="005732E0">
        <w:rPr>
          <w:rFonts w:ascii="David" w:hAnsi="David"/>
          <w:color w:val="FFFFFF"/>
          <w:sz w:val="2"/>
          <w:szCs w:val="2"/>
          <w:rtl/>
        </w:rPr>
        <w:t>5129371</w:t>
      </w:r>
    </w:p>
    <w:p w14:paraId="6CA971D3" w14:textId="77777777" w:rsidR="00701E6A" w:rsidRPr="00050703" w:rsidRDefault="005732E0" w:rsidP="00701E6A">
      <w:pPr>
        <w:rPr>
          <w:rFonts w:ascii="David" w:hAnsi="David"/>
          <w:rtl/>
        </w:rPr>
      </w:pPr>
      <w:bookmarkStart w:id="8" w:name="Nitan"/>
      <w:r w:rsidRPr="005732E0">
        <w:rPr>
          <w:rFonts w:ascii="David" w:hAnsi="David"/>
          <w:color w:val="FFFFFF"/>
          <w:sz w:val="2"/>
          <w:szCs w:val="2"/>
          <w:rtl/>
        </w:rPr>
        <w:t>54678313</w:t>
      </w:r>
      <w:r>
        <w:rPr>
          <w:rFonts w:ascii="David" w:hAnsi="David"/>
          <w:rtl/>
        </w:rPr>
        <w:t xml:space="preserve">ניתן היום,  כ"ה חשוון תשפ"א, 12 נובמבר 2020, בהעדר הצדדים. </w:t>
      </w:r>
      <w:bookmarkEnd w:id="8"/>
    </w:p>
    <w:p w14:paraId="3B80AF01" w14:textId="77777777" w:rsidR="00701E6A" w:rsidRPr="00050703" w:rsidRDefault="00701E6A" w:rsidP="005732E0">
      <w:pPr>
        <w:jc w:val="center"/>
      </w:pPr>
      <w:r w:rsidRPr="00050703">
        <w:rPr>
          <w:rFonts w:ascii="David" w:hAnsi="David" w:hint="cs"/>
          <w:rtl/>
        </w:rPr>
        <w:t xml:space="preserve">   </w:t>
      </w:r>
      <w:r w:rsidRPr="00050703">
        <w:rPr>
          <w:rFonts w:ascii="David" w:hAnsi="David" w:hint="cs"/>
          <w:rtl/>
        </w:rPr>
        <w:tab/>
      </w:r>
      <w:r w:rsidRPr="00050703">
        <w:rPr>
          <w:rFonts w:ascii="David" w:hAnsi="David" w:hint="cs"/>
          <w:rtl/>
        </w:rPr>
        <w:tab/>
      </w:r>
      <w:r w:rsidRPr="00050703">
        <w:rPr>
          <w:rFonts w:ascii="David" w:hAnsi="David" w:hint="cs"/>
          <w:rtl/>
        </w:rPr>
        <w:tab/>
      </w:r>
      <w:r w:rsidRPr="00050703">
        <w:rPr>
          <w:rFonts w:ascii="David" w:hAnsi="David" w:hint="cs"/>
          <w:rtl/>
        </w:rPr>
        <w:tab/>
      </w:r>
      <w:r w:rsidRPr="00050703">
        <w:rPr>
          <w:rFonts w:ascii="David" w:hAnsi="David" w:hint="cs"/>
          <w:rtl/>
        </w:rPr>
        <w:tab/>
      </w:r>
    </w:p>
    <w:p w14:paraId="52C67CDF" w14:textId="77777777" w:rsidR="00701E6A" w:rsidRPr="00050703" w:rsidRDefault="00701E6A" w:rsidP="00701E6A">
      <w:pPr>
        <w:jc w:val="center"/>
        <w:rPr>
          <w:rFonts w:ascii="David" w:hAnsi="David"/>
          <w:rtl/>
        </w:rPr>
      </w:pPr>
    </w:p>
    <w:p w14:paraId="23B16A1B" w14:textId="77777777" w:rsidR="00701E6A" w:rsidRPr="00050703" w:rsidRDefault="00701E6A" w:rsidP="00701E6A">
      <w:pPr>
        <w:rPr>
          <w:rFonts w:ascii="David" w:hAnsi="David"/>
          <w:rtl/>
        </w:rPr>
      </w:pPr>
    </w:p>
    <w:p w14:paraId="68404148" w14:textId="77777777" w:rsidR="00701E6A" w:rsidRPr="00050703" w:rsidRDefault="00701E6A" w:rsidP="00701E6A">
      <w:pPr>
        <w:pStyle w:val="a3"/>
        <w:jc w:val="center"/>
        <w:rPr>
          <w:rFonts w:ascii="David" w:hAnsi="David"/>
          <w:rtl/>
        </w:rPr>
      </w:pPr>
    </w:p>
    <w:p w14:paraId="04155F32" w14:textId="77777777" w:rsidR="00C63F51" w:rsidRPr="005732E0" w:rsidRDefault="00C63F51" w:rsidP="005732E0">
      <w:pPr>
        <w:keepNext/>
        <w:rPr>
          <w:rFonts w:ascii="David" w:hAnsi="David"/>
          <w:color w:val="000000"/>
          <w:sz w:val="22"/>
          <w:szCs w:val="22"/>
          <w:rtl/>
        </w:rPr>
      </w:pPr>
    </w:p>
    <w:p w14:paraId="42F1B431" w14:textId="77777777" w:rsidR="005732E0" w:rsidRPr="005732E0" w:rsidRDefault="005732E0" w:rsidP="005732E0">
      <w:pPr>
        <w:keepNext/>
        <w:rPr>
          <w:rFonts w:ascii="David" w:hAnsi="David"/>
          <w:color w:val="000000"/>
          <w:sz w:val="22"/>
          <w:szCs w:val="22"/>
          <w:rtl/>
        </w:rPr>
      </w:pPr>
      <w:r w:rsidRPr="005732E0">
        <w:rPr>
          <w:rFonts w:ascii="David" w:hAnsi="David"/>
          <w:color w:val="000000"/>
          <w:sz w:val="22"/>
          <w:szCs w:val="22"/>
          <w:rtl/>
        </w:rPr>
        <w:t>דנה אמיר 54678313</w:t>
      </w:r>
    </w:p>
    <w:p w14:paraId="4D9A8A07" w14:textId="77777777" w:rsidR="005732E0" w:rsidRDefault="005732E0" w:rsidP="005732E0">
      <w:r w:rsidRPr="005732E0">
        <w:rPr>
          <w:color w:val="000000"/>
          <w:rtl/>
        </w:rPr>
        <w:t>נוסח מסמך זה כפוף לשינויי ניסוח ועריכה</w:t>
      </w:r>
    </w:p>
    <w:p w14:paraId="3CADFA4C" w14:textId="77777777" w:rsidR="005732E0" w:rsidRDefault="005732E0" w:rsidP="005732E0">
      <w:pPr>
        <w:rPr>
          <w:rtl/>
        </w:rPr>
      </w:pPr>
    </w:p>
    <w:p w14:paraId="79680195" w14:textId="77777777" w:rsidR="005732E0" w:rsidRDefault="005732E0" w:rsidP="005732E0">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2611B860" w14:textId="77777777" w:rsidR="005732E0" w:rsidRPr="005732E0" w:rsidRDefault="005732E0" w:rsidP="005732E0">
      <w:pPr>
        <w:jc w:val="center"/>
        <w:rPr>
          <w:color w:val="0000FF"/>
          <w:u w:val="single"/>
        </w:rPr>
      </w:pPr>
    </w:p>
    <w:sectPr w:rsidR="005732E0" w:rsidRPr="005732E0" w:rsidSect="005732E0">
      <w:headerReference w:type="even" r:id="rId23"/>
      <w:headerReference w:type="default" r:id="rId24"/>
      <w:footerReference w:type="even" r:id="rId25"/>
      <w:footerReference w:type="default" r:id="rId26"/>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03AF9" w14:textId="77777777" w:rsidR="005E7EC0" w:rsidRDefault="005E7EC0" w:rsidP="00F4147F">
      <w:r>
        <w:separator/>
      </w:r>
    </w:p>
  </w:endnote>
  <w:endnote w:type="continuationSeparator" w:id="0">
    <w:p w14:paraId="7B8410CC" w14:textId="77777777" w:rsidR="005E7EC0" w:rsidRDefault="005E7EC0" w:rsidP="00F41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75C3C" w14:textId="77777777" w:rsidR="005732E0" w:rsidRDefault="005732E0" w:rsidP="005732E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9AA5B63" w14:textId="77777777" w:rsidR="000355A6" w:rsidRPr="005732E0" w:rsidRDefault="005732E0" w:rsidP="005732E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11E32" w14:textId="77777777" w:rsidR="005732E0" w:rsidRDefault="005732E0" w:rsidP="005732E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F3250">
      <w:rPr>
        <w:rFonts w:ascii="FrankRuehl" w:hAnsi="FrankRuehl" w:cs="FrankRuehl"/>
        <w:noProof/>
        <w:rtl/>
      </w:rPr>
      <w:t>1</w:t>
    </w:r>
    <w:r>
      <w:rPr>
        <w:rFonts w:ascii="FrankRuehl" w:hAnsi="FrankRuehl" w:cs="FrankRuehl"/>
        <w:rtl/>
      </w:rPr>
      <w:fldChar w:fldCharType="end"/>
    </w:r>
  </w:p>
  <w:p w14:paraId="14303637" w14:textId="77777777" w:rsidR="000355A6" w:rsidRPr="005732E0" w:rsidRDefault="005732E0" w:rsidP="005732E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B61A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D4B35" w14:textId="77777777" w:rsidR="005E7EC0" w:rsidRDefault="005E7EC0" w:rsidP="00F4147F">
      <w:r>
        <w:separator/>
      </w:r>
    </w:p>
  </w:footnote>
  <w:footnote w:type="continuationSeparator" w:id="0">
    <w:p w14:paraId="129AACFC" w14:textId="77777777" w:rsidR="005E7EC0" w:rsidRDefault="005E7EC0" w:rsidP="00F41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730D3" w14:textId="77777777" w:rsidR="005732E0" w:rsidRPr="005732E0" w:rsidRDefault="005732E0" w:rsidP="005732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39058-09-18</w:t>
    </w:r>
    <w:r>
      <w:rPr>
        <w:rFonts w:ascii="David" w:hAnsi="David"/>
        <w:color w:val="000000"/>
        <w:sz w:val="22"/>
        <w:szCs w:val="22"/>
        <w:rtl/>
      </w:rPr>
      <w:tab/>
      <w:t xml:space="preserve"> מדינת ישראל נ' לירן ליבוביץ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1A47B" w14:textId="77777777" w:rsidR="005732E0" w:rsidRPr="005732E0" w:rsidRDefault="005732E0" w:rsidP="005732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39058-09-18</w:t>
    </w:r>
    <w:r>
      <w:rPr>
        <w:rFonts w:ascii="David" w:hAnsi="David"/>
        <w:color w:val="000000"/>
        <w:sz w:val="22"/>
        <w:szCs w:val="22"/>
        <w:rtl/>
      </w:rPr>
      <w:tab/>
      <w:t xml:space="preserve"> מדינת ישראל נ' לירן ליבוביץ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FB3AAB"/>
    <w:multiLevelType w:val="hybridMultilevel"/>
    <w:tmpl w:val="169CBDF2"/>
    <w:lvl w:ilvl="0" w:tplc="9EBACCB2">
      <w:start w:val="1"/>
      <w:numFmt w:val="decimal"/>
      <w:lvlText w:val="%1."/>
      <w:lvlJc w:val="left"/>
      <w:pPr>
        <w:ind w:left="502" w:hanging="360"/>
      </w:pPr>
      <w:rPr>
        <w:rFonts w:cs="David"/>
        <w:b w:val="0"/>
        <w:bCs w:val="0"/>
        <w:i w:val="0"/>
        <w:iCs w:val="0"/>
        <w:lang w:val="en-US"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DFD33B1"/>
    <w:multiLevelType w:val="hybridMultilevel"/>
    <w:tmpl w:val="76286BB0"/>
    <w:lvl w:ilvl="0" w:tplc="04090013">
      <w:start w:val="1"/>
      <w:numFmt w:val="hebrew1"/>
      <w:lvlText w:val="%1."/>
      <w:lvlJc w:val="center"/>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16720302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73499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01E6A"/>
    <w:rsid w:val="000355A6"/>
    <w:rsid w:val="000A5267"/>
    <w:rsid w:val="003A33AF"/>
    <w:rsid w:val="003C0CDA"/>
    <w:rsid w:val="004241DE"/>
    <w:rsid w:val="005732E0"/>
    <w:rsid w:val="005E7EC0"/>
    <w:rsid w:val="00611FBA"/>
    <w:rsid w:val="006A4C58"/>
    <w:rsid w:val="006F3250"/>
    <w:rsid w:val="00701E6A"/>
    <w:rsid w:val="00980CB1"/>
    <w:rsid w:val="00AF7B48"/>
    <w:rsid w:val="00C63F51"/>
    <w:rsid w:val="00D5399C"/>
    <w:rsid w:val="00DC6B26"/>
    <w:rsid w:val="00F414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B0E9A8"/>
  <w15:chartTrackingRefBased/>
  <w15:docId w15:val="{BF640EBD-6EB3-4E40-AADB-66AA1AF6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01E6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01E6A"/>
    <w:pPr>
      <w:tabs>
        <w:tab w:val="center" w:pos="4153"/>
        <w:tab w:val="right" w:pos="8306"/>
      </w:tabs>
    </w:pPr>
  </w:style>
  <w:style w:type="character" w:customStyle="1" w:styleId="a4">
    <w:name w:val="כותרת עליונה תו"/>
    <w:link w:val="a3"/>
    <w:rsid w:val="00701E6A"/>
    <w:rPr>
      <w:rFonts w:ascii="Times New Roman" w:eastAsia="Times New Roman" w:hAnsi="Times New Roman" w:cs="David"/>
      <w:sz w:val="24"/>
      <w:szCs w:val="24"/>
    </w:rPr>
  </w:style>
  <w:style w:type="paragraph" w:styleId="a5">
    <w:name w:val="footer"/>
    <w:basedOn w:val="a"/>
    <w:link w:val="a6"/>
    <w:rsid w:val="00701E6A"/>
    <w:pPr>
      <w:tabs>
        <w:tab w:val="center" w:pos="4153"/>
        <w:tab w:val="right" w:pos="8306"/>
      </w:tabs>
    </w:pPr>
  </w:style>
  <w:style w:type="character" w:customStyle="1" w:styleId="a6">
    <w:name w:val="כותרת תחתונה תו"/>
    <w:link w:val="a5"/>
    <w:rsid w:val="00701E6A"/>
    <w:rPr>
      <w:rFonts w:ascii="Times New Roman" w:eastAsia="Times New Roman" w:hAnsi="Times New Roman" w:cs="David"/>
      <w:sz w:val="24"/>
      <w:szCs w:val="24"/>
    </w:rPr>
  </w:style>
  <w:style w:type="table" w:styleId="a7">
    <w:name w:val="Table Grid"/>
    <w:basedOn w:val="a1"/>
    <w:rsid w:val="00701E6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01E6A"/>
  </w:style>
  <w:style w:type="paragraph" w:styleId="a9">
    <w:name w:val="List Paragraph"/>
    <w:basedOn w:val="a"/>
    <w:qFormat/>
    <w:rsid w:val="00701E6A"/>
    <w:pPr>
      <w:ind w:left="720"/>
      <w:contextualSpacing/>
    </w:pPr>
    <w:rPr>
      <w:rFonts w:eastAsia="Calibri" w:cs="Times New Roman"/>
    </w:rPr>
  </w:style>
  <w:style w:type="paragraph" w:customStyle="1" w:styleId="1">
    <w:name w:val="פיסקת רשימה1"/>
    <w:basedOn w:val="a"/>
    <w:rsid w:val="00701E6A"/>
    <w:pPr>
      <w:ind w:left="720"/>
      <w:contextualSpacing/>
    </w:pPr>
    <w:rPr>
      <w:rFonts w:eastAsia="Calibri" w:cs="Times New Roman"/>
    </w:rPr>
  </w:style>
  <w:style w:type="paragraph" w:customStyle="1" w:styleId="12">
    <w:name w:val="רגיל + ‏12 נק'"/>
    <w:aliases w:val="מיושר לשני הצדדים,מרווח בין שורות:  שורה וחצי"/>
    <w:basedOn w:val="a"/>
    <w:rsid w:val="00701E6A"/>
    <w:rPr>
      <w:b/>
      <w:bCs/>
      <w:u w:val="single"/>
    </w:rPr>
  </w:style>
  <w:style w:type="character" w:styleId="Hyperlink">
    <w:name w:val="Hyperlink"/>
    <w:rsid w:val="005732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case/20705570" TargetMode="External"/><Relationship Id="rId18" Type="http://schemas.openxmlformats.org/officeDocument/2006/relationships/hyperlink" Target="http://www.nevo.co.il/case/20707362"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case/25004109" TargetMode="External"/><Relationship Id="rId17" Type="http://schemas.openxmlformats.org/officeDocument/2006/relationships/hyperlink" Target="http://www.nevo.co.il/case/8291661"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18107527" TargetMode="External"/><Relationship Id="rId20" Type="http://schemas.openxmlformats.org/officeDocument/2006/relationships/hyperlink" Target="http://www.nevo.co.il/case/2597675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0111708"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6" TargetMode="External"/><Relationship Id="rId19" Type="http://schemas.openxmlformats.org/officeDocument/2006/relationships/hyperlink" Target="http://www.nevo.co.il/case/18744559"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2016</Words>
  <Characters>10081</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12073</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8257637</vt:i4>
      </vt:variant>
      <vt:variant>
        <vt:i4>42</vt:i4>
      </vt:variant>
      <vt:variant>
        <vt:i4>0</vt:i4>
      </vt:variant>
      <vt:variant>
        <vt:i4>5</vt:i4>
      </vt:variant>
      <vt:variant>
        <vt:lpwstr>http://www.nevo.co.il/law/4216</vt:lpwstr>
      </vt:variant>
      <vt:variant>
        <vt:lpwstr/>
      </vt:variant>
      <vt:variant>
        <vt:i4>3670129</vt:i4>
      </vt:variant>
      <vt:variant>
        <vt:i4>39</vt:i4>
      </vt:variant>
      <vt:variant>
        <vt:i4>0</vt:i4>
      </vt:variant>
      <vt:variant>
        <vt:i4>5</vt:i4>
      </vt:variant>
      <vt:variant>
        <vt:lpwstr>http://www.nevo.co.il/case/25976759</vt:lpwstr>
      </vt:variant>
      <vt:variant>
        <vt:lpwstr/>
      </vt:variant>
      <vt:variant>
        <vt:i4>3604605</vt:i4>
      </vt:variant>
      <vt:variant>
        <vt:i4>36</vt:i4>
      </vt:variant>
      <vt:variant>
        <vt:i4>0</vt:i4>
      </vt:variant>
      <vt:variant>
        <vt:i4>5</vt:i4>
      </vt:variant>
      <vt:variant>
        <vt:lpwstr>http://www.nevo.co.il/case/18744559</vt:lpwstr>
      </vt:variant>
      <vt:variant>
        <vt:lpwstr/>
      </vt:variant>
      <vt:variant>
        <vt:i4>3407991</vt:i4>
      </vt:variant>
      <vt:variant>
        <vt:i4>33</vt:i4>
      </vt:variant>
      <vt:variant>
        <vt:i4>0</vt:i4>
      </vt:variant>
      <vt:variant>
        <vt:i4>5</vt:i4>
      </vt:variant>
      <vt:variant>
        <vt:lpwstr>http://www.nevo.co.il/case/20707362</vt:lpwstr>
      </vt:variant>
      <vt:variant>
        <vt:lpwstr/>
      </vt:variant>
      <vt:variant>
        <vt:i4>3539057</vt:i4>
      </vt:variant>
      <vt:variant>
        <vt:i4>30</vt:i4>
      </vt:variant>
      <vt:variant>
        <vt:i4>0</vt:i4>
      </vt:variant>
      <vt:variant>
        <vt:i4>5</vt:i4>
      </vt:variant>
      <vt:variant>
        <vt:lpwstr>http://www.nevo.co.il/case/8291661</vt:lpwstr>
      </vt:variant>
      <vt:variant>
        <vt:lpwstr/>
      </vt:variant>
      <vt:variant>
        <vt:i4>3473529</vt:i4>
      </vt:variant>
      <vt:variant>
        <vt:i4>27</vt:i4>
      </vt:variant>
      <vt:variant>
        <vt:i4>0</vt:i4>
      </vt:variant>
      <vt:variant>
        <vt:i4>5</vt:i4>
      </vt:variant>
      <vt:variant>
        <vt:lpwstr>http://www.nevo.co.il/case/18107527</vt:lpwstr>
      </vt:variant>
      <vt:variant>
        <vt:lpwstr/>
      </vt:variant>
      <vt:variant>
        <vt:i4>3276914</vt:i4>
      </vt:variant>
      <vt:variant>
        <vt:i4>24</vt:i4>
      </vt:variant>
      <vt:variant>
        <vt:i4>0</vt:i4>
      </vt:variant>
      <vt:variant>
        <vt:i4>5</vt:i4>
      </vt:variant>
      <vt:variant>
        <vt:lpwstr>http://www.nevo.co.il/case/20111708</vt:lpwstr>
      </vt:variant>
      <vt:variant>
        <vt:lpwstr/>
      </vt:variant>
      <vt:variant>
        <vt:i4>7995492</vt:i4>
      </vt:variant>
      <vt:variant>
        <vt:i4>21</vt:i4>
      </vt:variant>
      <vt:variant>
        <vt:i4>0</vt:i4>
      </vt:variant>
      <vt:variant>
        <vt:i4>5</vt:i4>
      </vt:variant>
      <vt:variant>
        <vt:lpwstr>http://www.nevo.co.il/law/70301</vt:lpwstr>
      </vt:variant>
      <vt:variant>
        <vt:lpwstr/>
      </vt:variant>
      <vt:variant>
        <vt:i4>3604593</vt:i4>
      </vt:variant>
      <vt:variant>
        <vt:i4>18</vt:i4>
      </vt:variant>
      <vt:variant>
        <vt:i4>0</vt:i4>
      </vt:variant>
      <vt:variant>
        <vt:i4>5</vt:i4>
      </vt:variant>
      <vt:variant>
        <vt:lpwstr>http://www.nevo.co.il/case/20705570</vt:lpwstr>
      </vt:variant>
      <vt:variant>
        <vt:lpwstr/>
      </vt:variant>
      <vt:variant>
        <vt:i4>3539056</vt:i4>
      </vt:variant>
      <vt:variant>
        <vt:i4>15</vt:i4>
      </vt:variant>
      <vt:variant>
        <vt:i4>0</vt:i4>
      </vt:variant>
      <vt:variant>
        <vt:i4>5</vt:i4>
      </vt:variant>
      <vt:variant>
        <vt:lpwstr>http://www.nevo.co.il/case/25004109</vt:lpwstr>
      </vt:variant>
      <vt:variant>
        <vt:lpwstr/>
      </vt:variant>
      <vt:variant>
        <vt:i4>8257637</vt:i4>
      </vt:variant>
      <vt:variant>
        <vt:i4>12</vt:i4>
      </vt:variant>
      <vt:variant>
        <vt:i4>0</vt:i4>
      </vt:variant>
      <vt:variant>
        <vt:i4>5</vt:i4>
      </vt:variant>
      <vt:variant>
        <vt:lpwstr>http://www.nevo.co.il/law/4216</vt:lpwstr>
      </vt:variant>
      <vt:variant>
        <vt:lpwstr/>
      </vt:variant>
      <vt:variant>
        <vt:i4>4718666</vt:i4>
      </vt:variant>
      <vt:variant>
        <vt:i4>9</vt:i4>
      </vt:variant>
      <vt:variant>
        <vt:i4>0</vt:i4>
      </vt:variant>
      <vt:variant>
        <vt:i4>5</vt:i4>
      </vt:variant>
      <vt:variant>
        <vt:lpwstr>http://www.nevo.co.il/law/4216/6</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2025-04-22T23:53:00Z</dcterms:created>
  <dcterms:modified xsi:type="dcterms:W3CDTF">2025-04-22T23:53:00Z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39058</vt:lpwstr>
  </property>
  <property fmtid="{D5CDD505-2E9C-101B-9397-08002B2CF9AE}" pid="6" name="NEWPARTB">
    <vt:lpwstr>09</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לירן ליבוביץ</vt:lpwstr>
  </property>
  <property fmtid="{D5CDD505-2E9C-101B-9397-08002B2CF9AE}" pid="10" name="LAWYER">
    <vt:lpwstr>ליהי אזולאי;ענבר קינן</vt:lpwstr>
  </property>
  <property fmtid="{D5CDD505-2E9C-101B-9397-08002B2CF9AE}" pid="11" name="JUDGE">
    <vt:lpwstr>דנה אמיר</vt:lpwstr>
  </property>
  <property fmtid="{D5CDD505-2E9C-101B-9397-08002B2CF9AE}" pid="12" name="CITY">
    <vt:lpwstr>ת"א</vt:lpwstr>
  </property>
  <property fmtid="{D5CDD505-2E9C-101B-9397-08002B2CF9AE}" pid="13" name="DATE">
    <vt:lpwstr>20201112</vt:lpwstr>
  </property>
  <property fmtid="{D5CDD505-2E9C-101B-9397-08002B2CF9AE}" pid="14" name="TYPE_N_DATE">
    <vt:lpwstr>38020201112</vt:lpwstr>
  </property>
  <property fmtid="{D5CDD505-2E9C-101B-9397-08002B2CF9AE}" pid="15" name="WORDNUMPAGES">
    <vt:lpwstr>6</vt:lpwstr>
  </property>
  <property fmtid="{D5CDD505-2E9C-101B-9397-08002B2CF9AE}" pid="16" name="TYPE_ABS_DATE">
    <vt:lpwstr>380020201112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25004109;20705570;20111708;18107527;8291661;20707362;18744559;25976759</vt:lpwstr>
  </property>
  <property fmtid="{D5CDD505-2E9C-101B-9397-08002B2CF9AE}" pid="36" name="LAWLISTTMP1">
    <vt:lpwstr>4216/006</vt:lpwstr>
  </property>
  <property fmtid="{D5CDD505-2E9C-101B-9397-08002B2CF9AE}" pid="37" name="LAWLISTTMP2">
    <vt:lpwstr>70301</vt:lpwstr>
  </property>
</Properties>
</file>