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C24F7" w:rsidRPr="003370A3" w14:paraId="0C081E6F" w14:textId="77777777" w:rsidTr="000D5705">
        <w:trPr>
          <w:trHeight w:hRule="exact" w:val="418"/>
          <w:jc w:val="center"/>
        </w:trPr>
        <w:tc>
          <w:tcPr>
            <w:tcW w:w="8721" w:type="dxa"/>
            <w:gridSpan w:val="2"/>
          </w:tcPr>
          <w:p w14:paraId="61CCE207" w14:textId="77777777" w:rsidR="006C24F7" w:rsidRPr="003370A3" w:rsidRDefault="006C24F7" w:rsidP="00F6693E">
            <w:pPr>
              <w:pStyle w:val="a3"/>
              <w:jc w:val="center"/>
              <w:rPr>
                <w:rFonts w:ascii="Tahoma" w:hAnsi="Tahoma" w:cs="Tahoma"/>
                <w:color w:val="000080"/>
                <w:rtl/>
              </w:rPr>
            </w:pPr>
            <w:bookmarkStart w:id="0" w:name="FirstLawyer"/>
            <w:bookmarkStart w:id="1" w:name="LastJudge"/>
            <w:r w:rsidRPr="003370A3">
              <w:rPr>
                <w:rFonts w:ascii="Tahoma" w:hAnsi="Tahoma" w:cs="Tahoma"/>
                <w:b/>
                <w:bCs/>
                <w:color w:val="000080"/>
                <w:rtl/>
              </w:rPr>
              <w:t>בית משפט השלום ברמלה</w:t>
            </w:r>
          </w:p>
        </w:tc>
      </w:tr>
      <w:tr w:rsidR="006C24F7" w:rsidRPr="003370A3" w14:paraId="7A3567AB" w14:textId="77777777" w:rsidTr="000D5705">
        <w:trPr>
          <w:trHeight w:val="337"/>
          <w:jc w:val="center"/>
        </w:trPr>
        <w:tc>
          <w:tcPr>
            <w:tcW w:w="5054" w:type="dxa"/>
          </w:tcPr>
          <w:p w14:paraId="2E842D6A" w14:textId="77777777" w:rsidR="006C24F7" w:rsidRPr="003370A3" w:rsidRDefault="006C24F7" w:rsidP="00F6693E">
            <w:pPr>
              <w:rPr>
                <w:rFonts w:cs="FrankRuehl"/>
                <w:sz w:val="28"/>
                <w:szCs w:val="28"/>
                <w:rtl/>
              </w:rPr>
            </w:pPr>
            <w:r w:rsidRPr="003370A3">
              <w:rPr>
                <w:rFonts w:cs="FrankRuehl"/>
                <w:sz w:val="28"/>
                <w:szCs w:val="28"/>
                <w:rtl/>
              </w:rPr>
              <w:t>ת"פ</w:t>
            </w:r>
            <w:r w:rsidRPr="003370A3">
              <w:rPr>
                <w:rFonts w:cs="FrankRuehl" w:hint="cs"/>
                <w:sz w:val="28"/>
                <w:szCs w:val="28"/>
                <w:rtl/>
              </w:rPr>
              <w:t xml:space="preserve"> </w:t>
            </w:r>
            <w:r w:rsidRPr="003370A3">
              <w:rPr>
                <w:rFonts w:cs="FrankRuehl"/>
                <w:sz w:val="28"/>
                <w:szCs w:val="28"/>
                <w:rtl/>
              </w:rPr>
              <w:t>27890-10-18</w:t>
            </w:r>
            <w:r w:rsidRPr="003370A3">
              <w:rPr>
                <w:rFonts w:cs="FrankRuehl" w:hint="cs"/>
                <w:sz w:val="28"/>
                <w:szCs w:val="28"/>
                <w:rtl/>
              </w:rPr>
              <w:t xml:space="preserve"> </w:t>
            </w:r>
            <w:r w:rsidRPr="003370A3">
              <w:rPr>
                <w:rFonts w:cs="FrankRuehl"/>
                <w:sz w:val="28"/>
                <w:szCs w:val="28"/>
                <w:rtl/>
              </w:rPr>
              <w:t>מדינת ישראל נ' רייגאן</w:t>
            </w:r>
          </w:p>
          <w:p w14:paraId="1FCF11FA" w14:textId="77777777" w:rsidR="006C24F7" w:rsidRPr="003370A3" w:rsidRDefault="006C24F7" w:rsidP="00F6693E">
            <w:pPr>
              <w:pStyle w:val="a3"/>
              <w:rPr>
                <w:rFonts w:cs="FrankRuehl"/>
                <w:sz w:val="28"/>
                <w:szCs w:val="28"/>
                <w:rtl/>
              </w:rPr>
            </w:pPr>
          </w:p>
        </w:tc>
        <w:tc>
          <w:tcPr>
            <w:tcW w:w="3667" w:type="dxa"/>
          </w:tcPr>
          <w:p w14:paraId="65F16ED2" w14:textId="77777777" w:rsidR="006C24F7" w:rsidRPr="003370A3" w:rsidRDefault="006C24F7" w:rsidP="00F6693E">
            <w:pPr>
              <w:pStyle w:val="a3"/>
              <w:jc w:val="right"/>
              <w:rPr>
                <w:rFonts w:cs="FrankRuehl"/>
                <w:sz w:val="28"/>
                <w:szCs w:val="28"/>
                <w:rtl/>
              </w:rPr>
            </w:pPr>
          </w:p>
        </w:tc>
      </w:tr>
    </w:tbl>
    <w:p w14:paraId="6DD71536" w14:textId="77777777" w:rsidR="006C24F7" w:rsidRPr="003370A3" w:rsidRDefault="006C24F7" w:rsidP="006C24F7">
      <w:pPr>
        <w:pStyle w:val="a3"/>
        <w:rPr>
          <w:rtl/>
        </w:rPr>
      </w:pPr>
      <w:r w:rsidRPr="003370A3">
        <w:rPr>
          <w:rFonts w:hint="cs"/>
          <w:rtl/>
        </w:rPr>
        <w:t xml:space="preserve"> </w:t>
      </w:r>
    </w:p>
    <w:p w14:paraId="6F55AFD3" w14:textId="77777777" w:rsidR="006C24F7" w:rsidRPr="003370A3" w:rsidRDefault="006C24F7" w:rsidP="006C24F7">
      <w:pPr>
        <w:rPr>
          <w:rtl/>
        </w:rPr>
      </w:pPr>
    </w:p>
    <w:p w14:paraId="4547318E" w14:textId="77777777" w:rsidR="006C24F7" w:rsidRPr="003370A3" w:rsidRDefault="006C24F7" w:rsidP="006C24F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6C24F7" w:rsidRPr="003370A3" w14:paraId="2BC3BC7F" w14:textId="77777777" w:rsidTr="006C24F7">
        <w:trPr>
          <w:trHeight w:val="295"/>
          <w:jc w:val="center"/>
        </w:trPr>
        <w:tc>
          <w:tcPr>
            <w:tcW w:w="923" w:type="dxa"/>
            <w:tcBorders>
              <w:top w:val="nil"/>
              <w:left w:val="nil"/>
              <w:bottom w:val="nil"/>
              <w:right w:val="nil"/>
            </w:tcBorders>
            <w:shd w:val="clear" w:color="auto" w:fill="auto"/>
          </w:tcPr>
          <w:p w14:paraId="5744F0D2" w14:textId="77777777" w:rsidR="006C24F7" w:rsidRPr="003370A3" w:rsidRDefault="006C24F7" w:rsidP="006C24F7">
            <w:pPr>
              <w:jc w:val="both"/>
              <w:rPr>
                <w:rFonts w:ascii="David" w:hAnsi="David"/>
                <w:b/>
                <w:bCs/>
                <w:sz w:val="28"/>
                <w:szCs w:val="28"/>
              </w:rPr>
            </w:pPr>
            <w:r w:rsidRPr="003370A3">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0AD79922" w14:textId="77777777" w:rsidR="006C24F7" w:rsidRPr="003370A3" w:rsidRDefault="006C24F7" w:rsidP="00F6693E">
            <w:pPr>
              <w:rPr>
                <w:rFonts w:ascii="David" w:hAnsi="David"/>
                <w:b/>
                <w:bCs/>
                <w:sz w:val="28"/>
                <w:szCs w:val="28"/>
                <w:rtl/>
              </w:rPr>
            </w:pPr>
            <w:r w:rsidRPr="003370A3">
              <w:rPr>
                <w:rFonts w:ascii="David" w:hAnsi="David"/>
                <w:b/>
                <w:bCs/>
                <w:sz w:val="28"/>
                <w:szCs w:val="28"/>
                <w:rtl/>
              </w:rPr>
              <w:t>כבוד השופט  הישאם  אבו שחאדה</w:t>
            </w:r>
          </w:p>
          <w:p w14:paraId="0C1A75F6" w14:textId="77777777" w:rsidR="006C24F7" w:rsidRPr="003370A3" w:rsidRDefault="006C24F7" w:rsidP="00F6693E">
            <w:pPr>
              <w:rPr>
                <w:rFonts w:ascii="David" w:hAnsi="David"/>
                <w:b/>
                <w:bCs/>
                <w:sz w:val="28"/>
                <w:szCs w:val="28"/>
                <w:rtl/>
              </w:rPr>
            </w:pPr>
          </w:p>
          <w:p w14:paraId="6E2C1237" w14:textId="77777777" w:rsidR="006C24F7" w:rsidRPr="003370A3" w:rsidRDefault="006C24F7" w:rsidP="006C24F7">
            <w:pPr>
              <w:jc w:val="both"/>
              <w:rPr>
                <w:rFonts w:ascii="David" w:hAnsi="David"/>
                <w:b/>
                <w:bCs/>
                <w:sz w:val="28"/>
                <w:szCs w:val="28"/>
              </w:rPr>
            </w:pPr>
          </w:p>
        </w:tc>
      </w:tr>
      <w:tr w:rsidR="006C24F7" w:rsidRPr="003370A3" w14:paraId="1F5EB8B6" w14:textId="77777777" w:rsidTr="006C24F7">
        <w:trPr>
          <w:trHeight w:val="355"/>
          <w:jc w:val="center"/>
        </w:trPr>
        <w:tc>
          <w:tcPr>
            <w:tcW w:w="923" w:type="dxa"/>
            <w:tcBorders>
              <w:top w:val="nil"/>
              <w:left w:val="nil"/>
              <w:bottom w:val="nil"/>
              <w:right w:val="nil"/>
            </w:tcBorders>
            <w:shd w:val="clear" w:color="auto" w:fill="auto"/>
          </w:tcPr>
          <w:p w14:paraId="0F231900" w14:textId="77777777" w:rsidR="006C24F7" w:rsidRPr="003370A3" w:rsidRDefault="006C24F7" w:rsidP="006C24F7">
            <w:pPr>
              <w:jc w:val="both"/>
              <w:rPr>
                <w:rFonts w:ascii="David" w:hAnsi="David"/>
                <w:b/>
                <w:bCs/>
                <w:sz w:val="28"/>
                <w:szCs w:val="28"/>
              </w:rPr>
            </w:pPr>
            <w:bookmarkStart w:id="2" w:name="FirstAppellant"/>
            <w:r w:rsidRPr="003370A3">
              <w:rPr>
                <w:rFonts w:ascii="David" w:hAnsi="David"/>
                <w:b/>
                <w:bCs/>
                <w:sz w:val="28"/>
                <w:szCs w:val="28"/>
                <w:rtl/>
              </w:rPr>
              <w:t>בעניין:</w:t>
            </w:r>
          </w:p>
        </w:tc>
        <w:tc>
          <w:tcPr>
            <w:tcW w:w="4126" w:type="dxa"/>
            <w:tcBorders>
              <w:top w:val="nil"/>
              <w:left w:val="nil"/>
              <w:bottom w:val="nil"/>
              <w:right w:val="nil"/>
            </w:tcBorders>
            <w:shd w:val="clear" w:color="auto" w:fill="auto"/>
          </w:tcPr>
          <w:p w14:paraId="5082C5B4" w14:textId="77777777" w:rsidR="006C24F7" w:rsidRPr="003370A3" w:rsidRDefault="006C24F7" w:rsidP="00F6693E">
            <w:pPr>
              <w:rPr>
                <w:rFonts w:ascii="David" w:hAnsi="David"/>
                <w:b/>
                <w:bCs/>
                <w:sz w:val="28"/>
                <w:szCs w:val="28"/>
              </w:rPr>
            </w:pPr>
            <w:r w:rsidRPr="003370A3">
              <w:rPr>
                <w:rFonts w:ascii="David" w:hAnsi="David"/>
                <w:b/>
                <w:bCs/>
                <w:sz w:val="28"/>
                <w:szCs w:val="28"/>
                <w:rtl/>
              </w:rPr>
              <w:t>המאשימה - מדינת ישראל</w:t>
            </w:r>
            <w:r w:rsidRPr="003370A3">
              <w:rPr>
                <w:rFonts w:ascii="David" w:hAnsi="David"/>
                <w:b/>
                <w:bCs/>
                <w:sz w:val="28"/>
                <w:szCs w:val="28"/>
                <w:rtl/>
              </w:rPr>
              <w:br/>
              <w:t>ע"י עוה"ד</w:t>
            </w:r>
            <w:r w:rsidRPr="003370A3">
              <w:rPr>
                <w:rFonts w:ascii="David" w:hAnsi="David" w:hint="cs"/>
                <w:b/>
                <w:bCs/>
                <w:sz w:val="28"/>
                <w:szCs w:val="28"/>
                <w:rtl/>
              </w:rPr>
              <w:t xml:space="preserve"> ברק לקס</w:t>
            </w:r>
          </w:p>
        </w:tc>
        <w:tc>
          <w:tcPr>
            <w:tcW w:w="3771" w:type="dxa"/>
            <w:tcBorders>
              <w:top w:val="nil"/>
              <w:left w:val="nil"/>
              <w:bottom w:val="nil"/>
              <w:right w:val="nil"/>
            </w:tcBorders>
            <w:shd w:val="clear" w:color="auto" w:fill="auto"/>
          </w:tcPr>
          <w:p w14:paraId="43E766C7" w14:textId="77777777" w:rsidR="006C24F7" w:rsidRPr="003370A3" w:rsidRDefault="006C24F7" w:rsidP="006C24F7">
            <w:pPr>
              <w:jc w:val="both"/>
              <w:rPr>
                <w:rFonts w:ascii="David" w:hAnsi="David"/>
                <w:b/>
                <w:bCs/>
                <w:sz w:val="28"/>
                <w:szCs w:val="28"/>
              </w:rPr>
            </w:pPr>
          </w:p>
        </w:tc>
      </w:tr>
      <w:bookmarkEnd w:id="2"/>
      <w:tr w:rsidR="006C24F7" w:rsidRPr="003370A3" w14:paraId="40C3EFA6" w14:textId="77777777" w:rsidTr="006C24F7">
        <w:trPr>
          <w:gridAfter w:val="2"/>
          <w:wAfter w:w="7875" w:type="dxa"/>
          <w:trHeight w:val="355"/>
          <w:jc w:val="center"/>
        </w:trPr>
        <w:tc>
          <w:tcPr>
            <w:tcW w:w="923" w:type="dxa"/>
            <w:tcBorders>
              <w:top w:val="nil"/>
              <w:left w:val="nil"/>
              <w:bottom w:val="nil"/>
              <w:right w:val="nil"/>
            </w:tcBorders>
            <w:shd w:val="clear" w:color="auto" w:fill="auto"/>
          </w:tcPr>
          <w:p w14:paraId="0FE0DE7C" w14:textId="77777777" w:rsidR="006C24F7" w:rsidRPr="003370A3" w:rsidRDefault="006C24F7" w:rsidP="006C24F7">
            <w:pPr>
              <w:jc w:val="both"/>
              <w:rPr>
                <w:rFonts w:ascii="David" w:hAnsi="David"/>
                <w:b/>
                <w:bCs/>
                <w:sz w:val="28"/>
                <w:szCs w:val="28"/>
                <w:rtl/>
              </w:rPr>
            </w:pPr>
          </w:p>
        </w:tc>
      </w:tr>
      <w:tr w:rsidR="006C24F7" w:rsidRPr="003370A3" w14:paraId="18FC1AA9" w14:textId="77777777" w:rsidTr="006C24F7">
        <w:trPr>
          <w:trHeight w:val="355"/>
          <w:jc w:val="center"/>
        </w:trPr>
        <w:tc>
          <w:tcPr>
            <w:tcW w:w="923" w:type="dxa"/>
            <w:tcBorders>
              <w:top w:val="nil"/>
              <w:left w:val="nil"/>
              <w:bottom w:val="nil"/>
              <w:right w:val="nil"/>
            </w:tcBorders>
            <w:shd w:val="clear" w:color="auto" w:fill="auto"/>
          </w:tcPr>
          <w:p w14:paraId="37CD7A6A" w14:textId="77777777" w:rsidR="006C24F7" w:rsidRPr="003370A3" w:rsidRDefault="006C24F7" w:rsidP="006C24F7">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60DDF671" w14:textId="77777777" w:rsidR="006C24F7" w:rsidRPr="003370A3" w:rsidRDefault="006C24F7" w:rsidP="006C24F7">
            <w:pPr>
              <w:jc w:val="center"/>
              <w:rPr>
                <w:rFonts w:ascii="David" w:hAnsi="David"/>
                <w:b/>
                <w:bCs/>
                <w:sz w:val="28"/>
                <w:szCs w:val="28"/>
                <w:rtl/>
              </w:rPr>
            </w:pPr>
          </w:p>
          <w:p w14:paraId="3E444742" w14:textId="77777777" w:rsidR="006C24F7" w:rsidRPr="003370A3" w:rsidRDefault="006C24F7" w:rsidP="006C24F7">
            <w:pPr>
              <w:jc w:val="center"/>
              <w:rPr>
                <w:rFonts w:ascii="David" w:hAnsi="David"/>
                <w:b/>
                <w:bCs/>
                <w:sz w:val="28"/>
                <w:szCs w:val="28"/>
                <w:rtl/>
              </w:rPr>
            </w:pPr>
            <w:r w:rsidRPr="003370A3">
              <w:rPr>
                <w:rFonts w:ascii="David" w:hAnsi="David"/>
                <w:b/>
                <w:bCs/>
                <w:sz w:val="28"/>
                <w:szCs w:val="28"/>
                <w:rtl/>
              </w:rPr>
              <w:t>נגד</w:t>
            </w:r>
          </w:p>
          <w:p w14:paraId="5C6E92A1" w14:textId="77777777" w:rsidR="006C24F7" w:rsidRPr="003370A3" w:rsidRDefault="006C24F7" w:rsidP="006C24F7">
            <w:pPr>
              <w:jc w:val="both"/>
              <w:rPr>
                <w:rFonts w:ascii="David" w:hAnsi="David"/>
                <w:b/>
                <w:bCs/>
                <w:sz w:val="28"/>
                <w:szCs w:val="28"/>
              </w:rPr>
            </w:pPr>
          </w:p>
        </w:tc>
      </w:tr>
      <w:tr w:rsidR="006C24F7" w:rsidRPr="003370A3" w14:paraId="378C573D" w14:textId="77777777" w:rsidTr="006C24F7">
        <w:trPr>
          <w:trHeight w:val="355"/>
          <w:jc w:val="center"/>
        </w:trPr>
        <w:tc>
          <w:tcPr>
            <w:tcW w:w="923" w:type="dxa"/>
            <w:tcBorders>
              <w:top w:val="nil"/>
              <w:left w:val="nil"/>
              <w:bottom w:val="nil"/>
              <w:right w:val="nil"/>
            </w:tcBorders>
            <w:shd w:val="clear" w:color="auto" w:fill="auto"/>
          </w:tcPr>
          <w:p w14:paraId="1A9775A7" w14:textId="77777777" w:rsidR="006C24F7" w:rsidRPr="003370A3" w:rsidRDefault="006C24F7" w:rsidP="00F6693E">
            <w:pPr>
              <w:rPr>
                <w:rFonts w:ascii="David" w:hAnsi="David"/>
                <w:b/>
                <w:bCs/>
                <w:sz w:val="28"/>
                <w:szCs w:val="28"/>
                <w:rtl/>
              </w:rPr>
            </w:pPr>
          </w:p>
        </w:tc>
        <w:tc>
          <w:tcPr>
            <w:tcW w:w="4126" w:type="dxa"/>
            <w:tcBorders>
              <w:top w:val="nil"/>
              <w:left w:val="nil"/>
              <w:bottom w:val="nil"/>
              <w:right w:val="nil"/>
            </w:tcBorders>
            <w:shd w:val="clear" w:color="auto" w:fill="auto"/>
          </w:tcPr>
          <w:p w14:paraId="3F893A3F" w14:textId="77777777" w:rsidR="006C24F7" w:rsidRPr="003370A3" w:rsidRDefault="006C24F7" w:rsidP="00F6693E">
            <w:pPr>
              <w:rPr>
                <w:rFonts w:ascii="David" w:hAnsi="David"/>
                <w:b/>
                <w:bCs/>
                <w:sz w:val="28"/>
                <w:szCs w:val="28"/>
                <w:rtl/>
              </w:rPr>
            </w:pPr>
            <w:r w:rsidRPr="003370A3">
              <w:rPr>
                <w:rFonts w:ascii="David" w:hAnsi="David"/>
                <w:b/>
                <w:bCs/>
                <w:sz w:val="28"/>
                <w:szCs w:val="28"/>
                <w:rtl/>
              </w:rPr>
              <w:t>הנאשם - רועי רייגאן</w:t>
            </w:r>
            <w:r w:rsidRPr="003370A3">
              <w:rPr>
                <w:rFonts w:ascii="David" w:hAnsi="David"/>
                <w:b/>
                <w:bCs/>
                <w:sz w:val="28"/>
                <w:szCs w:val="28"/>
                <w:rtl/>
              </w:rPr>
              <w:br/>
              <w:t xml:space="preserve">ע"י עוה"ד </w:t>
            </w:r>
            <w:r w:rsidRPr="003370A3">
              <w:rPr>
                <w:rFonts w:ascii="David" w:hAnsi="David" w:hint="cs"/>
                <w:b/>
                <w:bCs/>
                <w:sz w:val="28"/>
                <w:szCs w:val="28"/>
                <w:rtl/>
              </w:rPr>
              <w:t>רחמים דיין</w:t>
            </w:r>
          </w:p>
        </w:tc>
        <w:tc>
          <w:tcPr>
            <w:tcW w:w="3771" w:type="dxa"/>
            <w:tcBorders>
              <w:top w:val="nil"/>
              <w:left w:val="nil"/>
              <w:bottom w:val="nil"/>
              <w:right w:val="nil"/>
            </w:tcBorders>
            <w:shd w:val="clear" w:color="auto" w:fill="auto"/>
          </w:tcPr>
          <w:p w14:paraId="0E8C4DAB" w14:textId="77777777" w:rsidR="006C24F7" w:rsidRPr="003370A3" w:rsidRDefault="006C24F7" w:rsidP="006C24F7">
            <w:pPr>
              <w:jc w:val="right"/>
              <w:rPr>
                <w:rFonts w:ascii="David" w:hAnsi="David"/>
                <w:b/>
                <w:bCs/>
                <w:sz w:val="28"/>
                <w:szCs w:val="28"/>
              </w:rPr>
            </w:pPr>
          </w:p>
        </w:tc>
      </w:tr>
    </w:tbl>
    <w:p w14:paraId="1DFB88E4" w14:textId="77777777" w:rsidR="000D5705" w:rsidRDefault="000D5705" w:rsidP="006C24F7">
      <w:pPr>
        <w:rPr>
          <w:rFonts w:ascii="David" w:hAnsi="David"/>
          <w:sz w:val="28"/>
          <w:szCs w:val="28"/>
          <w:rtl/>
        </w:rPr>
      </w:pPr>
      <w:bookmarkStart w:id="3" w:name="LawTable"/>
      <w:bookmarkEnd w:id="3"/>
    </w:p>
    <w:p w14:paraId="55BF627A" w14:textId="77777777" w:rsidR="000D5705" w:rsidRPr="000D5705" w:rsidRDefault="000D5705" w:rsidP="000D5705">
      <w:pPr>
        <w:spacing w:after="120" w:line="240" w:lineRule="exact"/>
        <w:ind w:left="283" w:hanging="283"/>
        <w:jc w:val="both"/>
        <w:rPr>
          <w:rFonts w:ascii="FrankRuehl" w:hAnsi="FrankRuehl" w:cs="FrankRuehl"/>
          <w:rtl/>
        </w:rPr>
      </w:pPr>
    </w:p>
    <w:p w14:paraId="2A31BF62" w14:textId="77777777" w:rsidR="000D5705" w:rsidRPr="000D5705" w:rsidRDefault="000D5705" w:rsidP="000D5705">
      <w:pPr>
        <w:spacing w:after="120" w:line="240" w:lineRule="exact"/>
        <w:ind w:left="283" w:hanging="283"/>
        <w:jc w:val="both"/>
        <w:rPr>
          <w:rFonts w:ascii="FrankRuehl" w:hAnsi="FrankRuehl" w:cs="FrankRuehl"/>
          <w:rtl/>
        </w:rPr>
      </w:pPr>
      <w:r w:rsidRPr="000D5705">
        <w:rPr>
          <w:rFonts w:ascii="FrankRuehl" w:hAnsi="FrankRuehl" w:cs="FrankRuehl"/>
          <w:rtl/>
        </w:rPr>
        <w:t xml:space="preserve">חקיקה שאוזכרה: </w:t>
      </w:r>
    </w:p>
    <w:p w14:paraId="5187DD01" w14:textId="77777777" w:rsidR="000D5705" w:rsidRPr="000D5705" w:rsidRDefault="000D5705" w:rsidP="000D5705">
      <w:pPr>
        <w:spacing w:after="120" w:line="240" w:lineRule="exact"/>
        <w:ind w:left="283" w:hanging="283"/>
        <w:jc w:val="both"/>
        <w:rPr>
          <w:rFonts w:ascii="FrankRuehl" w:hAnsi="FrankRuehl" w:cs="FrankRuehl"/>
          <w:rtl/>
        </w:rPr>
      </w:pPr>
      <w:hyperlink r:id="rId6" w:history="1">
        <w:r w:rsidRPr="000D5705">
          <w:rPr>
            <w:rFonts w:ascii="FrankRuehl" w:hAnsi="FrankRuehl" w:cs="FrankRuehl"/>
            <w:color w:val="0000FF"/>
            <w:u w:val="single"/>
            <w:rtl/>
          </w:rPr>
          <w:t>פקודת הסמים המסוכנים [נוסח חדש], תשל"ג-1973</w:t>
        </w:r>
      </w:hyperlink>
      <w:r w:rsidRPr="000D5705">
        <w:rPr>
          <w:rFonts w:ascii="FrankRuehl" w:hAnsi="FrankRuehl" w:cs="FrankRuehl"/>
          <w:rtl/>
        </w:rPr>
        <w:t xml:space="preserve">: סע'  </w:t>
      </w:r>
      <w:hyperlink r:id="rId7" w:history="1">
        <w:r w:rsidRPr="000D5705">
          <w:rPr>
            <w:rFonts w:ascii="FrankRuehl" w:hAnsi="FrankRuehl" w:cs="FrankRuehl"/>
            <w:color w:val="0000FF"/>
            <w:u w:val="single"/>
            <w:rtl/>
          </w:rPr>
          <w:t>7.א.</w:t>
        </w:r>
      </w:hyperlink>
      <w:r w:rsidRPr="000D5705">
        <w:rPr>
          <w:rFonts w:ascii="FrankRuehl" w:hAnsi="FrankRuehl" w:cs="FrankRuehl"/>
          <w:rtl/>
        </w:rPr>
        <w:t xml:space="preserve">, </w:t>
      </w:r>
      <w:hyperlink r:id="rId8" w:history="1">
        <w:r w:rsidRPr="000D5705">
          <w:rPr>
            <w:rFonts w:ascii="FrankRuehl" w:hAnsi="FrankRuehl" w:cs="FrankRuehl"/>
            <w:color w:val="0000FF"/>
            <w:u w:val="single"/>
            <w:rtl/>
          </w:rPr>
          <w:t>7.ג</w:t>
        </w:r>
      </w:hyperlink>
    </w:p>
    <w:p w14:paraId="6436575D" w14:textId="77777777" w:rsidR="000D5705" w:rsidRPr="000D5705" w:rsidRDefault="000D5705" w:rsidP="000D5705">
      <w:pPr>
        <w:spacing w:after="120" w:line="240" w:lineRule="exact"/>
        <w:ind w:left="283" w:hanging="283"/>
        <w:jc w:val="both"/>
        <w:rPr>
          <w:rFonts w:ascii="FrankRuehl" w:hAnsi="FrankRuehl" w:cs="FrankRuehl"/>
          <w:rtl/>
        </w:rPr>
      </w:pPr>
      <w:hyperlink r:id="rId9" w:history="1">
        <w:r w:rsidRPr="000D5705">
          <w:rPr>
            <w:rFonts w:ascii="FrankRuehl" w:hAnsi="FrankRuehl" w:cs="FrankRuehl"/>
            <w:color w:val="0000FF"/>
            <w:u w:val="single"/>
            <w:rtl/>
          </w:rPr>
          <w:t>חוק העונשין, תשל"ז-1977</w:t>
        </w:r>
      </w:hyperlink>
      <w:r w:rsidRPr="000D5705">
        <w:rPr>
          <w:rFonts w:ascii="FrankRuehl" w:hAnsi="FrankRuehl" w:cs="FrankRuehl"/>
          <w:rtl/>
        </w:rPr>
        <w:t xml:space="preserve">: סע'  </w:t>
      </w:r>
      <w:hyperlink r:id="rId10" w:history="1">
        <w:r w:rsidRPr="000D5705">
          <w:rPr>
            <w:rFonts w:ascii="FrankRuehl" w:hAnsi="FrankRuehl" w:cs="FrankRuehl"/>
            <w:color w:val="0000FF"/>
            <w:u w:val="single"/>
            <w:rtl/>
          </w:rPr>
          <w:t>186</w:t>
        </w:r>
      </w:hyperlink>
      <w:r w:rsidRPr="000D5705">
        <w:rPr>
          <w:rFonts w:ascii="FrankRuehl" w:hAnsi="FrankRuehl" w:cs="FrankRuehl"/>
          <w:rtl/>
        </w:rPr>
        <w:t xml:space="preserve">, </w:t>
      </w:r>
      <w:hyperlink r:id="rId11" w:history="1">
        <w:r w:rsidRPr="000D5705">
          <w:rPr>
            <w:rFonts w:ascii="FrankRuehl" w:hAnsi="FrankRuehl" w:cs="FrankRuehl"/>
            <w:color w:val="0000FF"/>
            <w:u w:val="single"/>
            <w:rtl/>
          </w:rPr>
          <w:t>186(א)</w:t>
        </w:r>
      </w:hyperlink>
      <w:r w:rsidRPr="000D5705">
        <w:rPr>
          <w:rFonts w:ascii="FrankRuehl" w:hAnsi="FrankRuehl" w:cs="FrankRuehl"/>
          <w:rtl/>
        </w:rPr>
        <w:t xml:space="preserve">, </w:t>
      </w:r>
      <w:hyperlink r:id="rId12" w:history="1">
        <w:r w:rsidRPr="000D5705">
          <w:rPr>
            <w:rFonts w:ascii="FrankRuehl" w:hAnsi="FrankRuehl" w:cs="FrankRuehl"/>
            <w:color w:val="0000FF"/>
            <w:u w:val="single"/>
            <w:rtl/>
          </w:rPr>
          <w:t>338</w:t>
        </w:r>
      </w:hyperlink>
      <w:r w:rsidRPr="000D5705">
        <w:rPr>
          <w:rFonts w:ascii="FrankRuehl" w:hAnsi="FrankRuehl" w:cs="FrankRuehl"/>
          <w:rtl/>
        </w:rPr>
        <w:t xml:space="preserve">, </w:t>
      </w:r>
      <w:hyperlink r:id="rId13" w:history="1">
        <w:r w:rsidRPr="000D5705">
          <w:rPr>
            <w:rFonts w:ascii="FrankRuehl" w:hAnsi="FrankRuehl" w:cs="FrankRuehl"/>
            <w:color w:val="0000FF"/>
            <w:u w:val="single"/>
            <w:rtl/>
          </w:rPr>
          <w:t>338(א)(1)</w:t>
        </w:r>
      </w:hyperlink>
    </w:p>
    <w:p w14:paraId="13C2691F" w14:textId="77777777" w:rsidR="000D5705" w:rsidRPr="000D5705" w:rsidRDefault="000D5705" w:rsidP="000D5705">
      <w:pPr>
        <w:spacing w:after="120" w:line="240" w:lineRule="exact"/>
        <w:ind w:left="283" w:hanging="283"/>
        <w:jc w:val="both"/>
        <w:rPr>
          <w:rFonts w:ascii="FrankRuehl" w:hAnsi="FrankRuehl" w:cs="FrankRuehl"/>
          <w:rtl/>
        </w:rPr>
      </w:pPr>
      <w:hyperlink r:id="rId14" w:history="1">
        <w:r w:rsidRPr="000D5705">
          <w:rPr>
            <w:rFonts w:ascii="FrankRuehl" w:hAnsi="FrankRuehl" w:cs="FrankRuehl"/>
            <w:color w:val="0000FF"/>
            <w:u w:val="single"/>
            <w:rtl/>
          </w:rPr>
          <w:t>תקנות התעבורה, תשכ"א-1961 - לא מרובדות</w:t>
        </w:r>
      </w:hyperlink>
      <w:r w:rsidRPr="000D5705">
        <w:rPr>
          <w:rFonts w:ascii="FrankRuehl" w:hAnsi="FrankRuehl" w:cs="FrankRuehl"/>
          <w:rtl/>
        </w:rPr>
        <w:t xml:space="preserve">: סע'  </w:t>
      </w:r>
      <w:hyperlink r:id="rId15" w:history="1">
        <w:r w:rsidRPr="000D5705">
          <w:rPr>
            <w:rFonts w:ascii="FrankRuehl" w:hAnsi="FrankRuehl" w:cs="FrankRuehl"/>
            <w:color w:val="0000FF"/>
            <w:u w:val="single"/>
            <w:rtl/>
          </w:rPr>
          <w:t>26(2)</w:t>
        </w:r>
      </w:hyperlink>
    </w:p>
    <w:p w14:paraId="2447980A" w14:textId="77777777" w:rsidR="000D5705" w:rsidRPr="000D5705" w:rsidRDefault="000D5705" w:rsidP="000D5705">
      <w:pPr>
        <w:spacing w:after="120" w:line="240" w:lineRule="exact"/>
        <w:ind w:left="283" w:hanging="283"/>
        <w:jc w:val="both"/>
        <w:rPr>
          <w:rFonts w:ascii="FrankRuehl" w:hAnsi="FrankRuehl" w:cs="FrankRuehl"/>
          <w:rtl/>
        </w:rPr>
      </w:pPr>
      <w:hyperlink r:id="rId16" w:history="1">
        <w:r w:rsidRPr="000D5705">
          <w:rPr>
            <w:rFonts w:ascii="FrankRuehl" w:hAnsi="FrankRuehl" w:cs="FrankRuehl"/>
            <w:color w:val="0000FF"/>
            <w:u w:val="single"/>
            <w:rtl/>
          </w:rPr>
          <w:t>פקודת התעבורה [נוסח חדש]</w:t>
        </w:r>
      </w:hyperlink>
      <w:r w:rsidRPr="000D5705">
        <w:rPr>
          <w:rFonts w:ascii="FrankRuehl" w:hAnsi="FrankRuehl" w:cs="FrankRuehl"/>
          <w:rtl/>
        </w:rPr>
        <w:t xml:space="preserve">: סע'  </w:t>
      </w:r>
      <w:hyperlink r:id="rId17" w:history="1">
        <w:r w:rsidRPr="000D5705">
          <w:rPr>
            <w:rFonts w:ascii="FrankRuehl" w:hAnsi="FrankRuehl" w:cs="FrankRuehl"/>
            <w:color w:val="0000FF"/>
            <w:u w:val="single"/>
            <w:rtl/>
          </w:rPr>
          <w:t>38</w:t>
        </w:r>
      </w:hyperlink>
      <w:r w:rsidRPr="000D5705">
        <w:rPr>
          <w:rFonts w:ascii="FrankRuehl" w:hAnsi="FrankRuehl" w:cs="FrankRuehl"/>
          <w:rtl/>
        </w:rPr>
        <w:t xml:space="preserve">, </w:t>
      </w:r>
      <w:hyperlink r:id="rId18" w:history="1">
        <w:r w:rsidRPr="000D5705">
          <w:rPr>
            <w:rFonts w:ascii="FrankRuehl" w:hAnsi="FrankRuehl" w:cs="FrankRuehl"/>
            <w:color w:val="0000FF"/>
            <w:u w:val="single"/>
            <w:rtl/>
          </w:rPr>
          <w:t>62(3)</w:t>
        </w:r>
      </w:hyperlink>
    </w:p>
    <w:p w14:paraId="69A07FF0" w14:textId="77777777" w:rsidR="000D5705" w:rsidRPr="000D5705" w:rsidRDefault="000D5705" w:rsidP="000D5705">
      <w:pPr>
        <w:spacing w:after="120" w:line="240" w:lineRule="exact"/>
        <w:ind w:left="283" w:hanging="283"/>
        <w:jc w:val="both"/>
        <w:rPr>
          <w:rFonts w:ascii="FrankRuehl" w:hAnsi="FrankRuehl" w:cs="FrankRuehl"/>
          <w:rtl/>
        </w:rPr>
      </w:pPr>
    </w:p>
    <w:p w14:paraId="4D58FEE4" w14:textId="77777777" w:rsidR="003370A3" w:rsidRPr="003370A3" w:rsidRDefault="003370A3" w:rsidP="006C24F7">
      <w:pPr>
        <w:rPr>
          <w:rFonts w:ascii="David" w:hAnsi="David"/>
          <w:sz w:val="28"/>
          <w:szCs w:val="28"/>
          <w:rtl/>
        </w:rPr>
      </w:pPr>
      <w:bookmarkStart w:id="4" w:name="LawTable_End"/>
      <w:bookmarkEnd w:id="4"/>
    </w:p>
    <w:p w14:paraId="6A374F76" w14:textId="77777777" w:rsidR="003370A3" w:rsidRPr="003370A3" w:rsidRDefault="003370A3" w:rsidP="006C24F7">
      <w:pPr>
        <w:rPr>
          <w:rFonts w:ascii="David" w:hAnsi="David"/>
          <w:b/>
          <w:bCs/>
          <w:sz w:val="28"/>
          <w:szCs w:val="28"/>
          <w:rtl/>
        </w:rPr>
      </w:pPr>
    </w:p>
    <w:p w14:paraId="66F04B84" w14:textId="77777777" w:rsidR="006C24F7" w:rsidRPr="003370A3" w:rsidRDefault="006C24F7" w:rsidP="006C24F7">
      <w:pPr>
        <w:rPr>
          <w:rFonts w:ascii="David" w:hAnsi="David"/>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24F7" w:rsidRPr="00A02AF5" w14:paraId="7198E8EB" w14:textId="77777777" w:rsidTr="006C24F7">
        <w:trPr>
          <w:trHeight w:val="355"/>
          <w:jc w:val="center"/>
        </w:trPr>
        <w:tc>
          <w:tcPr>
            <w:tcW w:w="8820" w:type="dxa"/>
            <w:tcBorders>
              <w:top w:val="nil"/>
              <w:left w:val="nil"/>
              <w:bottom w:val="nil"/>
              <w:right w:val="nil"/>
            </w:tcBorders>
            <w:shd w:val="clear" w:color="auto" w:fill="auto"/>
          </w:tcPr>
          <w:p w14:paraId="2B8DE524" w14:textId="77777777" w:rsidR="003370A3" w:rsidRPr="003370A3" w:rsidRDefault="003370A3" w:rsidP="003370A3">
            <w:pPr>
              <w:jc w:val="center"/>
              <w:rPr>
                <w:rFonts w:ascii="David" w:hAnsi="David"/>
                <w:b/>
                <w:bCs/>
                <w:sz w:val="28"/>
                <w:szCs w:val="28"/>
                <w:u w:val="single"/>
                <w:rtl/>
              </w:rPr>
            </w:pPr>
            <w:bookmarkStart w:id="5" w:name="PsakDin" w:colFirst="0" w:colLast="0"/>
            <w:bookmarkEnd w:id="0"/>
            <w:bookmarkEnd w:id="1"/>
            <w:r w:rsidRPr="003370A3">
              <w:rPr>
                <w:rFonts w:ascii="David" w:hAnsi="David"/>
                <w:b/>
                <w:bCs/>
                <w:sz w:val="28"/>
                <w:szCs w:val="28"/>
                <w:u w:val="single"/>
                <w:rtl/>
              </w:rPr>
              <w:t>גזר דין</w:t>
            </w:r>
          </w:p>
          <w:p w14:paraId="7D9C55EA" w14:textId="77777777" w:rsidR="006C24F7" w:rsidRPr="003370A3" w:rsidRDefault="006C24F7" w:rsidP="003370A3">
            <w:pPr>
              <w:jc w:val="center"/>
              <w:rPr>
                <w:rFonts w:ascii="David" w:hAnsi="David"/>
                <w:b/>
                <w:bCs/>
                <w:sz w:val="28"/>
                <w:szCs w:val="28"/>
                <w:u w:val="single"/>
                <w:rtl/>
              </w:rPr>
            </w:pPr>
          </w:p>
        </w:tc>
      </w:tr>
      <w:bookmarkEnd w:id="5"/>
    </w:tbl>
    <w:p w14:paraId="122C6367" w14:textId="77777777" w:rsidR="006C24F7" w:rsidRPr="00A02AF5" w:rsidRDefault="006C24F7" w:rsidP="006C24F7">
      <w:pPr>
        <w:rPr>
          <w:rFonts w:ascii="David" w:hAnsi="David"/>
          <w:b/>
          <w:bCs/>
          <w:sz w:val="28"/>
          <w:szCs w:val="28"/>
          <w:rtl/>
        </w:rPr>
      </w:pPr>
    </w:p>
    <w:p w14:paraId="4BEE2CC6" w14:textId="77777777" w:rsidR="006C24F7" w:rsidRPr="00A02AF5" w:rsidRDefault="006C24F7" w:rsidP="006C24F7">
      <w:pPr>
        <w:rPr>
          <w:rFonts w:ascii="David" w:hAnsi="David"/>
          <w:b/>
          <w:bCs/>
          <w:sz w:val="28"/>
          <w:szCs w:val="28"/>
          <w:rtl/>
        </w:rPr>
      </w:pPr>
    </w:p>
    <w:p w14:paraId="0B389747" w14:textId="77777777" w:rsidR="006C24F7" w:rsidRPr="00A02AF5" w:rsidRDefault="006C24F7" w:rsidP="006C24F7">
      <w:pPr>
        <w:spacing w:line="360" w:lineRule="auto"/>
        <w:jc w:val="both"/>
        <w:rPr>
          <w:rFonts w:ascii="David" w:hAnsi="David"/>
          <w:b/>
          <w:bCs/>
          <w:sz w:val="28"/>
          <w:szCs w:val="28"/>
          <w:u w:val="single"/>
          <w:rtl/>
        </w:rPr>
      </w:pPr>
      <w:r w:rsidRPr="00A02AF5">
        <w:rPr>
          <w:rFonts w:ascii="David" w:hAnsi="David"/>
          <w:b/>
          <w:bCs/>
          <w:sz w:val="28"/>
          <w:szCs w:val="28"/>
          <w:u w:val="single"/>
          <w:rtl/>
        </w:rPr>
        <w:t xml:space="preserve">כתב האישום המתוקן </w:t>
      </w:r>
    </w:p>
    <w:p w14:paraId="15102F20" w14:textId="77777777" w:rsidR="006C24F7" w:rsidRDefault="006C24F7" w:rsidP="006C24F7">
      <w:pPr>
        <w:spacing w:line="360" w:lineRule="auto"/>
        <w:jc w:val="both"/>
        <w:rPr>
          <w:rtl/>
        </w:rPr>
      </w:pPr>
      <w:bookmarkStart w:id="6" w:name="ABSTRACT_START"/>
      <w:bookmarkEnd w:id="6"/>
    </w:p>
    <w:p w14:paraId="28EC982C" w14:textId="77777777" w:rsidR="006C24F7" w:rsidRDefault="006C24F7" w:rsidP="006C24F7">
      <w:pPr>
        <w:spacing w:line="360" w:lineRule="auto"/>
        <w:ind w:left="720" w:hanging="720"/>
        <w:jc w:val="both"/>
        <w:rPr>
          <w:rtl/>
        </w:rPr>
      </w:pPr>
      <w:r>
        <w:rPr>
          <w:rFonts w:hint="cs"/>
          <w:rtl/>
        </w:rPr>
        <w:t>1.</w:t>
      </w:r>
      <w:r>
        <w:rPr>
          <w:rFonts w:hint="cs"/>
          <w:rtl/>
        </w:rPr>
        <w:tab/>
        <w:t xml:space="preserve">על פי הודאתו של הנאשם בעובדות כתב האישום המתוקן, הוא הורשע בביצוען של העבירות הבאות: החזקת סם לצריכה עצמית לפי סעיפים </w:t>
      </w:r>
      <w:hyperlink r:id="rId19" w:history="1">
        <w:r w:rsidR="000D5705" w:rsidRPr="000D5705">
          <w:rPr>
            <w:color w:val="0000FF"/>
            <w:u w:val="single"/>
            <w:rtl/>
          </w:rPr>
          <w:t>7(א) ו-7(ג)</w:t>
        </w:r>
      </w:hyperlink>
      <w:r>
        <w:rPr>
          <w:rFonts w:hint="cs"/>
          <w:rtl/>
        </w:rPr>
        <w:t xml:space="preserve"> סיפא ל</w:t>
      </w:r>
      <w:hyperlink r:id="rId20" w:history="1">
        <w:r w:rsidR="003370A3" w:rsidRPr="003370A3">
          <w:rPr>
            <w:color w:val="0000FF"/>
            <w:u w:val="single"/>
            <w:rtl/>
          </w:rPr>
          <w:t>פקודת הסמים המסוכנים</w:t>
        </w:r>
      </w:hyperlink>
      <w:r>
        <w:rPr>
          <w:rFonts w:hint="cs"/>
          <w:rtl/>
        </w:rPr>
        <w:t xml:space="preserve"> [נוסח חדש], התשל"ג </w:t>
      </w:r>
      <w:r>
        <w:rPr>
          <w:rtl/>
        </w:rPr>
        <w:t>–</w:t>
      </w:r>
      <w:r>
        <w:rPr>
          <w:rFonts w:hint="cs"/>
          <w:rtl/>
        </w:rPr>
        <w:t xml:space="preserve"> 1973; החזקת סכין שלא למטרה כשרה (4 עבירות) לפי </w:t>
      </w:r>
      <w:hyperlink r:id="rId21" w:history="1">
        <w:r w:rsidR="000D5705" w:rsidRPr="000D5705">
          <w:rPr>
            <w:color w:val="0000FF"/>
            <w:u w:val="single"/>
            <w:rtl/>
          </w:rPr>
          <w:t>סעיף 186(א)</w:t>
        </w:r>
      </w:hyperlink>
      <w:r>
        <w:rPr>
          <w:rFonts w:hint="cs"/>
          <w:rtl/>
        </w:rPr>
        <w:t xml:space="preserve"> ל</w:t>
      </w:r>
      <w:hyperlink r:id="rId22" w:history="1">
        <w:r w:rsidR="003370A3" w:rsidRPr="003370A3">
          <w:rPr>
            <w:color w:val="0000FF"/>
            <w:u w:val="single"/>
            <w:rtl/>
          </w:rPr>
          <w:t>חוק העונשין</w:t>
        </w:r>
      </w:hyperlink>
      <w:r>
        <w:rPr>
          <w:rFonts w:hint="cs"/>
          <w:rtl/>
        </w:rPr>
        <w:t xml:space="preserve">, התשל"ז </w:t>
      </w:r>
      <w:r>
        <w:rPr>
          <w:rtl/>
        </w:rPr>
        <w:t>–</w:t>
      </w:r>
      <w:r>
        <w:rPr>
          <w:rFonts w:hint="cs"/>
          <w:rtl/>
        </w:rPr>
        <w:t xml:space="preserve"> 1977 (להלן: </w:t>
      </w:r>
      <w:r w:rsidRPr="00927777">
        <w:rPr>
          <w:rFonts w:hint="cs"/>
          <w:b/>
          <w:bCs/>
          <w:rtl/>
        </w:rPr>
        <w:t>חוק העונשין</w:t>
      </w:r>
      <w:r>
        <w:rPr>
          <w:rFonts w:hint="cs"/>
          <w:rtl/>
        </w:rPr>
        <w:t xml:space="preserve">); נהיגה פוחזת של רכב לפי </w:t>
      </w:r>
      <w:hyperlink r:id="rId23" w:history="1">
        <w:r w:rsidR="000D5705" w:rsidRPr="000D5705">
          <w:rPr>
            <w:color w:val="0000FF"/>
            <w:u w:val="single"/>
            <w:rtl/>
          </w:rPr>
          <w:t>סעיף 338(א)(1)</w:t>
        </w:r>
      </w:hyperlink>
      <w:r>
        <w:rPr>
          <w:rFonts w:hint="cs"/>
          <w:rtl/>
        </w:rPr>
        <w:t xml:space="preserve"> לחוק העונשין; נהיגה תחת השפעת סמים לפי </w:t>
      </w:r>
      <w:hyperlink r:id="rId24" w:history="1">
        <w:r w:rsidR="000D5705" w:rsidRPr="000D5705">
          <w:rPr>
            <w:color w:val="0000FF"/>
            <w:u w:val="single"/>
            <w:rtl/>
          </w:rPr>
          <w:t>סעיף 26(2)</w:t>
        </w:r>
      </w:hyperlink>
      <w:r>
        <w:rPr>
          <w:rFonts w:hint="cs"/>
          <w:rtl/>
        </w:rPr>
        <w:t xml:space="preserve"> ל</w:t>
      </w:r>
      <w:hyperlink r:id="rId25" w:history="1">
        <w:r w:rsidR="003370A3" w:rsidRPr="003370A3">
          <w:rPr>
            <w:color w:val="0000FF"/>
            <w:u w:val="single"/>
            <w:rtl/>
          </w:rPr>
          <w:t>תקנות התעבורה</w:t>
        </w:r>
      </w:hyperlink>
      <w:r>
        <w:rPr>
          <w:rFonts w:hint="cs"/>
          <w:rtl/>
        </w:rPr>
        <w:t xml:space="preserve">, התשכ"א </w:t>
      </w:r>
      <w:r>
        <w:rPr>
          <w:rtl/>
        </w:rPr>
        <w:t>–</w:t>
      </w:r>
      <w:r>
        <w:rPr>
          <w:rFonts w:hint="cs"/>
          <w:rtl/>
        </w:rPr>
        <w:t xml:space="preserve"> 1961. </w:t>
      </w:r>
    </w:p>
    <w:p w14:paraId="179696A5" w14:textId="77777777" w:rsidR="006C24F7" w:rsidRDefault="006C24F7" w:rsidP="006C24F7">
      <w:pPr>
        <w:spacing w:line="360" w:lineRule="auto"/>
        <w:jc w:val="both"/>
        <w:rPr>
          <w:rtl/>
        </w:rPr>
      </w:pPr>
      <w:bookmarkStart w:id="7" w:name="ABSTRACT_END"/>
      <w:bookmarkEnd w:id="7"/>
    </w:p>
    <w:p w14:paraId="071DF66F" w14:textId="77777777" w:rsidR="006C24F7" w:rsidRDefault="006C24F7" w:rsidP="006C24F7">
      <w:pPr>
        <w:spacing w:line="360" w:lineRule="auto"/>
        <w:ind w:left="720" w:hanging="720"/>
        <w:jc w:val="both"/>
        <w:rPr>
          <w:rtl/>
        </w:rPr>
      </w:pPr>
      <w:r>
        <w:rPr>
          <w:rFonts w:hint="cs"/>
          <w:rtl/>
        </w:rPr>
        <w:t>2.</w:t>
      </w:r>
      <w:r>
        <w:rPr>
          <w:rFonts w:hint="cs"/>
          <w:rtl/>
        </w:rPr>
        <w:tab/>
        <w:t>על פי עובדות כתב האישום המתוקן, בתאריך 27.10.17, סמוך לשעה 22:43, ברחוב פיקוס במודיעין, נהג הנאשם ברכב מסוג שברולט (להלן:</w:t>
      </w:r>
      <w:r w:rsidRPr="00927777">
        <w:rPr>
          <w:rFonts w:hint="cs"/>
          <w:b/>
          <w:bCs/>
          <w:rtl/>
        </w:rPr>
        <w:t xml:space="preserve"> הרכב</w:t>
      </w:r>
      <w:r>
        <w:rPr>
          <w:rFonts w:hint="cs"/>
          <w:rtl/>
        </w:rPr>
        <w:t xml:space="preserve">) במהירות גבוהה שאינה תואמת את תנאי הדרך, פנה ימינה לרחוב ערער תוך חריקת בלמים ואיבוד אחיזה בכביש כך שחלקו האחורי של הרכב סטה לשמאל. בהמשך, סטה הרכב שמאלה במטרה להימנע מפגיעה באוטובוס שחנה בתחנת אוטובוס ובהמשך סטה מנתיב לנתיב עד שנעצר, וזאת כאשר בסביבת האירוע נכחו מספר נערים שהמתינו להסעה. באותן הנסיבות, החזיק הנאשם בכיס מכנסיו סם מסוכן מסוג קנאבוס במשקל 0.5 גרם נטו. בנוסף, החזיק הנאשם בתא הזרוע בין שני המושבים הקדמיים ברכב, שני סכיני פרפר ואגרופן וכן החזיק בדלת הנהג ברכב, בסכין בעלת להב מתקבע. הנאשם סירב למסור דגימת שתן לאיתור סם. </w:t>
      </w:r>
    </w:p>
    <w:p w14:paraId="2383C689" w14:textId="77777777" w:rsidR="006C24F7" w:rsidRDefault="006C24F7" w:rsidP="006C24F7">
      <w:pPr>
        <w:spacing w:line="360" w:lineRule="auto"/>
        <w:jc w:val="both"/>
        <w:rPr>
          <w:rtl/>
        </w:rPr>
      </w:pPr>
    </w:p>
    <w:p w14:paraId="116430D1" w14:textId="77777777" w:rsidR="006C24F7" w:rsidRDefault="006C24F7" w:rsidP="006C24F7">
      <w:pPr>
        <w:spacing w:line="360" w:lineRule="auto"/>
        <w:jc w:val="both"/>
        <w:rPr>
          <w:b/>
          <w:bCs/>
          <w:sz w:val="28"/>
          <w:szCs w:val="28"/>
          <w:u w:val="single"/>
          <w:rtl/>
        </w:rPr>
      </w:pPr>
    </w:p>
    <w:p w14:paraId="4BB17A7F" w14:textId="77777777" w:rsidR="006C24F7" w:rsidRPr="00927777" w:rsidRDefault="006C24F7" w:rsidP="006C24F7">
      <w:pPr>
        <w:spacing w:line="360" w:lineRule="auto"/>
        <w:jc w:val="both"/>
        <w:rPr>
          <w:b/>
          <w:bCs/>
          <w:sz w:val="28"/>
          <w:szCs w:val="28"/>
          <w:u w:val="single"/>
          <w:rtl/>
        </w:rPr>
      </w:pPr>
      <w:r w:rsidRPr="00927777">
        <w:rPr>
          <w:rFonts w:hint="cs"/>
          <w:b/>
          <w:bCs/>
          <w:sz w:val="28"/>
          <w:szCs w:val="28"/>
          <w:u w:val="single"/>
          <w:rtl/>
        </w:rPr>
        <w:t>תסקיר שירות המבחן</w:t>
      </w:r>
    </w:p>
    <w:p w14:paraId="72B5394B" w14:textId="77777777" w:rsidR="006C24F7" w:rsidRPr="00B05847" w:rsidRDefault="006C24F7" w:rsidP="006C24F7">
      <w:pPr>
        <w:spacing w:line="360" w:lineRule="auto"/>
        <w:jc w:val="both"/>
        <w:rPr>
          <w:rtl/>
        </w:rPr>
      </w:pPr>
    </w:p>
    <w:p w14:paraId="2D63E650" w14:textId="77777777" w:rsidR="006C24F7" w:rsidRDefault="006C24F7" w:rsidP="006C24F7">
      <w:pPr>
        <w:spacing w:line="360" w:lineRule="auto"/>
        <w:ind w:left="720" w:hanging="720"/>
        <w:jc w:val="both"/>
        <w:rPr>
          <w:rtl/>
        </w:rPr>
      </w:pPr>
      <w:r>
        <w:rPr>
          <w:rFonts w:hint="cs"/>
          <w:rtl/>
        </w:rPr>
        <w:t>3.</w:t>
      </w:r>
      <w:r>
        <w:rPr>
          <w:rFonts w:hint="cs"/>
          <w:rtl/>
        </w:rPr>
        <w:tab/>
        <w:t xml:space="preserve">במועד ביצוע העבירות מושא כתב האישום המתוקן, הנאשם היה בן 19 שנים. התקבל תסקיר לעונש מטעם שירות המבחן שלהלן עיקריו: </w:t>
      </w:r>
    </w:p>
    <w:p w14:paraId="6C874C79" w14:textId="77777777" w:rsidR="006C24F7" w:rsidRDefault="006C24F7" w:rsidP="006C24F7">
      <w:pPr>
        <w:spacing w:line="360" w:lineRule="auto"/>
        <w:jc w:val="both"/>
        <w:rPr>
          <w:rtl/>
        </w:rPr>
      </w:pPr>
    </w:p>
    <w:p w14:paraId="1D8DADC1" w14:textId="77777777" w:rsidR="006C24F7" w:rsidRDefault="006C24F7" w:rsidP="006C24F7">
      <w:pPr>
        <w:spacing w:line="360" w:lineRule="auto"/>
        <w:ind w:left="1440" w:hanging="720"/>
        <w:jc w:val="both"/>
        <w:rPr>
          <w:rtl/>
        </w:rPr>
      </w:pPr>
      <w:r>
        <w:rPr>
          <w:rFonts w:hint="cs"/>
          <w:rtl/>
        </w:rPr>
        <w:t>א.</w:t>
      </w:r>
      <w:r>
        <w:rPr>
          <w:rFonts w:hint="cs"/>
          <w:rtl/>
        </w:rPr>
        <w:tab/>
        <w:t xml:space="preserve">הנאשם כיום בן 21 שנים ועובד כמנהל משמרת במחסן לתרופות ולציוד רפואי. אין לנאשם עבר פלילי קודם. הנאשם מסר בדיקות שתן לשירות המבחן ואשר העידו על ניקיונו מסמים. </w:t>
      </w:r>
    </w:p>
    <w:p w14:paraId="5F4F78E3" w14:textId="77777777" w:rsidR="006C24F7" w:rsidRDefault="006C24F7" w:rsidP="006C24F7">
      <w:pPr>
        <w:spacing w:line="360" w:lineRule="auto"/>
        <w:jc w:val="both"/>
        <w:rPr>
          <w:rtl/>
        </w:rPr>
      </w:pPr>
    </w:p>
    <w:p w14:paraId="06DD8A04" w14:textId="77777777" w:rsidR="006C24F7" w:rsidRDefault="006C24F7" w:rsidP="006C24F7">
      <w:pPr>
        <w:spacing w:line="360" w:lineRule="auto"/>
        <w:ind w:left="1440" w:hanging="720"/>
        <w:jc w:val="both"/>
        <w:rPr>
          <w:rtl/>
        </w:rPr>
      </w:pPr>
      <w:r>
        <w:rPr>
          <w:rFonts w:hint="cs"/>
          <w:rtl/>
        </w:rPr>
        <w:t>ב.</w:t>
      </w:r>
      <w:r>
        <w:rPr>
          <w:rFonts w:hint="cs"/>
          <w:rtl/>
        </w:rPr>
        <w:tab/>
        <w:t xml:space="preserve">שירות המבחן התרשם שיש צורך בהתערבות טיפולית בעניינו של הנאשם, אך הוא סירב להשתתף בהליך מעין זה, ולכן, שירות המבחן לא בא בהמלצה להעמידו בצו מבחן. המלצת שירות המבחן היא להטיל עליו צו שירות לתועלת הציבור בהיקף של 200 שעות. </w:t>
      </w:r>
    </w:p>
    <w:p w14:paraId="7C045DFE" w14:textId="77777777" w:rsidR="006C24F7" w:rsidRDefault="006C24F7" w:rsidP="006C24F7">
      <w:pPr>
        <w:spacing w:line="360" w:lineRule="auto"/>
        <w:ind w:left="720" w:hanging="720"/>
        <w:jc w:val="both"/>
        <w:rPr>
          <w:rtl/>
        </w:rPr>
      </w:pPr>
    </w:p>
    <w:p w14:paraId="4E96CF5C" w14:textId="77777777" w:rsidR="006C24F7" w:rsidRDefault="006C24F7" w:rsidP="006C24F7">
      <w:pPr>
        <w:spacing w:line="360" w:lineRule="auto"/>
        <w:ind w:left="1440" w:hanging="720"/>
        <w:jc w:val="both"/>
        <w:rPr>
          <w:rtl/>
        </w:rPr>
      </w:pPr>
      <w:r>
        <w:rPr>
          <w:rFonts w:hint="cs"/>
          <w:rtl/>
        </w:rPr>
        <w:t>ג.</w:t>
      </w:r>
      <w:r>
        <w:rPr>
          <w:rFonts w:hint="cs"/>
          <w:rtl/>
        </w:rPr>
        <w:tab/>
        <w:t xml:space="preserve">הנאשם לא הציג בפני שירות המבחן מסמכים המעידים על נזק קונקרטי שעלול להיגרם לו במידה והוא יורשע בדין. אף על פי כן, שירות המבחן המליץ לבטל את ההרשעה בעניינו וזאת לאור העדר קיומו של עבר פלילי, גילו הצעיר ושאיפותיו לעתיד. </w:t>
      </w:r>
    </w:p>
    <w:p w14:paraId="0A9DE074" w14:textId="77777777" w:rsidR="006C24F7" w:rsidRDefault="006C24F7" w:rsidP="006C24F7">
      <w:pPr>
        <w:spacing w:line="360" w:lineRule="auto"/>
        <w:ind w:left="1440" w:hanging="720"/>
        <w:jc w:val="both"/>
        <w:rPr>
          <w:rtl/>
        </w:rPr>
      </w:pPr>
    </w:p>
    <w:p w14:paraId="65B8886C" w14:textId="77777777" w:rsidR="006C24F7" w:rsidRPr="00C660CD" w:rsidRDefault="006C24F7" w:rsidP="006C24F7">
      <w:pPr>
        <w:spacing w:line="360" w:lineRule="auto"/>
        <w:jc w:val="both"/>
        <w:rPr>
          <w:b/>
          <w:bCs/>
          <w:sz w:val="28"/>
          <w:szCs w:val="28"/>
          <w:u w:val="single"/>
          <w:rtl/>
        </w:rPr>
      </w:pPr>
      <w:r w:rsidRPr="00C660CD">
        <w:rPr>
          <w:rFonts w:hint="cs"/>
          <w:b/>
          <w:bCs/>
          <w:sz w:val="28"/>
          <w:szCs w:val="28"/>
          <w:u w:val="single"/>
          <w:rtl/>
        </w:rPr>
        <w:t>טענות הצדדים לעונש</w:t>
      </w:r>
    </w:p>
    <w:p w14:paraId="73567F9B" w14:textId="77777777" w:rsidR="006C24F7" w:rsidRDefault="006C24F7" w:rsidP="006C24F7">
      <w:pPr>
        <w:jc w:val="both"/>
        <w:rPr>
          <w:rtl/>
        </w:rPr>
      </w:pPr>
    </w:p>
    <w:p w14:paraId="586A5E7C" w14:textId="77777777" w:rsidR="006C24F7" w:rsidRDefault="006C24F7" w:rsidP="006C24F7">
      <w:pPr>
        <w:spacing w:line="360" w:lineRule="auto"/>
        <w:ind w:left="720" w:hanging="720"/>
        <w:jc w:val="both"/>
        <w:rPr>
          <w:rtl/>
        </w:rPr>
      </w:pPr>
      <w:r>
        <w:rPr>
          <w:rFonts w:hint="cs"/>
          <w:rtl/>
        </w:rPr>
        <w:t>4.</w:t>
      </w:r>
      <w:r>
        <w:rPr>
          <w:rFonts w:hint="cs"/>
          <w:rtl/>
        </w:rPr>
        <w:tab/>
        <w:t xml:space="preserve">בא כוח המאשימה טען בתמצית כדלקמן: האירוע המתואר בכתב האישום המתוקן הוא אירוע חמור שבמהלכו הנאשם סיכן את עוברי הדרך על ידי נסיעה פרועה והכל כאשר הוא </w:t>
      </w:r>
      <w:r>
        <w:rPr>
          <w:rFonts w:hint="cs"/>
          <w:rtl/>
        </w:rPr>
        <w:lastRenderedPageBreak/>
        <w:t xml:space="preserve">מצוי תחת השפעת סמים; החזקת סכינים היא תופעה אסורה ופסולה שיש למגר; הנאשם לא הוכיח פגיעה קונקרטית ולכן אין מקום להורות על ביטול ההרשעה; מתחם העונש ההולם לאירוע מושא כתב האישום, נע בין 12 ועד 24 חודשי מאסר בפועל; העונש המתאים בתוך מתחם העונש ההולם הוא מאסר בפועל הממוקם באמצע המתחם, מאסר על תנאי, קנס ועונשי פסילה של רישיון הנהיגה. </w:t>
      </w:r>
    </w:p>
    <w:p w14:paraId="03B79A96" w14:textId="77777777" w:rsidR="006C24F7" w:rsidRDefault="006C24F7" w:rsidP="006C24F7">
      <w:pPr>
        <w:spacing w:line="360" w:lineRule="auto"/>
        <w:jc w:val="both"/>
        <w:rPr>
          <w:rtl/>
        </w:rPr>
      </w:pPr>
    </w:p>
    <w:p w14:paraId="35B2104F" w14:textId="77777777" w:rsidR="006C24F7" w:rsidRDefault="006C24F7" w:rsidP="006C24F7">
      <w:pPr>
        <w:spacing w:line="360" w:lineRule="auto"/>
        <w:ind w:left="720" w:hanging="720"/>
        <w:jc w:val="both"/>
        <w:rPr>
          <w:rtl/>
        </w:rPr>
      </w:pPr>
      <w:r>
        <w:rPr>
          <w:rFonts w:hint="cs"/>
          <w:rtl/>
        </w:rPr>
        <w:t>5.</w:t>
      </w:r>
      <w:r>
        <w:rPr>
          <w:rFonts w:hint="cs"/>
          <w:rtl/>
        </w:rPr>
        <w:tab/>
        <w:t xml:space="preserve">בא כוח הנאשם טען בתמצית כדלקמן: הסכינים שהוחזקו הם חלק מאוסף סכינים שיש ברשותו של הנאשם ולא הייתה לו כוונה כלשהי לעשות בהם שימוש בעל אופי פוגעני; יש לתת משקל מיוחד לגילו של הנאשם במועד ביצוע העבירות ולעובדה שאין לו עבר פלילי קודם; יש לאמץ את המלצות שירות המבחן על ידי ביטול ההרשעה ולגזור עליו צו שירות לתועלת הציבור בהיקף של 200 שעות; היה והבקשה לביטול ההרשעה תידחה, יש להסתפק במאסר על תנאי ואין מקום להשית על הנאשם מאסר שירוצה בדרך של עבודות שירות. </w:t>
      </w:r>
    </w:p>
    <w:p w14:paraId="0B2879CC" w14:textId="77777777" w:rsidR="006C24F7" w:rsidRDefault="006C24F7" w:rsidP="006C24F7">
      <w:pPr>
        <w:jc w:val="both"/>
        <w:rPr>
          <w:rtl/>
        </w:rPr>
      </w:pPr>
    </w:p>
    <w:p w14:paraId="2AD54B72" w14:textId="77777777" w:rsidR="006C24F7" w:rsidRDefault="006C24F7" w:rsidP="006C24F7">
      <w:pPr>
        <w:jc w:val="both"/>
        <w:rPr>
          <w:rtl/>
        </w:rPr>
      </w:pPr>
    </w:p>
    <w:p w14:paraId="53BC2111" w14:textId="77777777" w:rsidR="006C24F7" w:rsidRDefault="006C24F7" w:rsidP="006C24F7">
      <w:pPr>
        <w:jc w:val="both"/>
        <w:rPr>
          <w:b/>
          <w:bCs/>
          <w:sz w:val="28"/>
          <w:szCs w:val="28"/>
          <w:u w:val="single"/>
          <w:rtl/>
        </w:rPr>
      </w:pPr>
      <w:r w:rsidRPr="004A5E78">
        <w:rPr>
          <w:rFonts w:hint="cs"/>
          <w:b/>
          <w:bCs/>
          <w:sz w:val="28"/>
          <w:szCs w:val="28"/>
          <w:u w:val="single"/>
          <w:rtl/>
        </w:rPr>
        <w:t xml:space="preserve">הטענה שיש לבטל את ההרשעה </w:t>
      </w:r>
    </w:p>
    <w:p w14:paraId="734D5C0B" w14:textId="77777777" w:rsidR="006C24F7" w:rsidRPr="004A5E78" w:rsidRDefault="006C24F7" w:rsidP="006C24F7">
      <w:pPr>
        <w:jc w:val="both"/>
        <w:rPr>
          <w:b/>
          <w:bCs/>
          <w:sz w:val="28"/>
          <w:szCs w:val="28"/>
          <w:u w:val="single"/>
          <w:rtl/>
        </w:rPr>
      </w:pPr>
    </w:p>
    <w:p w14:paraId="79D10E26" w14:textId="77777777" w:rsidR="006C24F7" w:rsidRDefault="006C24F7" w:rsidP="006C24F7">
      <w:pPr>
        <w:jc w:val="both"/>
        <w:rPr>
          <w:rtl/>
        </w:rPr>
      </w:pPr>
    </w:p>
    <w:p w14:paraId="6418C741" w14:textId="77777777" w:rsidR="006C24F7" w:rsidRDefault="006C24F7" w:rsidP="006C24F7">
      <w:pPr>
        <w:spacing w:line="360" w:lineRule="auto"/>
        <w:ind w:left="720" w:hanging="720"/>
        <w:jc w:val="both"/>
        <w:rPr>
          <w:rtl/>
        </w:rPr>
      </w:pPr>
      <w:r>
        <w:rPr>
          <w:rFonts w:hint="cs"/>
          <w:rtl/>
        </w:rPr>
        <w:t>6.</w:t>
      </w:r>
      <w:r>
        <w:rPr>
          <w:rtl/>
        </w:rPr>
        <w:tab/>
        <w:t xml:space="preserve">בפסיקה נקבע שהכלל הוא שהליך פלילי אמור להסתיים בהרשעה והחריג הוא אי הרשעה וגם זאת רק במקרים חריגים ויוצאי דופן. כמו כן, האפשרות של אי ההרשעה שמורה למצבים שבהם מתקיימים שני תנאים מצטברים: ראשית, נסיבות העבירה מאפשרות להימנע מהרשעה מבלי לפגוע בשיקולי ענישה אחרים; שנית, הנאשם הוכיח שעצם ההרשעה תגרום לו לנזק מוחשי וקונקרטי </w:t>
      </w:r>
      <w:r w:rsidRPr="00660FD7">
        <w:rPr>
          <w:rtl/>
        </w:rPr>
        <w:t xml:space="preserve">(ראו למשל </w:t>
      </w:r>
      <w:hyperlink r:id="rId26" w:history="1">
        <w:r w:rsidR="003370A3" w:rsidRPr="003370A3">
          <w:rPr>
            <w:color w:val="0000FF"/>
            <w:u w:val="single"/>
            <w:rtl/>
          </w:rPr>
          <w:t>רע"פ 4070/14</w:t>
        </w:r>
      </w:hyperlink>
      <w:r w:rsidRPr="004A5E78">
        <w:rPr>
          <w:rtl/>
        </w:rPr>
        <w:t xml:space="preserve"> </w:t>
      </w:r>
      <w:r w:rsidRPr="00660FD7">
        <w:rPr>
          <w:rFonts w:hint="cs"/>
          <w:b/>
          <w:bCs/>
          <w:rtl/>
        </w:rPr>
        <w:t>פלונית נ' מדינת ישראל</w:t>
      </w:r>
      <w:r w:rsidRPr="00660FD7">
        <w:rPr>
          <w:rFonts w:hint="cs"/>
          <w:rtl/>
        </w:rPr>
        <w:t>, פסקה 9 לפסק דינו של השופט</w:t>
      </w:r>
      <w:r>
        <w:rPr>
          <w:rFonts w:hint="cs"/>
          <w:rtl/>
        </w:rPr>
        <w:t xml:space="preserve"> שוהם (פורסם בנבו, 17.6.2014)). </w:t>
      </w:r>
    </w:p>
    <w:p w14:paraId="25A107C5" w14:textId="77777777" w:rsidR="006C24F7" w:rsidRDefault="006C24F7" w:rsidP="006C24F7">
      <w:pPr>
        <w:spacing w:line="360" w:lineRule="auto"/>
        <w:ind w:left="720" w:hanging="720"/>
        <w:jc w:val="both"/>
      </w:pPr>
    </w:p>
    <w:p w14:paraId="2DB3CD69" w14:textId="77777777" w:rsidR="006C24F7" w:rsidRDefault="006C24F7" w:rsidP="006C24F7">
      <w:pPr>
        <w:spacing w:line="360" w:lineRule="auto"/>
        <w:ind w:left="720" w:hanging="720"/>
        <w:jc w:val="both"/>
        <w:rPr>
          <w:rFonts w:ascii="Arial" w:hAnsi="Arial"/>
        </w:rPr>
      </w:pPr>
      <w:r>
        <w:rPr>
          <w:rFonts w:hint="cs"/>
          <w:rtl/>
        </w:rPr>
        <w:t>7.</w:t>
      </w:r>
      <w:r>
        <w:rPr>
          <w:rFonts w:hint="cs"/>
          <w:rtl/>
        </w:rPr>
        <w:tab/>
      </w:r>
      <w:r>
        <w:rPr>
          <w:rFonts w:ascii="Arial" w:hAnsi="Arial" w:hint="cs"/>
          <w:rtl/>
        </w:rPr>
        <w:t>הביטוי "</w:t>
      </w:r>
      <w:r w:rsidRPr="00ED7E41">
        <w:rPr>
          <w:rFonts w:ascii="Arial" w:hAnsi="Arial"/>
          <w:b/>
          <w:bCs/>
          <w:rtl/>
        </w:rPr>
        <w:t>נזק</w:t>
      </w:r>
      <w:r>
        <w:rPr>
          <w:rFonts w:ascii="Arial" w:hAnsi="Arial"/>
          <w:rtl/>
        </w:rPr>
        <w:t xml:space="preserve"> </w:t>
      </w:r>
      <w:r>
        <w:rPr>
          <w:rFonts w:ascii="Arial" w:hAnsi="Arial"/>
          <w:b/>
          <w:bCs/>
          <w:rtl/>
        </w:rPr>
        <w:t>מוחשי וקונקרטי</w:t>
      </w:r>
      <w:r>
        <w:rPr>
          <w:rFonts w:ascii="Arial" w:hAnsi="Arial" w:hint="cs"/>
          <w:b/>
          <w:bCs/>
          <w:rtl/>
        </w:rPr>
        <w:t>"</w:t>
      </w:r>
      <w:r>
        <w:rPr>
          <w:rFonts w:ascii="Arial" w:hAnsi="Arial"/>
          <w:b/>
          <w:bCs/>
          <w:rtl/>
        </w:rPr>
        <w:t xml:space="preserve">, </w:t>
      </w:r>
      <w:r>
        <w:rPr>
          <w:rFonts w:ascii="Arial" w:hAnsi="Arial" w:hint="cs"/>
          <w:rtl/>
        </w:rPr>
        <w:t xml:space="preserve">משמעו פגיעה </w:t>
      </w:r>
      <w:r>
        <w:rPr>
          <w:rFonts w:ascii="Arial" w:hAnsi="Arial"/>
          <w:rtl/>
        </w:rPr>
        <w:t>בתפקודו</w:t>
      </w:r>
      <w:r>
        <w:rPr>
          <w:rFonts w:ascii="Arial" w:hAnsi="Arial" w:hint="cs"/>
          <w:rtl/>
        </w:rPr>
        <w:t xml:space="preserve"> התעסוקתי</w:t>
      </w:r>
      <w:r>
        <w:rPr>
          <w:rFonts w:ascii="Arial" w:hAnsi="Arial"/>
          <w:rtl/>
        </w:rPr>
        <w:t xml:space="preserve"> </w:t>
      </w:r>
      <w:r>
        <w:rPr>
          <w:rFonts w:ascii="Arial" w:hAnsi="Arial"/>
          <w:u w:val="single"/>
          <w:rtl/>
        </w:rPr>
        <w:t>הנוכחי</w:t>
      </w:r>
      <w:r>
        <w:rPr>
          <w:rFonts w:ascii="Arial" w:hAnsi="Arial"/>
          <w:rtl/>
        </w:rPr>
        <w:t xml:space="preserve"> ולא מדובר ב-</w:t>
      </w:r>
      <w:r>
        <w:rPr>
          <w:rFonts w:ascii="Arial" w:hAnsi="Arial"/>
          <w:b/>
          <w:bCs/>
          <w:rtl/>
        </w:rPr>
        <w:t>פגיעה פוטנציאלית עתידית</w:t>
      </w:r>
      <w:r>
        <w:rPr>
          <w:rFonts w:ascii="Arial" w:hAnsi="Arial"/>
          <w:rtl/>
        </w:rPr>
        <w:t xml:space="preserve"> בשל קיומן של תכניות ללימודים </w:t>
      </w:r>
      <w:r>
        <w:rPr>
          <w:rFonts w:ascii="Arial" w:hAnsi="Arial"/>
          <w:u w:val="single"/>
          <w:rtl/>
        </w:rPr>
        <w:t>בעתיד</w:t>
      </w:r>
      <w:r>
        <w:rPr>
          <w:rFonts w:ascii="Arial" w:hAnsi="Arial"/>
          <w:rtl/>
        </w:rPr>
        <w:t xml:space="preserve"> או קיומו של רצון להשתלבות </w:t>
      </w:r>
      <w:r>
        <w:rPr>
          <w:rFonts w:ascii="Arial" w:hAnsi="Arial"/>
          <w:u w:val="single"/>
          <w:rtl/>
        </w:rPr>
        <w:t>בעתיד</w:t>
      </w:r>
      <w:r w:rsidRPr="00660FD7">
        <w:rPr>
          <w:rFonts w:ascii="Arial" w:hAnsi="Arial" w:hint="cs"/>
          <w:rtl/>
        </w:rPr>
        <w:t xml:space="preserve"> </w:t>
      </w:r>
      <w:r>
        <w:rPr>
          <w:rFonts w:ascii="Arial" w:hAnsi="Arial"/>
          <w:rtl/>
        </w:rPr>
        <w:t xml:space="preserve">במקום עבודה כזה או אחר. להלן האסמכתאות </w:t>
      </w:r>
      <w:r>
        <w:rPr>
          <w:rFonts w:ascii="Arial" w:hAnsi="Arial" w:hint="cs"/>
          <w:rtl/>
        </w:rPr>
        <w:t xml:space="preserve">לכך </w:t>
      </w:r>
      <w:r>
        <w:rPr>
          <w:rFonts w:ascii="Arial" w:hAnsi="Arial"/>
          <w:rtl/>
        </w:rPr>
        <w:t xml:space="preserve">מפסיקתו של בית המשפט העליון: </w:t>
      </w:r>
    </w:p>
    <w:p w14:paraId="65DBFB80" w14:textId="77777777" w:rsidR="006C24F7" w:rsidRPr="00ED7E41" w:rsidRDefault="006C24F7" w:rsidP="006C24F7">
      <w:pPr>
        <w:spacing w:line="360" w:lineRule="auto"/>
        <w:ind w:left="720" w:hanging="720"/>
        <w:jc w:val="both"/>
        <w:rPr>
          <w:rFonts w:ascii="Arial" w:hAnsi="Arial"/>
          <w:rtl/>
        </w:rPr>
      </w:pPr>
    </w:p>
    <w:p w14:paraId="434C4CD8" w14:textId="77777777" w:rsidR="006C24F7" w:rsidRDefault="006C24F7" w:rsidP="006C24F7">
      <w:pPr>
        <w:spacing w:line="360" w:lineRule="auto"/>
        <w:ind w:left="1440" w:hanging="720"/>
        <w:jc w:val="both"/>
        <w:rPr>
          <w:rFonts w:ascii="Arial" w:hAnsi="Arial"/>
          <w:rtl/>
        </w:rPr>
      </w:pPr>
      <w:r>
        <w:rPr>
          <w:rFonts w:ascii="Arial" w:hAnsi="Arial"/>
          <w:rtl/>
        </w:rPr>
        <w:t>א.</w:t>
      </w:r>
      <w:r>
        <w:rPr>
          <w:rFonts w:ascii="Arial" w:hAnsi="Arial"/>
          <w:rtl/>
        </w:rPr>
        <w:tab/>
      </w:r>
      <w:hyperlink r:id="rId27" w:history="1">
        <w:r w:rsidR="003370A3" w:rsidRPr="003370A3">
          <w:rPr>
            <w:rFonts w:ascii="Arial" w:hAnsi="Arial"/>
            <w:color w:val="0000FF"/>
            <w:u w:val="single"/>
            <w:rtl/>
          </w:rPr>
          <w:t>רע"פ  4592/14</w:t>
        </w:r>
      </w:hyperlink>
      <w:r>
        <w:rPr>
          <w:rFonts w:ascii="Arial" w:hAnsi="Arial"/>
          <w:rtl/>
        </w:rPr>
        <w:t xml:space="preserve"> </w:t>
      </w:r>
      <w:r>
        <w:rPr>
          <w:rFonts w:ascii="Arial" w:hAnsi="Arial"/>
          <w:b/>
          <w:bCs/>
          <w:rtl/>
        </w:rPr>
        <w:t>רוטמן נ' מדינת ישראל</w:t>
      </w:r>
      <w:r>
        <w:rPr>
          <w:rFonts w:ascii="Arial" w:hAnsi="Arial"/>
          <w:rtl/>
        </w:rPr>
        <w:t xml:space="preserve"> </w:t>
      </w:r>
      <w:r>
        <w:rPr>
          <w:rFonts w:ascii="Arial" w:hAnsi="Arial" w:hint="cs"/>
          <w:rtl/>
        </w:rPr>
        <w:t>(</w:t>
      </w:r>
      <w:r>
        <w:rPr>
          <w:rFonts w:ascii="Arial" w:hAnsi="Arial"/>
          <w:rtl/>
        </w:rPr>
        <w:t>פורסם בנבו</w:t>
      </w:r>
      <w:r>
        <w:rPr>
          <w:rFonts w:ascii="Arial" w:hAnsi="Arial" w:hint="cs"/>
          <w:rtl/>
        </w:rPr>
        <w:t>,</w:t>
      </w:r>
      <w:r>
        <w:rPr>
          <w:rFonts w:ascii="Arial" w:hAnsi="Arial"/>
          <w:rtl/>
        </w:rPr>
        <w:t xml:space="preserve"> 28.5.14). המבקשת טענה שיש לה כוונה לעסוק </w:t>
      </w:r>
      <w:r>
        <w:rPr>
          <w:rFonts w:ascii="Arial" w:hAnsi="Arial"/>
          <w:u w:val="single"/>
          <w:rtl/>
        </w:rPr>
        <w:t>בעתיד</w:t>
      </w:r>
      <w:r>
        <w:rPr>
          <w:rFonts w:ascii="Arial" w:hAnsi="Arial"/>
          <w:rtl/>
        </w:rPr>
        <w:t xml:space="preserve"> במקצוע השיננות, ו</w:t>
      </w:r>
      <w:r>
        <w:rPr>
          <w:rFonts w:ascii="Arial" w:hAnsi="Arial" w:hint="cs"/>
          <w:rtl/>
        </w:rPr>
        <w:t xml:space="preserve">לכן </w:t>
      </w:r>
      <w:r>
        <w:rPr>
          <w:rFonts w:ascii="Arial" w:hAnsi="Arial"/>
          <w:u w:val="single"/>
          <w:rtl/>
        </w:rPr>
        <w:t>נרשמה ללימודי השיננות</w:t>
      </w:r>
      <w:r>
        <w:rPr>
          <w:rFonts w:ascii="Arial" w:hAnsi="Arial"/>
          <w:rtl/>
        </w:rPr>
        <w:t xml:space="preserve">. נקבע שאין בכך די על מנת להוכיח קיומו של נזק מוחשי וקונקרטי, קרי נזק </w:t>
      </w:r>
      <w:r>
        <w:rPr>
          <w:rFonts w:ascii="Arial" w:hAnsi="Arial"/>
          <w:u w:val="single"/>
          <w:rtl/>
        </w:rPr>
        <w:t>למצבה התעסוקתי הקיים</w:t>
      </w:r>
      <w:r>
        <w:rPr>
          <w:rFonts w:ascii="Arial" w:hAnsi="Arial"/>
          <w:rtl/>
        </w:rPr>
        <w:t xml:space="preserve"> ובקשתה לביטול הרשעתה בעבירה של הפרעה לשוטר במילוי תפקידו</w:t>
      </w:r>
      <w:r>
        <w:rPr>
          <w:rFonts w:ascii="Arial" w:hAnsi="Arial" w:hint="cs"/>
          <w:rtl/>
        </w:rPr>
        <w:t>,</w:t>
      </w:r>
      <w:r>
        <w:rPr>
          <w:rFonts w:ascii="Arial" w:hAnsi="Arial"/>
          <w:rtl/>
        </w:rPr>
        <w:t xml:space="preserve"> נדחתה. </w:t>
      </w:r>
    </w:p>
    <w:p w14:paraId="612CD129" w14:textId="77777777" w:rsidR="006C24F7" w:rsidRDefault="006C24F7" w:rsidP="006C24F7">
      <w:pPr>
        <w:spacing w:line="360" w:lineRule="auto"/>
        <w:ind w:left="720"/>
        <w:jc w:val="both"/>
        <w:rPr>
          <w:rFonts w:ascii="Arial" w:hAnsi="Arial"/>
          <w:rtl/>
        </w:rPr>
      </w:pPr>
    </w:p>
    <w:p w14:paraId="0F60F1CE" w14:textId="77777777" w:rsidR="006C24F7" w:rsidRDefault="006C24F7" w:rsidP="006C24F7">
      <w:pPr>
        <w:spacing w:line="360" w:lineRule="auto"/>
        <w:ind w:left="1440" w:hanging="720"/>
        <w:jc w:val="both"/>
        <w:rPr>
          <w:rFonts w:ascii="Arial" w:hAnsi="Arial"/>
          <w:rtl/>
        </w:rPr>
      </w:pPr>
      <w:r>
        <w:rPr>
          <w:rFonts w:ascii="Arial" w:hAnsi="Arial"/>
          <w:rtl/>
        </w:rPr>
        <w:t>ב.</w:t>
      </w:r>
      <w:r>
        <w:rPr>
          <w:rFonts w:ascii="Arial" w:hAnsi="Arial"/>
          <w:rtl/>
        </w:rPr>
        <w:tab/>
      </w:r>
      <w:hyperlink r:id="rId28" w:history="1">
        <w:r w:rsidR="003370A3" w:rsidRPr="003370A3">
          <w:rPr>
            <w:rFonts w:ascii="Arial" w:hAnsi="Arial"/>
            <w:color w:val="0000FF"/>
            <w:u w:val="single"/>
            <w:rtl/>
          </w:rPr>
          <w:t>רע"פ 9118/12</w:t>
        </w:r>
      </w:hyperlink>
      <w:r>
        <w:rPr>
          <w:rFonts w:ascii="Arial" w:hAnsi="Arial"/>
          <w:rtl/>
        </w:rPr>
        <w:t xml:space="preserve"> </w:t>
      </w:r>
      <w:r>
        <w:rPr>
          <w:rFonts w:ascii="Arial" w:hAnsi="Arial"/>
          <w:b/>
          <w:bCs/>
          <w:rtl/>
        </w:rPr>
        <w:t xml:space="preserve">פרגין נ' מדינת ישראל </w:t>
      </w:r>
      <w:r>
        <w:rPr>
          <w:rFonts w:ascii="Arial" w:hAnsi="Arial"/>
          <w:rtl/>
        </w:rPr>
        <w:t xml:space="preserve">[פורסם בנבו] (1.1.13). המבקש הורשע בעבירה של איומים כנגד בת זוגו ועתר לביטול ההרשעה מאחר והצהיר שיש לו </w:t>
      </w:r>
      <w:r>
        <w:rPr>
          <w:rFonts w:ascii="Arial" w:hAnsi="Arial"/>
          <w:u w:val="single"/>
          <w:rtl/>
        </w:rPr>
        <w:t>כוונה בעתיד ללמוד לימודים אקדמאיים ולהשתלב במקום עבודה שדורש השכלה אקדמאית</w:t>
      </w:r>
      <w:r>
        <w:rPr>
          <w:rFonts w:ascii="Arial" w:hAnsi="Arial"/>
          <w:rtl/>
        </w:rPr>
        <w:t xml:space="preserve">. בקשתו לביטול ההרשעה נדחתה מאחר ולא הצליח להוכיח נזק קונקרטי ומוחשי, קרי נזק שייגרם למצבו </w:t>
      </w:r>
      <w:r>
        <w:rPr>
          <w:rFonts w:ascii="Arial" w:hAnsi="Arial"/>
          <w:u w:val="single"/>
          <w:rtl/>
        </w:rPr>
        <w:t>הנוכחי</w:t>
      </w:r>
      <w:r>
        <w:rPr>
          <w:rFonts w:ascii="Arial" w:hAnsi="Arial"/>
          <w:rtl/>
        </w:rPr>
        <w:t xml:space="preserve"> מעצם ההרשעה. </w:t>
      </w:r>
    </w:p>
    <w:p w14:paraId="1529327F" w14:textId="77777777" w:rsidR="006C24F7" w:rsidRDefault="006C24F7" w:rsidP="006C24F7">
      <w:pPr>
        <w:spacing w:line="360" w:lineRule="auto"/>
        <w:ind w:left="1440" w:hanging="720"/>
        <w:jc w:val="both"/>
        <w:rPr>
          <w:rFonts w:ascii="Arial" w:hAnsi="Arial"/>
          <w:rtl/>
        </w:rPr>
      </w:pPr>
    </w:p>
    <w:p w14:paraId="6882F0A0" w14:textId="77777777" w:rsidR="006C24F7" w:rsidRDefault="006C24F7" w:rsidP="006C24F7">
      <w:pPr>
        <w:spacing w:line="360" w:lineRule="auto"/>
        <w:ind w:left="720" w:hanging="720"/>
        <w:jc w:val="both"/>
        <w:rPr>
          <w:rtl/>
        </w:rPr>
      </w:pPr>
      <w:r>
        <w:rPr>
          <w:rFonts w:hint="cs"/>
          <w:rtl/>
        </w:rPr>
        <w:t>8.</w:t>
      </w:r>
      <w:r>
        <w:rPr>
          <w:rFonts w:hint="cs"/>
          <w:rtl/>
        </w:rPr>
        <w:tab/>
        <w:t xml:space="preserve">במקרה שבפני, הנאשם לא הוכיח שעלול להיגרם לו </w:t>
      </w:r>
      <w:r>
        <w:rPr>
          <w:rFonts w:hint="cs"/>
          <w:u w:val="single"/>
          <w:rtl/>
        </w:rPr>
        <w:t xml:space="preserve">נזק קונקרטי </w:t>
      </w:r>
      <w:r>
        <w:rPr>
          <w:rFonts w:hint="cs"/>
          <w:rtl/>
        </w:rPr>
        <w:t xml:space="preserve">מעצם ההרשעה. הנאשם עובד כיום כמנהל משמרת במחסן לתרופות וציוד רפואי. הנאשם לא הציג אסמכתא כלשהי לכך שביצוע העבודה האמורה, מותנה בהעדר קיומו של רישום פלילי, לרבות בסוג העבירות שבהן הורשע. </w:t>
      </w:r>
    </w:p>
    <w:p w14:paraId="025616B3" w14:textId="77777777" w:rsidR="006C24F7" w:rsidRDefault="006C24F7" w:rsidP="006C24F7">
      <w:pPr>
        <w:spacing w:line="360" w:lineRule="auto"/>
        <w:jc w:val="both"/>
        <w:rPr>
          <w:rtl/>
        </w:rPr>
      </w:pPr>
    </w:p>
    <w:p w14:paraId="3BB18C12" w14:textId="77777777" w:rsidR="006C24F7" w:rsidRDefault="006C24F7" w:rsidP="006C24F7">
      <w:pPr>
        <w:spacing w:line="360" w:lineRule="auto"/>
        <w:ind w:left="720" w:hanging="720"/>
        <w:jc w:val="both"/>
        <w:rPr>
          <w:rtl/>
        </w:rPr>
      </w:pPr>
      <w:r>
        <w:rPr>
          <w:rFonts w:hint="cs"/>
          <w:rtl/>
        </w:rPr>
        <w:t>9.</w:t>
      </w:r>
      <w:r>
        <w:rPr>
          <w:rFonts w:hint="cs"/>
          <w:rtl/>
        </w:rPr>
        <w:tab/>
        <w:t xml:space="preserve">כמו כן, בתסקיר שירות המבחן נאמר שלפי טענת הנאשם הוא </w:t>
      </w:r>
      <w:r w:rsidRPr="00ED7E41">
        <w:rPr>
          <w:rFonts w:hint="cs"/>
          <w:u w:val="single"/>
          <w:rtl/>
        </w:rPr>
        <w:t>החל ללמוד</w:t>
      </w:r>
      <w:r>
        <w:rPr>
          <w:rFonts w:hint="cs"/>
          <w:rtl/>
        </w:rPr>
        <w:t xml:space="preserve"> קורס "פיקוח בניין" במרכז האקדמי למשפט ועסקים, וזאת על מנת שיוכל לעסוק </w:t>
      </w:r>
      <w:r w:rsidRPr="00ED7E41">
        <w:rPr>
          <w:rFonts w:hint="cs"/>
          <w:u w:val="single"/>
          <w:rtl/>
        </w:rPr>
        <w:t>בעתיד</w:t>
      </w:r>
      <w:r>
        <w:rPr>
          <w:rFonts w:hint="cs"/>
          <w:rtl/>
        </w:rPr>
        <w:t xml:space="preserve"> באותו מקצוע. עם זאת, לא הוצגו בפנֵי שירות המבחן אישורים המעידים על רישום ללימודי קורס "פיקוח בניין" או על תחילת לימודים. למעשה, הנאשם גם לא הציג אישורים כאלה גם בפני בית המשפט במסגרת הטיעונים לעונש. הנאשם גם לא הוכיח שעיסוק "כמפקח בניה" מותנה באופן אבסולוטי בהעדר קיומה של הרשעה פלילית, לרבות בסוג העבירות שבהן הורשע, או שמא מדובר בעניין שבשיקול דעת של הגורמים המוסמכים שמנפיקים תעודת "מפקח בניה". </w:t>
      </w:r>
    </w:p>
    <w:p w14:paraId="25576D7A" w14:textId="77777777" w:rsidR="006C24F7" w:rsidRDefault="006C24F7" w:rsidP="006C24F7">
      <w:pPr>
        <w:spacing w:line="360" w:lineRule="auto"/>
        <w:ind w:left="720" w:hanging="720"/>
        <w:jc w:val="both"/>
        <w:rPr>
          <w:rtl/>
        </w:rPr>
      </w:pPr>
    </w:p>
    <w:p w14:paraId="260FB11F" w14:textId="77777777" w:rsidR="006C24F7" w:rsidRDefault="006C24F7" w:rsidP="006C24F7">
      <w:pPr>
        <w:spacing w:line="360" w:lineRule="auto"/>
        <w:ind w:left="720" w:hanging="720"/>
        <w:jc w:val="both"/>
        <w:rPr>
          <w:rtl/>
        </w:rPr>
      </w:pPr>
      <w:r>
        <w:rPr>
          <w:rFonts w:hint="cs"/>
          <w:rtl/>
        </w:rPr>
        <w:t>10.</w:t>
      </w:r>
      <w:r>
        <w:rPr>
          <w:rFonts w:hint="cs"/>
          <w:rtl/>
        </w:rPr>
        <w:tab/>
        <w:t xml:space="preserve">ולבסוף, גם אם הנאשם היה מציג אישור שנרשם לקורס "פיקוח בניין", ואף היה מראה שמקצוע זה מותנה בהעדר קיומו של רישום פלילי, עדיין לא מדובר בעיסוקו </w:t>
      </w:r>
      <w:r w:rsidRPr="004531EC">
        <w:rPr>
          <w:rFonts w:hint="cs"/>
          <w:u w:val="single"/>
          <w:rtl/>
        </w:rPr>
        <w:t>הנוכחי</w:t>
      </w:r>
      <w:r>
        <w:rPr>
          <w:rFonts w:hint="cs"/>
          <w:rtl/>
        </w:rPr>
        <w:t xml:space="preserve"> אלא בעיסוק שיש לו לגביו כוונות עתידיות בלבד, ולכן ברור שהתנאי שייגרם לו "נזק מוחשי וקונקרטי" מעצם ההרשעה, איננו מתקיים.  </w:t>
      </w:r>
    </w:p>
    <w:p w14:paraId="430AB6E5" w14:textId="77777777" w:rsidR="006C24F7" w:rsidRDefault="006C24F7" w:rsidP="006C24F7">
      <w:pPr>
        <w:spacing w:line="360" w:lineRule="auto"/>
        <w:ind w:left="720" w:hanging="720"/>
        <w:jc w:val="both"/>
        <w:rPr>
          <w:rtl/>
        </w:rPr>
      </w:pPr>
    </w:p>
    <w:p w14:paraId="0D1757B8" w14:textId="77777777" w:rsidR="006C24F7" w:rsidRDefault="006C24F7" w:rsidP="006C24F7">
      <w:pPr>
        <w:spacing w:line="360" w:lineRule="auto"/>
        <w:ind w:left="720" w:hanging="720"/>
        <w:jc w:val="both"/>
        <w:rPr>
          <w:rtl/>
        </w:rPr>
      </w:pPr>
      <w:r>
        <w:rPr>
          <w:rFonts w:hint="cs"/>
          <w:rtl/>
        </w:rPr>
        <w:t>11.</w:t>
      </w:r>
      <w:r>
        <w:rPr>
          <w:rFonts w:hint="cs"/>
          <w:rtl/>
        </w:rPr>
        <w:tab/>
        <w:t xml:space="preserve">לפיכך, הבקשה לביטול ההרשעה נדחית, וההרשעה בעינה עומדת. </w:t>
      </w:r>
    </w:p>
    <w:p w14:paraId="538CF03B" w14:textId="77777777" w:rsidR="006C24F7" w:rsidRDefault="006C24F7" w:rsidP="006C24F7">
      <w:pPr>
        <w:spacing w:line="360" w:lineRule="auto"/>
        <w:ind w:left="720" w:hanging="720"/>
        <w:jc w:val="both"/>
        <w:rPr>
          <w:rtl/>
        </w:rPr>
      </w:pPr>
    </w:p>
    <w:p w14:paraId="60E8DEB9" w14:textId="77777777" w:rsidR="006C24F7" w:rsidRPr="004531EC" w:rsidRDefault="006C24F7" w:rsidP="006C24F7">
      <w:pPr>
        <w:spacing w:line="360" w:lineRule="auto"/>
        <w:ind w:left="720" w:hanging="720"/>
        <w:jc w:val="both"/>
        <w:rPr>
          <w:b/>
          <w:bCs/>
          <w:sz w:val="28"/>
          <w:szCs w:val="28"/>
          <w:u w:val="single"/>
          <w:rtl/>
        </w:rPr>
      </w:pPr>
      <w:r w:rsidRPr="004531EC">
        <w:rPr>
          <w:rFonts w:hint="cs"/>
          <w:b/>
          <w:bCs/>
          <w:sz w:val="28"/>
          <w:szCs w:val="28"/>
          <w:u w:val="single"/>
          <w:rtl/>
        </w:rPr>
        <w:t xml:space="preserve">מתחם העונש ההולם </w:t>
      </w:r>
    </w:p>
    <w:p w14:paraId="60B5507F" w14:textId="77777777" w:rsidR="006C24F7" w:rsidRDefault="006C24F7" w:rsidP="006C24F7">
      <w:pPr>
        <w:spacing w:line="360" w:lineRule="auto"/>
        <w:ind w:left="720" w:hanging="720"/>
        <w:jc w:val="both"/>
        <w:rPr>
          <w:rtl/>
        </w:rPr>
      </w:pPr>
    </w:p>
    <w:p w14:paraId="26DE0A8E" w14:textId="77777777" w:rsidR="006C24F7" w:rsidRDefault="006C24F7" w:rsidP="006C24F7">
      <w:pPr>
        <w:spacing w:line="360" w:lineRule="auto"/>
        <w:ind w:left="720" w:hanging="720"/>
        <w:jc w:val="both"/>
        <w:rPr>
          <w:rtl/>
        </w:rPr>
      </w:pPr>
      <w:r>
        <w:rPr>
          <w:rFonts w:hint="cs"/>
          <w:rtl/>
        </w:rPr>
        <w:t>12.</w:t>
      </w:r>
      <w:r>
        <w:rPr>
          <w:rFonts w:hint="cs"/>
          <w:rtl/>
        </w:rPr>
        <w:tab/>
        <w:t xml:space="preserve">הנאשם ביצע שתי קטגוריות של עבירות: הקטגוריה הראשונה היא העבירה של החזקת סכין שלא כדין; הקטגוריה השנייה היא מקבץ העבירות הבאות שקיימת זיקה ברורה ביניהן, נהיגה תחת השפעת סמים, נהיגה פוחזת של רכב והחזקת סם לצריכה עצמית. אעמוד כעת על מדיניות הענישה הנוהגת לגבי שתי הקטגוריות האמורות. </w:t>
      </w:r>
    </w:p>
    <w:p w14:paraId="2F47AB13" w14:textId="77777777" w:rsidR="006C24F7" w:rsidRDefault="006C24F7" w:rsidP="006C24F7">
      <w:pPr>
        <w:spacing w:line="360" w:lineRule="auto"/>
        <w:ind w:left="720" w:hanging="720"/>
        <w:jc w:val="both"/>
        <w:rPr>
          <w:rtl/>
        </w:rPr>
      </w:pPr>
    </w:p>
    <w:p w14:paraId="6B7AC84C" w14:textId="77777777" w:rsidR="006C24F7" w:rsidRDefault="006C24F7" w:rsidP="006C24F7">
      <w:pPr>
        <w:spacing w:line="360" w:lineRule="auto"/>
        <w:ind w:left="720" w:hanging="720"/>
        <w:jc w:val="both"/>
        <w:rPr>
          <w:rtl/>
        </w:rPr>
      </w:pPr>
      <w:r>
        <w:rPr>
          <w:rFonts w:hint="cs"/>
          <w:rtl/>
        </w:rPr>
        <w:t>13.</w:t>
      </w:r>
      <w:r>
        <w:rPr>
          <w:rFonts w:hint="cs"/>
          <w:rtl/>
        </w:rPr>
        <w:tab/>
        <w:t xml:space="preserve">לגבי העבירה של </w:t>
      </w:r>
      <w:r>
        <w:rPr>
          <w:rFonts w:hint="cs"/>
          <w:u w:val="single"/>
          <w:rtl/>
        </w:rPr>
        <w:t>החזקת סכין שלא כדין</w:t>
      </w:r>
      <w:r>
        <w:rPr>
          <w:rFonts w:hint="cs"/>
          <w:rtl/>
        </w:rPr>
        <w:t xml:space="preserve">, מדיניות הענישה הנוהגת כפי שהיא משתקפת מפסיקתו של בית המשפט העליון, מתחלקת לשתי קצוות של ענישה: </w:t>
      </w:r>
    </w:p>
    <w:p w14:paraId="606307FD" w14:textId="77777777" w:rsidR="006C24F7" w:rsidRDefault="006C24F7" w:rsidP="006C24F7">
      <w:pPr>
        <w:spacing w:line="360" w:lineRule="auto"/>
        <w:ind w:left="720" w:hanging="720"/>
        <w:jc w:val="both"/>
        <w:rPr>
          <w:rtl/>
        </w:rPr>
      </w:pPr>
    </w:p>
    <w:p w14:paraId="523662D4" w14:textId="77777777" w:rsidR="006C24F7" w:rsidRDefault="006C24F7" w:rsidP="006C24F7">
      <w:pPr>
        <w:spacing w:line="360" w:lineRule="auto"/>
        <w:ind w:left="1440" w:hanging="720"/>
        <w:jc w:val="both"/>
        <w:rPr>
          <w:rtl/>
        </w:rPr>
      </w:pPr>
      <w:r>
        <w:rPr>
          <w:rFonts w:hint="cs"/>
          <w:rtl/>
        </w:rPr>
        <w:t>א.</w:t>
      </w:r>
      <w:r>
        <w:rPr>
          <w:rFonts w:hint="cs"/>
          <w:rtl/>
        </w:rPr>
        <w:tab/>
        <w:t xml:space="preserve">בקצה הראשון, אי הטלת מאסר בפועל והסתפקות במאסר על תנאי עם ענישה נלווית, כגון שעות שירות לתועלת הציבור וקנס כספי. ראו למשל: </w:t>
      </w:r>
      <w:hyperlink r:id="rId29" w:history="1">
        <w:r w:rsidR="003370A3" w:rsidRPr="003370A3">
          <w:rPr>
            <w:color w:val="0000FF"/>
            <w:u w:val="single"/>
            <w:rtl/>
          </w:rPr>
          <w:t>רע"פ 2968/12</w:t>
        </w:r>
      </w:hyperlink>
      <w:r>
        <w:rPr>
          <w:rFonts w:hint="cs"/>
          <w:rtl/>
        </w:rPr>
        <w:t xml:space="preserve"> </w:t>
      </w:r>
      <w:r w:rsidRPr="004531EC">
        <w:rPr>
          <w:rFonts w:hint="cs"/>
          <w:b/>
          <w:bCs/>
          <w:rtl/>
        </w:rPr>
        <w:t>אלזיד נ' מדינת ישראל</w:t>
      </w:r>
      <w:r>
        <w:rPr>
          <w:rFonts w:hint="cs"/>
          <w:rtl/>
        </w:rPr>
        <w:t xml:space="preserve"> (פורסם באתר בתי המשפט, 6.5.12); </w:t>
      </w:r>
      <w:hyperlink r:id="rId30" w:history="1">
        <w:r w:rsidR="003370A3" w:rsidRPr="003370A3">
          <w:rPr>
            <w:color w:val="0000FF"/>
            <w:u w:val="single"/>
            <w:rtl/>
          </w:rPr>
          <w:t>רע"פ 4200/12</w:t>
        </w:r>
      </w:hyperlink>
      <w:r>
        <w:rPr>
          <w:rFonts w:hint="cs"/>
          <w:rtl/>
        </w:rPr>
        <w:t xml:space="preserve"> </w:t>
      </w:r>
      <w:r w:rsidRPr="004531EC">
        <w:rPr>
          <w:rFonts w:hint="cs"/>
          <w:b/>
          <w:bCs/>
          <w:rtl/>
        </w:rPr>
        <w:t>אבו זניד נ' מדינת ישראל</w:t>
      </w:r>
      <w:r>
        <w:rPr>
          <w:rFonts w:hint="cs"/>
          <w:rtl/>
        </w:rPr>
        <w:t xml:space="preserve"> (פורסם בנבו, 27.6.12); </w:t>
      </w:r>
      <w:hyperlink r:id="rId31" w:history="1">
        <w:r w:rsidR="003370A3" w:rsidRPr="003370A3">
          <w:rPr>
            <w:color w:val="0000FF"/>
            <w:u w:val="single"/>
            <w:rtl/>
          </w:rPr>
          <w:t>רע"פ 1490/12</w:t>
        </w:r>
      </w:hyperlink>
      <w:r>
        <w:rPr>
          <w:rFonts w:hint="cs"/>
          <w:rtl/>
        </w:rPr>
        <w:t xml:space="preserve"> </w:t>
      </w:r>
      <w:r w:rsidRPr="004531EC">
        <w:rPr>
          <w:rFonts w:hint="cs"/>
          <w:b/>
          <w:bCs/>
          <w:rtl/>
        </w:rPr>
        <w:t>אבו גוש נ' מדינת ישראל</w:t>
      </w:r>
      <w:r>
        <w:rPr>
          <w:rFonts w:hint="cs"/>
          <w:rtl/>
        </w:rPr>
        <w:t xml:space="preserve"> (פורסם בנבו, 15.7.12); </w:t>
      </w:r>
      <w:hyperlink r:id="rId32" w:history="1">
        <w:r w:rsidR="003370A3" w:rsidRPr="003370A3">
          <w:rPr>
            <w:color w:val="0000FF"/>
            <w:u w:val="single"/>
            <w:rtl/>
          </w:rPr>
          <w:t>רע"פ 2609/12</w:t>
        </w:r>
      </w:hyperlink>
      <w:r>
        <w:rPr>
          <w:rFonts w:hint="cs"/>
          <w:rtl/>
        </w:rPr>
        <w:t xml:space="preserve"> </w:t>
      </w:r>
      <w:r w:rsidRPr="006C425C">
        <w:rPr>
          <w:rFonts w:hint="cs"/>
          <w:b/>
          <w:bCs/>
          <w:rtl/>
        </w:rPr>
        <w:t xml:space="preserve">חלבי נ' מדינת ישראל </w:t>
      </w:r>
      <w:r>
        <w:rPr>
          <w:rFonts w:hint="cs"/>
          <w:rtl/>
        </w:rPr>
        <w:t xml:space="preserve">(פורסם בנבו, 19.8.12). </w:t>
      </w:r>
    </w:p>
    <w:p w14:paraId="0B7A4AC4" w14:textId="77777777" w:rsidR="006C24F7" w:rsidRDefault="006C24F7" w:rsidP="006C24F7">
      <w:pPr>
        <w:spacing w:line="360" w:lineRule="auto"/>
        <w:ind w:left="1440" w:hanging="720"/>
        <w:jc w:val="both"/>
        <w:rPr>
          <w:rtl/>
        </w:rPr>
      </w:pPr>
    </w:p>
    <w:p w14:paraId="6D92FC52" w14:textId="77777777" w:rsidR="006C24F7" w:rsidRDefault="006C24F7" w:rsidP="006C24F7">
      <w:pPr>
        <w:spacing w:line="360" w:lineRule="auto"/>
        <w:ind w:left="1440" w:hanging="720"/>
        <w:jc w:val="both"/>
        <w:rPr>
          <w:rtl/>
        </w:rPr>
      </w:pPr>
      <w:r>
        <w:rPr>
          <w:rFonts w:hint="cs"/>
          <w:rtl/>
        </w:rPr>
        <w:t>ב.</w:t>
      </w:r>
      <w:r>
        <w:rPr>
          <w:rtl/>
        </w:rPr>
        <w:tab/>
      </w:r>
      <w:r>
        <w:rPr>
          <w:rFonts w:hint="cs"/>
          <w:rtl/>
        </w:rPr>
        <w:t xml:space="preserve">בקצה השני, הטלת מאסרים בפועל למשך מספר חודשים. ראו למשל: </w:t>
      </w:r>
      <w:hyperlink r:id="rId33" w:history="1">
        <w:r w:rsidR="003370A3" w:rsidRPr="003370A3">
          <w:rPr>
            <w:color w:val="0000FF"/>
            <w:u w:val="single"/>
            <w:rtl/>
          </w:rPr>
          <w:t>רע"פ 2932/08</w:t>
        </w:r>
      </w:hyperlink>
      <w:r>
        <w:rPr>
          <w:rFonts w:hint="cs"/>
          <w:rtl/>
        </w:rPr>
        <w:t xml:space="preserve"> </w:t>
      </w:r>
      <w:r w:rsidRPr="00CD2A80">
        <w:rPr>
          <w:rFonts w:hint="cs"/>
          <w:b/>
          <w:bCs/>
          <w:rtl/>
        </w:rPr>
        <w:t>מרגאן נ' מדינת ישראל</w:t>
      </w:r>
      <w:r>
        <w:rPr>
          <w:rFonts w:hint="cs"/>
          <w:rtl/>
        </w:rPr>
        <w:t xml:space="preserve"> (פורסם בנבו, 12.6.08) שבו העונש הסופי היה חודשיים מאסר בפועל ומאסר על תנאי; וכן </w:t>
      </w:r>
      <w:hyperlink r:id="rId34" w:history="1">
        <w:r w:rsidR="003370A3" w:rsidRPr="003370A3">
          <w:rPr>
            <w:color w:val="0000FF"/>
            <w:u w:val="single"/>
            <w:rtl/>
          </w:rPr>
          <w:t>רע"פ 5127/09</w:t>
        </w:r>
      </w:hyperlink>
      <w:r>
        <w:rPr>
          <w:rFonts w:hint="cs"/>
          <w:rtl/>
        </w:rPr>
        <w:t xml:space="preserve"> </w:t>
      </w:r>
      <w:r w:rsidRPr="00CD2A80">
        <w:rPr>
          <w:rFonts w:hint="cs"/>
          <w:b/>
          <w:bCs/>
          <w:rtl/>
        </w:rPr>
        <w:t>יפקח נ' מדינת ישראל</w:t>
      </w:r>
      <w:r>
        <w:rPr>
          <w:rFonts w:hint="cs"/>
          <w:rtl/>
        </w:rPr>
        <w:t xml:space="preserve"> (פורסם באתר בתי המשפט, 19.7.09) שבו העונש הסופי היה חמישה חודשי מאסר בפועל ומאסר על תנאי. </w:t>
      </w:r>
    </w:p>
    <w:p w14:paraId="3AE6BBB1" w14:textId="77777777" w:rsidR="006C24F7" w:rsidRDefault="006C24F7" w:rsidP="006C24F7">
      <w:pPr>
        <w:spacing w:line="360" w:lineRule="auto"/>
        <w:jc w:val="both"/>
        <w:rPr>
          <w:rtl/>
        </w:rPr>
      </w:pPr>
    </w:p>
    <w:p w14:paraId="40BB5057" w14:textId="77777777" w:rsidR="006C24F7" w:rsidRDefault="006C24F7" w:rsidP="006C24F7">
      <w:pPr>
        <w:spacing w:line="360" w:lineRule="auto"/>
        <w:ind w:left="720" w:hanging="720"/>
        <w:jc w:val="both"/>
        <w:rPr>
          <w:rtl/>
        </w:rPr>
      </w:pPr>
      <w:r>
        <w:rPr>
          <w:rFonts w:hint="cs"/>
          <w:rtl/>
        </w:rPr>
        <w:t>14.</w:t>
      </w:r>
      <w:r>
        <w:rPr>
          <w:rFonts w:hint="cs"/>
          <w:rtl/>
        </w:rPr>
        <w:tab/>
        <w:t xml:space="preserve">לגבי מקבץ העבירות האחרות </w:t>
      </w:r>
      <w:r>
        <w:rPr>
          <w:rtl/>
        </w:rPr>
        <w:t>–</w:t>
      </w:r>
      <w:r>
        <w:rPr>
          <w:rFonts w:hint="cs"/>
          <w:rtl/>
        </w:rPr>
        <w:t xml:space="preserve"> נהיגה תחת השפעת סמים, החזקת סם לצריכה עצמית ונהיגה פוחזת של רכב </w:t>
      </w:r>
      <w:r>
        <w:rPr>
          <w:rtl/>
        </w:rPr>
        <w:t>–</w:t>
      </w:r>
      <w:r>
        <w:rPr>
          <w:rFonts w:hint="cs"/>
          <w:rtl/>
        </w:rPr>
        <w:t xml:space="preserve"> מפסיקתו של בית המשפט העליון עולה שכאשר מדובר בהרשעה ראשונה במקבץ העבירות האמורות, אזי הענישה מתחילה ממאסר על תנאי בצירוף פסילה בפועל של רישיון הנהיגה, פסילה על תנאי וקנס. ראו למשל: </w:t>
      </w:r>
      <w:hyperlink r:id="rId35" w:history="1">
        <w:r w:rsidR="003370A3" w:rsidRPr="003370A3">
          <w:rPr>
            <w:color w:val="0000FF"/>
            <w:u w:val="single"/>
            <w:rtl/>
          </w:rPr>
          <w:t>רע"פ 3174/12</w:t>
        </w:r>
      </w:hyperlink>
      <w:r>
        <w:rPr>
          <w:rFonts w:hint="cs"/>
          <w:rtl/>
        </w:rPr>
        <w:t xml:space="preserve"> </w:t>
      </w:r>
      <w:r w:rsidRPr="00CD2A80">
        <w:rPr>
          <w:rFonts w:hint="cs"/>
          <w:b/>
          <w:bCs/>
          <w:rtl/>
        </w:rPr>
        <w:t>שריג נ' מדינת ישראל</w:t>
      </w:r>
      <w:r>
        <w:rPr>
          <w:rFonts w:hint="cs"/>
          <w:rtl/>
        </w:rPr>
        <w:t xml:space="preserve"> (פורסם בנבו, 8.8.12); </w:t>
      </w:r>
      <w:hyperlink r:id="rId36" w:history="1">
        <w:r w:rsidR="003370A3" w:rsidRPr="003370A3">
          <w:rPr>
            <w:color w:val="0000FF"/>
            <w:u w:val="single"/>
            <w:rtl/>
          </w:rPr>
          <w:t>רע"פ 6661/14</w:t>
        </w:r>
      </w:hyperlink>
      <w:r>
        <w:rPr>
          <w:rFonts w:hint="cs"/>
          <w:rtl/>
        </w:rPr>
        <w:t xml:space="preserve"> </w:t>
      </w:r>
      <w:r w:rsidRPr="00CD2A80">
        <w:rPr>
          <w:rFonts w:hint="cs"/>
          <w:b/>
          <w:bCs/>
          <w:rtl/>
        </w:rPr>
        <w:t>קוליה נ' מדינת ישראל</w:t>
      </w:r>
      <w:r>
        <w:rPr>
          <w:rFonts w:hint="cs"/>
          <w:rtl/>
        </w:rPr>
        <w:t xml:space="preserve"> (פורסם בנבו, 19.1.15); </w:t>
      </w:r>
      <w:hyperlink r:id="rId37" w:history="1">
        <w:r w:rsidR="003370A3" w:rsidRPr="003370A3">
          <w:rPr>
            <w:color w:val="0000FF"/>
            <w:u w:val="single"/>
            <w:rtl/>
          </w:rPr>
          <w:t>רע"פ 10284/07</w:t>
        </w:r>
      </w:hyperlink>
      <w:r>
        <w:rPr>
          <w:rFonts w:hint="cs"/>
          <w:rtl/>
        </w:rPr>
        <w:t xml:space="preserve"> </w:t>
      </w:r>
      <w:r w:rsidRPr="00CD2A80">
        <w:rPr>
          <w:rFonts w:hint="cs"/>
          <w:b/>
          <w:bCs/>
          <w:rtl/>
        </w:rPr>
        <w:t>קדוש נ' מדינת ישראל</w:t>
      </w:r>
      <w:r>
        <w:rPr>
          <w:rFonts w:hint="cs"/>
          <w:rtl/>
        </w:rPr>
        <w:t xml:space="preserve"> (פורסם בנבו, 22.1.08). </w:t>
      </w:r>
    </w:p>
    <w:p w14:paraId="6D05E7AE" w14:textId="77777777" w:rsidR="006C24F7" w:rsidRDefault="006C24F7" w:rsidP="006C24F7">
      <w:pPr>
        <w:spacing w:line="360" w:lineRule="auto"/>
        <w:ind w:left="720" w:hanging="720"/>
        <w:jc w:val="both"/>
        <w:rPr>
          <w:rtl/>
        </w:rPr>
      </w:pPr>
    </w:p>
    <w:p w14:paraId="1695E265" w14:textId="77777777" w:rsidR="006C24F7" w:rsidRDefault="006C24F7" w:rsidP="006C24F7">
      <w:pPr>
        <w:spacing w:line="360" w:lineRule="auto"/>
        <w:ind w:left="720" w:hanging="720"/>
        <w:jc w:val="both"/>
        <w:rPr>
          <w:rtl/>
        </w:rPr>
      </w:pPr>
      <w:r>
        <w:rPr>
          <w:rFonts w:hint="cs"/>
          <w:rtl/>
        </w:rPr>
        <w:t>15.</w:t>
      </w:r>
      <w:r>
        <w:rPr>
          <w:rFonts w:hint="cs"/>
          <w:rtl/>
        </w:rPr>
        <w:tab/>
        <w:t xml:space="preserve">על כן, הנני קובע שמתחם העונש ההולם </w:t>
      </w:r>
      <w:r w:rsidRPr="00AA246A">
        <w:rPr>
          <w:rFonts w:hint="cs"/>
          <w:u w:val="single"/>
          <w:rtl/>
        </w:rPr>
        <w:t>למכלול</w:t>
      </w:r>
      <w:r>
        <w:rPr>
          <w:rFonts w:hint="cs"/>
          <w:rtl/>
        </w:rPr>
        <w:t xml:space="preserve"> העבירות שבוצעו על ידי הנאשם בשתי הקטגוריות של העבירות, נע בין מאסר על תנאי ועד 10 חודשי מאסר בפועל וזאת בצירוף ענישה נלוות בדמות קנס, פסילה בפועל של רישיון הנהיגה ופסילה על תנאי. לאור העובדה שמדובר בארבע עבירות של החזקת סכין שלא כדין, הנני קובע שמתחם הקנס ההולם נע בין בין 3,000 ועד 9,000 ₪. </w:t>
      </w:r>
    </w:p>
    <w:p w14:paraId="0F1AEAA0" w14:textId="77777777" w:rsidR="006C24F7" w:rsidRDefault="006C24F7" w:rsidP="006C24F7">
      <w:pPr>
        <w:spacing w:line="360" w:lineRule="auto"/>
        <w:jc w:val="both"/>
        <w:rPr>
          <w:rtl/>
        </w:rPr>
      </w:pPr>
    </w:p>
    <w:p w14:paraId="16A7BCDE" w14:textId="77777777" w:rsidR="006C24F7" w:rsidRDefault="006C24F7" w:rsidP="006C24F7">
      <w:pPr>
        <w:spacing w:line="360" w:lineRule="auto"/>
        <w:ind w:left="720" w:hanging="720"/>
        <w:jc w:val="both"/>
        <w:rPr>
          <w:rtl/>
        </w:rPr>
      </w:pPr>
      <w:r>
        <w:rPr>
          <w:rFonts w:hint="cs"/>
          <w:rtl/>
        </w:rPr>
        <w:t>16.</w:t>
      </w:r>
      <w:r>
        <w:rPr>
          <w:rFonts w:hint="cs"/>
          <w:rtl/>
        </w:rPr>
        <w:tab/>
        <w:t xml:space="preserve">הנאשם הורשע בעבירה של נהיגה תחת השפעת סמים לפי </w:t>
      </w:r>
      <w:hyperlink r:id="rId38" w:history="1">
        <w:r w:rsidR="000D5705" w:rsidRPr="000D5705">
          <w:rPr>
            <w:color w:val="0000FF"/>
            <w:u w:val="single"/>
            <w:rtl/>
          </w:rPr>
          <w:t>תקנה 26(2)</w:t>
        </w:r>
      </w:hyperlink>
      <w:r>
        <w:rPr>
          <w:rFonts w:hint="cs"/>
          <w:rtl/>
        </w:rPr>
        <w:t xml:space="preserve"> ל</w:t>
      </w:r>
      <w:hyperlink r:id="rId39" w:history="1">
        <w:r w:rsidR="003370A3" w:rsidRPr="003370A3">
          <w:rPr>
            <w:color w:val="0000FF"/>
            <w:u w:val="single"/>
            <w:rtl/>
          </w:rPr>
          <w:t>תקנות התעבורה</w:t>
        </w:r>
      </w:hyperlink>
      <w:r>
        <w:rPr>
          <w:rFonts w:hint="cs"/>
          <w:rtl/>
        </w:rPr>
        <w:t xml:space="preserve"> שלגביה קיימת חובה לפסילת רישיון הנהיגה למשך שלושה חודשים. ניתן להורות על פסילה לתקופה קצרה יותר אם מתקיימות "נסיבות מיוחדות" (ראו </w:t>
      </w:r>
      <w:hyperlink r:id="rId40" w:history="1">
        <w:r w:rsidR="000D5705" w:rsidRPr="000D5705">
          <w:rPr>
            <w:color w:val="0000FF"/>
            <w:u w:val="single"/>
            <w:rtl/>
          </w:rPr>
          <w:t>סעיף 38</w:t>
        </w:r>
      </w:hyperlink>
      <w:r>
        <w:rPr>
          <w:rFonts w:hint="cs"/>
          <w:rtl/>
        </w:rPr>
        <w:t xml:space="preserve"> ל</w:t>
      </w:r>
      <w:hyperlink r:id="rId41" w:history="1">
        <w:r w:rsidR="003370A3" w:rsidRPr="003370A3">
          <w:rPr>
            <w:color w:val="0000FF"/>
            <w:u w:val="single"/>
            <w:rtl/>
          </w:rPr>
          <w:t>פקודת התעבורה</w:t>
        </w:r>
      </w:hyperlink>
      <w:r>
        <w:rPr>
          <w:rFonts w:hint="cs"/>
          <w:rtl/>
        </w:rPr>
        <w:t xml:space="preserve"> שחל על עבירות שמפורטות בתוספת הראשונה לפקודת התעבורה, וביניהן </w:t>
      </w:r>
      <w:hyperlink r:id="rId42" w:history="1">
        <w:r w:rsidR="000D5705" w:rsidRPr="000D5705">
          <w:rPr>
            <w:color w:val="0000FF"/>
            <w:u w:val="single"/>
            <w:rtl/>
          </w:rPr>
          <w:t>תקנה 26(2)</w:t>
        </w:r>
      </w:hyperlink>
      <w:r>
        <w:rPr>
          <w:rFonts w:hint="cs"/>
          <w:rtl/>
        </w:rPr>
        <w:t xml:space="preserve"> ל</w:t>
      </w:r>
      <w:hyperlink r:id="rId43" w:history="1">
        <w:r w:rsidR="003370A3" w:rsidRPr="003370A3">
          <w:rPr>
            <w:color w:val="0000FF"/>
            <w:u w:val="single"/>
            <w:rtl/>
          </w:rPr>
          <w:t>תקנות התעבורה</w:t>
        </w:r>
      </w:hyperlink>
      <w:r>
        <w:rPr>
          <w:rFonts w:hint="cs"/>
          <w:rtl/>
        </w:rPr>
        <w:t xml:space="preserve">). </w:t>
      </w:r>
    </w:p>
    <w:p w14:paraId="3C0541BA" w14:textId="77777777" w:rsidR="006C24F7" w:rsidRDefault="006C24F7" w:rsidP="006C24F7">
      <w:pPr>
        <w:spacing w:line="360" w:lineRule="auto"/>
        <w:ind w:left="720" w:hanging="720"/>
        <w:jc w:val="both"/>
        <w:rPr>
          <w:rtl/>
        </w:rPr>
      </w:pPr>
    </w:p>
    <w:p w14:paraId="30B75570" w14:textId="77777777" w:rsidR="006C24F7" w:rsidRDefault="006C24F7" w:rsidP="006C24F7">
      <w:pPr>
        <w:spacing w:line="360" w:lineRule="auto"/>
        <w:ind w:left="720" w:hanging="720"/>
        <w:jc w:val="both"/>
        <w:rPr>
          <w:rtl/>
        </w:rPr>
      </w:pPr>
      <w:r>
        <w:rPr>
          <w:rFonts w:hint="cs"/>
          <w:rtl/>
        </w:rPr>
        <w:t>17.</w:t>
      </w:r>
      <w:r>
        <w:rPr>
          <w:rFonts w:hint="cs"/>
          <w:rtl/>
        </w:rPr>
        <w:tab/>
        <w:t xml:space="preserve">הנאשם לא הצביע על "נסיבות מיוחדות" שמצדיקות סטייה מתקופת המינימום ועובדת היותו "בגיר צעיר" ונעדר רישום קודם בעבירה של נהיגה בשכרות, אינן בגדר "נסיבות מיוחדות" שמכוחן ניתן לסטות מהכלל שיש לשלול את רישיון הנהיגה שלו לכל הפחות לשלושה חודשים.  </w:t>
      </w:r>
    </w:p>
    <w:p w14:paraId="04556D80" w14:textId="77777777" w:rsidR="006C24F7" w:rsidRDefault="006C24F7" w:rsidP="006C24F7">
      <w:pPr>
        <w:spacing w:line="360" w:lineRule="auto"/>
        <w:ind w:left="720" w:hanging="720"/>
        <w:jc w:val="both"/>
        <w:rPr>
          <w:rtl/>
        </w:rPr>
      </w:pPr>
    </w:p>
    <w:p w14:paraId="5C5689BC" w14:textId="77777777" w:rsidR="006C24F7" w:rsidRDefault="006C24F7" w:rsidP="006C24F7">
      <w:pPr>
        <w:spacing w:line="360" w:lineRule="auto"/>
        <w:ind w:left="720" w:hanging="720"/>
        <w:jc w:val="both"/>
        <w:rPr>
          <w:rtl/>
        </w:rPr>
      </w:pPr>
      <w:r>
        <w:rPr>
          <w:rFonts w:hint="cs"/>
          <w:rtl/>
        </w:rPr>
        <w:t>18.</w:t>
      </w:r>
      <w:r>
        <w:rPr>
          <w:rFonts w:hint="cs"/>
          <w:rtl/>
        </w:rPr>
        <w:tab/>
        <w:t>נזכיר כאן את דבריו של בית המשפט העליון על הצורך להרחיק נהגים שנוהגים בכבישים בהיותם שיכורים (בין מאלכוהול ובין מסמים), וזאת ב</w:t>
      </w:r>
      <w:hyperlink r:id="rId44" w:history="1">
        <w:r w:rsidR="003370A3" w:rsidRPr="003370A3">
          <w:rPr>
            <w:color w:val="0000FF"/>
            <w:u w:val="single"/>
            <w:rtl/>
          </w:rPr>
          <w:t>רע"פ 5297/07</w:t>
        </w:r>
      </w:hyperlink>
      <w:r>
        <w:rPr>
          <w:rFonts w:hint="cs"/>
          <w:rtl/>
        </w:rPr>
        <w:t xml:space="preserve"> </w:t>
      </w:r>
      <w:r w:rsidRPr="00E33F57">
        <w:rPr>
          <w:rFonts w:hint="cs"/>
          <w:b/>
          <w:bCs/>
          <w:rtl/>
        </w:rPr>
        <w:t>קנטורוביץ נ' מדינת ישראל</w:t>
      </w:r>
      <w:r>
        <w:rPr>
          <w:rFonts w:hint="cs"/>
          <w:rtl/>
        </w:rPr>
        <w:t xml:space="preserve"> (פורסם בנבו, 9.9.07): </w:t>
      </w:r>
    </w:p>
    <w:p w14:paraId="7EEEE103" w14:textId="77777777" w:rsidR="006C24F7" w:rsidRDefault="006C24F7" w:rsidP="006C24F7">
      <w:pPr>
        <w:spacing w:line="360" w:lineRule="auto"/>
        <w:ind w:left="720" w:hanging="720"/>
        <w:jc w:val="both"/>
        <w:rPr>
          <w:rtl/>
        </w:rPr>
      </w:pPr>
    </w:p>
    <w:p w14:paraId="2D3B29A0" w14:textId="77777777" w:rsidR="006C24F7" w:rsidRDefault="006C24F7" w:rsidP="006C24F7">
      <w:pPr>
        <w:spacing w:line="360" w:lineRule="auto"/>
        <w:ind w:left="2880"/>
        <w:jc w:val="both"/>
        <w:rPr>
          <w:rtl/>
        </w:rPr>
      </w:pPr>
      <w:r>
        <w:rPr>
          <w:rFonts w:hint="cs"/>
          <w:rtl/>
        </w:rPr>
        <w:t xml:space="preserve">"עסקינן בתופעה מאיימת שיש להירתם ולהילחם למניעתה ולהגן על ביטחון הציבור באמצעות הרחקת נהגים מסוכנים פורעי חוק מהכביש בכל דרך אפשרית (ראו: </w:t>
      </w:r>
      <w:hyperlink r:id="rId45" w:history="1">
        <w:r w:rsidR="003370A3" w:rsidRPr="003370A3">
          <w:rPr>
            <w:color w:val="0000FF"/>
            <w:u w:val="single"/>
            <w:rtl/>
          </w:rPr>
          <w:t>בש"פ 1753/07</w:t>
        </w:r>
      </w:hyperlink>
      <w:r>
        <w:rPr>
          <w:rFonts w:hint="cs"/>
          <w:rtl/>
        </w:rPr>
        <w:t xml:space="preserve"> </w:t>
      </w:r>
      <w:r w:rsidRPr="00E33F57">
        <w:rPr>
          <w:rFonts w:hint="cs"/>
          <w:b/>
          <w:bCs/>
          <w:rtl/>
        </w:rPr>
        <w:t>אבו רקייה נ' מדינת ישראל</w:t>
      </w:r>
      <w:r>
        <w:rPr>
          <w:rFonts w:hint="cs"/>
          <w:rtl/>
        </w:rPr>
        <w:t xml:space="preserve"> (טרם פורסם, 19.3.2007)). המבקש כאמור טוען כי בנסיבות בהן הוא היה צלול בדעתו, על אף העובדה שריכוז האלכוהול היה כמעט פי שניים מהמותר, היה מקום לבוא לקראתו בעניין העונש. עם כל הכבוד, טענה זו אינה מקובלת עליי. מעשהו של המבקש חמור מאוד. במעשה זה, הוא יצר סכנה בכביש שעלולה היתה לגבות מחיר פגיעה בגוף. באורח נס לא קופדו חייהם של המתהלכים כמו גם הנוהגים בכביש. סכנה זו נגזרת מהתנהגותו".</w:t>
      </w:r>
    </w:p>
    <w:p w14:paraId="51B8AA94" w14:textId="77777777" w:rsidR="006C24F7" w:rsidRDefault="006C24F7" w:rsidP="006C24F7">
      <w:pPr>
        <w:spacing w:line="360" w:lineRule="auto"/>
        <w:ind w:left="720" w:hanging="720"/>
        <w:jc w:val="both"/>
        <w:rPr>
          <w:rtl/>
        </w:rPr>
      </w:pPr>
    </w:p>
    <w:p w14:paraId="3474C63C" w14:textId="77777777" w:rsidR="006C24F7" w:rsidRPr="00E33F57" w:rsidRDefault="006C24F7" w:rsidP="006C24F7">
      <w:pPr>
        <w:spacing w:line="360" w:lineRule="auto"/>
        <w:ind w:left="720" w:hanging="720"/>
        <w:jc w:val="both"/>
        <w:rPr>
          <w:b/>
          <w:bCs/>
          <w:sz w:val="28"/>
          <w:szCs w:val="28"/>
          <w:u w:val="single"/>
          <w:rtl/>
        </w:rPr>
      </w:pPr>
      <w:r w:rsidRPr="00E33F57">
        <w:rPr>
          <w:rFonts w:hint="cs"/>
          <w:b/>
          <w:bCs/>
          <w:sz w:val="28"/>
          <w:szCs w:val="28"/>
          <w:u w:val="single"/>
          <w:rtl/>
        </w:rPr>
        <w:t>העונש המתאים בתוך מתחם העונש ההולם</w:t>
      </w:r>
    </w:p>
    <w:p w14:paraId="7EE5B6CC" w14:textId="77777777" w:rsidR="006C24F7" w:rsidRDefault="006C24F7" w:rsidP="006C24F7">
      <w:pPr>
        <w:spacing w:line="360" w:lineRule="auto"/>
        <w:ind w:left="720" w:hanging="720"/>
        <w:jc w:val="both"/>
        <w:rPr>
          <w:rtl/>
        </w:rPr>
      </w:pPr>
    </w:p>
    <w:p w14:paraId="4DA2A97E" w14:textId="77777777" w:rsidR="006C24F7" w:rsidRDefault="006C24F7" w:rsidP="006C24F7">
      <w:pPr>
        <w:spacing w:line="360" w:lineRule="auto"/>
        <w:ind w:left="720" w:hanging="720"/>
        <w:jc w:val="both"/>
        <w:rPr>
          <w:rtl/>
        </w:rPr>
      </w:pPr>
      <w:r>
        <w:rPr>
          <w:rFonts w:hint="cs"/>
          <w:rtl/>
        </w:rPr>
        <w:t>19.</w:t>
      </w:r>
      <w:r>
        <w:rPr>
          <w:rFonts w:hint="cs"/>
          <w:rtl/>
        </w:rPr>
        <w:tab/>
        <w:t xml:space="preserve">בעת קביעת העונש המתאים בתוך מתחם העונש ההולם, לקחתי בחשבון </w:t>
      </w:r>
      <w:r w:rsidRPr="00E33F57">
        <w:rPr>
          <w:rFonts w:hint="cs"/>
          <w:u w:val="single"/>
          <w:rtl/>
        </w:rPr>
        <w:t>לקולא</w:t>
      </w:r>
      <w:r>
        <w:rPr>
          <w:rFonts w:hint="cs"/>
          <w:rtl/>
        </w:rPr>
        <w:t xml:space="preserve"> את כל הנתונים שלהלן: העדר עבר פלילי; הודאה וחיסכון בזמן שיפוטי; היותו של הנאשם "בגיר צעיר". לפיכך, סבורני שיש להציב את הנאשם בחלקו התחתון של מתחם העונש ההולם, קרי מאסר על תנאי, קנס, פסילה בפועל של רישיון הנהיגה למשך שלושה חודשים ופסילה על תנאי של רישיון הנהיגה. </w:t>
      </w:r>
    </w:p>
    <w:p w14:paraId="744D2A80" w14:textId="77777777" w:rsidR="006C24F7" w:rsidRDefault="006C24F7" w:rsidP="006C24F7">
      <w:pPr>
        <w:spacing w:line="360" w:lineRule="auto"/>
        <w:ind w:left="720" w:hanging="720"/>
        <w:jc w:val="both"/>
        <w:rPr>
          <w:rtl/>
        </w:rPr>
      </w:pPr>
    </w:p>
    <w:p w14:paraId="4F6467A3" w14:textId="77777777" w:rsidR="006C24F7" w:rsidRDefault="006C24F7" w:rsidP="006C24F7">
      <w:pPr>
        <w:spacing w:line="360" w:lineRule="auto"/>
        <w:ind w:left="720" w:hanging="720"/>
        <w:jc w:val="both"/>
        <w:rPr>
          <w:rtl/>
        </w:rPr>
      </w:pPr>
      <w:r>
        <w:rPr>
          <w:rFonts w:hint="cs"/>
          <w:rtl/>
        </w:rPr>
        <w:t>20.</w:t>
      </w:r>
      <w:r>
        <w:rPr>
          <w:rFonts w:hint="cs"/>
          <w:rtl/>
        </w:rPr>
        <w:tab/>
        <w:t xml:space="preserve">לאור העובדה שבקשתו של הנאשם לביטול ההרשעה נדחתה, לא מצאתי צורך להטיל על הנאשם צו שירות לתועלת הציבור, שהוא רכיב עונשי לכל דבר ועניין, וזאת על מנת שלא להכביד בעונשו. </w:t>
      </w:r>
    </w:p>
    <w:p w14:paraId="59E8AADC" w14:textId="77777777" w:rsidR="006C24F7" w:rsidRDefault="006C24F7" w:rsidP="006C24F7">
      <w:pPr>
        <w:spacing w:line="360" w:lineRule="auto"/>
        <w:ind w:left="720" w:hanging="720"/>
        <w:jc w:val="both"/>
        <w:rPr>
          <w:rtl/>
        </w:rPr>
      </w:pPr>
    </w:p>
    <w:p w14:paraId="4DEFA12C" w14:textId="77777777" w:rsidR="006C24F7" w:rsidRDefault="006C24F7" w:rsidP="006C24F7">
      <w:pPr>
        <w:spacing w:line="360" w:lineRule="auto"/>
        <w:ind w:left="720" w:hanging="720"/>
        <w:jc w:val="both"/>
        <w:rPr>
          <w:rtl/>
        </w:rPr>
      </w:pPr>
      <w:r>
        <w:rPr>
          <w:rFonts w:hint="cs"/>
          <w:rtl/>
        </w:rPr>
        <w:t>21.</w:t>
      </w:r>
      <w:r>
        <w:rPr>
          <w:rFonts w:hint="cs"/>
          <w:rtl/>
        </w:rPr>
        <w:tab/>
        <w:t xml:space="preserve">על כן, הנני משית על הנאשם את העונשים הבאים: </w:t>
      </w:r>
    </w:p>
    <w:p w14:paraId="7D06FA5C" w14:textId="77777777" w:rsidR="006C24F7" w:rsidRDefault="006C24F7" w:rsidP="006C24F7">
      <w:pPr>
        <w:spacing w:line="360" w:lineRule="auto"/>
        <w:ind w:left="1440" w:hanging="720"/>
        <w:jc w:val="both"/>
        <w:rPr>
          <w:rtl/>
        </w:rPr>
      </w:pPr>
    </w:p>
    <w:p w14:paraId="0FBF9269" w14:textId="77777777" w:rsidR="006C24F7" w:rsidRDefault="006C24F7" w:rsidP="006C24F7">
      <w:pPr>
        <w:spacing w:line="360" w:lineRule="auto"/>
        <w:ind w:left="1440" w:hanging="720"/>
        <w:jc w:val="both"/>
        <w:rPr>
          <w:rtl/>
        </w:rPr>
      </w:pPr>
      <w:r>
        <w:rPr>
          <w:rFonts w:hint="cs"/>
          <w:rtl/>
        </w:rPr>
        <w:t>א.</w:t>
      </w:r>
      <w:r>
        <w:rPr>
          <w:rFonts w:hint="cs"/>
          <w:rtl/>
        </w:rPr>
        <w:tab/>
        <w:t xml:space="preserve">5 חודשי מאסר על תנאי והתנאי הוא שבמשך 3 שנים מהיום לא יבצע עבירה לפי </w:t>
      </w:r>
      <w:hyperlink r:id="rId46" w:history="1">
        <w:r w:rsidR="003370A3" w:rsidRPr="003370A3">
          <w:rPr>
            <w:color w:val="0000FF"/>
            <w:u w:val="single"/>
            <w:rtl/>
          </w:rPr>
          <w:t>פקודת הסמים המסוכנים</w:t>
        </w:r>
      </w:hyperlink>
      <w:r>
        <w:rPr>
          <w:rFonts w:hint="cs"/>
          <w:rtl/>
        </w:rPr>
        <w:t xml:space="preserve"> או לפי סעיפים </w:t>
      </w:r>
      <w:hyperlink r:id="rId47" w:history="1">
        <w:r w:rsidR="000D5705" w:rsidRPr="000D5705">
          <w:rPr>
            <w:color w:val="0000FF"/>
            <w:u w:val="single"/>
            <w:rtl/>
          </w:rPr>
          <w:t>186 או 338</w:t>
        </w:r>
      </w:hyperlink>
      <w:r>
        <w:rPr>
          <w:rFonts w:hint="cs"/>
          <w:rtl/>
        </w:rPr>
        <w:t xml:space="preserve"> ל</w:t>
      </w:r>
      <w:hyperlink r:id="rId48" w:history="1">
        <w:r w:rsidR="003370A3" w:rsidRPr="003370A3">
          <w:rPr>
            <w:color w:val="0000FF"/>
            <w:u w:val="single"/>
            <w:rtl/>
          </w:rPr>
          <w:t>חוק העונשין</w:t>
        </w:r>
      </w:hyperlink>
      <w:r>
        <w:rPr>
          <w:rFonts w:hint="cs"/>
          <w:rtl/>
        </w:rPr>
        <w:t xml:space="preserve">. </w:t>
      </w:r>
    </w:p>
    <w:p w14:paraId="43608AB4" w14:textId="77777777" w:rsidR="006C24F7" w:rsidRDefault="006C24F7" w:rsidP="006C24F7">
      <w:pPr>
        <w:spacing w:line="360" w:lineRule="auto"/>
        <w:ind w:left="1440" w:hanging="720"/>
        <w:jc w:val="both"/>
        <w:rPr>
          <w:rtl/>
        </w:rPr>
      </w:pPr>
    </w:p>
    <w:p w14:paraId="69B5FCF2" w14:textId="77777777" w:rsidR="006C24F7" w:rsidRDefault="006C24F7" w:rsidP="006C24F7">
      <w:pPr>
        <w:spacing w:line="360" w:lineRule="auto"/>
        <w:ind w:left="1440" w:hanging="720"/>
        <w:jc w:val="both"/>
        <w:rPr>
          <w:rtl/>
        </w:rPr>
      </w:pPr>
      <w:r>
        <w:rPr>
          <w:rFonts w:hint="cs"/>
          <w:rtl/>
        </w:rPr>
        <w:t>ב.</w:t>
      </w:r>
      <w:r>
        <w:rPr>
          <w:rFonts w:hint="cs"/>
          <w:rtl/>
        </w:rPr>
        <w:tab/>
        <w:t xml:space="preserve">הנני פוסל את הנאשם מלקבל או להחזיק רישיון נהיגה וזאת לתקופה של שלושה חודשים. תקופת הפסילה תחל עם הפקדת רישיון הנהיגה במזכירות בית המשפט. </w:t>
      </w:r>
    </w:p>
    <w:p w14:paraId="05B5BCCA" w14:textId="77777777" w:rsidR="006C24F7" w:rsidRDefault="006C24F7" w:rsidP="006C24F7">
      <w:pPr>
        <w:spacing w:line="360" w:lineRule="auto"/>
        <w:ind w:left="1440" w:hanging="720"/>
        <w:jc w:val="both"/>
        <w:rPr>
          <w:rtl/>
        </w:rPr>
      </w:pPr>
    </w:p>
    <w:p w14:paraId="281841F0" w14:textId="77777777" w:rsidR="006C24F7" w:rsidRDefault="006C24F7" w:rsidP="006C24F7">
      <w:pPr>
        <w:spacing w:line="360" w:lineRule="auto"/>
        <w:ind w:left="1440" w:hanging="720"/>
        <w:jc w:val="both"/>
        <w:rPr>
          <w:rtl/>
        </w:rPr>
      </w:pPr>
      <w:r>
        <w:rPr>
          <w:rFonts w:hint="cs"/>
          <w:rtl/>
        </w:rPr>
        <w:t>ג.</w:t>
      </w:r>
      <w:r>
        <w:rPr>
          <w:rFonts w:hint="cs"/>
          <w:rtl/>
        </w:rPr>
        <w:tab/>
        <w:t xml:space="preserve">הנני פוסל את הנאשם מלקבל או להחזיק רישיון נהיגה וזאת למשך 4 חודשים על תנאי למשך 3 שנים מהיום, והתנאי הוא שהנאשם לא יבצע עבירה לפי </w:t>
      </w:r>
      <w:hyperlink r:id="rId49" w:history="1">
        <w:r w:rsidR="003370A3" w:rsidRPr="003370A3">
          <w:rPr>
            <w:color w:val="0000FF"/>
            <w:u w:val="single"/>
            <w:rtl/>
          </w:rPr>
          <w:t>פקודת הסמים המסוכנים</w:t>
        </w:r>
      </w:hyperlink>
      <w:r>
        <w:rPr>
          <w:rFonts w:hint="cs"/>
          <w:rtl/>
        </w:rPr>
        <w:t xml:space="preserve"> או לפי </w:t>
      </w:r>
      <w:hyperlink r:id="rId50" w:history="1">
        <w:r w:rsidR="000D5705" w:rsidRPr="000D5705">
          <w:rPr>
            <w:color w:val="0000FF"/>
            <w:u w:val="single"/>
            <w:rtl/>
          </w:rPr>
          <w:t>תקנה 26(2)</w:t>
        </w:r>
      </w:hyperlink>
      <w:r>
        <w:rPr>
          <w:rFonts w:hint="cs"/>
          <w:rtl/>
        </w:rPr>
        <w:t xml:space="preserve"> ל</w:t>
      </w:r>
      <w:hyperlink r:id="rId51" w:history="1">
        <w:r w:rsidR="003370A3" w:rsidRPr="003370A3">
          <w:rPr>
            <w:color w:val="0000FF"/>
            <w:u w:val="single"/>
            <w:rtl/>
          </w:rPr>
          <w:t>תקנות התעבורה</w:t>
        </w:r>
      </w:hyperlink>
      <w:r>
        <w:rPr>
          <w:rFonts w:hint="cs"/>
          <w:rtl/>
        </w:rPr>
        <w:t xml:space="preserve"> או לפי </w:t>
      </w:r>
      <w:hyperlink r:id="rId52" w:history="1">
        <w:r w:rsidR="000D5705" w:rsidRPr="000D5705">
          <w:rPr>
            <w:color w:val="0000FF"/>
            <w:u w:val="single"/>
            <w:rtl/>
          </w:rPr>
          <w:t>סעיף 62(3)</w:t>
        </w:r>
      </w:hyperlink>
      <w:r>
        <w:rPr>
          <w:rFonts w:hint="cs"/>
          <w:rtl/>
        </w:rPr>
        <w:t xml:space="preserve"> ל</w:t>
      </w:r>
      <w:hyperlink r:id="rId53" w:history="1">
        <w:r w:rsidR="003370A3" w:rsidRPr="003370A3">
          <w:rPr>
            <w:color w:val="0000FF"/>
            <w:u w:val="single"/>
            <w:rtl/>
          </w:rPr>
          <w:t>פקודת התעבורה</w:t>
        </w:r>
      </w:hyperlink>
      <w:r>
        <w:rPr>
          <w:rFonts w:hint="cs"/>
          <w:rtl/>
        </w:rPr>
        <w:t xml:space="preserve">. </w:t>
      </w:r>
    </w:p>
    <w:p w14:paraId="45A662A3" w14:textId="77777777" w:rsidR="006C24F7" w:rsidRDefault="006C24F7" w:rsidP="006C24F7">
      <w:pPr>
        <w:spacing w:line="360" w:lineRule="auto"/>
        <w:ind w:left="1440" w:hanging="720"/>
        <w:jc w:val="both"/>
        <w:rPr>
          <w:rtl/>
        </w:rPr>
      </w:pPr>
    </w:p>
    <w:p w14:paraId="1B22E7E0" w14:textId="77777777" w:rsidR="006C24F7" w:rsidRPr="005C4D2F" w:rsidRDefault="006C24F7" w:rsidP="006C24F7">
      <w:pPr>
        <w:spacing w:line="360" w:lineRule="auto"/>
        <w:ind w:left="1440" w:hanging="720"/>
        <w:jc w:val="both"/>
      </w:pPr>
      <w:r>
        <w:rPr>
          <w:rFonts w:hint="cs"/>
          <w:rtl/>
        </w:rPr>
        <w:t>ד.</w:t>
      </w:r>
      <w:r>
        <w:rPr>
          <w:rtl/>
        </w:rPr>
        <w:tab/>
      </w:r>
      <w:r w:rsidRPr="005C4D2F">
        <w:rPr>
          <w:rFonts w:hint="cs"/>
          <w:rtl/>
        </w:rPr>
        <w:t xml:space="preserve">הנאשם ישלם קנס בסך  </w:t>
      </w:r>
      <w:r>
        <w:rPr>
          <w:rFonts w:hint="cs"/>
          <w:rtl/>
        </w:rPr>
        <w:t>5,000</w:t>
      </w:r>
      <w:r w:rsidRPr="005C4D2F">
        <w:rPr>
          <w:rFonts w:hint="cs"/>
          <w:rtl/>
        </w:rPr>
        <w:t xml:space="preserve"> ₪, או  </w:t>
      </w:r>
      <w:r>
        <w:rPr>
          <w:rFonts w:hint="cs"/>
          <w:rtl/>
        </w:rPr>
        <w:t>15</w:t>
      </w:r>
      <w:r w:rsidRPr="005C4D2F">
        <w:rPr>
          <w:rFonts w:hint="cs"/>
          <w:rtl/>
        </w:rPr>
        <w:t xml:space="preserve">  ימי מאסר תמורתו. הקנס ישולם ב-</w:t>
      </w:r>
      <w:r>
        <w:rPr>
          <w:rFonts w:hint="cs"/>
          <w:rtl/>
        </w:rPr>
        <w:t>10</w:t>
      </w:r>
      <w:r w:rsidRPr="005C4D2F">
        <w:rPr>
          <w:rFonts w:hint="cs"/>
          <w:rtl/>
        </w:rPr>
        <w:t xml:space="preserve"> תשלומים חודשי</w:t>
      </w:r>
      <w:r>
        <w:rPr>
          <w:rFonts w:hint="cs"/>
          <w:rtl/>
        </w:rPr>
        <w:t>י</w:t>
      </w:r>
      <w:r w:rsidRPr="005C4D2F">
        <w:rPr>
          <w:rFonts w:hint="cs"/>
          <w:rtl/>
        </w:rPr>
        <w:t xml:space="preserve">ם שווים ורצופים כאשר הראשון שבהם עד ליום </w:t>
      </w:r>
      <w:r>
        <w:rPr>
          <w:rFonts w:hint="cs"/>
          <w:rtl/>
        </w:rPr>
        <w:t xml:space="preserve">15.12.19 </w:t>
      </w:r>
      <w:r w:rsidRPr="005C4D2F">
        <w:rPr>
          <w:rFonts w:hint="cs"/>
          <w:rtl/>
        </w:rPr>
        <w:t>והיתרה ב-</w:t>
      </w:r>
      <w:r>
        <w:rPr>
          <w:rFonts w:hint="cs"/>
          <w:rtl/>
        </w:rPr>
        <w:t>15</w:t>
      </w:r>
      <w:r w:rsidRPr="005C4D2F">
        <w:rPr>
          <w:rFonts w:hint="cs"/>
          <w:rtl/>
        </w:rPr>
        <w:t xml:space="preserve"> לכל חודש שלאחריו. היה ואחד התשלומים לא ישולם במועד, אזי יעמוד מלוא סכום הקנס לפ</w:t>
      </w:r>
      <w:r>
        <w:rPr>
          <w:rFonts w:hint="cs"/>
          <w:rtl/>
        </w:rPr>
        <w:t>י</w:t>
      </w:r>
      <w:r w:rsidRPr="005C4D2F">
        <w:rPr>
          <w:rFonts w:hint="cs"/>
          <w:rtl/>
        </w:rPr>
        <w:t xml:space="preserve">רעון מידי. </w:t>
      </w:r>
    </w:p>
    <w:p w14:paraId="25263BFE" w14:textId="77777777" w:rsidR="006C24F7" w:rsidRDefault="006C24F7" w:rsidP="006C24F7">
      <w:pPr>
        <w:spacing w:line="360" w:lineRule="auto"/>
        <w:ind w:left="720" w:hanging="720"/>
        <w:jc w:val="both"/>
        <w:rPr>
          <w:rtl/>
        </w:rPr>
      </w:pPr>
    </w:p>
    <w:p w14:paraId="46D83AEB" w14:textId="77777777" w:rsidR="006C24F7" w:rsidRPr="00B05847" w:rsidRDefault="006C24F7" w:rsidP="006C24F7">
      <w:pPr>
        <w:spacing w:line="360" w:lineRule="auto"/>
        <w:ind w:left="720" w:hanging="720"/>
        <w:jc w:val="both"/>
        <w:rPr>
          <w:rtl/>
        </w:rPr>
      </w:pPr>
      <w:r>
        <w:rPr>
          <w:rFonts w:hint="cs"/>
          <w:rtl/>
        </w:rPr>
        <w:t xml:space="preserve">זכות ערעור תוך 45 יום. </w:t>
      </w:r>
    </w:p>
    <w:p w14:paraId="70591353" w14:textId="77777777" w:rsidR="006C24F7" w:rsidRPr="00B05847" w:rsidRDefault="006C24F7" w:rsidP="006C24F7">
      <w:pPr>
        <w:jc w:val="both"/>
        <w:rPr>
          <w:rtl/>
        </w:rPr>
      </w:pPr>
    </w:p>
    <w:p w14:paraId="24473BB5" w14:textId="77777777" w:rsidR="006C24F7" w:rsidRPr="003370A3" w:rsidRDefault="003370A3" w:rsidP="006C24F7">
      <w:pPr>
        <w:jc w:val="both"/>
        <w:rPr>
          <w:color w:val="FFFFFF"/>
          <w:sz w:val="2"/>
          <w:szCs w:val="2"/>
          <w:rtl/>
        </w:rPr>
      </w:pPr>
      <w:r w:rsidRPr="003370A3">
        <w:rPr>
          <w:color w:val="FFFFFF"/>
          <w:sz w:val="2"/>
          <w:szCs w:val="2"/>
          <w:rtl/>
        </w:rPr>
        <w:t>5129371</w:t>
      </w:r>
    </w:p>
    <w:p w14:paraId="5BCA5F9A" w14:textId="77777777" w:rsidR="006C24F7" w:rsidRDefault="003370A3" w:rsidP="006C24F7">
      <w:pPr>
        <w:jc w:val="both"/>
        <w:rPr>
          <w:rFonts w:cs="FrankRuehl"/>
          <w:sz w:val="28"/>
          <w:szCs w:val="28"/>
          <w:rtl/>
        </w:rPr>
      </w:pPr>
      <w:bookmarkStart w:id="8" w:name="Nitan"/>
      <w:r w:rsidRPr="003370A3">
        <w:rPr>
          <w:rFonts w:ascii="Arial" w:hAnsi="Arial"/>
          <w:color w:val="FFFFFF"/>
          <w:sz w:val="2"/>
          <w:szCs w:val="2"/>
          <w:rtl/>
        </w:rPr>
        <w:t>54678313</w:t>
      </w:r>
      <w:r>
        <w:rPr>
          <w:rFonts w:ascii="Arial" w:hAnsi="Arial"/>
          <w:rtl/>
        </w:rPr>
        <w:t xml:space="preserve">ניתן היום,  א' חשוון תש"פ, 30 אוקטובר 2019, במעמד הצדדים. </w:t>
      </w:r>
      <w:bookmarkEnd w:id="8"/>
    </w:p>
    <w:p w14:paraId="7DC27068" w14:textId="77777777" w:rsidR="006C24F7" w:rsidRDefault="006C24F7" w:rsidP="003370A3">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75F4157" w14:textId="77777777" w:rsidR="006C24F7" w:rsidRDefault="006C24F7" w:rsidP="006C24F7">
      <w:pPr>
        <w:jc w:val="both"/>
        <w:rPr>
          <w:rFonts w:ascii="Arial" w:hAnsi="Arial" w:cs="FrankRuehl"/>
          <w:sz w:val="28"/>
          <w:szCs w:val="28"/>
          <w:rtl/>
        </w:rPr>
      </w:pPr>
    </w:p>
    <w:p w14:paraId="0C5A6E51" w14:textId="77777777" w:rsidR="006C24F7" w:rsidRDefault="006C24F7" w:rsidP="006C24F7">
      <w:pPr>
        <w:jc w:val="both"/>
        <w:rPr>
          <w:rFonts w:cs="FrankRuehl"/>
          <w:sz w:val="28"/>
          <w:szCs w:val="28"/>
          <w:rtl/>
        </w:rPr>
      </w:pPr>
    </w:p>
    <w:p w14:paraId="0446C663" w14:textId="77777777" w:rsidR="006C24F7" w:rsidRPr="000D5705" w:rsidRDefault="000D5705" w:rsidP="006C24F7">
      <w:pPr>
        <w:pStyle w:val="a3"/>
        <w:jc w:val="both"/>
        <w:rPr>
          <w:color w:val="FFFFFF"/>
          <w:sz w:val="2"/>
          <w:szCs w:val="2"/>
          <w:rtl/>
        </w:rPr>
      </w:pPr>
      <w:r w:rsidRPr="000D5705">
        <w:rPr>
          <w:color w:val="FFFFFF"/>
          <w:sz w:val="2"/>
          <w:szCs w:val="2"/>
          <w:rtl/>
        </w:rPr>
        <w:t>5129371</w:t>
      </w:r>
    </w:p>
    <w:p w14:paraId="2A3576D8" w14:textId="77777777" w:rsidR="006623CD" w:rsidRPr="000D5705" w:rsidRDefault="000D5705" w:rsidP="003370A3">
      <w:pPr>
        <w:keepNext/>
        <w:rPr>
          <w:rFonts w:ascii="David" w:hAnsi="David"/>
          <w:color w:val="FFFFFF"/>
          <w:sz w:val="2"/>
          <w:szCs w:val="2"/>
          <w:rtl/>
        </w:rPr>
      </w:pPr>
      <w:r w:rsidRPr="000D5705">
        <w:rPr>
          <w:rFonts w:ascii="David" w:hAnsi="David"/>
          <w:color w:val="FFFFFF"/>
          <w:sz w:val="2"/>
          <w:szCs w:val="2"/>
          <w:rtl/>
        </w:rPr>
        <w:t>54678313</w:t>
      </w:r>
    </w:p>
    <w:p w14:paraId="601CFCC1" w14:textId="77777777" w:rsidR="003370A3" w:rsidRDefault="003370A3" w:rsidP="003370A3">
      <w:pPr>
        <w:rPr>
          <w:rtl/>
        </w:rPr>
      </w:pPr>
    </w:p>
    <w:p w14:paraId="53197278" w14:textId="77777777" w:rsidR="003370A3" w:rsidRDefault="003370A3" w:rsidP="003370A3">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12495730" w14:textId="77777777" w:rsidR="000D5705" w:rsidRPr="000D5705" w:rsidRDefault="000D5705" w:rsidP="000D5705">
      <w:pPr>
        <w:keepNext/>
        <w:rPr>
          <w:rFonts w:ascii="David" w:hAnsi="David"/>
          <w:color w:val="000000"/>
          <w:sz w:val="22"/>
          <w:szCs w:val="22"/>
          <w:rtl/>
        </w:rPr>
      </w:pPr>
    </w:p>
    <w:p w14:paraId="22A28E00" w14:textId="77777777" w:rsidR="000D5705" w:rsidRPr="000D5705" w:rsidRDefault="000D5705" w:rsidP="000D5705">
      <w:pPr>
        <w:keepNext/>
        <w:rPr>
          <w:rFonts w:ascii="David" w:hAnsi="David"/>
          <w:color w:val="000000"/>
          <w:sz w:val="22"/>
          <w:szCs w:val="22"/>
          <w:rtl/>
        </w:rPr>
      </w:pPr>
      <w:r w:rsidRPr="000D5705">
        <w:rPr>
          <w:rFonts w:ascii="David" w:hAnsi="David"/>
          <w:color w:val="000000"/>
          <w:sz w:val="22"/>
          <w:szCs w:val="22"/>
          <w:rtl/>
        </w:rPr>
        <w:t>הישאם אבו שחאדה 54678313-/</w:t>
      </w:r>
    </w:p>
    <w:p w14:paraId="512E6D5E" w14:textId="77777777" w:rsidR="003370A3" w:rsidRPr="003370A3" w:rsidRDefault="000D5705" w:rsidP="000D5705">
      <w:pPr>
        <w:rPr>
          <w:color w:val="0000FF"/>
          <w:u w:val="single"/>
        </w:rPr>
      </w:pPr>
      <w:r w:rsidRPr="000D5705">
        <w:rPr>
          <w:color w:val="000000"/>
          <w:u w:val="single"/>
          <w:rtl/>
        </w:rPr>
        <w:t>נוסח מסמך זה כפוף לשינויי ניסוח ועריכה</w:t>
      </w:r>
    </w:p>
    <w:sectPr w:rsidR="003370A3" w:rsidRPr="003370A3" w:rsidSect="000D5705">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0DF25" w14:textId="77777777" w:rsidR="00684E3C" w:rsidRDefault="00684E3C" w:rsidP="00CC4A6D">
      <w:r>
        <w:separator/>
      </w:r>
    </w:p>
  </w:endnote>
  <w:endnote w:type="continuationSeparator" w:id="0">
    <w:p w14:paraId="7161E34F" w14:textId="77777777" w:rsidR="00684E3C" w:rsidRDefault="00684E3C" w:rsidP="00CC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7E60" w14:textId="77777777" w:rsidR="000D5705" w:rsidRDefault="000D5705" w:rsidP="000D57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07F3CD" w14:textId="77777777" w:rsidR="00F6693E" w:rsidRPr="000D5705" w:rsidRDefault="000D5705" w:rsidP="000D5705">
    <w:pPr>
      <w:pStyle w:val="a5"/>
      <w:pBdr>
        <w:top w:val="single" w:sz="4" w:space="1" w:color="auto"/>
        <w:between w:val="single" w:sz="4" w:space="0" w:color="auto"/>
      </w:pBdr>
      <w:spacing w:after="60"/>
      <w:jc w:val="center"/>
      <w:rPr>
        <w:rFonts w:ascii="FrankRuehl" w:hAnsi="FrankRuehl" w:cs="FrankRuehl"/>
        <w:color w:val="000000"/>
      </w:rPr>
    </w:pPr>
    <w:r w:rsidRPr="000D57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C7950" w14:textId="77777777" w:rsidR="000D5705" w:rsidRDefault="000D5705" w:rsidP="000D57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6903">
      <w:rPr>
        <w:rFonts w:ascii="FrankRuehl" w:hAnsi="FrankRuehl" w:cs="FrankRuehl"/>
        <w:noProof/>
        <w:rtl/>
      </w:rPr>
      <w:t>1</w:t>
    </w:r>
    <w:r>
      <w:rPr>
        <w:rFonts w:ascii="FrankRuehl" w:hAnsi="FrankRuehl" w:cs="FrankRuehl"/>
        <w:rtl/>
      </w:rPr>
      <w:fldChar w:fldCharType="end"/>
    </w:r>
  </w:p>
  <w:p w14:paraId="24F6E8D3" w14:textId="77777777" w:rsidR="00F6693E" w:rsidRPr="000D5705" w:rsidRDefault="000D5705" w:rsidP="000D5705">
    <w:pPr>
      <w:pStyle w:val="a5"/>
      <w:pBdr>
        <w:top w:val="single" w:sz="4" w:space="1" w:color="auto"/>
        <w:between w:val="single" w:sz="4" w:space="0" w:color="auto"/>
      </w:pBdr>
      <w:spacing w:after="60"/>
      <w:jc w:val="center"/>
      <w:rPr>
        <w:rFonts w:ascii="FrankRuehl" w:hAnsi="FrankRuehl" w:cs="FrankRuehl"/>
        <w:color w:val="000000"/>
      </w:rPr>
    </w:pPr>
    <w:r w:rsidRPr="000D5705">
      <w:rPr>
        <w:rFonts w:ascii="FrankRuehl" w:hAnsi="FrankRuehl" w:cs="FrankRuehl"/>
        <w:color w:val="000000"/>
      </w:rPr>
      <w:pict w14:anchorId="3AC19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1714A" w14:textId="77777777" w:rsidR="00684E3C" w:rsidRDefault="00684E3C" w:rsidP="00CC4A6D">
      <w:r>
        <w:separator/>
      </w:r>
    </w:p>
  </w:footnote>
  <w:footnote w:type="continuationSeparator" w:id="0">
    <w:p w14:paraId="49E15B0C" w14:textId="77777777" w:rsidR="00684E3C" w:rsidRDefault="00684E3C" w:rsidP="00CC4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1C5E4" w14:textId="77777777" w:rsidR="003370A3" w:rsidRPr="000D5705" w:rsidRDefault="000D5705" w:rsidP="000D57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27890-10-18</w:t>
    </w:r>
    <w:r>
      <w:rPr>
        <w:rFonts w:ascii="David" w:hAnsi="David"/>
        <w:color w:val="000000"/>
        <w:sz w:val="22"/>
        <w:szCs w:val="22"/>
        <w:rtl/>
      </w:rPr>
      <w:tab/>
      <w:t xml:space="preserve"> מדינת ישראל נ' רועי רייגאן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9D52E" w14:textId="77777777" w:rsidR="003370A3" w:rsidRPr="000D5705" w:rsidRDefault="000D5705" w:rsidP="000D57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27890-10-18</w:t>
    </w:r>
    <w:r>
      <w:rPr>
        <w:rFonts w:ascii="David" w:hAnsi="David"/>
        <w:color w:val="000000"/>
        <w:sz w:val="22"/>
        <w:szCs w:val="22"/>
        <w:rtl/>
      </w:rPr>
      <w:tab/>
      <w:t xml:space="preserve"> מדינת ישראל נ' רועי רייגאן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24F7"/>
    <w:rsid w:val="000D5705"/>
    <w:rsid w:val="003370A3"/>
    <w:rsid w:val="00381020"/>
    <w:rsid w:val="006623CD"/>
    <w:rsid w:val="00684E3C"/>
    <w:rsid w:val="006C24F7"/>
    <w:rsid w:val="00AD178B"/>
    <w:rsid w:val="00CC4A6D"/>
    <w:rsid w:val="00D1060D"/>
    <w:rsid w:val="00F6693E"/>
    <w:rsid w:val="00F869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CCFF7D"/>
  <w15:chartTrackingRefBased/>
  <w15:docId w15:val="{2A133E5B-C610-4BE4-81B8-9F3703D1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24F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24F7"/>
    <w:pPr>
      <w:tabs>
        <w:tab w:val="center" w:pos="4153"/>
        <w:tab w:val="right" w:pos="8306"/>
      </w:tabs>
    </w:pPr>
  </w:style>
  <w:style w:type="character" w:customStyle="1" w:styleId="a4">
    <w:name w:val="כותרת עליונה תו"/>
    <w:link w:val="a3"/>
    <w:rsid w:val="006C24F7"/>
    <w:rPr>
      <w:rFonts w:ascii="Times New Roman" w:eastAsia="Times New Roman" w:hAnsi="Times New Roman" w:cs="David"/>
      <w:sz w:val="24"/>
      <w:szCs w:val="24"/>
    </w:rPr>
  </w:style>
  <w:style w:type="paragraph" w:styleId="a5">
    <w:name w:val="footer"/>
    <w:basedOn w:val="a"/>
    <w:link w:val="a6"/>
    <w:rsid w:val="006C24F7"/>
    <w:pPr>
      <w:tabs>
        <w:tab w:val="center" w:pos="4153"/>
        <w:tab w:val="right" w:pos="8306"/>
      </w:tabs>
    </w:pPr>
  </w:style>
  <w:style w:type="character" w:customStyle="1" w:styleId="a6">
    <w:name w:val="כותרת תחתונה תו"/>
    <w:link w:val="a5"/>
    <w:rsid w:val="006C24F7"/>
    <w:rPr>
      <w:rFonts w:ascii="Times New Roman" w:eastAsia="Times New Roman" w:hAnsi="Times New Roman" w:cs="David"/>
      <w:sz w:val="24"/>
      <w:szCs w:val="24"/>
    </w:rPr>
  </w:style>
  <w:style w:type="table" w:styleId="a7">
    <w:name w:val="Table Grid"/>
    <w:basedOn w:val="a1"/>
    <w:rsid w:val="006C24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C24F7"/>
  </w:style>
  <w:style w:type="character" w:styleId="Hyperlink">
    <w:name w:val="Hyperlink"/>
    <w:rsid w:val="006C2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a.1" TargetMode="External"/><Relationship Id="rId18" Type="http://schemas.openxmlformats.org/officeDocument/2006/relationships/hyperlink" Target="http://www.nevo.co.il/law/5227/62.3" TargetMode="External"/><Relationship Id="rId26" Type="http://schemas.openxmlformats.org/officeDocument/2006/relationships/hyperlink" Target="http://www.nevo.co.il/case/17014781" TargetMode="External"/><Relationship Id="rId39" Type="http://schemas.openxmlformats.org/officeDocument/2006/relationships/hyperlink" Target="http://www.nevo.co.il/law/74274" TargetMode="External"/><Relationship Id="rId21" Type="http://schemas.openxmlformats.org/officeDocument/2006/relationships/hyperlink" Target="http://www.nevo.co.il/law/70301/186.a" TargetMode="External"/><Relationship Id="rId34" Type="http://schemas.openxmlformats.org/officeDocument/2006/relationships/hyperlink" Target="http://www.nevo.co.il/case/5995351" TargetMode="External"/><Relationship Id="rId42" Type="http://schemas.openxmlformats.org/officeDocument/2006/relationships/hyperlink" Target="http://www.nevo.co.il/law/74274/26.2" TargetMode="External"/><Relationship Id="rId47" Type="http://schemas.openxmlformats.org/officeDocument/2006/relationships/hyperlink" Target="http://www.nevo.co.il/law/70301/186;338" TargetMode="External"/><Relationship Id="rId50" Type="http://schemas.openxmlformats.org/officeDocument/2006/relationships/hyperlink" Target="http://www.nevo.co.il/law/74274/26.2" TargetMode="External"/><Relationship Id="rId55" Type="http://schemas.openxmlformats.org/officeDocument/2006/relationships/header" Target="head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5227" TargetMode="External"/><Relationship Id="rId29" Type="http://schemas.openxmlformats.org/officeDocument/2006/relationships/hyperlink" Target="http://www.nevo.co.il/case/5581570"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law/74274/26.2" TargetMode="External"/><Relationship Id="rId32" Type="http://schemas.openxmlformats.org/officeDocument/2006/relationships/hyperlink" Target="http://www.nevo.co.il/case/5580957" TargetMode="External"/><Relationship Id="rId37" Type="http://schemas.openxmlformats.org/officeDocument/2006/relationships/hyperlink" Target="http://www.nevo.co.il/case/6167814" TargetMode="External"/><Relationship Id="rId40" Type="http://schemas.openxmlformats.org/officeDocument/2006/relationships/hyperlink" Target="http://www.nevo.co.il/law/5227/38" TargetMode="External"/><Relationship Id="rId45" Type="http://schemas.openxmlformats.org/officeDocument/2006/relationships/hyperlink" Target="http://www.nevo.co.il/case/5789349" TargetMode="External"/><Relationship Id="rId53" Type="http://schemas.openxmlformats.org/officeDocument/2006/relationships/hyperlink" Target="http://www.nevo.co.il/law/5227"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4216/7.a.;7.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4274"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7954445" TargetMode="External"/><Relationship Id="rId30" Type="http://schemas.openxmlformats.org/officeDocument/2006/relationships/hyperlink" Target="http://www.nevo.co.il/case/5585964" TargetMode="External"/><Relationship Id="rId35" Type="http://schemas.openxmlformats.org/officeDocument/2006/relationships/hyperlink" Target="http://www.nevo.co.il/case/5583078" TargetMode="External"/><Relationship Id="rId43" Type="http://schemas.openxmlformats.org/officeDocument/2006/relationships/hyperlink" Target="http://www.nevo.co.il/law/74274" TargetMode="External"/><Relationship Id="rId48" Type="http://schemas.openxmlformats.org/officeDocument/2006/relationships/hyperlink" Target="http://www.nevo.co.il/law/70301" TargetMode="External"/><Relationship Id="rId56"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hyperlink" Target="http://www.nevo.co.il/law/74274" TargetMode="External"/><Relationship Id="rId3" Type="http://schemas.openxmlformats.org/officeDocument/2006/relationships/webSettings" Target="webSettings.xml"/><Relationship Id="rId12" Type="http://schemas.openxmlformats.org/officeDocument/2006/relationships/hyperlink" Target="http://www.nevo.co.il/law/70301/338" TargetMode="External"/><Relationship Id="rId17" Type="http://schemas.openxmlformats.org/officeDocument/2006/relationships/hyperlink" Target="http://www.nevo.co.il/law/5227/38" TargetMode="External"/><Relationship Id="rId25" Type="http://schemas.openxmlformats.org/officeDocument/2006/relationships/hyperlink" Target="http://www.nevo.co.il/law/74274" TargetMode="External"/><Relationship Id="rId33" Type="http://schemas.openxmlformats.org/officeDocument/2006/relationships/hyperlink" Target="http://www.nevo.co.il/case/5865972" TargetMode="External"/><Relationship Id="rId38" Type="http://schemas.openxmlformats.org/officeDocument/2006/relationships/hyperlink" Target="http://www.nevo.co.il/law/74274/26.2" TargetMode="External"/><Relationship Id="rId46" Type="http://schemas.openxmlformats.org/officeDocument/2006/relationships/hyperlink" Target="http://www.nevo.co.il/law/4216" TargetMode="External"/><Relationship Id="rId59"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law/5227"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4274/26.2" TargetMode="External"/><Relationship Id="rId23" Type="http://schemas.openxmlformats.org/officeDocument/2006/relationships/hyperlink" Target="http://www.nevo.co.il/law/70301/338.a.1" TargetMode="External"/><Relationship Id="rId28" Type="http://schemas.openxmlformats.org/officeDocument/2006/relationships/hyperlink" Target="http://www.nevo.co.il/case/5611948" TargetMode="External"/><Relationship Id="rId36" Type="http://schemas.openxmlformats.org/officeDocument/2006/relationships/hyperlink" Target="http://www.nevo.co.il/case/18080542" TargetMode="External"/><Relationship Id="rId49" Type="http://schemas.openxmlformats.org/officeDocument/2006/relationships/hyperlink" Target="http://www.nevo.co.il/law/4216" TargetMode="External"/><Relationship Id="rId57" Type="http://schemas.openxmlformats.org/officeDocument/2006/relationships/footer" Target="footer1.xml"/><Relationship Id="rId10" Type="http://schemas.openxmlformats.org/officeDocument/2006/relationships/hyperlink" Target="http://www.nevo.co.il/law/70301/186" TargetMode="External"/><Relationship Id="rId31" Type="http://schemas.openxmlformats.org/officeDocument/2006/relationships/hyperlink" Target="http://www.nevo.co.il/case/5576278" TargetMode="External"/><Relationship Id="rId44" Type="http://schemas.openxmlformats.org/officeDocument/2006/relationships/hyperlink" Target="http://www.nevo.co.il/case/6004557" TargetMode="External"/><Relationship Id="rId52" Type="http://schemas.openxmlformats.org/officeDocument/2006/relationships/hyperlink" Target="http://www.nevo.co.il/law/5227/62.3"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2178</Words>
  <Characters>10895</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13047</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8323175</vt:i4>
      </vt:variant>
      <vt:variant>
        <vt:i4>141</vt:i4>
      </vt:variant>
      <vt:variant>
        <vt:i4>0</vt:i4>
      </vt:variant>
      <vt:variant>
        <vt:i4>5</vt:i4>
      </vt:variant>
      <vt:variant>
        <vt:lpwstr>http://www.nevo.co.il/law/5227</vt:lpwstr>
      </vt:variant>
      <vt:variant>
        <vt:lpwstr/>
      </vt:variant>
      <vt:variant>
        <vt:i4>6750330</vt:i4>
      </vt:variant>
      <vt:variant>
        <vt:i4>138</vt:i4>
      </vt:variant>
      <vt:variant>
        <vt:i4>0</vt:i4>
      </vt:variant>
      <vt:variant>
        <vt:i4>5</vt:i4>
      </vt:variant>
      <vt:variant>
        <vt:lpwstr>http://www.nevo.co.il/law/5227/62.3</vt:lpwstr>
      </vt:variant>
      <vt:variant>
        <vt:lpwstr/>
      </vt:variant>
      <vt:variant>
        <vt:i4>7929957</vt:i4>
      </vt:variant>
      <vt:variant>
        <vt:i4>135</vt:i4>
      </vt:variant>
      <vt:variant>
        <vt:i4>0</vt:i4>
      </vt:variant>
      <vt:variant>
        <vt:i4>5</vt:i4>
      </vt:variant>
      <vt:variant>
        <vt:lpwstr>http://www.nevo.co.il/law/74274</vt:lpwstr>
      </vt:variant>
      <vt:variant>
        <vt:lpwstr/>
      </vt:variant>
      <vt:variant>
        <vt:i4>5374029</vt:i4>
      </vt:variant>
      <vt:variant>
        <vt:i4>132</vt:i4>
      </vt:variant>
      <vt:variant>
        <vt:i4>0</vt:i4>
      </vt:variant>
      <vt:variant>
        <vt:i4>5</vt:i4>
      </vt:variant>
      <vt:variant>
        <vt:lpwstr>http://www.nevo.co.il/law/74274/26.2</vt:lpwstr>
      </vt:variant>
      <vt:variant>
        <vt:lpwstr/>
      </vt:variant>
      <vt:variant>
        <vt:i4>8257637</vt:i4>
      </vt:variant>
      <vt:variant>
        <vt:i4>129</vt:i4>
      </vt:variant>
      <vt:variant>
        <vt:i4>0</vt:i4>
      </vt:variant>
      <vt:variant>
        <vt:i4>5</vt:i4>
      </vt:variant>
      <vt:variant>
        <vt:lpwstr>http://www.nevo.co.il/law/4216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http://www.nevo.co.il/law/70301/186;338</vt:lpwstr>
      </vt:variant>
      <vt:variant>
        <vt:lpwstr/>
      </vt:variant>
      <vt:variant>
        <vt:i4>8257637</vt:i4>
      </vt:variant>
      <vt:variant>
        <vt:i4>120</vt:i4>
      </vt:variant>
      <vt:variant>
        <vt:i4>0</vt:i4>
      </vt:variant>
      <vt:variant>
        <vt:i4>5</vt:i4>
      </vt:variant>
      <vt:variant>
        <vt:lpwstr>http://www.nevo.co.il/law/4216</vt:lpwstr>
      </vt:variant>
      <vt:variant>
        <vt:lpwstr/>
      </vt:variant>
      <vt:variant>
        <vt:i4>3604606</vt:i4>
      </vt:variant>
      <vt:variant>
        <vt:i4>117</vt:i4>
      </vt:variant>
      <vt:variant>
        <vt:i4>0</vt:i4>
      </vt:variant>
      <vt:variant>
        <vt:i4>5</vt:i4>
      </vt:variant>
      <vt:variant>
        <vt:lpwstr>http://www.nevo.co.il/case/5789349</vt:lpwstr>
      </vt:variant>
      <vt:variant>
        <vt:lpwstr/>
      </vt:variant>
      <vt:variant>
        <vt:i4>3407989</vt:i4>
      </vt:variant>
      <vt:variant>
        <vt:i4>114</vt:i4>
      </vt:variant>
      <vt:variant>
        <vt:i4>0</vt:i4>
      </vt:variant>
      <vt:variant>
        <vt:i4>5</vt:i4>
      </vt:variant>
      <vt:variant>
        <vt:lpwstr>http://www.nevo.co.il/case/6004557</vt:lpwstr>
      </vt:variant>
      <vt:variant>
        <vt:lpwstr/>
      </vt:variant>
      <vt:variant>
        <vt:i4>7929957</vt:i4>
      </vt:variant>
      <vt:variant>
        <vt:i4>111</vt:i4>
      </vt:variant>
      <vt:variant>
        <vt:i4>0</vt:i4>
      </vt:variant>
      <vt:variant>
        <vt:i4>5</vt:i4>
      </vt:variant>
      <vt:variant>
        <vt:lpwstr>http://www.nevo.co.il/law/74274</vt:lpwstr>
      </vt:variant>
      <vt:variant>
        <vt:lpwstr/>
      </vt:variant>
      <vt:variant>
        <vt:i4>5374029</vt:i4>
      </vt:variant>
      <vt:variant>
        <vt:i4>108</vt:i4>
      </vt:variant>
      <vt:variant>
        <vt:i4>0</vt:i4>
      </vt:variant>
      <vt:variant>
        <vt:i4>5</vt:i4>
      </vt:variant>
      <vt:variant>
        <vt:lpwstr>http://www.nevo.co.il/law/74274/26.2</vt:lpwstr>
      </vt:variant>
      <vt:variant>
        <vt:lpwstr/>
      </vt:variant>
      <vt:variant>
        <vt:i4>8323175</vt:i4>
      </vt:variant>
      <vt:variant>
        <vt:i4>105</vt:i4>
      </vt:variant>
      <vt:variant>
        <vt:i4>0</vt:i4>
      </vt:variant>
      <vt:variant>
        <vt:i4>5</vt:i4>
      </vt:variant>
      <vt:variant>
        <vt:lpwstr>http://www.nevo.co.il/law/5227</vt:lpwstr>
      </vt:variant>
      <vt:variant>
        <vt:lpwstr/>
      </vt:variant>
      <vt:variant>
        <vt:i4>4980808</vt:i4>
      </vt:variant>
      <vt:variant>
        <vt:i4>102</vt:i4>
      </vt:variant>
      <vt:variant>
        <vt:i4>0</vt:i4>
      </vt:variant>
      <vt:variant>
        <vt:i4>5</vt:i4>
      </vt:variant>
      <vt:variant>
        <vt:lpwstr>http://www.nevo.co.il/law/5227/38</vt:lpwstr>
      </vt:variant>
      <vt:variant>
        <vt:lpwstr/>
      </vt:variant>
      <vt:variant>
        <vt:i4>7929957</vt:i4>
      </vt:variant>
      <vt:variant>
        <vt:i4>99</vt:i4>
      </vt:variant>
      <vt:variant>
        <vt:i4>0</vt:i4>
      </vt:variant>
      <vt:variant>
        <vt:i4>5</vt:i4>
      </vt:variant>
      <vt:variant>
        <vt:lpwstr>http://www.nevo.co.il/law/74274</vt:lpwstr>
      </vt:variant>
      <vt:variant>
        <vt:lpwstr/>
      </vt:variant>
      <vt:variant>
        <vt:i4>5374029</vt:i4>
      </vt:variant>
      <vt:variant>
        <vt:i4>96</vt:i4>
      </vt:variant>
      <vt:variant>
        <vt:i4>0</vt:i4>
      </vt:variant>
      <vt:variant>
        <vt:i4>5</vt:i4>
      </vt:variant>
      <vt:variant>
        <vt:lpwstr>http://www.nevo.co.il/law/74274/26.2</vt:lpwstr>
      </vt:variant>
      <vt:variant>
        <vt:lpwstr/>
      </vt:variant>
      <vt:variant>
        <vt:i4>3932275</vt:i4>
      </vt:variant>
      <vt:variant>
        <vt:i4>93</vt:i4>
      </vt:variant>
      <vt:variant>
        <vt:i4>0</vt:i4>
      </vt:variant>
      <vt:variant>
        <vt:i4>5</vt:i4>
      </vt:variant>
      <vt:variant>
        <vt:lpwstr>http://www.nevo.co.il/case/6167814</vt:lpwstr>
      </vt:variant>
      <vt:variant>
        <vt:lpwstr/>
      </vt:variant>
      <vt:variant>
        <vt:i4>3473521</vt:i4>
      </vt:variant>
      <vt:variant>
        <vt:i4>90</vt:i4>
      </vt:variant>
      <vt:variant>
        <vt:i4>0</vt:i4>
      </vt:variant>
      <vt:variant>
        <vt:i4>5</vt:i4>
      </vt:variant>
      <vt:variant>
        <vt:lpwstr>http://www.nevo.co.il/case/18080542</vt:lpwstr>
      </vt:variant>
      <vt:variant>
        <vt:lpwstr/>
      </vt:variant>
      <vt:variant>
        <vt:i4>3473525</vt:i4>
      </vt:variant>
      <vt:variant>
        <vt:i4>87</vt:i4>
      </vt:variant>
      <vt:variant>
        <vt:i4>0</vt:i4>
      </vt:variant>
      <vt:variant>
        <vt:i4>5</vt:i4>
      </vt:variant>
      <vt:variant>
        <vt:lpwstr>http://www.nevo.co.il/case/5583078</vt:lpwstr>
      </vt:variant>
      <vt:variant>
        <vt:lpwstr/>
      </vt:variant>
      <vt:variant>
        <vt:i4>4063357</vt:i4>
      </vt:variant>
      <vt:variant>
        <vt:i4>84</vt:i4>
      </vt:variant>
      <vt:variant>
        <vt:i4>0</vt:i4>
      </vt:variant>
      <vt:variant>
        <vt:i4>5</vt:i4>
      </vt:variant>
      <vt:variant>
        <vt:lpwstr>http://www.nevo.co.il/case/5995351</vt:lpwstr>
      </vt:variant>
      <vt:variant>
        <vt:lpwstr/>
      </vt:variant>
      <vt:variant>
        <vt:i4>3670142</vt:i4>
      </vt:variant>
      <vt:variant>
        <vt:i4>81</vt:i4>
      </vt:variant>
      <vt:variant>
        <vt:i4>0</vt:i4>
      </vt:variant>
      <vt:variant>
        <vt:i4>5</vt:i4>
      </vt:variant>
      <vt:variant>
        <vt:lpwstr>http://www.nevo.co.il/case/5865972</vt:lpwstr>
      </vt:variant>
      <vt:variant>
        <vt:lpwstr/>
      </vt:variant>
      <vt:variant>
        <vt:i4>3342452</vt:i4>
      </vt:variant>
      <vt:variant>
        <vt:i4>78</vt:i4>
      </vt:variant>
      <vt:variant>
        <vt:i4>0</vt:i4>
      </vt:variant>
      <vt:variant>
        <vt:i4>5</vt:i4>
      </vt:variant>
      <vt:variant>
        <vt:lpwstr>http://www.nevo.co.il/case/5580957</vt:lpwstr>
      </vt:variant>
      <vt:variant>
        <vt:lpwstr/>
      </vt:variant>
      <vt:variant>
        <vt:i4>3670128</vt:i4>
      </vt:variant>
      <vt:variant>
        <vt:i4>75</vt:i4>
      </vt:variant>
      <vt:variant>
        <vt:i4>0</vt:i4>
      </vt:variant>
      <vt:variant>
        <vt:i4>5</vt:i4>
      </vt:variant>
      <vt:variant>
        <vt:lpwstr>http://www.nevo.co.il/case/5576278</vt:lpwstr>
      </vt:variant>
      <vt:variant>
        <vt:lpwstr/>
      </vt:variant>
      <vt:variant>
        <vt:i4>3145842</vt:i4>
      </vt:variant>
      <vt:variant>
        <vt:i4>72</vt:i4>
      </vt:variant>
      <vt:variant>
        <vt:i4>0</vt:i4>
      </vt:variant>
      <vt:variant>
        <vt:i4>5</vt:i4>
      </vt:variant>
      <vt:variant>
        <vt:lpwstr>http://www.nevo.co.il/case/5585964</vt:lpwstr>
      </vt:variant>
      <vt:variant>
        <vt:lpwstr/>
      </vt:variant>
      <vt:variant>
        <vt:i4>3670135</vt:i4>
      </vt:variant>
      <vt:variant>
        <vt:i4>69</vt:i4>
      </vt:variant>
      <vt:variant>
        <vt:i4>0</vt:i4>
      </vt:variant>
      <vt:variant>
        <vt:i4>5</vt:i4>
      </vt:variant>
      <vt:variant>
        <vt:lpwstr>http://www.nevo.co.il/case/5581570</vt:lpwstr>
      </vt:variant>
      <vt:variant>
        <vt:lpwstr/>
      </vt:variant>
      <vt:variant>
        <vt:i4>3473527</vt:i4>
      </vt:variant>
      <vt:variant>
        <vt:i4>66</vt:i4>
      </vt:variant>
      <vt:variant>
        <vt:i4>0</vt:i4>
      </vt:variant>
      <vt:variant>
        <vt:i4>5</vt:i4>
      </vt:variant>
      <vt:variant>
        <vt:lpwstr>http://www.nevo.co.il/case/5611948</vt:lpwstr>
      </vt:variant>
      <vt:variant>
        <vt:lpwstr/>
      </vt:variant>
      <vt:variant>
        <vt:i4>3670130</vt:i4>
      </vt:variant>
      <vt:variant>
        <vt:i4>63</vt:i4>
      </vt:variant>
      <vt:variant>
        <vt:i4>0</vt:i4>
      </vt:variant>
      <vt:variant>
        <vt:i4>5</vt:i4>
      </vt:variant>
      <vt:variant>
        <vt:lpwstr>http://www.nevo.co.il/case/17954445</vt:lpwstr>
      </vt:variant>
      <vt:variant>
        <vt:lpwstr/>
      </vt:variant>
      <vt:variant>
        <vt:i4>3997813</vt:i4>
      </vt:variant>
      <vt:variant>
        <vt:i4>60</vt:i4>
      </vt:variant>
      <vt:variant>
        <vt:i4>0</vt:i4>
      </vt:variant>
      <vt:variant>
        <vt:i4>5</vt:i4>
      </vt:variant>
      <vt:variant>
        <vt:lpwstr>http://www.nevo.co.il/case/17014781</vt:lpwstr>
      </vt:variant>
      <vt:variant>
        <vt:lpwstr/>
      </vt:variant>
      <vt:variant>
        <vt:i4>7929957</vt:i4>
      </vt:variant>
      <vt:variant>
        <vt:i4>57</vt:i4>
      </vt:variant>
      <vt:variant>
        <vt:i4>0</vt:i4>
      </vt:variant>
      <vt:variant>
        <vt:i4>5</vt:i4>
      </vt:variant>
      <vt:variant>
        <vt:lpwstr>http://www.nevo.co.il/law/74274</vt:lpwstr>
      </vt:variant>
      <vt:variant>
        <vt:lpwstr/>
      </vt:variant>
      <vt:variant>
        <vt:i4>5374029</vt:i4>
      </vt:variant>
      <vt:variant>
        <vt:i4>54</vt:i4>
      </vt:variant>
      <vt:variant>
        <vt:i4>0</vt:i4>
      </vt:variant>
      <vt:variant>
        <vt:i4>5</vt:i4>
      </vt:variant>
      <vt:variant>
        <vt:lpwstr>http://www.nevo.co.il/law/74274/26.2</vt:lpwstr>
      </vt:variant>
      <vt:variant>
        <vt:lpwstr/>
      </vt:variant>
      <vt:variant>
        <vt:i4>6684735</vt:i4>
      </vt:variant>
      <vt:variant>
        <vt:i4>51</vt:i4>
      </vt:variant>
      <vt:variant>
        <vt:i4>0</vt:i4>
      </vt:variant>
      <vt:variant>
        <vt:i4>5</vt:i4>
      </vt:variant>
      <vt:variant>
        <vt:lpwstr>http://www.nevo.co.il/law/70301/338.a.1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4390994</vt:i4>
      </vt:variant>
      <vt:variant>
        <vt:i4>45</vt:i4>
      </vt:variant>
      <vt:variant>
        <vt:i4>0</vt:i4>
      </vt:variant>
      <vt:variant>
        <vt:i4>5</vt:i4>
      </vt:variant>
      <vt:variant>
        <vt:lpwstr>http://www.nevo.co.il/law/70301/186.a</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6750330</vt:i4>
      </vt:variant>
      <vt:variant>
        <vt:i4>36</vt:i4>
      </vt:variant>
      <vt:variant>
        <vt:i4>0</vt:i4>
      </vt:variant>
      <vt:variant>
        <vt:i4>5</vt:i4>
      </vt:variant>
      <vt:variant>
        <vt:lpwstr>http://www.nevo.co.il/law/5227/62.3</vt:lpwstr>
      </vt:variant>
      <vt:variant>
        <vt:lpwstr/>
      </vt:variant>
      <vt:variant>
        <vt:i4>4980808</vt:i4>
      </vt:variant>
      <vt:variant>
        <vt:i4>33</vt:i4>
      </vt:variant>
      <vt:variant>
        <vt:i4>0</vt:i4>
      </vt:variant>
      <vt:variant>
        <vt:i4>5</vt:i4>
      </vt:variant>
      <vt:variant>
        <vt:lpwstr>http://www.nevo.co.il/law/5227/38</vt:lpwstr>
      </vt:variant>
      <vt:variant>
        <vt:lpwstr/>
      </vt:variant>
      <vt:variant>
        <vt:i4>8323175</vt:i4>
      </vt:variant>
      <vt:variant>
        <vt:i4>30</vt:i4>
      </vt:variant>
      <vt:variant>
        <vt:i4>0</vt:i4>
      </vt:variant>
      <vt:variant>
        <vt:i4>5</vt:i4>
      </vt:variant>
      <vt:variant>
        <vt:lpwstr>http://www.nevo.co.il/law/5227</vt:lpwstr>
      </vt:variant>
      <vt:variant>
        <vt:lpwstr/>
      </vt:variant>
      <vt:variant>
        <vt:i4>5374029</vt:i4>
      </vt:variant>
      <vt:variant>
        <vt:i4>27</vt:i4>
      </vt:variant>
      <vt:variant>
        <vt:i4>0</vt:i4>
      </vt:variant>
      <vt:variant>
        <vt:i4>5</vt:i4>
      </vt:variant>
      <vt:variant>
        <vt:lpwstr>http://www.nevo.co.il/law/74274/26.2</vt:lpwstr>
      </vt:variant>
      <vt:variant>
        <vt:lpwstr/>
      </vt:variant>
      <vt:variant>
        <vt:i4>7929957</vt:i4>
      </vt:variant>
      <vt:variant>
        <vt:i4>24</vt:i4>
      </vt:variant>
      <vt:variant>
        <vt:i4>0</vt:i4>
      </vt:variant>
      <vt:variant>
        <vt:i4>5</vt:i4>
      </vt:variant>
      <vt:variant>
        <vt:lpwstr>http://www.nevo.co.il/law/74274</vt:lpwstr>
      </vt:variant>
      <vt:variant>
        <vt:lpwstr/>
      </vt:variant>
      <vt:variant>
        <vt:i4>6684735</vt:i4>
      </vt:variant>
      <vt:variant>
        <vt:i4>21</vt:i4>
      </vt:variant>
      <vt:variant>
        <vt:i4>0</vt:i4>
      </vt:variant>
      <vt:variant>
        <vt:i4>5</vt:i4>
      </vt:variant>
      <vt:variant>
        <vt:lpwstr>http://www.nevo.co.il/law/70301/338.a.1</vt:lpwstr>
      </vt:variant>
      <vt:variant>
        <vt:lpwstr/>
      </vt:variant>
      <vt:variant>
        <vt:i4>6684774</vt:i4>
      </vt:variant>
      <vt:variant>
        <vt:i4>18</vt:i4>
      </vt:variant>
      <vt:variant>
        <vt:i4>0</vt:i4>
      </vt:variant>
      <vt:variant>
        <vt:i4>5</vt:i4>
      </vt:variant>
      <vt:variant>
        <vt:lpwstr>http://www.nevo.co.il/law/70301/338</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27890</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רועי רייגאן</vt:lpwstr>
  </property>
  <property fmtid="{D5CDD505-2E9C-101B-9397-08002B2CF9AE}" pid="10" name="LAWYER">
    <vt:lpwstr>ברק לקס;רחמים דיין</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20191030</vt:lpwstr>
  </property>
  <property fmtid="{D5CDD505-2E9C-101B-9397-08002B2CF9AE}" pid="14" name="TYPE_N_DATE">
    <vt:lpwstr>38020191030</vt:lpwstr>
  </property>
  <property fmtid="{D5CDD505-2E9C-101B-9397-08002B2CF9AE}" pid="15" name="CASESLISTTMP1">
    <vt:lpwstr>17014781;17954445;5611948;5581570;5585964;5576278;5580957;5865972;5995351;5583078;18080542;6167814;6004557;5789349</vt:lpwstr>
  </property>
  <property fmtid="{D5CDD505-2E9C-101B-9397-08002B2CF9AE}" pid="16" name="WORDNUMPAGES">
    <vt:lpwstr>7</vt:lpwstr>
  </property>
  <property fmtid="{D5CDD505-2E9C-101B-9397-08002B2CF9AE}" pid="17" name="TYPE_ABS_DATE">
    <vt:lpwstr>380020191030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70301/186.a;338.a.1;186;338</vt:lpwstr>
  </property>
  <property fmtid="{D5CDD505-2E9C-101B-9397-08002B2CF9AE}" pid="38" name="LAWLISTTMP3">
    <vt:lpwstr>74274/026.2:4</vt:lpwstr>
  </property>
  <property fmtid="{D5CDD505-2E9C-101B-9397-08002B2CF9AE}" pid="39" name="LAWLISTTMP4">
    <vt:lpwstr>5227/038;062.3</vt:lpwstr>
  </property>
</Properties>
</file>