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7142F" w:rsidRPr="00887FE8" w14:paraId="14A8F4C1" w14:textId="77777777" w:rsidTr="00D21F96">
        <w:trPr>
          <w:trHeight w:hRule="exact" w:val="418"/>
          <w:jc w:val="center"/>
        </w:trPr>
        <w:tc>
          <w:tcPr>
            <w:tcW w:w="8721" w:type="dxa"/>
            <w:gridSpan w:val="2"/>
          </w:tcPr>
          <w:p w14:paraId="4909B671" w14:textId="77777777" w:rsidR="0097142F" w:rsidRPr="00887FE8" w:rsidRDefault="0097142F" w:rsidP="009F3D70">
            <w:pPr>
              <w:pStyle w:val="a3"/>
              <w:jc w:val="center"/>
              <w:rPr>
                <w:rFonts w:ascii="Tahoma" w:hAnsi="Tahoma" w:cs="Tahoma"/>
                <w:color w:val="000080"/>
                <w:rtl/>
              </w:rPr>
            </w:pPr>
            <w:bookmarkStart w:id="0" w:name="LastJudge"/>
            <w:r w:rsidRPr="00887FE8">
              <w:rPr>
                <w:rFonts w:ascii="Tahoma" w:hAnsi="Tahoma" w:cs="Tahoma"/>
                <w:b/>
                <w:bCs/>
                <w:color w:val="000080"/>
                <w:rtl/>
              </w:rPr>
              <w:t>בית משפט השלום בקריית שמונה</w:t>
            </w:r>
          </w:p>
        </w:tc>
      </w:tr>
      <w:tr w:rsidR="0097142F" w:rsidRPr="00887FE8" w14:paraId="64761D20" w14:textId="77777777" w:rsidTr="00D21F96">
        <w:trPr>
          <w:trHeight w:val="337"/>
          <w:jc w:val="center"/>
        </w:trPr>
        <w:tc>
          <w:tcPr>
            <w:tcW w:w="5054" w:type="dxa"/>
          </w:tcPr>
          <w:p w14:paraId="30C25E0A" w14:textId="77777777" w:rsidR="0097142F" w:rsidRPr="00887FE8" w:rsidRDefault="0097142F" w:rsidP="009F3D70">
            <w:pPr>
              <w:rPr>
                <w:rFonts w:cs="FrankRuehl"/>
                <w:sz w:val="28"/>
                <w:szCs w:val="28"/>
                <w:rtl/>
              </w:rPr>
            </w:pPr>
            <w:r w:rsidRPr="00887FE8">
              <w:rPr>
                <w:rFonts w:cs="FrankRuehl"/>
                <w:sz w:val="28"/>
                <w:szCs w:val="28"/>
                <w:rtl/>
              </w:rPr>
              <w:t>ת"פ</w:t>
            </w:r>
            <w:r w:rsidRPr="00887FE8">
              <w:rPr>
                <w:rFonts w:cs="FrankRuehl" w:hint="cs"/>
                <w:sz w:val="28"/>
                <w:szCs w:val="28"/>
                <w:rtl/>
              </w:rPr>
              <w:t xml:space="preserve"> </w:t>
            </w:r>
            <w:r w:rsidRPr="00887FE8">
              <w:rPr>
                <w:rFonts w:cs="FrankRuehl"/>
                <w:sz w:val="28"/>
                <w:szCs w:val="28"/>
                <w:rtl/>
              </w:rPr>
              <w:t>34271-10-18</w:t>
            </w:r>
            <w:r w:rsidRPr="00887FE8">
              <w:rPr>
                <w:rFonts w:cs="FrankRuehl" w:hint="cs"/>
                <w:sz w:val="28"/>
                <w:szCs w:val="28"/>
                <w:rtl/>
              </w:rPr>
              <w:t xml:space="preserve"> </w:t>
            </w:r>
            <w:r w:rsidRPr="00887FE8">
              <w:rPr>
                <w:rFonts w:cs="FrankRuehl"/>
                <w:sz w:val="28"/>
                <w:szCs w:val="28"/>
                <w:rtl/>
              </w:rPr>
              <w:t>מדינת ישראל נ' דהן</w:t>
            </w:r>
          </w:p>
          <w:p w14:paraId="2B9E7BE0" w14:textId="77777777" w:rsidR="0097142F" w:rsidRPr="00887FE8" w:rsidRDefault="0097142F" w:rsidP="009F3D70">
            <w:pPr>
              <w:pStyle w:val="a3"/>
              <w:rPr>
                <w:rFonts w:cs="FrankRuehl"/>
                <w:sz w:val="28"/>
                <w:szCs w:val="28"/>
                <w:rtl/>
              </w:rPr>
            </w:pPr>
          </w:p>
        </w:tc>
        <w:tc>
          <w:tcPr>
            <w:tcW w:w="3667" w:type="dxa"/>
          </w:tcPr>
          <w:p w14:paraId="7A031CD5" w14:textId="77777777" w:rsidR="0097142F" w:rsidRPr="00887FE8" w:rsidRDefault="0097142F" w:rsidP="009F3D70">
            <w:pPr>
              <w:pStyle w:val="a3"/>
              <w:jc w:val="right"/>
              <w:rPr>
                <w:rFonts w:cs="FrankRuehl"/>
                <w:sz w:val="28"/>
                <w:szCs w:val="28"/>
                <w:rtl/>
              </w:rPr>
            </w:pPr>
          </w:p>
        </w:tc>
      </w:tr>
    </w:tbl>
    <w:p w14:paraId="2248374F" w14:textId="77777777" w:rsidR="0097142F" w:rsidRPr="00887FE8" w:rsidRDefault="0097142F" w:rsidP="0097142F">
      <w:pPr>
        <w:pStyle w:val="a3"/>
        <w:rPr>
          <w:rtl/>
        </w:rPr>
      </w:pPr>
      <w:r w:rsidRPr="00887FE8">
        <w:rPr>
          <w:rFonts w:hint="cs"/>
          <w:rtl/>
        </w:rPr>
        <w:t xml:space="preserve"> </w:t>
      </w:r>
    </w:p>
    <w:p w14:paraId="477E8DA4" w14:textId="77777777" w:rsidR="0097142F" w:rsidRPr="00887FE8" w:rsidRDefault="0097142F" w:rsidP="0097142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7142F" w:rsidRPr="00887FE8" w14:paraId="47533422" w14:textId="77777777" w:rsidTr="0097142F">
        <w:trPr>
          <w:trHeight w:val="295"/>
          <w:jc w:val="center"/>
        </w:trPr>
        <w:tc>
          <w:tcPr>
            <w:tcW w:w="923" w:type="dxa"/>
            <w:tcBorders>
              <w:top w:val="nil"/>
              <w:left w:val="nil"/>
              <w:bottom w:val="nil"/>
              <w:right w:val="nil"/>
            </w:tcBorders>
            <w:shd w:val="clear" w:color="auto" w:fill="auto"/>
          </w:tcPr>
          <w:p w14:paraId="5D0CB267" w14:textId="77777777" w:rsidR="0097142F" w:rsidRPr="00887FE8" w:rsidRDefault="0097142F" w:rsidP="0097142F">
            <w:pPr>
              <w:jc w:val="both"/>
              <w:rPr>
                <w:rFonts w:ascii="Arial" w:hAnsi="Arial" w:cs="FrankRuehl"/>
                <w:sz w:val="28"/>
                <w:szCs w:val="28"/>
              </w:rPr>
            </w:pPr>
            <w:r w:rsidRPr="00887FE8">
              <w:rPr>
                <w:rFonts w:ascii="Arial" w:hAnsi="Arial" w:cs="FrankRuehl" w:hint="cs"/>
                <w:sz w:val="28"/>
                <w:szCs w:val="28"/>
                <w:rtl/>
              </w:rPr>
              <w:t>ב</w:t>
            </w:r>
            <w:r w:rsidRPr="00887FE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B2513DA" w14:textId="77777777" w:rsidR="0097142F" w:rsidRPr="00887FE8" w:rsidRDefault="0097142F" w:rsidP="009F3D70">
            <w:pPr>
              <w:rPr>
                <w:rFonts w:ascii="Arial" w:hAnsi="Arial"/>
                <w:b/>
                <w:bCs/>
                <w:rtl/>
              </w:rPr>
            </w:pPr>
            <w:r w:rsidRPr="00887FE8">
              <w:rPr>
                <w:rFonts w:ascii="Arial" w:hAnsi="Arial" w:hint="cs"/>
                <w:b/>
                <w:bCs/>
                <w:rtl/>
              </w:rPr>
              <w:t>כבוד ה</w:t>
            </w:r>
            <w:r w:rsidRPr="00887FE8">
              <w:rPr>
                <w:rFonts w:ascii="Arial" w:hAnsi="Arial"/>
                <w:b/>
                <w:bCs/>
                <w:rtl/>
              </w:rPr>
              <w:t>שופטת</w:t>
            </w:r>
            <w:r w:rsidRPr="00887FE8">
              <w:rPr>
                <w:rFonts w:ascii="Arial" w:hAnsi="Arial" w:hint="cs"/>
                <w:b/>
                <w:bCs/>
                <w:rtl/>
              </w:rPr>
              <w:t xml:space="preserve">  </w:t>
            </w:r>
            <w:r w:rsidRPr="00887FE8">
              <w:rPr>
                <w:rFonts w:ascii="Arial" w:hAnsi="Arial"/>
                <w:b/>
                <w:bCs/>
                <w:rtl/>
              </w:rPr>
              <w:t>רות שפילברג כהן</w:t>
            </w:r>
          </w:p>
          <w:p w14:paraId="68776464" w14:textId="77777777" w:rsidR="0097142F" w:rsidRPr="00887FE8" w:rsidRDefault="0097142F" w:rsidP="0097142F">
            <w:pPr>
              <w:jc w:val="both"/>
              <w:rPr>
                <w:rFonts w:ascii="Arial" w:hAnsi="Arial" w:cs="FrankRuehl"/>
                <w:sz w:val="28"/>
                <w:szCs w:val="28"/>
              </w:rPr>
            </w:pPr>
          </w:p>
        </w:tc>
      </w:tr>
      <w:tr w:rsidR="0097142F" w:rsidRPr="00887FE8" w14:paraId="25A0ECE2" w14:textId="77777777" w:rsidTr="0097142F">
        <w:trPr>
          <w:trHeight w:val="355"/>
          <w:jc w:val="center"/>
        </w:trPr>
        <w:tc>
          <w:tcPr>
            <w:tcW w:w="923" w:type="dxa"/>
            <w:tcBorders>
              <w:top w:val="nil"/>
              <w:left w:val="nil"/>
              <w:bottom w:val="nil"/>
              <w:right w:val="nil"/>
            </w:tcBorders>
            <w:shd w:val="clear" w:color="auto" w:fill="auto"/>
          </w:tcPr>
          <w:p w14:paraId="5E03D417" w14:textId="77777777" w:rsidR="0097142F" w:rsidRPr="00887FE8" w:rsidRDefault="0097142F" w:rsidP="0097142F">
            <w:pPr>
              <w:jc w:val="both"/>
              <w:rPr>
                <w:rFonts w:ascii="Arial" w:hAnsi="Arial" w:cs="FrankRuehl"/>
                <w:sz w:val="28"/>
                <w:szCs w:val="28"/>
              </w:rPr>
            </w:pPr>
            <w:bookmarkStart w:id="1" w:name="FirstAppellant"/>
            <w:r w:rsidRPr="00887FE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3EC6B18" w14:textId="77777777" w:rsidR="0097142F" w:rsidRPr="00887FE8" w:rsidRDefault="0097142F" w:rsidP="009F3D70">
            <w:r w:rsidRPr="00887FE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FD55169" w14:textId="77777777" w:rsidR="0097142F" w:rsidRPr="00887FE8" w:rsidRDefault="0097142F" w:rsidP="0097142F">
            <w:pPr>
              <w:jc w:val="both"/>
              <w:rPr>
                <w:rFonts w:ascii="Arial" w:hAnsi="Arial" w:cs="FrankRuehl"/>
                <w:sz w:val="28"/>
                <w:szCs w:val="28"/>
              </w:rPr>
            </w:pPr>
          </w:p>
        </w:tc>
      </w:tr>
      <w:bookmarkEnd w:id="1"/>
      <w:tr w:rsidR="0097142F" w:rsidRPr="00887FE8" w14:paraId="7B22F493" w14:textId="77777777" w:rsidTr="0097142F">
        <w:trPr>
          <w:trHeight w:val="355"/>
          <w:jc w:val="center"/>
        </w:trPr>
        <w:tc>
          <w:tcPr>
            <w:tcW w:w="923" w:type="dxa"/>
            <w:tcBorders>
              <w:top w:val="nil"/>
              <w:left w:val="nil"/>
              <w:bottom w:val="nil"/>
              <w:right w:val="nil"/>
            </w:tcBorders>
            <w:shd w:val="clear" w:color="auto" w:fill="auto"/>
          </w:tcPr>
          <w:p w14:paraId="29AC555F" w14:textId="77777777" w:rsidR="0097142F" w:rsidRPr="00887FE8" w:rsidRDefault="0097142F" w:rsidP="009714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53EAFD" w14:textId="77777777" w:rsidR="0097142F" w:rsidRPr="00887FE8" w:rsidRDefault="0097142F" w:rsidP="0097142F">
            <w:pPr>
              <w:jc w:val="both"/>
              <w:rPr>
                <w:rtl/>
              </w:rPr>
            </w:pPr>
          </w:p>
        </w:tc>
        <w:tc>
          <w:tcPr>
            <w:tcW w:w="3771" w:type="dxa"/>
            <w:tcBorders>
              <w:top w:val="nil"/>
              <w:left w:val="nil"/>
              <w:bottom w:val="nil"/>
              <w:right w:val="nil"/>
            </w:tcBorders>
            <w:shd w:val="clear" w:color="auto" w:fill="auto"/>
          </w:tcPr>
          <w:p w14:paraId="556ABEB4" w14:textId="77777777" w:rsidR="0097142F" w:rsidRPr="00887FE8" w:rsidRDefault="0097142F" w:rsidP="0097142F">
            <w:pPr>
              <w:jc w:val="right"/>
              <w:rPr>
                <w:rFonts w:ascii="Arial" w:hAnsi="Arial" w:cs="FrankRuehl"/>
                <w:sz w:val="28"/>
                <w:szCs w:val="28"/>
                <w:rtl/>
              </w:rPr>
            </w:pPr>
            <w:r w:rsidRPr="00887FE8">
              <w:rPr>
                <w:rFonts w:ascii="Arial" w:hAnsi="Arial" w:cs="FrankRuehl" w:hint="cs"/>
                <w:sz w:val="28"/>
                <w:szCs w:val="28"/>
                <w:rtl/>
              </w:rPr>
              <w:t>ה</w:t>
            </w:r>
            <w:r w:rsidRPr="00887FE8">
              <w:rPr>
                <w:rFonts w:ascii="Arial" w:hAnsi="Arial" w:cs="FrankRuehl"/>
                <w:sz w:val="28"/>
                <w:szCs w:val="28"/>
                <w:rtl/>
              </w:rPr>
              <w:t>מאשימה</w:t>
            </w:r>
          </w:p>
        </w:tc>
      </w:tr>
      <w:tr w:rsidR="0097142F" w:rsidRPr="00887FE8" w14:paraId="525A19C1" w14:textId="77777777" w:rsidTr="0097142F">
        <w:trPr>
          <w:trHeight w:val="355"/>
          <w:jc w:val="center"/>
        </w:trPr>
        <w:tc>
          <w:tcPr>
            <w:tcW w:w="923" w:type="dxa"/>
            <w:tcBorders>
              <w:top w:val="nil"/>
              <w:left w:val="nil"/>
              <w:bottom w:val="nil"/>
              <w:right w:val="nil"/>
            </w:tcBorders>
            <w:shd w:val="clear" w:color="auto" w:fill="auto"/>
          </w:tcPr>
          <w:p w14:paraId="070DAEE8" w14:textId="77777777" w:rsidR="0097142F" w:rsidRPr="00887FE8" w:rsidRDefault="0097142F" w:rsidP="0097142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2FBA55E" w14:textId="77777777" w:rsidR="0097142F" w:rsidRPr="00887FE8" w:rsidRDefault="0097142F" w:rsidP="0097142F">
            <w:pPr>
              <w:jc w:val="center"/>
              <w:rPr>
                <w:rFonts w:ascii="Arial" w:hAnsi="Arial" w:cs="FrankRuehl"/>
                <w:b/>
                <w:bCs/>
                <w:sz w:val="28"/>
                <w:szCs w:val="28"/>
                <w:rtl/>
              </w:rPr>
            </w:pPr>
          </w:p>
          <w:p w14:paraId="7B03CBA1" w14:textId="77777777" w:rsidR="0097142F" w:rsidRPr="00887FE8" w:rsidRDefault="0097142F" w:rsidP="0097142F">
            <w:pPr>
              <w:jc w:val="center"/>
              <w:rPr>
                <w:rFonts w:ascii="Arial" w:hAnsi="Arial" w:cs="FrankRuehl"/>
                <w:b/>
                <w:bCs/>
                <w:sz w:val="28"/>
                <w:szCs w:val="28"/>
                <w:rtl/>
              </w:rPr>
            </w:pPr>
            <w:r w:rsidRPr="00887FE8">
              <w:rPr>
                <w:rFonts w:ascii="Arial" w:hAnsi="Arial" w:cs="FrankRuehl"/>
                <w:b/>
                <w:bCs/>
                <w:sz w:val="28"/>
                <w:szCs w:val="28"/>
                <w:rtl/>
              </w:rPr>
              <w:t>נגד</w:t>
            </w:r>
          </w:p>
          <w:p w14:paraId="5BA7E070" w14:textId="77777777" w:rsidR="0097142F" w:rsidRPr="00887FE8" w:rsidRDefault="0097142F" w:rsidP="0097142F">
            <w:pPr>
              <w:jc w:val="both"/>
              <w:rPr>
                <w:rFonts w:ascii="Arial" w:hAnsi="Arial" w:cs="FrankRuehl"/>
                <w:sz w:val="28"/>
                <w:szCs w:val="28"/>
              </w:rPr>
            </w:pPr>
          </w:p>
        </w:tc>
      </w:tr>
      <w:tr w:rsidR="0097142F" w:rsidRPr="00887FE8" w14:paraId="55F97C4D" w14:textId="77777777" w:rsidTr="0097142F">
        <w:trPr>
          <w:trHeight w:val="355"/>
          <w:jc w:val="center"/>
        </w:trPr>
        <w:tc>
          <w:tcPr>
            <w:tcW w:w="923" w:type="dxa"/>
            <w:tcBorders>
              <w:top w:val="nil"/>
              <w:left w:val="nil"/>
              <w:bottom w:val="nil"/>
              <w:right w:val="nil"/>
            </w:tcBorders>
            <w:shd w:val="clear" w:color="auto" w:fill="auto"/>
          </w:tcPr>
          <w:p w14:paraId="659ADE9F" w14:textId="77777777" w:rsidR="0097142F" w:rsidRPr="00887FE8" w:rsidRDefault="0097142F" w:rsidP="009F3D70">
            <w:pPr>
              <w:rPr>
                <w:rFonts w:ascii="Arial" w:hAnsi="Arial" w:cs="FrankRuehl"/>
                <w:sz w:val="28"/>
                <w:szCs w:val="28"/>
                <w:rtl/>
              </w:rPr>
            </w:pPr>
          </w:p>
        </w:tc>
        <w:tc>
          <w:tcPr>
            <w:tcW w:w="4126" w:type="dxa"/>
            <w:tcBorders>
              <w:top w:val="nil"/>
              <w:left w:val="nil"/>
              <w:bottom w:val="nil"/>
              <w:right w:val="nil"/>
            </w:tcBorders>
            <w:shd w:val="clear" w:color="auto" w:fill="auto"/>
          </w:tcPr>
          <w:p w14:paraId="015B6DFB" w14:textId="77777777" w:rsidR="0097142F" w:rsidRPr="00887FE8" w:rsidRDefault="0097142F" w:rsidP="009F3D70">
            <w:pPr>
              <w:rPr>
                <w:rtl/>
              </w:rPr>
            </w:pPr>
            <w:r w:rsidRPr="00887FE8">
              <w:rPr>
                <w:rFonts w:ascii="Arial" w:hAnsi="Arial" w:cs="FrankRuehl"/>
                <w:sz w:val="28"/>
                <w:szCs w:val="28"/>
                <w:rtl/>
              </w:rPr>
              <w:t>אור שמואל דהן</w:t>
            </w:r>
          </w:p>
        </w:tc>
        <w:tc>
          <w:tcPr>
            <w:tcW w:w="3771" w:type="dxa"/>
            <w:tcBorders>
              <w:top w:val="nil"/>
              <w:left w:val="nil"/>
              <w:bottom w:val="nil"/>
              <w:right w:val="nil"/>
            </w:tcBorders>
            <w:shd w:val="clear" w:color="auto" w:fill="auto"/>
          </w:tcPr>
          <w:p w14:paraId="2B96DF19" w14:textId="77777777" w:rsidR="0097142F" w:rsidRPr="00887FE8" w:rsidRDefault="0097142F" w:rsidP="0097142F">
            <w:pPr>
              <w:jc w:val="right"/>
              <w:rPr>
                <w:rFonts w:ascii="Arial" w:hAnsi="Arial" w:cs="FrankRuehl"/>
                <w:sz w:val="28"/>
                <w:szCs w:val="28"/>
              </w:rPr>
            </w:pPr>
          </w:p>
        </w:tc>
      </w:tr>
      <w:tr w:rsidR="0097142F" w:rsidRPr="00887FE8" w14:paraId="68546AD5" w14:textId="77777777" w:rsidTr="0097142F">
        <w:trPr>
          <w:trHeight w:val="355"/>
          <w:jc w:val="center"/>
        </w:trPr>
        <w:tc>
          <w:tcPr>
            <w:tcW w:w="923" w:type="dxa"/>
            <w:tcBorders>
              <w:top w:val="nil"/>
              <w:left w:val="nil"/>
              <w:bottom w:val="nil"/>
              <w:right w:val="nil"/>
            </w:tcBorders>
            <w:shd w:val="clear" w:color="auto" w:fill="auto"/>
          </w:tcPr>
          <w:p w14:paraId="5F22807B" w14:textId="77777777" w:rsidR="0097142F" w:rsidRPr="00887FE8" w:rsidRDefault="0097142F" w:rsidP="009714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9A7E36C" w14:textId="77777777" w:rsidR="0097142F" w:rsidRPr="00887FE8" w:rsidRDefault="0097142F" w:rsidP="0097142F">
            <w:pPr>
              <w:jc w:val="both"/>
              <w:rPr>
                <w:rtl/>
              </w:rPr>
            </w:pPr>
          </w:p>
        </w:tc>
        <w:tc>
          <w:tcPr>
            <w:tcW w:w="3771" w:type="dxa"/>
            <w:tcBorders>
              <w:top w:val="nil"/>
              <w:left w:val="nil"/>
              <w:bottom w:val="nil"/>
              <w:right w:val="nil"/>
            </w:tcBorders>
            <w:shd w:val="clear" w:color="auto" w:fill="auto"/>
          </w:tcPr>
          <w:p w14:paraId="48CC7FEC" w14:textId="77777777" w:rsidR="0097142F" w:rsidRPr="00887FE8" w:rsidRDefault="0097142F" w:rsidP="0097142F">
            <w:pPr>
              <w:jc w:val="right"/>
              <w:rPr>
                <w:rFonts w:ascii="Arial" w:hAnsi="Arial" w:cs="FrankRuehl"/>
                <w:sz w:val="28"/>
                <w:szCs w:val="28"/>
              </w:rPr>
            </w:pPr>
            <w:r w:rsidRPr="00887FE8">
              <w:rPr>
                <w:rFonts w:ascii="Arial" w:hAnsi="Arial" w:cs="FrankRuehl" w:hint="cs"/>
                <w:sz w:val="28"/>
                <w:szCs w:val="28"/>
                <w:rtl/>
              </w:rPr>
              <w:t>ה</w:t>
            </w:r>
            <w:r w:rsidRPr="00887FE8">
              <w:rPr>
                <w:rFonts w:ascii="Arial" w:hAnsi="Arial" w:cs="FrankRuehl"/>
                <w:sz w:val="28"/>
                <w:szCs w:val="28"/>
                <w:rtl/>
              </w:rPr>
              <w:t>נאשם</w:t>
            </w:r>
          </w:p>
        </w:tc>
      </w:tr>
    </w:tbl>
    <w:p w14:paraId="09934F04" w14:textId="77777777" w:rsidR="00182E55" w:rsidRPr="00182E55" w:rsidRDefault="00182E55" w:rsidP="00182E55">
      <w:pPr>
        <w:spacing w:before="120" w:after="120" w:line="240" w:lineRule="exact"/>
        <w:ind w:left="283" w:hanging="283"/>
        <w:jc w:val="both"/>
        <w:rPr>
          <w:rFonts w:ascii="FrankRuehl" w:hAnsi="FrankRuehl" w:cs="FrankRuehl"/>
          <w:rtl/>
        </w:rPr>
      </w:pPr>
      <w:bookmarkStart w:id="2" w:name="LawTable"/>
      <w:bookmarkEnd w:id="2"/>
    </w:p>
    <w:p w14:paraId="734AF390" w14:textId="77777777" w:rsidR="00182E55" w:rsidRPr="00182E55" w:rsidRDefault="00182E55" w:rsidP="00182E55">
      <w:pPr>
        <w:spacing w:before="120" w:after="120" w:line="240" w:lineRule="exact"/>
        <w:ind w:left="283" w:hanging="283"/>
        <w:jc w:val="both"/>
        <w:rPr>
          <w:rFonts w:ascii="FrankRuehl" w:hAnsi="FrankRuehl" w:cs="FrankRuehl"/>
          <w:rtl/>
        </w:rPr>
      </w:pPr>
    </w:p>
    <w:p w14:paraId="1D6ED479" w14:textId="77777777" w:rsidR="00182E55" w:rsidRPr="00182E55" w:rsidRDefault="00182E55" w:rsidP="00182E55">
      <w:pPr>
        <w:spacing w:before="120" w:after="120" w:line="240" w:lineRule="exact"/>
        <w:ind w:left="283" w:hanging="283"/>
        <w:jc w:val="both"/>
        <w:rPr>
          <w:rFonts w:ascii="FrankRuehl" w:hAnsi="FrankRuehl" w:cs="FrankRuehl"/>
          <w:rtl/>
        </w:rPr>
      </w:pPr>
      <w:r w:rsidRPr="00182E55">
        <w:rPr>
          <w:rFonts w:ascii="FrankRuehl" w:hAnsi="FrankRuehl" w:cs="FrankRuehl"/>
          <w:rtl/>
        </w:rPr>
        <w:t xml:space="preserve">חקיקה שאוזכרה: </w:t>
      </w:r>
    </w:p>
    <w:p w14:paraId="3FD9F4DB" w14:textId="77777777" w:rsidR="00182E55" w:rsidRPr="00182E55" w:rsidRDefault="00182E55" w:rsidP="00182E55">
      <w:pPr>
        <w:spacing w:before="120" w:after="120" w:line="240" w:lineRule="exact"/>
        <w:ind w:left="283" w:hanging="283"/>
        <w:jc w:val="both"/>
        <w:rPr>
          <w:rFonts w:ascii="FrankRuehl" w:hAnsi="FrankRuehl" w:cs="FrankRuehl"/>
          <w:color w:val="0000FF"/>
          <w:u w:val="single"/>
          <w:rtl/>
        </w:rPr>
      </w:pPr>
      <w:hyperlink r:id="rId6" w:history="1">
        <w:r w:rsidRPr="00182E55">
          <w:rPr>
            <w:rStyle w:val="Hyperlink"/>
            <w:rFonts w:ascii="FrankRuehl" w:hAnsi="FrankRuehl" w:cs="FrankRuehl"/>
            <w:rtl/>
          </w:rPr>
          <w:t>פקודת הסמים המסוכנים [נוסח חדש], תשל"ג-1973</w:t>
        </w:r>
      </w:hyperlink>
      <w:r w:rsidRPr="00182E55">
        <w:rPr>
          <w:rFonts w:ascii="FrankRuehl" w:hAnsi="FrankRuehl" w:cs="FrankRuehl"/>
          <w:color w:val="0000FF"/>
          <w:u w:val="single"/>
          <w:rtl/>
        </w:rPr>
        <w:t xml:space="preserve">: סע'  </w:t>
      </w:r>
      <w:hyperlink r:id="rId7" w:history="1">
        <w:r w:rsidRPr="00182E55">
          <w:rPr>
            <w:rStyle w:val="Hyperlink"/>
            <w:rFonts w:ascii="FrankRuehl" w:hAnsi="FrankRuehl" w:cs="FrankRuehl"/>
          </w:rPr>
          <w:t>7.</w:t>
        </w:r>
        <w:r w:rsidRPr="00182E55">
          <w:rPr>
            <w:rStyle w:val="Hyperlink"/>
            <w:rFonts w:ascii="FrankRuehl" w:hAnsi="FrankRuehl" w:cs="FrankRuehl"/>
            <w:rtl/>
          </w:rPr>
          <w:t>א</w:t>
        </w:r>
        <w:r w:rsidRPr="00182E55">
          <w:rPr>
            <w:rStyle w:val="Hyperlink"/>
            <w:rFonts w:ascii="FrankRuehl" w:hAnsi="FrankRuehl" w:cs="FrankRuehl"/>
          </w:rPr>
          <w:t>.</w:t>
        </w:r>
      </w:hyperlink>
      <w:r w:rsidRPr="00182E55">
        <w:rPr>
          <w:rFonts w:ascii="FrankRuehl" w:hAnsi="FrankRuehl" w:cs="FrankRuehl"/>
          <w:color w:val="0000FF"/>
          <w:u w:val="single"/>
          <w:rtl/>
        </w:rPr>
        <w:t xml:space="preserve">, </w:t>
      </w:r>
      <w:hyperlink r:id="rId8" w:history="1">
        <w:r w:rsidRPr="00182E55">
          <w:rPr>
            <w:rStyle w:val="Hyperlink"/>
            <w:rFonts w:ascii="FrankRuehl" w:hAnsi="FrankRuehl" w:cs="FrankRuehl"/>
          </w:rPr>
          <w:t>7.</w:t>
        </w:r>
        <w:r w:rsidRPr="00182E55">
          <w:rPr>
            <w:rStyle w:val="Hyperlink"/>
            <w:rFonts w:ascii="FrankRuehl" w:hAnsi="FrankRuehl" w:cs="FrankRuehl"/>
            <w:rtl/>
          </w:rPr>
          <w:t>ג</w:t>
        </w:r>
      </w:hyperlink>
      <w:r w:rsidRPr="00182E55">
        <w:rPr>
          <w:rFonts w:ascii="FrankRuehl" w:hAnsi="FrankRuehl" w:cs="FrankRuehl"/>
          <w:color w:val="0000FF"/>
          <w:u w:val="single"/>
          <w:rtl/>
        </w:rPr>
        <w:t xml:space="preserve">, </w:t>
      </w:r>
      <w:hyperlink r:id="rId9" w:history="1">
        <w:r w:rsidRPr="00182E55">
          <w:rPr>
            <w:rStyle w:val="Hyperlink"/>
            <w:rFonts w:ascii="FrankRuehl" w:hAnsi="FrankRuehl" w:cs="FrankRuehl"/>
          </w:rPr>
          <w:t>13</w:t>
        </w:r>
      </w:hyperlink>
      <w:r w:rsidRPr="00182E55">
        <w:rPr>
          <w:rFonts w:ascii="FrankRuehl" w:hAnsi="FrankRuehl" w:cs="FrankRuehl"/>
          <w:color w:val="0000FF"/>
          <w:u w:val="single"/>
          <w:rtl/>
        </w:rPr>
        <w:t xml:space="preserve">, </w:t>
      </w:r>
      <w:hyperlink r:id="rId10" w:history="1">
        <w:r w:rsidRPr="00182E55">
          <w:rPr>
            <w:rStyle w:val="Hyperlink"/>
            <w:rFonts w:ascii="FrankRuehl" w:hAnsi="FrankRuehl" w:cs="FrankRuehl"/>
          </w:rPr>
          <w:t>19.</w:t>
        </w:r>
        <w:r w:rsidRPr="00182E55">
          <w:rPr>
            <w:rStyle w:val="Hyperlink"/>
            <w:rFonts w:ascii="FrankRuehl" w:hAnsi="FrankRuehl" w:cs="FrankRuehl"/>
            <w:rtl/>
          </w:rPr>
          <w:t>א</w:t>
        </w:r>
      </w:hyperlink>
    </w:p>
    <w:p w14:paraId="279359AA" w14:textId="77777777" w:rsidR="00182E55" w:rsidRPr="00182E55" w:rsidRDefault="00182E55" w:rsidP="00182E55">
      <w:pPr>
        <w:spacing w:before="120" w:after="120" w:line="240" w:lineRule="exact"/>
        <w:ind w:left="283" w:hanging="283"/>
        <w:jc w:val="both"/>
        <w:rPr>
          <w:rFonts w:ascii="FrankRuehl" w:hAnsi="FrankRuehl" w:cs="FrankRuehl"/>
          <w:color w:val="0000FF"/>
          <w:u w:val="single"/>
          <w:rtl/>
        </w:rPr>
      </w:pPr>
      <w:hyperlink r:id="rId11" w:history="1">
        <w:r w:rsidRPr="00182E55">
          <w:rPr>
            <w:rStyle w:val="Hyperlink"/>
            <w:rFonts w:ascii="FrankRuehl" w:hAnsi="FrankRuehl" w:cs="FrankRuehl"/>
            <w:rtl/>
          </w:rPr>
          <w:t>חוק סדר הדין הפלילי [נוסח משולב], תשמ"ב-1982</w:t>
        </w:r>
      </w:hyperlink>
      <w:r w:rsidRPr="00182E55">
        <w:rPr>
          <w:rFonts w:ascii="FrankRuehl" w:hAnsi="FrankRuehl" w:cs="FrankRuehl"/>
          <w:color w:val="0000FF"/>
          <w:u w:val="single"/>
          <w:rtl/>
        </w:rPr>
        <w:t xml:space="preserve">: סע'  </w:t>
      </w:r>
      <w:hyperlink r:id="rId12" w:history="1">
        <w:r w:rsidRPr="00182E55">
          <w:rPr>
            <w:rStyle w:val="Hyperlink"/>
            <w:rFonts w:ascii="FrankRuehl" w:hAnsi="FrankRuehl" w:cs="FrankRuehl"/>
          </w:rPr>
          <w:t>192</w:t>
        </w:r>
        <w:r w:rsidRPr="00182E55">
          <w:rPr>
            <w:rStyle w:val="Hyperlink"/>
            <w:rFonts w:ascii="FrankRuehl" w:hAnsi="FrankRuehl" w:cs="FrankRuehl"/>
            <w:rtl/>
          </w:rPr>
          <w:t>א</w:t>
        </w:r>
      </w:hyperlink>
    </w:p>
    <w:p w14:paraId="5AE39C02" w14:textId="77777777" w:rsidR="00D21F96" w:rsidRPr="00182E55" w:rsidRDefault="00D21F96" w:rsidP="00182E55">
      <w:pPr>
        <w:rPr>
          <w:rFonts w:hint="cs"/>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142F" w:rsidRPr="00887FE8" w14:paraId="2EFE645F" w14:textId="77777777" w:rsidTr="0097142F">
        <w:trPr>
          <w:trHeight w:val="355"/>
          <w:jc w:val="center"/>
        </w:trPr>
        <w:tc>
          <w:tcPr>
            <w:tcW w:w="8820" w:type="dxa"/>
            <w:tcBorders>
              <w:top w:val="nil"/>
              <w:left w:val="nil"/>
              <w:bottom w:val="nil"/>
              <w:right w:val="nil"/>
            </w:tcBorders>
            <w:shd w:val="clear" w:color="auto" w:fill="auto"/>
          </w:tcPr>
          <w:p w14:paraId="68E4DCFA" w14:textId="77777777" w:rsidR="0097142F" w:rsidRPr="00887FE8" w:rsidRDefault="0097142F" w:rsidP="0097142F">
            <w:pPr>
              <w:jc w:val="center"/>
              <w:rPr>
                <w:rFonts w:ascii="Arial" w:hAnsi="Arial" w:cs="FrankRuehl"/>
                <w:b/>
                <w:bCs/>
                <w:sz w:val="32"/>
                <w:szCs w:val="32"/>
                <w:rtl/>
              </w:rPr>
            </w:pPr>
            <w:bookmarkStart w:id="4" w:name="PsakDin"/>
            <w:r w:rsidRPr="00887FE8">
              <w:rPr>
                <w:rFonts w:ascii="Arial" w:hAnsi="Arial" w:cs="FrankRuehl" w:hint="cs"/>
                <w:b/>
                <w:bCs/>
                <w:sz w:val="32"/>
                <w:szCs w:val="32"/>
                <w:rtl/>
              </w:rPr>
              <w:t xml:space="preserve">גזר דין </w:t>
            </w:r>
            <w:bookmarkEnd w:id="4"/>
            <w:r w:rsidRPr="00887FE8">
              <w:rPr>
                <w:rFonts w:ascii="Arial" w:hAnsi="Arial" w:cs="FrankRuehl" w:hint="cs"/>
                <w:b/>
                <w:bCs/>
                <w:sz w:val="32"/>
                <w:szCs w:val="32"/>
                <w:rtl/>
              </w:rPr>
              <w:t>(ללא הרשעה)</w:t>
            </w:r>
          </w:p>
        </w:tc>
      </w:tr>
    </w:tbl>
    <w:p w14:paraId="705D6C85" w14:textId="77777777" w:rsidR="0097142F" w:rsidRPr="00887FE8" w:rsidRDefault="0097142F" w:rsidP="0097142F">
      <w:pPr>
        <w:rPr>
          <w:rFonts w:ascii="Arial" w:hAnsi="Arial"/>
          <w:rtl/>
        </w:rPr>
      </w:pPr>
    </w:p>
    <w:p w14:paraId="4B192C9E" w14:textId="77777777" w:rsidR="0097142F" w:rsidRPr="00887FE8" w:rsidRDefault="0097142F" w:rsidP="0097142F">
      <w:pPr>
        <w:rPr>
          <w:rFonts w:ascii="Arial" w:hAnsi="Arial"/>
          <w:rtl/>
        </w:rPr>
      </w:pPr>
    </w:p>
    <w:p w14:paraId="1FD17E72" w14:textId="77777777" w:rsidR="0097142F" w:rsidRPr="00887FE8" w:rsidRDefault="0097142F" w:rsidP="0097142F">
      <w:pPr>
        <w:spacing w:after="160" w:line="360" w:lineRule="auto"/>
        <w:jc w:val="both"/>
        <w:rPr>
          <w:rFonts w:ascii="Calibri" w:hAnsi="Calibri"/>
          <w:b/>
          <w:bCs/>
        </w:rPr>
      </w:pPr>
      <w:r w:rsidRPr="00887FE8">
        <w:rPr>
          <w:rFonts w:ascii="Arial" w:hAnsi="Arial" w:hint="cs"/>
          <w:b/>
          <w:bCs/>
          <w:rtl/>
        </w:rPr>
        <w:t xml:space="preserve">כתב אישום ורקע </w:t>
      </w:r>
    </w:p>
    <w:p w14:paraId="42EC951C" w14:textId="77777777" w:rsidR="0097142F" w:rsidRPr="00887FE8" w:rsidRDefault="0097142F" w:rsidP="0097142F">
      <w:pPr>
        <w:spacing w:after="160" w:line="360" w:lineRule="auto"/>
        <w:ind w:left="720" w:hanging="720"/>
        <w:jc w:val="both"/>
        <w:rPr>
          <w:rFonts w:ascii="Arial" w:hAnsi="Arial"/>
          <w:rtl/>
        </w:rPr>
      </w:pPr>
      <w:r w:rsidRPr="00887FE8">
        <w:rPr>
          <w:rFonts w:ascii="Arial" w:hAnsi="Arial" w:hint="cs"/>
          <w:rtl/>
        </w:rPr>
        <w:t>1.</w:t>
      </w:r>
      <w:r w:rsidR="00887FE8" w:rsidRPr="00887FE8">
        <w:rPr>
          <w:rFonts w:ascii="Arial" w:hAnsi="Arial" w:hint="cs"/>
          <w:rtl/>
        </w:rPr>
        <w:t xml:space="preserve">        </w:t>
      </w:r>
      <w:r w:rsidRPr="00887FE8">
        <w:rPr>
          <w:rFonts w:ascii="Arial" w:hAnsi="Arial" w:hint="cs"/>
          <w:rtl/>
        </w:rPr>
        <w:t xml:space="preserve"> </w:t>
      </w:r>
      <w:bookmarkStart w:id="5" w:name="ABSTRACT_START"/>
      <w:bookmarkEnd w:id="5"/>
      <w:r w:rsidRPr="00887FE8">
        <w:rPr>
          <w:rFonts w:ascii="Arial" w:hAnsi="Arial" w:hint="cs"/>
          <w:rtl/>
        </w:rPr>
        <w:t>הנאשם הודה והורשע, במסגרת הסדר טיעון, בכתב אישום (כא/2 מתוקן בשנית) המייחס לו עבירות סחר בסמים באמצעות אפליקציית הטלגראס, כמפורט להלן:</w:t>
      </w:r>
    </w:p>
    <w:p w14:paraId="092127C5" w14:textId="77777777" w:rsidR="0097142F" w:rsidRPr="00887FE8" w:rsidRDefault="0097142F" w:rsidP="0097142F">
      <w:pPr>
        <w:spacing w:after="160" w:line="360" w:lineRule="auto"/>
        <w:ind w:left="720"/>
        <w:jc w:val="both"/>
        <w:rPr>
          <w:rFonts w:ascii="Arial" w:hAnsi="Arial"/>
          <w:rtl/>
        </w:rPr>
      </w:pPr>
      <w:r w:rsidRPr="00887FE8">
        <w:rPr>
          <w:rFonts w:ascii="Arial" w:hAnsi="Arial" w:hint="cs"/>
          <w:b/>
          <w:bCs/>
          <w:rtl/>
        </w:rPr>
        <w:t>החזקת סמים שלא לצריכה עצמית</w:t>
      </w:r>
      <w:r w:rsidRPr="00887FE8">
        <w:rPr>
          <w:rFonts w:ascii="Arial" w:hAnsi="Arial" w:hint="cs"/>
          <w:rtl/>
        </w:rPr>
        <w:t xml:space="preserve"> – לפי סעיף </w:t>
      </w:r>
      <w:hyperlink r:id="rId13" w:history="1">
        <w:r w:rsidR="00D21F96" w:rsidRPr="00D21F96">
          <w:rPr>
            <w:rFonts w:ascii="Arial" w:hAnsi="Arial"/>
            <w:color w:val="0000FF"/>
            <w:u w:val="single"/>
            <w:rtl/>
          </w:rPr>
          <w:t>7(א) + 7(ג)</w:t>
        </w:r>
      </w:hyperlink>
      <w:r w:rsidRPr="00887FE8">
        <w:rPr>
          <w:rFonts w:ascii="Arial" w:hAnsi="Arial" w:hint="cs"/>
          <w:rtl/>
        </w:rPr>
        <w:t xml:space="preserve"> סיפא ל</w:t>
      </w:r>
      <w:hyperlink r:id="rId14" w:history="1">
        <w:r w:rsidR="00887FE8" w:rsidRPr="00887FE8">
          <w:rPr>
            <w:rFonts w:ascii="Arial" w:hAnsi="Arial"/>
            <w:color w:val="0000FF"/>
            <w:u w:val="single"/>
            <w:rtl/>
          </w:rPr>
          <w:t>פקודת הסמים המסוכנים</w:t>
        </w:r>
      </w:hyperlink>
      <w:r w:rsidRPr="00887FE8">
        <w:rPr>
          <w:rFonts w:ascii="Arial" w:hAnsi="Arial" w:hint="cs"/>
          <w:rtl/>
        </w:rPr>
        <w:t xml:space="preserve"> (נוסח חדש), תשל"ג-1973.</w:t>
      </w:r>
    </w:p>
    <w:p w14:paraId="57FF66D0" w14:textId="77777777" w:rsidR="0097142F" w:rsidRPr="00887FE8" w:rsidRDefault="0097142F" w:rsidP="0097142F">
      <w:pPr>
        <w:spacing w:after="160" w:line="360" w:lineRule="auto"/>
        <w:ind w:firstLine="720"/>
        <w:jc w:val="both"/>
        <w:rPr>
          <w:rFonts w:ascii="Arial" w:hAnsi="Arial"/>
        </w:rPr>
      </w:pPr>
      <w:r w:rsidRPr="00887FE8">
        <w:rPr>
          <w:rFonts w:ascii="Arial" w:hAnsi="Arial" w:hint="cs"/>
          <w:b/>
          <w:bCs/>
          <w:rtl/>
        </w:rPr>
        <w:t>סחר בסמים מסוכנים (</w:t>
      </w:r>
      <w:r w:rsidRPr="00887FE8">
        <w:rPr>
          <w:rFonts w:hint="cs"/>
          <w:b/>
          <w:bCs/>
        </w:rPr>
        <w:t>2</w:t>
      </w:r>
      <w:r w:rsidRPr="00887FE8">
        <w:rPr>
          <w:rFonts w:ascii="Arial" w:hAnsi="Arial" w:hint="cs"/>
          <w:b/>
          <w:bCs/>
          <w:rtl/>
        </w:rPr>
        <w:t xml:space="preserve"> עבירות)</w:t>
      </w:r>
      <w:r w:rsidRPr="00887FE8">
        <w:rPr>
          <w:rFonts w:ascii="Arial" w:hAnsi="Arial" w:hint="cs"/>
          <w:rtl/>
        </w:rPr>
        <w:t xml:space="preserve"> – לפי סעיף </w:t>
      </w:r>
      <w:hyperlink r:id="rId15" w:history="1">
        <w:r w:rsidR="00D21F96" w:rsidRPr="00D21F96">
          <w:rPr>
            <w:rFonts w:ascii="Arial" w:hAnsi="Arial"/>
            <w:color w:val="0000FF"/>
            <w:u w:val="single"/>
            <w:rtl/>
          </w:rPr>
          <w:t>13 + 19א</w:t>
        </w:r>
      </w:hyperlink>
      <w:r w:rsidRPr="00887FE8">
        <w:rPr>
          <w:rFonts w:ascii="Arial" w:hAnsi="Arial" w:hint="cs"/>
          <w:rtl/>
        </w:rPr>
        <w:t xml:space="preserve"> ל</w:t>
      </w:r>
      <w:hyperlink r:id="rId16" w:history="1">
        <w:r w:rsidR="00887FE8" w:rsidRPr="00887FE8">
          <w:rPr>
            <w:rFonts w:ascii="Arial" w:hAnsi="Arial"/>
            <w:color w:val="0000FF"/>
            <w:u w:val="single"/>
            <w:rtl/>
          </w:rPr>
          <w:t>פקודת הסמים המסוכנים</w:t>
        </w:r>
      </w:hyperlink>
      <w:bookmarkStart w:id="6" w:name="ABSTRACT_END"/>
      <w:bookmarkEnd w:id="6"/>
      <w:r w:rsidRPr="00887FE8">
        <w:rPr>
          <w:rFonts w:ascii="Arial" w:hAnsi="Arial" w:hint="cs"/>
          <w:rtl/>
        </w:rPr>
        <w:t>.</w:t>
      </w:r>
    </w:p>
    <w:p w14:paraId="7C1826E1" w14:textId="77777777" w:rsidR="0097142F" w:rsidRPr="00887FE8" w:rsidRDefault="0097142F" w:rsidP="0097142F">
      <w:pPr>
        <w:spacing w:after="160" w:line="360" w:lineRule="auto"/>
        <w:ind w:firstLine="720"/>
        <w:jc w:val="both"/>
        <w:rPr>
          <w:rFonts w:ascii="Arial" w:hAnsi="Arial"/>
          <w:rtl/>
        </w:rPr>
      </w:pPr>
      <w:r w:rsidRPr="00887FE8">
        <w:rPr>
          <w:rFonts w:ascii="Arial" w:hAnsi="Arial" w:hint="cs"/>
          <w:rtl/>
        </w:rPr>
        <w:t>כתב האישום המתוקן בחלקו הכללי פירט נתונים לגבי אפליקציות הטלגראם והטלגראס.</w:t>
      </w:r>
    </w:p>
    <w:p w14:paraId="45988677" w14:textId="77777777" w:rsidR="00D21F96" w:rsidRDefault="0097142F" w:rsidP="0097142F">
      <w:pPr>
        <w:spacing w:after="160" w:line="360" w:lineRule="auto"/>
        <w:ind w:left="720"/>
        <w:jc w:val="both"/>
        <w:rPr>
          <w:rFonts w:ascii="Arial" w:hAnsi="Arial"/>
          <w:rtl/>
        </w:rPr>
      </w:pPr>
      <w:r w:rsidRPr="00887FE8">
        <w:rPr>
          <w:rFonts w:ascii="Arial" w:hAnsi="Arial" w:hint="cs"/>
          <w:rtl/>
        </w:rPr>
        <w:t>פורט כי אפליקציית הטלגראם הינה תוכנה חינמית המאופיינת ביכולת להציע שרותי תקשורת בעלי יכולת הצפנה גבוהה במיוחד והיעדר אחסון פרטי התקשורת בשרת החברה יחד עם יכולת של המשתמש להגדיר לעצמו שיחות אשר יושמדו לאחר פרק זמן מסוים. בנוסף מספקת האפליקציה התראה למשתמש במידה ומנסים לצלם את המסך עם המידע</w:t>
      </w:r>
    </w:p>
    <w:p w14:paraId="076B5F79" w14:textId="77777777" w:rsidR="00D21F96" w:rsidRPr="00D21F96" w:rsidRDefault="00D21F96" w:rsidP="00D21F96">
      <w:pPr>
        <w:spacing w:after="120" w:line="240" w:lineRule="exact"/>
        <w:ind w:left="283" w:hanging="283"/>
        <w:jc w:val="both"/>
        <w:rPr>
          <w:rFonts w:ascii="FrankRuehl" w:hAnsi="FrankRuehl" w:cs="FrankRuehl"/>
          <w:rtl/>
        </w:rPr>
      </w:pPr>
    </w:p>
    <w:p w14:paraId="3D3A4913" w14:textId="77777777" w:rsidR="00D21F96" w:rsidRPr="00D21F96" w:rsidRDefault="00D21F96" w:rsidP="0097142F">
      <w:pPr>
        <w:spacing w:after="160" w:line="360" w:lineRule="auto"/>
        <w:ind w:left="720"/>
        <w:jc w:val="both"/>
        <w:rPr>
          <w:rFonts w:ascii="Arial" w:hAnsi="Arial"/>
          <w:rtl/>
        </w:rPr>
      </w:pPr>
    </w:p>
    <w:p w14:paraId="00122683" w14:textId="77777777" w:rsidR="00D21F96" w:rsidRPr="00D21F96" w:rsidRDefault="00D21F96" w:rsidP="0097142F">
      <w:pPr>
        <w:spacing w:after="160" w:line="360" w:lineRule="auto"/>
        <w:ind w:left="720"/>
        <w:jc w:val="both"/>
        <w:rPr>
          <w:rFonts w:ascii="Arial" w:hAnsi="Arial"/>
          <w:rtl/>
        </w:rPr>
      </w:pPr>
    </w:p>
    <w:p w14:paraId="535C2370" w14:textId="77777777" w:rsidR="00887FE8" w:rsidRPr="00887FE8" w:rsidRDefault="0097142F" w:rsidP="0097142F">
      <w:pPr>
        <w:spacing w:after="160" w:line="360" w:lineRule="auto"/>
        <w:ind w:left="720"/>
        <w:jc w:val="both"/>
        <w:rPr>
          <w:rFonts w:ascii="Arial" w:hAnsi="Arial"/>
          <w:rtl/>
        </w:rPr>
      </w:pPr>
      <w:r w:rsidRPr="00D21F96">
        <w:rPr>
          <w:rFonts w:ascii="Arial" w:hAnsi="Arial" w:hint="cs"/>
          <w:rtl/>
        </w:rPr>
        <w:t xml:space="preserve"> </w:t>
      </w:r>
    </w:p>
    <w:p w14:paraId="10C87435" w14:textId="77777777" w:rsidR="00887FE8" w:rsidRPr="00887FE8" w:rsidRDefault="00887FE8" w:rsidP="0097142F">
      <w:pPr>
        <w:spacing w:after="160" w:line="360" w:lineRule="auto"/>
        <w:ind w:left="720"/>
        <w:jc w:val="both"/>
        <w:rPr>
          <w:rFonts w:ascii="Arial" w:hAnsi="Arial"/>
          <w:rtl/>
        </w:rPr>
      </w:pPr>
    </w:p>
    <w:p w14:paraId="751EC14F" w14:textId="77777777" w:rsidR="00887FE8" w:rsidRPr="00887FE8" w:rsidRDefault="00887FE8" w:rsidP="0097142F">
      <w:pPr>
        <w:spacing w:after="160" w:line="360" w:lineRule="auto"/>
        <w:ind w:left="720"/>
        <w:jc w:val="both"/>
        <w:rPr>
          <w:rFonts w:ascii="Arial" w:hAnsi="Arial"/>
          <w:rtl/>
        </w:rPr>
      </w:pPr>
    </w:p>
    <w:bookmarkEnd w:id="0"/>
    <w:p w14:paraId="37EAEC69" w14:textId="77777777" w:rsidR="00887FE8" w:rsidRPr="00887FE8" w:rsidRDefault="00887FE8" w:rsidP="00887FE8">
      <w:pPr>
        <w:spacing w:after="160" w:line="360" w:lineRule="auto"/>
        <w:ind w:left="720"/>
        <w:jc w:val="center"/>
        <w:rPr>
          <w:rFonts w:ascii="Arial" w:hAnsi="Arial"/>
          <w:bCs/>
          <w:rtl/>
        </w:rPr>
      </w:pPr>
      <w:r w:rsidRPr="00887FE8">
        <w:rPr>
          <w:rFonts w:ascii="Arial" w:hAnsi="Arial"/>
          <w:bCs/>
          <w:rtl/>
        </w:rPr>
        <w:t>שנשלח ובכך שומרים על פרטיות גבוהה במיוחד. בנוסף ניתן ליצור בטלגראם קבוצות רבות</w:t>
      </w:r>
    </w:p>
    <w:p w14:paraId="4A7C4399" w14:textId="77777777" w:rsidR="0097142F" w:rsidRDefault="0097142F" w:rsidP="0097142F">
      <w:pPr>
        <w:spacing w:after="160" w:line="360" w:lineRule="auto"/>
        <w:ind w:left="720"/>
        <w:jc w:val="both"/>
        <w:rPr>
          <w:rFonts w:ascii="Arial" w:hAnsi="Arial"/>
          <w:rtl/>
        </w:rPr>
      </w:pPr>
      <w:r>
        <w:rPr>
          <w:rFonts w:ascii="Arial" w:hAnsi="Arial" w:hint="cs"/>
          <w:rtl/>
        </w:rPr>
        <w:t xml:space="preserve">בנות אלפי חברים. </w:t>
      </w:r>
    </w:p>
    <w:p w14:paraId="1C3A1B0D" w14:textId="77777777" w:rsidR="0097142F" w:rsidRDefault="0097142F" w:rsidP="0097142F">
      <w:pPr>
        <w:spacing w:after="160" w:line="360" w:lineRule="auto"/>
        <w:ind w:left="720"/>
        <w:jc w:val="both"/>
        <w:rPr>
          <w:rFonts w:ascii="Arial" w:hAnsi="Arial"/>
          <w:rtl/>
        </w:rPr>
      </w:pPr>
      <w:r>
        <w:rPr>
          <w:rFonts w:ascii="Arial" w:hAnsi="Arial" w:hint="cs"/>
          <w:rtl/>
        </w:rPr>
        <w:t xml:space="preserve">אחת הקבוצות הבולטות בפעילות באפליקציית הטלגראם הינה קבוצת "טלגראס" המשמשת כפלטפורמה אפקטיבית לניהול פעילות סחר ורכש סמים. הקבוצה מנוהלת על ידי מספר אנשים ומחולקת במתכונת של רשת ארצית ולתת קבוצות מקומיות. </w:t>
      </w:r>
    </w:p>
    <w:p w14:paraId="7C2C8CB9" w14:textId="77777777" w:rsidR="0097142F" w:rsidRDefault="0097142F" w:rsidP="0097142F">
      <w:pPr>
        <w:spacing w:after="160" w:line="360" w:lineRule="auto"/>
        <w:ind w:left="720"/>
        <w:jc w:val="both"/>
        <w:rPr>
          <w:rFonts w:ascii="Arial" w:hAnsi="Arial"/>
          <w:rtl/>
        </w:rPr>
      </w:pPr>
      <w:r>
        <w:rPr>
          <w:rFonts w:ascii="Arial" w:hAnsi="Arial" w:hint="cs"/>
          <w:rtl/>
        </w:rPr>
        <w:t xml:space="preserve">פורט כי במועדים הרלוונטיים לכתב האישום יצר הנאשם קשר עם אחר בשם שלומי, והשניים סיכמו כי שלומי יספק לנאשם סמים מסוכנים מסוג קנבוס, כתובות של אנשים ומספרי טלפון, והנאשם ייסע לאותם אנשים וימכור להם את הסמים, יקבל את התמורה ויעבירה לידי שלומי. בעבור כל עסקה קיבל הנאשם לידיו סך של 200 ₪. את הלקוחות הכיר שלומי במסגרת האפליקציה. </w:t>
      </w:r>
    </w:p>
    <w:p w14:paraId="541F8E97" w14:textId="77777777" w:rsidR="0097142F" w:rsidRDefault="0097142F" w:rsidP="0097142F">
      <w:pPr>
        <w:spacing w:after="160" w:line="360" w:lineRule="auto"/>
        <w:ind w:firstLine="720"/>
        <w:jc w:val="both"/>
        <w:rPr>
          <w:rFonts w:ascii="Arial" w:hAnsi="Arial"/>
          <w:u w:val="single"/>
          <w:rtl/>
        </w:rPr>
      </w:pPr>
      <w:r>
        <w:rPr>
          <w:rFonts w:ascii="Arial" w:hAnsi="Arial" w:hint="cs"/>
          <w:u w:val="single"/>
          <w:rtl/>
        </w:rPr>
        <w:t xml:space="preserve">אישום ראשון </w:t>
      </w:r>
    </w:p>
    <w:p w14:paraId="59AE1A95" w14:textId="77777777" w:rsidR="0097142F" w:rsidRDefault="0097142F" w:rsidP="0097142F">
      <w:pPr>
        <w:spacing w:after="160" w:line="360" w:lineRule="auto"/>
        <w:ind w:left="720"/>
        <w:jc w:val="both"/>
        <w:rPr>
          <w:rFonts w:ascii="Arial" w:hAnsi="Arial"/>
          <w:rtl/>
        </w:rPr>
      </w:pPr>
      <w:r>
        <w:rPr>
          <w:rFonts w:ascii="Arial" w:hAnsi="Arial" w:hint="cs"/>
          <w:rtl/>
        </w:rPr>
        <w:t xml:space="preserve">ביום 7/10/18, סמוך לשעה 1:57, נהג הנאשם ברכב, כאשר לידו יושב קטין, כשהם חוזרים ממכירת סמים מסוכנים בתחנת הדלק בראש פינה. סמוך לצומת חצור עצרו שוטרים את הנאשם לביקורת, כאשר פתח הנאשם את החלון הריחו השוטרים ריח חריף של סמים מסוכנים. בחיפוש ברכב נמצא כי הנאשם החזיק בתא הכפפות ובתא המטען של הרכב קנבוס במשקל 42.01 גרם נטו. כן נמצאו מתחת להגה הרכב סמים מסוכנים במשקל שאינו ידוע. </w:t>
      </w:r>
    </w:p>
    <w:p w14:paraId="073EBD45" w14:textId="77777777" w:rsidR="0097142F" w:rsidRDefault="00887FE8" w:rsidP="0097142F">
      <w:pPr>
        <w:spacing w:after="160" w:line="360" w:lineRule="auto"/>
        <w:jc w:val="both"/>
        <w:rPr>
          <w:rFonts w:ascii="Arial" w:hAnsi="Arial"/>
          <w:rtl/>
        </w:rPr>
      </w:pPr>
      <w:r>
        <w:rPr>
          <w:rFonts w:ascii="Arial" w:hAnsi="Arial" w:hint="cs"/>
          <w:rtl/>
        </w:rPr>
        <w:t xml:space="preserve"> </w:t>
      </w:r>
    </w:p>
    <w:p w14:paraId="0CEFAC34" w14:textId="77777777" w:rsidR="0097142F" w:rsidRDefault="0097142F" w:rsidP="0097142F">
      <w:pPr>
        <w:spacing w:after="160" w:line="360" w:lineRule="auto"/>
        <w:ind w:firstLine="720"/>
        <w:jc w:val="both"/>
        <w:rPr>
          <w:rFonts w:ascii="Arial" w:hAnsi="Arial"/>
          <w:u w:val="single"/>
          <w:rtl/>
        </w:rPr>
      </w:pPr>
      <w:r>
        <w:rPr>
          <w:rFonts w:ascii="Arial" w:hAnsi="Arial" w:hint="cs"/>
          <w:u w:val="single"/>
          <w:rtl/>
        </w:rPr>
        <w:t xml:space="preserve">אישום שני </w:t>
      </w:r>
    </w:p>
    <w:p w14:paraId="61ADF9D7" w14:textId="77777777" w:rsidR="0097142F" w:rsidRDefault="0097142F" w:rsidP="0097142F">
      <w:pPr>
        <w:spacing w:after="160" w:line="360" w:lineRule="auto"/>
        <w:ind w:left="720"/>
        <w:jc w:val="both"/>
        <w:rPr>
          <w:rFonts w:ascii="Arial" w:hAnsi="Arial"/>
          <w:rtl/>
        </w:rPr>
      </w:pPr>
      <w:r>
        <w:rPr>
          <w:rFonts w:ascii="Arial" w:hAnsi="Arial" w:hint="cs"/>
          <w:rtl/>
        </w:rPr>
        <w:t xml:space="preserve">ביום 7/10/18, בשעות הערב, נכנס מ"ה לאפליקציית הטלגראס והתקשר באמצעותה עם שלומי לאספקת סם מסוכן מסוג קנבוס. בהמשך, יצר שלומי קשר עם הנאשם והעביר לו את פרטי העסקה, פרטיו של מ"ה ומקום העסקה. סמוך לשעה 00:04, יצר הנאשם קשר טלפוני עם מ"ה והם קבעו להיפגש בתחנת דלק מנטה בראש פינה. הנאשם הגיע לתחנת </w:t>
      </w:r>
      <w:r>
        <w:rPr>
          <w:rFonts w:ascii="Arial" w:hAnsi="Arial" w:hint="cs"/>
          <w:rtl/>
        </w:rPr>
        <w:lastRenderedPageBreak/>
        <w:t>הדלק ברכבו כשהקטין עמו, פגש את מ"ה, ומכר לו קנבוס במשקל 10 גרם בתמורה ל-600 ₪.</w:t>
      </w:r>
      <w:r w:rsidR="00887FE8">
        <w:rPr>
          <w:rFonts w:ascii="Arial" w:hAnsi="Arial" w:hint="cs"/>
          <w:rtl/>
        </w:rPr>
        <w:t xml:space="preserve"> </w:t>
      </w:r>
      <w:r>
        <w:rPr>
          <w:rFonts w:ascii="Arial" w:hAnsi="Arial" w:hint="cs"/>
          <w:rtl/>
        </w:rPr>
        <w:t xml:space="preserve"> </w:t>
      </w:r>
    </w:p>
    <w:p w14:paraId="6A569AB9" w14:textId="77777777" w:rsidR="0097142F" w:rsidRDefault="0097142F" w:rsidP="0097142F">
      <w:pPr>
        <w:spacing w:after="160" w:line="360" w:lineRule="auto"/>
        <w:ind w:firstLine="720"/>
        <w:jc w:val="both"/>
        <w:rPr>
          <w:rFonts w:ascii="Arial" w:hAnsi="Arial"/>
          <w:u w:val="single"/>
          <w:rtl/>
        </w:rPr>
      </w:pPr>
      <w:r>
        <w:rPr>
          <w:rFonts w:ascii="Arial" w:hAnsi="Arial" w:hint="cs"/>
          <w:u w:val="single"/>
          <w:rtl/>
        </w:rPr>
        <w:t>אישום שלישי</w:t>
      </w:r>
    </w:p>
    <w:p w14:paraId="177AA172" w14:textId="77777777" w:rsidR="0097142F" w:rsidRDefault="0097142F" w:rsidP="0097142F">
      <w:pPr>
        <w:spacing w:after="160" w:line="360" w:lineRule="auto"/>
        <w:ind w:left="720"/>
        <w:jc w:val="both"/>
        <w:rPr>
          <w:rFonts w:ascii="Arial" w:hAnsi="Arial"/>
          <w:rtl/>
        </w:rPr>
      </w:pPr>
      <w:r>
        <w:rPr>
          <w:rFonts w:ascii="Arial" w:hAnsi="Arial" w:hint="cs"/>
          <w:rtl/>
        </w:rPr>
        <w:t xml:space="preserve">ביום 21/9/18, נכנס ע"א לאפליקציית הטלגראס בכדי לרכוש סמים מסוכנים. ע"א נדבר עם שלומי כי ימכור לו סמים מסוכנים מסוג קנבוס במשקל 10 גרם בתמורה ל-800 ₪. סמוך לשעה 13:30, שלח שלומי לנאשם הודעה עם פרטי העסקה על-מנת שהנאשם יספק את הסמים לע"א. הנאשם יצר קשר עם ע"א וקבע אתו מקום מפגש. הנאשם הגיע ברכבו סמוך לביתו של ע"א בחצור הגלילית ומכר לו קנבוס במשקל 10 גרם בתמורה ל-800 ₪. </w:t>
      </w:r>
    </w:p>
    <w:p w14:paraId="56905E04" w14:textId="77777777" w:rsidR="0097142F" w:rsidRDefault="0097142F" w:rsidP="0097142F">
      <w:pPr>
        <w:spacing w:after="160" w:line="360" w:lineRule="auto"/>
        <w:jc w:val="both"/>
        <w:rPr>
          <w:rFonts w:ascii="Arial" w:hAnsi="Arial"/>
          <w:rtl/>
        </w:rPr>
      </w:pPr>
    </w:p>
    <w:p w14:paraId="7B73A3DB" w14:textId="77777777" w:rsidR="0097142F" w:rsidRDefault="0097142F" w:rsidP="0097142F">
      <w:pPr>
        <w:spacing w:after="160" w:line="360" w:lineRule="auto"/>
        <w:ind w:left="720" w:hanging="720"/>
        <w:jc w:val="both"/>
        <w:rPr>
          <w:rFonts w:ascii="Arial" w:hAnsi="Arial"/>
          <w:rtl/>
        </w:rPr>
      </w:pPr>
      <w:r>
        <w:rPr>
          <w:rFonts w:ascii="Arial" w:hAnsi="Arial" w:hint="cs"/>
          <w:rtl/>
        </w:rPr>
        <w:t>2.</w:t>
      </w:r>
      <w:r w:rsidR="00887FE8">
        <w:rPr>
          <w:rFonts w:ascii="Arial" w:hAnsi="Arial" w:hint="cs"/>
          <w:rtl/>
        </w:rPr>
        <w:t xml:space="preserve">        </w:t>
      </w:r>
      <w:r>
        <w:rPr>
          <w:rFonts w:ascii="Arial" w:hAnsi="Arial" w:hint="cs"/>
          <w:rtl/>
        </w:rPr>
        <w:t xml:space="preserve"> ביום 2/1/19 הגיעו הצדדים להסדר טיעון, לפיו הנאשם יודה בכתב אישום מתוקן יורשע, והצדדים יטענו לעונש באופן חפשי. כן הופנה הנאשם לשירות המבחן לקבלת תסקיר בעניינו, אשר לבקשת הסנגור התייחס גם לשאלת ביטול ההרשעה בדין. המאשימה התחייבה להגביל עצמה לעונש של עד 6 חודשים לריצוי בעבודות שירות. עוד הוסכם כי סכומי כסף שנתפסו בסך 570 ₪ ובסך 930 ₪ יחולטו, בתמורה לשחרור הרכב שנתפס. לגבי יתר רכיבי הענישה טענו הצדדים באופן פתוח.</w:t>
      </w:r>
    </w:p>
    <w:p w14:paraId="1E61F1AF" w14:textId="77777777" w:rsidR="0097142F" w:rsidRDefault="00887FE8" w:rsidP="0097142F">
      <w:pPr>
        <w:spacing w:after="160" w:line="360" w:lineRule="auto"/>
        <w:ind w:left="720" w:hanging="720"/>
        <w:jc w:val="both"/>
        <w:rPr>
          <w:rFonts w:ascii="Arial" w:hAnsi="Arial"/>
          <w:rtl/>
        </w:rPr>
      </w:pPr>
      <w:r>
        <w:rPr>
          <w:rFonts w:ascii="Arial" w:hAnsi="Arial" w:hint="cs"/>
          <w:rtl/>
        </w:rPr>
        <w:t xml:space="preserve">           </w:t>
      </w:r>
      <w:r w:rsidR="0097142F">
        <w:rPr>
          <w:rFonts w:ascii="Arial" w:hAnsi="Arial" w:hint="cs"/>
          <w:rtl/>
        </w:rPr>
        <w:t xml:space="preserve"> ביום 6/3/19, מועד הטיעונים לעונש, עדכנו הצדדים את הסדר הטיעון, כך שכתב האישום תוקן בשנית, באופן שהובא לעיל. </w:t>
      </w:r>
    </w:p>
    <w:p w14:paraId="2E819A6C" w14:textId="77777777" w:rsidR="0097142F" w:rsidRDefault="0097142F" w:rsidP="0097142F">
      <w:pPr>
        <w:spacing w:after="160" w:line="360" w:lineRule="auto"/>
        <w:jc w:val="both"/>
        <w:rPr>
          <w:rFonts w:ascii="Arial" w:hAnsi="Arial"/>
          <w:rtl/>
        </w:rPr>
      </w:pPr>
    </w:p>
    <w:p w14:paraId="3D0DDE87" w14:textId="77777777" w:rsidR="0097142F" w:rsidRDefault="0097142F" w:rsidP="0097142F">
      <w:pPr>
        <w:spacing w:after="160" w:line="360" w:lineRule="auto"/>
        <w:jc w:val="both"/>
        <w:rPr>
          <w:rFonts w:ascii="Arial" w:hAnsi="Arial"/>
          <w:b/>
          <w:bCs/>
          <w:u w:val="single"/>
          <w:rtl/>
        </w:rPr>
      </w:pPr>
      <w:r>
        <w:rPr>
          <w:rFonts w:ascii="Arial" w:hAnsi="Arial" w:hint="cs"/>
          <w:b/>
          <w:bCs/>
          <w:u w:val="single"/>
          <w:rtl/>
        </w:rPr>
        <w:t>תסקיר שרות המבחן מיום 31/10/18</w:t>
      </w:r>
    </w:p>
    <w:p w14:paraId="581EAAD9" w14:textId="77777777" w:rsidR="0097142F" w:rsidRDefault="0097142F" w:rsidP="0097142F">
      <w:pPr>
        <w:spacing w:after="160" w:line="360" w:lineRule="auto"/>
        <w:ind w:left="720" w:hanging="720"/>
        <w:jc w:val="both"/>
        <w:rPr>
          <w:rFonts w:ascii="Arial" w:hAnsi="Arial"/>
          <w:rtl/>
        </w:rPr>
      </w:pPr>
      <w:r>
        <w:rPr>
          <w:rFonts w:ascii="Arial" w:hAnsi="Arial" w:hint="cs"/>
          <w:rtl/>
        </w:rPr>
        <w:t>3.</w:t>
      </w:r>
      <w:r w:rsidR="00887FE8">
        <w:rPr>
          <w:rFonts w:ascii="Arial" w:hAnsi="Arial" w:hint="cs"/>
          <w:rtl/>
        </w:rPr>
        <w:t xml:space="preserve">        </w:t>
      </w:r>
      <w:r>
        <w:rPr>
          <w:rFonts w:ascii="Arial" w:hAnsi="Arial" w:hint="cs"/>
          <w:rtl/>
        </w:rPr>
        <w:t xml:space="preserve"> שרות המבחן המליץ בעניינו של הנאשם להעדיף את הפן השיקומי, ומאחר ומדובר בצעיר נעדר עבר פלילי שניהל עד כה אורח חיים נורמטיבי, ועל-מנת שלא לפגוע בעתידו, המליץ לבטל את הרשעתו בדין, להטיל עליו צו מבחן למשך 12 חודשים, במהלכם ישולב בהליך טיפולי במסגרת שירות המבחן. כן צויין שתיבחן האפשרות לשלבו בהליך טיפולי במסגרת שירותו הצבאי.</w:t>
      </w:r>
    </w:p>
    <w:p w14:paraId="2B8D1D73" w14:textId="77777777" w:rsidR="0097142F" w:rsidRDefault="0097142F" w:rsidP="0097142F">
      <w:pPr>
        <w:spacing w:after="160" w:line="360" w:lineRule="auto"/>
        <w:ind w:left="720" w:hanging="720"/>
        <w:jc w:val="both"/>
        <w:rPr>
          <w:rFonts w:ascii="Arial" w:hAnsi="Arial"/>
          <w:rtl/>
        </w:rPr>
      </w:pPr>
    </w:p>
    <w:p w14:paraId="5FAF9DB7" w14:textId="77777777" w:rsidR="0097142F" w:rsidRDefault="0097142F" w:rsidP="0097142F">
      <w:pPr>
        <w:spacing w:after="160" w:line="360" w:lineRule="auto"/>
        <w:ind w:left="720" w:hanging="720"/>
        <w:jc w:val="both"/>
        <w:rPr>
          <w:rFonts w:ascii="Arial" w:hAnsi="Arial"/>
          <w:rtl/>
        </w:rPr>
      </w:pPr>
      <w:r>
        <w:rPr>
          <w:rFonts w:ascii="Arial" w:hAnsi="Arial" w:hint="cs"/>
          <w:rtl/>
        </w:rPr>
        <w:t>4.</w:t>
      </w:r>
      <w:r w:rsidR="00887FE8">
        <w:rPr>
          <w:rFonts w:ascii="Arial" w:hAnsi="Arial" w:hint="cs"/>
          <w:rtl/>
        </w:rPr>
        <w:t xml:space="preserve">        </w:t>
      </w:r>
      <w:r>
        <w:rPr>
          <w:rFonts w:ascii="Arial" w:hAnsi="Arial" w:hint="cs"/>
          <w:rtl/>
        </w:rPr>
        <w:t xml:space="preserve"> על פי התסקיר, הנאשם בן 18, רווק אשר התגורר עד למעצרו בבית אמו יחד עם אחיו. במהלך מעצרו שוהה בבית סבתו בחדרה, בפיקוח סבתו ושני הוריו, ויוצא לעבודה יומית במשחקייה בליווי מפקחת. הוריו גרושים מאז היה בן 7, הנאשם ואחיו גדלו במשמורת האם ושמרו על קשר קרוב ורציף עם אביהם. שירות המבחן התרשם כי הורי הנאשם מנהלים אורח חיים נורמטיבי ומהווים גורמי תמיכה יציבים לנאשם. </w:t>
      </w:r>
    </w:p>
    <w:p w14:paraId="6F42669F" w14:textId="77777777" w:rsidR="0097142F" w:rsidRDefault="0097142F" w:rsidP="0097142F">
      <w:pPr>
        <w:spacing w:after="160" w:line="360" w:lineRule="auto"/>
        <w:ind w:left="720"/>
        <w:jc w:val="both"/>
        <w:rPr>
          <w:rFonts w:ascii="Arial" w:hAnsi="Arial"/>
          <w:rtl/>
        </w:rPr>
      </w:pPr>
      <w:r>
        <w:rPr>
          <w:rFonts w:ascii="Arial" w:hAnsi="Arial" w:hint="cs"/>
          <w:rtl/>
        </w:rPr>
        <w:t xml:space="preserve">הנאשם סיים 12 שנות לימוד עם בגרות מלאה. לדבריו אובחן בעבר כסובל מהפרעות קשב וריכוז אך בחר שלא ליטול טיפול תרופתי. הנאשם מצוי לקראת גיוסו לצה"ל ולדבריו נמצא בהליכי מיון לשיבוץ ליחידה קרבית אליה ברצונו להתנדב. </w:t>
      </w:r>
    </w:p>
    <w:p w14:paraId="6167C63D" w14:textId="77777777" w:rsidR="0097142F" w:rsidRDefault="0097142F" w:rsidP="0097142F">
      <w:pPr>
        <w:spacing w:after="160" w:line="360" w:lineRule="auto"/>
        <w:ind w:left="720"/>
        <w:jc w:val="both"/>
        <w:rPr>
          <w:rFonts w:ascii="Arial" w:hAnsi="Arial"/>
          <w:rtl/>
        </w:rPr>
      </w:pPr>
      <w:r>
        <w:rPr>
          <w:rFonts w:ascii="Arial" w:hAnsi="Arial" w:hint="cs"/>
          <w:rtl/>
        </w:rPr>
        <w:t>לנאשם אין עבר פלילי. לדבריו, בשבעת החודשים שקדמו למעצרו החל להשתמש בסמים מסוג חשיש וגראס, במסגרת בילוי חברתי, ובהשפעת חברה שולית אליה חבר. מאז מעצרו ניתק לדבריו קשר עם אותם גורמים, והפסיק השימוש בסמים. בדיקות שתן שמסר בשירות המבחן נמצאו נקיות משרידי סם.</w:t>
      </w:r>
    </w:p>
    <w:p w14:paraId="652D0253" w14:textId="77777777" w:rsidR="0097142F" w:rsidRDefault="0097142F" w:rsidP="0097142F">
      <w:pPr>
        <w:spacing w:after="160" w:line="360" w:lineRule="auto"/>
        <w:ind w:left="720"/>
        <w:jc w:val="both"/>
        <w:rPr>
          <w:rFonts w:ascii="Arial" w:hAnsi="Arial"/>
          <w:rtl/>
        </w:rPr>
      </w:pPr>
      <w:r>
        <w:rPr>
          <w:rFonts w:ascii="Arial" w:hAnsi="Arial" w:hint="cs"/>
          <w:rtl/>
        </w:rPr>
        <w:t xml:space="preserve">הנאשם נטל אחריות על המיוחס לו, ואף הביע התייחסות מחמירה למעורבותו בעבירות. הוא מסר כי הונע מתוך הצורך להשיג כסף קל, סקרנות והעדר שיקול דעת, ואף שלא חווה קושי כלכלי באותה העת. שירות המבחן התרשם כי הנאשם בעל יכולת להבין את משמעות בחירותיו והשלכותיהן. </w:t>
      </w:r>
    </w:p>
    <w:p w14:paraId="0ABF2723" w14:textId="77777777" w:rsidR="0097142F" w:rsidRDefault="0097142F" w:rsidP="0097142F">
      <w:pPr>
        <w:spacing w:after="160" w:line="360" w:lineRule="auto"/>
        <w:ind w:left="720"/>
        <w:jc w:val="both"/>
        <w:rPr>
          <w:rFonts w:ascii="Arial" w:hAnsi="Arial"/>
          <w:rtl/>
        </w:rPr>
      </w:pPr>
      <w:r>
        <w:rPr>
          <w:rFonts w:ascii="Arial" w:hAnsi="Arial" w:hint="cs"/>
          <w:rtl/>
        </w:rPr>
        <w:t xml:space="preserve">הנאשם השתלב בשיחות פרטניות בשירות המבחן במסגרת צו פיקוח מעצר. הנאשם שיתף כי חש מבוכה עקב הסתבכותו, וכי הנו מסיק מסקנות על-מנת למנוע הסתבכות חוזרת. הנאשם הפגין מוטיבציה רבה לטיפול ולשינוי דפוסי התנהגותו. שירות המבחן התרשם מקיומה של אישיות בלתי בשלה, נטייה להיגרר לסיטואציות חברתיות בעייתיות, ולפעולה בהעדר שיקול דעת ובאימפולסיביות. יחד עם זאת ההתרשמות כי הנאשם נעדר קווי אישיות עברייניים, מאופיין ביכולת להתבוננות פנימית, ומפגין אחריות ביחס לתפקידיו. שירות המבחן הסיק יכולת שיקום והמליץ על שילוב בהליך טיפולי, כאמור, אשר יסייע בהפחתת הסיכון ביחס לעתיד. </w:t>
      </w:r>
    </w:p>
    <w:p w14:paraId="624D1C4A" w14:textId="77777777" w:rsidR="0097142F" w:rsidRDefault="0097142F" w:rsidP="0097142F">
      <w:pPr>
        <w:spacing w:after="160" w:line="360" w:lineRule="auto"/>
        <w:jc w:val="both"/>
        <w:rPr>
          <w:rFonts w:ascii="Arial" w:hAnsi="Arial"/>
          <w:rtl/>
        </w:rPr>
      </w:pPr>
    </w:p>
    <w:p w14:paraId="43433406" w14:textId="77777777" w:rsidR="0097142F" w:rsidRDefault="0097142F" w:rsidP="0097142F">
      <w:pPr>
        <w:spacing w:after="160" w:line="360" w:lineRule="auto"/>
        <w:jc w:val="both"/>
        <w:rPr>
          <w:rFonts w:ascii="Arial" w:hAnsi="Arial"/>
          <w:b/>
          <w:bCs/>
          <w:u w:val="single"/>
          <w:rtl/>
        </w:rPr>
      </w:pPr>
      <w:r>
        <w:rPr>
          <w:rFonts w:ascii="Arial" w:hAnsi="Arial" w:hint="cs"/>
          <w:b/>
          <w:bCs/>
          <w:u w:val="single"/>
          <w:rtl/>
        </w:rPr>
        <w:t>טיעוני הצדדים לעונש</w:t>
      </w:r>
    </w:p>
    <w:p w14:paraId="042FAEAA" w14:textId="77777777" w:rsidR="0097142F" w:rsidRDefault="0097142F" w:rsidP="0097142F">
      <w:pPr>
        <w:spacing w:after="160" w:line="360" w:lineRule="auto"/>
        <w:ind w:firstLine="720"/>
        <w:jc w:val="both"/>
        <w:rPr>
          <w:rFonts w:ascii="Arial" w:hAnsi="Arial"/>
          <w:rtl/>
        </w:rPr>
      </w:pPr>
      <w:r>
        <w:rPr>
          <w:rFonts w:ascii="Arial" w:hAnsi="Arial" w:hint="cs"/>
          <w:rtl/>
        </w:rPr>
        <w:t>ביום 6/3/19 התקיימה ישיבת הטיעונים לעונש.</w:t>
      </w:r>
    </w:p>
    <w:p w14:paraId="344C5320" w14:textId="77777777" w:rsidR="0097142F" w:rsidRDefault="0097142F" w:rsidP="0097142F">
      <w:pPr>
        <w:spacing w:after="160" w:line="360" w:lineRule="auto"/>
        <w:ind w:firstLine="720"/>
        <w:jc w:val="both"/>
        <w:rPr>
          <w:rFonts w:ascii="Arial" w:hAnsi="Arial"/>
          <w:u w:val="single"/>
          <w:rtl/>
        </w:rPr>
      </w:pPr>
      <w:r>
        <w:rPr>
          <w:rFonts w:ascii="Arial" w:hAnsi="Arial" w:hint="cs"/>
          <w:u w:val="single"/>
          <w:rtl/>
        </w:rPr>
        <w:t xml:space="preserve">טיעוני ב"כ המאשימה </w:t>
      </w:r>
    </w:p>
    <w:p w14:paraId="6F1DC245" w14:textId="77777777" w:rsidR="0097142F" w:rsidRDefault="0097142F" w:rsidP="0097142F">
      <w:pPr>
        <w:spacing w:after="160" w:line="360" w:lineRule="auto"/>
        <w:ind w:left="720" w:hanging="720"/>
        <w:jc w:val="both"/>
        <w:rPr>
          <w:rFonts w:ascii="Arial" w:hAnsi="Arial"/>
          <w:rtl/>
        </w:rPr>
      </w:pPr>
      <w:r>
        <w:rPr>
          <w:rFonts w:ascii="Arial" w:hAnsi="Arial" w:hint="cs"/>
          <w:rtl/>
        </w:rPr>
        <w:t>5.</w:t>
      </w:r>
      <w:r w:rsidR="00887FE8">
        <w:rPr>
          <w:rFonts w:ascii="Arial" w:hAnsi="Arial" w:hint="cs"/>
          <w:rtl/>
        </w:rPr>
        <w:t xml:space="preserve">        </w:t>
      </w:r>
      <w:r>
        <w:rPr>
          <w:rFonts w:ascii="Arial" w:hAnsi="Arial" w:hint="cs"/>
          <w:rtl/>
        </w:rPr>
        <w:t xml:space="preserve"> ב"כ המאשימה עמד על חומרת עבירת הסחר בסמים באמצעות אפליקציית הטלגראס, וציין את הקלות שבה צעירים נעדרי עבר פלילי מנצלים את הפלטפורמה של האפליקציה המאפשרת להם לא להשאיר עקבות ולא להיות מובאים לדין. הפסיקה מבטאת עמדה עונשית מחמירה ביחס לעבירות הסחר בסמים וככלל יוטלו בעבירה זו עונשי מאסר בפועל מאחורי סורג ובריח, נוכח הפגיעה הקשה שזורעים הסמים בחברה והצורך בהתרעת עבריינים פוטנציאליים. </w:t>
      </w:r>
    </w:p>
    <w:p w14:paraId="63B2D47D" w14:textId="77777777" w:rsidR="0097142F" w:rsidRDefault="00887FE8" w:rsidP="0097142F">
      <w:pPr>
        <w:spacing w:after="160" w:line="360" w:lineRule="auto"/>
        <w:ind w:left="720" w:hanging="720"/>
        <w:jc w:val="both"/>
        <w:rPr>
          <w:rFonts w:ascii="Arial" w:hAnsi="Arial"/>
          <w:rtl/>
        </w:rPr>
      </w:pPr>
      <w:r>
        <w:rPr>
          <w:rFonts w:ascii="Arial" w:hAnsi="Arial" w:hint="cs"/>
          <w:rtl/>
        </w:rPr>
        <w:t xml:space="preserve">           </w:t>
      </w:r>
      <w:r w:rsidR="0097142F">
        <w:rPr>
          <w:rFonts w:ascii="Arial" w:hAnsi="Arial" w:hint="cs"/>
          <w:rtl/>
        </w:rPr>
        <w:t xml:space="preserve"> ב"כ המאשימה הפנה לחומרת נסיבות ביצוע העבירות, כאשר באישום הראשון נעצר הנאשם לאחר שסחר בסמים וברכבו נמצאו סמים נוספים, וברכב לצדו מצוי קטין. הנאשם הורשע בשלושה אירועים, שבוצעו במועדים שונים וביחס לרוכשים שונים. </w:t>
      </w:r>
    </w:p>
    <w:p w14:paraId="5E8EB053" w14:textId="77777777" w:rsidR="0097142F" w:rsidRDefault="0097142F" w:rsidP="0097142F">
      <w:pPr>
        <w:spacing w:after="160" w:line="360" w:lineRule="auto"/>
        <w:ind w:left="720"/>
        <w:jc w:val="both"/>
        <w:rPr>
          <w:rFonts w:ascii="Arial" w:hAnsi="Arial"/>
          <w:rtl/>
        </w:rPr>
      </w:pPr>
      <w:r>
        <w:rPr>
          <w:rFonts w:ascii="Arial" w:hAnsi="Arial" w:hint="cs"/>
          <w:rtl/>
        </w:rPr>
        <w:t>ב"כ המאשימה ציין כי בפסק-הדין בעניינו בובו (</w:t>
      </w:r>
      <w:hyperlink r:id="rId17" w:history="1">
        <w:r w:rsidR="00887FE8" w:rsidRPr="00887FE8">
          <w:rPr>
            <w:rFonts w:ascii="Arial" w:hAnsi="Arial"/>
            <w:color w:val="0000FF"/>
            <w:u w:val="single"/>
            <w:rtl/>
          </w:rPr>
          <w:t>ת"פ 40639-10-17</w:t>
        </w:r>
      </w:hyperlink>
      <w:r w:rsidR="00887FE8">
        <w:rPr>
          <w:rFonts w:ascii="Arial" w:hAnsi="Arial" w:hint="cs"/>
          <w:rtl/>
        </w:rPr>
        <w:t xml:space="preserve"> </w:t>
      </w:r>
      <w:r>
        <w:rPr>
          <w:rFonts w:ascii="Arial" w:hAnsi="Arial" w:hint="cs"/>
          <w:rtl/>
        </w:rPr>
        <w:t xml:space="preserve"> </w:t>
      </w:r>
      <w:r>
        <w:rPr>
          <w:rFonts w:ascii="Arial" w:hAnsi="Arial" w:hint="cs"/>
          <w:b/>
          <w:bCs/>
          <w:rtl/>
        </w:rPr>
        <w:t xml:space="preserve">מדינת ישראל נגד מוחמד בובו </w:t>
      </w:r>
      <w:r>
        <w:rPr>
          <w:rFonts w:ascii="Arial" w:hAnsi="Arial" w:hint="cs"/>
          <w:rtl/>
        </w:rPr>
        <w:t>(17.05.18)), קבעתי בבית משפט זה מתחם עונש הולם בין 6 חודשי מאסר לריצוי בדרך של עבודות שרות ועד 15 חודשי מאסר בפועל. עוד הפנה ל</w:t>
      </w:r>
      <w:hyperlink r:id="rId18" w:history="1">
        <w:r w:rsidR="00887FE8" w:rsidRPr="00887FE8">
          <w:rPr>
            <w:rFonts w:ascii="Arial" w:hAnsi="Arial"/>
            <w:color w:val="0000FF"/>
            <w:u w:val="single"/>
            <w:rtl/>
          </w:rPr>
          <w:t>רע"פ 6160/18</w:t>
        </w:r>
      </w:hyperlink>
      <w:r>
        <w:rPr>
          <w:rFonts w:ascii="Arial" w:hAnsi="Arial" w:hint="cs"/>
          <w:rtl/>
        </w:rPr>
        <w:t xml:space="preserve"> </w:t>
      </w:r>
      <w:r>
        <w:rPr>
          <w:rFonts w:ascii="Arial" w:hAnsi="Arial" w:hint="cs"/>
          <w:b/>
          <w:bCs/>
          <w:rtl/>
        </w:rPr>
        <w:t>מרואני נ' מדינת ישראל</w:t>
      </w:r>
      <w:r>
        <w:rPr>
          <w:rFonts w:ascii="Arial" w:hAnsi="Arial" w:hint="cs"/>
          <w:rtl/>
        </w:rPr>
        <w:t xml:space="preserve"> (5.9.18), שם נקבע מתחם של בין 6 ל-18 חודשי מאסר בעבירת סחר, ול</w:t>
      </w:r>
      <w:hyperlink r:id="rId19" w:history="1">
        <w:r w:rsidR="00887FE8" w:rsidRPr="00887FE8">
          <w:rPr>
            <w:rFonts w:ascii="Arial" w:hAnsi="Arial"/>
            <w:color w:val="0000FF"/>
            <w:u w:val="single"/>
            <w:rtl/>
          </w:rPr>
          <w:t>רע"פ 6401/18</w:t>
        </w:r>
      </w:hyperlink>
      <w:r>
        <w:rPr>
          <w:rFonts w:ascii="Arial" w:hAnsi="Arial" w:hint="cs"/>
          <w:rtl/>
        </w:rPr>
        <w:t xml:space="preserve"> </w:t>
      </w:r>
      <w:r>
        <w:rPr>
          <w:rFonts w:ascii="Arial" w:hAnsi="Arial" w:hint="cs"/>
          <w:b/>
          <w:bCs/>
          <w:rtl/>
        </w:rPr>
        <w:t>ספיר נ' מדינת ישראל</w:t>
      </w:r>
      <w:r>
        <w:rPr>
          <w:rFonts w:ascii="Arial" w:hAnsi="Arial" w:hint="cs"/>
          <w:rtl/>
        </w:rPr>
        <w:t xml:space="preserve"> (17.9.18), שם נקבע מתחם ענישה של בין 16 ל-36 חודשי מאסר בשבעה אישומים של סחר, תיווך והחזקה. </w:t>
      </w:r>
    </w:p>
    <w:p w14:paraId="230F5617" w14:textId="77777777" w:rsidR="0097142F" w:rsidRDefault="0097142F" w:rsidP="0097142F">
      <w:pPr>
        <w:spacing w:after="160" w:line="360" w:lineRule="auto"/>
        <w:ind w:left="720"/>
        <w:jc w:val="both"/>
        <w:rPr>
          <w:rFonts w:ascii="Arial" w:hAnsi="Arial"/>
          <w:rtl/>
        </w:rPr>
      </w:pPr>
      <w:r>
        <w:rPr>
          <w:rFonts w:ascii="Arial" w:hAnsi="Arial" w:hint="cs"/>
          <w:rtl/>
        </w:rPr>
        <w:t xml:space="preserve">ב"כ המאשימה טען כי מתחם העונש הראוי הנו בין 6 ועד 12 חודשי מאסר בפועל, בגין כל אירוע, ובין 10 ל-24 חודשי מאסר בפועל, לכל האישומים יחדיו. הוא עתר להשית על הנאשם עונש של 6 חודשי מאסר לריצוי בעבודות שירות, בכפוף לחוות-דעת הממונה, לאור הסדר הטיעון והתחייבות המאשימה במסגרתו, ובנוסף להטיל עליו מאסר על תנאי, קנס ופסילת רישיון נהיגה בפועל ועל תנאי. </w:t>
      </w:r>
    </w:p>
    <w:p w14:paraId="1E668673" w14:textId="77777777" w:rsidR="0097142F" w:rsidRDefault="0097142F" w:rsidP="0097142F">
      <w:pPr>
        <w:spacing w:after="160" w:line="360" w:lineRule="auto"/>
        <w:ind w:left="720"/>
        <w:jc w:val="both"/>
        <w:rPr>
          <w:rFonts w:ascii="Arial" w:hAnsi="Arial"/>
          <w:rtl/>
        </w:rPr>
      </w:pPr>
      <w:r>
        <w:rPr>
          <w:rFonts w:ascii="Arial" w:hAnsi="Arial" w:hint="cs"/>
          <w:rtl/>
        </w:rPr>
        <w:t>באשר לנסיבות שאינן קשורות בביצוע העבירה, נטען כי נסיבותיו האישיות של הנאשם, ובהן גילו הצעיר בשעת ביצוע העבירות, העדר עבר פלילי ושיקולי שיקומו, הובאו בחשבון במסגרת העונש לו עותרת המאשימה במסגרת הסדר הטיעון. נטען, כי תסקיר שירות המבחן מלמד כי הנאשם העדיף את האינטרס האישי שלו בהפקת רווח קל ומהיר על פני מניעת פגיעה בציבור. אף שהנאשם עתיד להתגייס לצה"ל בקרוב, לא ניתן לבטל את הרשעתו מבלי לפגוע בשיקולי הענישה האחרים ובאינטרס הציבורי, כשמדובר בעבירות של סחר בסם. ב"כ המאשימה הפנה ל</w:t>
      </w:r>
      <w:hyperlink r:id="rId20" w:history="1">
        <w:r w:rsidR="00887FE8" w:rsidRPr="00887FE8">
          <w:rPr>
            <w:rFonts w:ascii="Arial" w:hAnsi="Arial"/>
            <w:color w:val="0000FF"/>
            <w:u w:val="single"/>
            <w:rtl/>
          </w:rPr>
          <w:t>רע"פ 873/12</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(2.2.12). לעניין גיוסו של הנאשם נטען כי שלטונות צה"ל נוהגים לבחון כל מקרה לגופו, וב"כ המאשימה הפנה ל</w:t>
      </w:r>
      <w:hyperlink r:id="rId21" w:history="1">
        <w:r w:rsidR="00887FE8" w:rsidRPr="00887FE8">
          <w:rPr>
            <w:rFonts w:ascii="Arial" w:hAnsi="Arial"/>
            <w:color w:val="0000FF"/>
            <w:u w:val="single"/>
            <w:rtl/>
          </w:rPr>
          <w:t>רע"פ 5831/13</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(22.12.13). </w:t>
      </w:r>
    </w:p>
    <w:p w14:paraId="5E40B84D" w14:textId="77777777" w:rsidR="0097142F" w:rsidRDefault="0097142F" w:rsidP="0097142F">
      <w:pPr>
        <w:spacing w:after="160" w:line="360" w:lineRule="auto"/>
        <w:jc w:val="both"/>
        <w:rPr>
          <w:rFonts w:ascii="Arial" w:hAnsi="Arial"/>
          <w:rtl/>
        </w:rPr>
      </w:pPr>
    </w:p>
    <w:p w14:paraId="73EB4998" w14:textId="77777777" w:rsidR="0097142F" w:rsidRDefault="0097142F" w:rsidP="0097142F">
      <w:pPr>
        <w:spacing w:after="160" w:line="360" w:lineRule="auto"/>
        <w:ind w:firstLine="720"/>
        <w:jc w:val="both"/>
        <w:rPr>
          <w:rFonts w:ascii="Arial" w:hAnsi="Arial"/>
          <w:u w:val="single"/>
          <w:rtl/>
        </w:rPr>
      </w:pPr>
      <w:r>
        <w:rPr>
          <w:rFonts w:ascii="Arial" w:hAnsi="Arial" w:hint="cs"/>
          <w:u w:val="single"/>
          <w:rtl/>
        </w:rPr>
        <w:t>טיעוני ב"כ הנאשם</w:t>
      </w:r>
    </w:p>
    <w:p w14:paraId="24735471" w14:textId="77777777" w:rsidR="0097142F" w:rsidRDefault="0097142F" w:rsidP="0097142F">
      <w:pPr>
        <w:spacing w:after="160" w:line="360" w:lineRule="auto"/>
        <w:ind w:left="720" w:hanging="720"/>
        <w:jc w:val="both"/>
        <w:rPr>
          <w:rFonts w:ascii="Arial" w:hAnsi="Arial"/>
          <w:rtl/>
        </w:rPr>
      </w:pPr>
      <w:r>
        <w:rPr>
          <w:rFonts w:ascii="Arial" w:hAnsi="Arial" w:hint="cs"/>
          <w:rtl/>
        </w:rPr>
        <w:t>6.</w:t>
      </w:r>
      <w:r w:rsidR="00887FE8">
        <w:rPr>
          <w:rFonts w:ascii="Arial" w:hAnsi="Arial" w:hint="cs"/>
          <w:rtl/>
        </w:rPr>
        <w:t xml:space="preserve">        </w:t>
      </w:r>
      <w:r>
        <w:rPr>
          <w:rFonts w:ascii="Arial" w:hAnsi="Arial" w:hint="cs"/>
          <w:rtl/>
        </w:rPr>
        <w:t xml:space="preserve"> ב"כ הנאשם ביקש מבית-המשפט לאמץ את המלצות שירות המבחן, לבטל את הרשעתו של הנאשם ולהטיל עליו צו מבחן. </w:t>
      </w:r>
    </w:p>
    <w:p w14:paraId="777B2F37" w14:textId="77777777" w:rsidR="0097142F" w:rsidRDefault="00887FE8" w:rsidP="0097142F">
      <w:pPr>
        <w:spacing w:after="160" w:line="360" w:lineRule="auto"/>
        <w:ind w:left="720" w:hanging="720"/>
        <w:jc w:val="both"/>
        <w:rPr>
          <w:rFonts w:ascii="Arial" w:hAnsi="Arial"/>
          <w:rtl/>
        </w:rPr>
      </w:pPr>
      <w:r>
        <w:rPr>
          <w:rFonts w:ascii="Arial" w:hAnsi="Arial" w:hint="cs"/>
          <w:rtl/>
        </w:rPr>
        <w:t xml:space="preserve">           </w:t>
      </w:r>
      <w:r w:rsidR="0097142F">
        <w:rPr>
          <w:rFonts w:ascii="Arial" w:hAnsi="Arial" w:hint="cs"/>
          <w:rtl/>
        </w:rPr>
        <w:t xml:space="preserve"> נטען, כי נסיבות ביצוע העבירות אינן מן החמורות. האישומים הראשון והשני בוצעו במסגרת אירוע אחד, כך שמדובר במעשים שבוצעו בשני מועדים שונים בלבד. כמויות הסם אינן גדולות, והרווח הכספי כתוצאה מן הסחר עומד על 1,400 ₪. הנאשם אמנם נסע ברכב עם קטין, אך מדובר בפער גילאים של מספר חודשים בלבד ביניהם. הנאשם הופעל על-ידי אחרים. כן הפסיקה החלה לבטא הכרה כי מדובר בסם שהנו סם קל (ב"כ הנאשם הפנה ל</w:t>
      </w:r>
      <w:hyperlink r:id="rId22" w:history="1">
        <w:r w:rsidRPr="00887FE8">
          <w:rPr>
            <w:rFonts w:ascii="Arial" w:hAnsi="Arial"/>
            <w:color w:val="0000FF"/>
            <w:u w:val="single"/>
            <w:rtl/>
          </w:rPr>
          <w:t>בש"פ 5256/10</w:t>
        </w:r>
      </w:hyperlink>
      <w:r w:rsidR="0097142F">
        <w:rPr>
          <w:rFonts w:ascii="Arial" w:hAnsi="Arial" w:hint="cs"/>
          <w:rtl/>
        </w:rPr>
        <w:t xml:space="preserve"> </w:t>
      </w:r>
      <w:r w:rsidR="0097142F">
        <w:rPr>
          <w:rFonts w:ascii="Arial" w:hAnsi="Arial" w:hint="cs"/>
          <w:b/>
          <w:bCs/>
          <w:rtl/>
        </w:rPr>
        <w:t>ספרוניקוב נ' מדינת ישראל</w:t>
      </w:r>
      <w:r w:rsidR="0097142F">
        <w:rPr>
          <w:rFonts w:ascii="Arial" w:hAnsi="Arial" w:hint="cs"/>
          <w:rtl/>
        </w:rPr>
        <w:t xml:space="preserve">, 18.7.10). </w:t>
      </w:r>
    </w:p>
    <w:p w14:paraId="4BCF4BB6" w14:textId="77777777" w:rsidR="0097142F" w:rsidRDefault="0097142F" w:rsidP="0097142F">
      <w:pPr>
        <w:spacing w:after="160" w:line="360" w:lineRule="auto"/>
        <w:ind w:left="720"/>
        <w:jc w:val="both"/>
        <w:rPr>
          <w:rFonts w:ascii="Arial" w:hAnsi="Arial"/>
          <w:rtl/>
        </w:rPr>
      </w:pPr>
      <w:r>
        <w:rPr>
          <w:rFonts w:ascii="Arial" w:hAnsi="Arial" w:hint="cs"/>
          <w:rtl/>
        </w:rPr>
        <w:t>באשר לנסיבות שאינן קשורות בביצוע העבירות נטען כי הנאשם שיתף פעולה בחקירה באופן מלא, והודה בכתב אישום מתוקן בהזדמנות הראשונה. הודאתו מבטאת חרטה ונטילת אחריות. הנאשם שהה במעצר במשך 3 ימים, ושוהה תקופה ממושכת בתנאים מגבילים, עליהם הקפיד. משפחתו נורמטיבית. תסקיר שירות המבחן מלמד כי הנאשם נקי מסמים, מבין את הפסול שבמעשיו ומבטא התייחסות מחמירה כלפיהם. הוא גילה מוטיבציה גבוהה לשילוב בהליך טיפולי, נעדר קווי אישיות עברייניים, וסיכויי השיקום שלו גבוהים. שירות המבחן המליץ שלא לפגוע בעתידו של הנאשם ולאפשר את גיוסו לצה"ל. נטען כי הטלת עונש מאסר לריצוי בעבודות שירות תגרום לדחיית הגיוס ואף לביטולו, נוכח הרשעתו וריצוי מאסר בפועל. ענישה כזו אף תטיל עליו כתם בל יימחה, ואילו אימוץ המלצות שירות המבחן תאפשר לנאשם לתרום לציבור ולמדינה באמצעות גיוס לצה"ל. נטען כי הנאשם עתיד להתגייס לחיל השיריון, כבר בחודש מרץ 2019.</w:t>
      </w:r>
    </w:p>
    <w:p w14:paraId="6A987356" w14:textId="77777777" w:rsidR="0097142F" w:rsidRDefault="00887FE8" w:rsidP="0097142F">
      <w:pPr>
        <w:spacing w:after="160" w:line="360" w:lineRule="auto"/>
        <w:ind w:left="720" w:hanging="720"/>
        <w:jc w:val="both"/>
        <w:rPr>
          <w:rFonts w:ascii="Arial" w:hAnsi="Arial"/>
          <w:rtl/>
        </w:rPr>
      </w:pPr>
      <w:r>
        <w:rPr>
          <w:rFonts w:ascii="Arial" w:hAnsi="Arial" w:hint="cs"/>
          <w:rtl/>
        </w:rPr>
        <w:t xml:space="preserve">           </w:t>
      </w:r>
      <w:r w:rsidR="0097142F">
        <w:rPr>
          <w:rFonts w:ascii="Arial" w:hAnsi="Arial" w:hint="cs"/>
          <w:rtl/>
        </w:rPr>
        <w:t xml:space="preserve"> ב"כ הנאשם הפנה למספר פסקי-דין התומכים, לטענתו, בעמדתו העונשית ובהם – עפ"ג (מח' י-ם) </w:t>
      </w:r>
      <w:hyperlink r:id="rId23" w:history="1">
        <w:r w:rsidR="00AF26F4" w:rsidRPr="00AF26F4">
          <w:rPr>
            <w:rFonts w:ascii="Arial" w:hAnsi="Arial"/>
            <w:color w:val="0000FF"/>
            <w:u w:val="single"/>
            <w:rtl/>
          </w:rPr>
          <w:t xml:space="preserve">11045-09-18 </w:t>
        </w:r>
      </w:hyperlink>
      <w:r w:rsidR="0097142F">
        <w:rPr>
          <w:rFonts w:ascii="Arial" w:hAnsi="Arial" w:hint="cs"/>
          <w:rtl/>
        </w:rPr>
        <w:t xml:space="preserve"> </w:t>
      </w:r>
      <w:r w:rsidR="0097142F">
        <w:rPr>
          <w:rFonts w:ascii="Arial" w:hAnsi="Arial" w:hint="cs"/>
          <w:b/>
          <w:bCs/>
          <w:rtl/>
        </w:rPr>
        <w:t>אליאסיאן נ' מדינת ישראל</w:t>
      </w:r>
      <w:r w:rsidR="0097142F">
        <w:rPr>
          <w:rFonts w:ascii="Arial" w:hAnsi="Arial" w:hint="cs"/>
          <w:rtl/>
        </w:rPr>
        <w:t xml:space="preserve"> (3.3.19), בו ביטל ביהמ"ש המחוזי את הרשעתו של נאשם בסחר בסם; </w:t>
      </w:r>
      <w:hyperlink r:id="rId24" w:history="1">
        <w:r w:rsidRPr="00887FE8">
          <w:rPr>
            <w:rFonts w:ascii="Arial" w:hAnsi="Arial"/>
            <w:color w:val="0000FF"/>
            <w:u w:val="single"/>
            <w:rtl/>
          </w:rPr>
          <w:t>עפ"ג (מח' מרכז) 53504-01-11</w:t>
        </w:r>
      </w:hyperlink>
      <w:r w:rsidR="0097142F">
        <w:rPr>
          <w:rFonts w:ascii="Arial" w:hAnsi="Arial" w:hint="cs"/>
          <w:rtl/>
        </w:rPr>
        <w:t xml:space="preserve"> </w:t>
      </w:r>
      <w:r w:rsidR="0097142F">
        <w:rPr>
          <w:rFonts w:ascii="Arial" w:hAnsi="Arial" w:hint="cs"/>
          <w:b/>
          <w:bCs/>
          <w:rtl/>
        </w:rPr>
        <w:t>אלון נ' מדינת ישראל</w:t>
      </w:r>
      <w:r w:rsidR="0097142F">
        <w:rPr>
          <w:rFonts w:ascii="Arial" w:hAnsi="Arial" w:hint="cs"/>
          <w:rtl/>
        </w:rPr>
        <w:t xml:space="preserve"> (22.5.11) שם ביטל ביהמ"ש המחוזי את הרשעתו של המערער שהורשע בהחזקת כמות רבה של סם, והטיל עליו צו של"צ, צו מבחן והתחייבות; </w:t>
      </w:r>
      <w:hyperlink r:id="rId25" w:history="1">
        <w:r w:rsidRPr="00887FE8">
          <w:rPr>
            <w:rFonts w:ascii="Arial" w:hAnsi="Arial"/>
            <w:color w:val="0000FF"/>
            <w:u w:val="single"/>
            <w:rtl/>
          </w:rPr>
          <w:t>ת"פ (פ"ת) 15735-12-10</w:t>
        </w:r>
      </w:hyperlink>
      <w:r w:rsidR="0097142F">
        <w:rPr>
          <w:rFonts w:ascii="Arial" w:hAnsi="Arial" w:hint="cs"/>
          <w:rtl/>
        </w:rPr>
        <w:t xml:space="preserve"> מדינת ישראל נ' אסבייאן (18.10.12) ו</w:t>
      </w:r>
      <w:hyperlink r:id="rId26" w:history="1">
        <w:r w:rsidRPr="00887FE8">
          <w:rPr>
            <w:rFonts w:ascii="Arial" w:hAnsi="Arial"/>
            <w:color w:val="0000FF"/>
            <w:u w:val="single"/>
            <w:rtl/>
          </w:rPr>
          <w:t>ת"פ (י-ם) 25216-10-10</w:t>
        </w:r>
      </w:hyperlink>
      <w:r w:rsidR="0097142F">
        <w:rPr>
          <w:rFonts w:ascii="Arial" w:hAnsi="Arial" w:hint="cs"/>
          <w:rtl/>
        </w:rPr>
        <w:t xml:space="preserve"> </w:t>
      </w:r>
      <w:r w:rsidR="0097142F">
        <w:rPr>
          <w:rFonts w:ascii="Arial" w:hAnsi="Arial" w:hint="cs"/>
          <w:b/>
          <w:bCs/>
          <w:rtl/>
        </w:rPr>
        <w:t>מדינת ישראל נ' בן דוד</w:t>
      </w:r>
      <w:r w:rsidR="0097142F">
        <w:rPr>
          <w:rFonts w:ascii="Arial" w:hAnsi="Arial" w:hint="cs"/>
          <w:rtl/>
        </w:rPr>
        <w:t xml:space="preserve"> (13.9.11), בשניהם נמנע ביהמ"ש מהרשעתו של נאשם בסחר בסם. </w:t>
      </w:r>
    </w:p>
    <w:p w14:paraId="758D8B7F" w14:textId="77777777" w:rsidR="0097142F" w:rsidRDefault="0097142F" w:rsidP="0097142F">
      <w:pPr>
        <w:spacing w:after="160" w:line="360" w:lineRule="auto"/>
        <w:ind w:firstLine="720"/>
        <w:jc w:val="both"/>
        <w:rPr>
          <w:rFonts w:ascii="Arial" w:hAnsi="Arial"/>
          <w:u w:val="single"/>
          <w:rtl/>
        </w:rPr>
      </w:pPr>
    </w:p>
    <w:p w14:paraId="522D7E7F" w14:textId="77777777" w:rsidR="0097142F" w:rsidRDefault="0097142F" w:rsidP="0097142F">
      <w:pPr>
        <w:spacing w:after="160" w:line="360" w:lineRule="auto"/>
        <w:ind w:firstLine="720"/>
        <w:jc w:val="both"/>
        <w:rPr>
          <w:rFonts w:ascii="Arial" w:hAnsi="Arial"/>
          <w:u w:val="single"/>
          <w:rtl/>
        </w:rPr>
      </w:pPr>
      <w:r>
        <w:rPr>
          <w:rFonts w:ascii="Arial" w:hAnsi="Arial" w:hint="cs"/>
          <w:u w:val="single"/>
          <w:rtl/>
        </w:rPr>
        <w:t>דברי הנאשם</w:t>
      </w:r>
    </w:p>
    <w:p w14:paraId="365AB59D" w14:textId="77777777" w:rsidR="0097142F" w:rsidRDefault="0097142F" w:rsidP="0097142F">
      <w:pPr>
        <w:spacing w:after="160" w:line="360" w:lineRule="auto"/>
        <w:ind w:left="720" w:hanging="720"/>
        <w:jc w:val="both"/>
        <w:rPr>
          <w:rFonts w:ascii="Arial" w:hAnsi="Arial"/>
          <w:rtl/>
        </w:rPr>
      </w:pPr>
      <w:r>
        <w:rPr>
          <w:rFonts w:ascii="Arial" w:hAnsi="Arial" w:hint="cs"/>
          <w:rtl/>
        </w:rPr>
        <w:t>7.</w:t>
      </w:r>
      <w:r w:rsidR="00887FE8">
        <w:rPr>
          <w:rFonts w:ascii="Arial" w:hAnsi="Arial" w:hint="cs"/>
          <w:rtl/>
        </w:rPr>
        <w:t xml:space="preserve">        </w:t>
      </w:r>
      <w:r>
        <w:rPr>
          <w:rFonts w:ascii="Arial" w:hAnsi="Arial" w:hint="cs"/>
          <w:rtl/>
        </w:rPr>
        <w:t xml:space="preserve"> הנאשם הביע צער על מעשיו, טען כי לא ידע מה יהיו השלכותיהם, היום מבין את חומרתם. מבקש להתגייס לצבא. </w:t>
      </w:r>
    </w:p>
    <w:p w14:paraId="50F61BF4" w14:textId="77777777" w:rsidR="0097142F" w:rsidRDefault="00887FE8" w:rsidP="0097142F">
      <w:pPr>
        <w:spacing w:after="160" w:line="360" w:lineRule="auto"/>
        <w:jc w:val="both"/>
        <w:rPr>
          <w:rFonts w:ascii="Arial" w:hAnsi="Arial"/>
          <w:rtl/>
        </w:rPr>
      </w:pPr>
      <w:r>
        <w:rPr>
          <w:rFonts w:ascii="Arial" w:hAnsi="Arial" w:hint="cs"/>
          <w:rtl/>
        </w:rPr>
        <w:t xml:space="preserve">   </w:t>
      </w:r>
    </w:p>
    <w:p w14:paraId="0C9B4A44" w14:textId="77777777" w:rsidR="0097142F" w:rsidRDefault="0097142F" w:rsidP="0097142F">
      <w:pPr>
        <w:spacing w:line="360" w:lineRule="auto"/>
        <w:jc w:val="both"/>
        <w:rPr>
          <w:rFonts w:ascii="Arial" w:hAnsi="Arial"/>
          <w:rtl/>
        </w:rPr>
      </w:pPr>
      <w:r>
        <w:rPr>
          <w:rFonts w:ascii="Arial" w:hAnsi="Arial" w:hint="cs"/>
          <w:b/>
          <w:bCs/>
          <w:u w:val="single"/>
          <w:rtl/>
        </w:rPr>
        <w:t>שאלת ההרשעה בדין</w:t>
      </w:r>
    </w:p>
    <w:p w14:paraId="3C7CD863" w14:textId="77777777" w:rsidR="0097142F" w:rsidRDefault="0097142F" w:rsidP="0097142F">
      <w:pPr>
        <w:spacing w:line="360" w:lineRule="auto"/>
        <w:jc w:val="both"/>
        <w:rPr>
          <w:rFonts w:ascii="Arial" w:hAnsi="Arial"/>
          <w:rtl/>
        </w:rPr>
      </w:pPr>
    </w:p>
    <w:p w14:paraId="1C8624F6" w14:textId="77777777" w:rsidR="0097142F" w:rsidRDefault="0097142F" w:rsidP="0097142F">
      <w:pPr>
        <w:spacing w:line="360" w:lineRule="auto"/>
        <w:jc w:val="both"/>
        <w:rPr>
          <w:rFonts w:ascii="Arial" w:hAnsi="Arial"/>
          <w:rtl/>
        </w:rPr>
      </w:pPr>
      <w:r>
        <w:rPr>
          <w:rFonts w:ascii="Arial" w:hAnsi="Arial" w:hint="cs"/>
          <w:rtl/>
        </w:rPr>
        <w:t>8.</w:t>
      </w:r>
      <w:r w:rsidR="00887FE8">
        <w:rPr>
          <w:rFonts w:ascii="Arial" w:hAnsi="Arial" w:hint="cs"/>
          <w:rtl/>
        </w:rPr>
        <w:t xml:space="preserve">        </w:t>
      </w:r>
      <w:r>
        <w:rPr>
          <w:rFonts w:ascii="Arial" w:hAnsi="Arial" w:hint="cs"/>
          <w:rtl/>
        </w:rPr>
        <w:t xml:space="preserve"> הכלל בהליך הפלילי הוא כי נאשם בגיר, שהוכחה אשמתו - יורשע בדין.</w:t>
      </w:r>
    </w:p>
    <w:p w14:paraId="6144A06C" w14:textId="77777777" w:rsidR="0097142F" w:rsidRDefault="0097142F" w:rsidP="0097142F">
      <w:pPr>
        <w:spacing w:line="360" w:lineRule="auto"/>
        <w:ind w:left="720"/>
        <w:jc w:val="both"/>
        <w:rPr>
          <w:rFonts w:ascii="Arial" w:hAnsi="Arial"/>
          <w:rtl/>
        </w:rPr>
      </w:pPr>
      <w:r>
        <w:rPr>
          <w:rFonts w:ascii="Arial" w:hAnsi="Arial"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20CB2BC6" w14:textId="77777777" w:rsidR="0097142F" w:rsidRDefault="0097142F" w:rsidP="0097142F">
      <w:pPr>
        <w:spacing w:line="360" w:lineRule="auto"/>
        <w:ind w:left="850" w:right="850"/>
        <w:jc w:val="both"/>
        <w:rPr>
          <w:rFonts w:ascii="Arial" w:hAnsi="Arial"/>
          <w:b/>
          <w:bCs/>
          <w:rtl/>
        </w:rPr>
      </w:pPr>
    </w:p>
    <w:p w14:paraId="2D5B0AEB" w14:textId="77777777" w:rsidR="0097142F" w:rsidRDefault="0097142F" w:rsidP="0097142F">
      <w:pPr>
        <w:spacing w:line="360" w:lineRule="auto"/>
        <w:ind w:left="720"/>
        <w:jc w:val="both"/>
        <w:rPr>
          <w:rFonts w:ascii="Arial" w:hAnsi="Arial"/>
          <w:rtl/>
        </w:rPr>
      </w:pPr>
      <w:r>
        <w:rPr>
          <w:rFonts w:ascii="Arial" w:hAnsi="Arial" w:hint="cs"/>
          <w:rtl/>
        </w:rPr>
        <w:t>הכלל המנחה לגבי הימנעות מהרשעה, נקבע ב</w:t>
      </w:r>
      <w:hyperlink r:id="rId27" w:history="1">
        <w:r w:rsidR="00887FE8" w:rsidRPr="00887FE8">
          <w:rPr>
            <w:rFonts w:ascii="Arial" w:hAnsi="Arial"/>
            <w:color w:val="0000FF"/>
            <w:u w:val="single"/>
            <w:rtl/>
          </w:rPr>
          <w:t>ע"פ 2083/96</w:t>
        </w:r>
      </w:hyperlink>
      <w:r>
        <w:rPr>
          <w:rFonts w:ascii="Arial" w:hAnsi="Arial" w:hint="cs"/>
          <w:rtl/>
        </w:rPr>
        <w:t xml:space="preserve"> </w:t>
      </w:r>
      <w:r>
        <w:rPr>
          <w:rFonts w:ascii="Arial" w:hAnsi="Arial" w:hint="cs"/>
          <w:b/>
          <w:bCs/>
          <w:rtl/>
        </w:rPr>
        <w:t>תמר כתב נגד מדינת ישראל</w:t>
      </w:r>
      <w:r>
        <w:rPr>
          <w:rFonts w:ascii="Arial" w:hAnsi="Arial" w:hint="cs"/>
          <w:rtl/>
        </w:rPr>
        <w:t xml:space="preserve"> </w:t>
      </w:r>
      <w:r>
        <w:rPr>
          <w:rFonts w:ascii="Arial" w:hAnsi="Arial" w:hint="cs"/>
          <w:b/>
          <w:bCs/>
          <w:rtl/>
        </w:rPr>
        <w:t>(21.08.97)</w:t>
      </w:r>
      <w:r>
        <w:rPr>
          <w:rFonts w:ascii="Arial" w:hAnsi="Arial" w:hint="cs"/>
          <w:rtl/>
        </w:rPr>
        <w:t xml:space="preserve">, שם נקבע כי הימנעות מהרשעה תהיה מוצדקת רק בהתקיים שני תנאים מצטברים: </w:t>
      </w:r>
    </w:p>
    <w:p w14:paraId="18BEB7DC" w14:textId="77777777" w:rsidR="0097142F" w:rsidRDefault="0097142F" w:rsidP="0097142F">
      <w:pPr>
        <w:spacing w:line="360" w:lineRule="auto"/>
        <w:ind w:left="720"/>
        <w:jc w:val="both"/>
        <w:rPr>
          <w:rFonts w:ascii="Arial" w:hAnsi="Arial"/>
          <w:rtl/>
        </w:rPr>
      </w:pPr>
    </w:p>
    <w:p w14:paraId="67A02845" w14:textId="77777777" w:rsidR="0097142F" w:rsidRDefault="0097142F" w:rsidP="0097142F">
      <w:pPr>
        <w:spacing w:line="360" w:lineRule="auto"/>
        <w:ind w:left="1440" w:right="850"/>
        <w:jc w:val="both"/>
        <w:rPr>
          <w:rFonts w:ascii="Arial" w:hAnsi="Arial"/>
          <w:b/>
          <w:bCs/>
          <w:rtl/>
        </w:rPr>
      </w:pPr>
      <w:r>
        <w:rPr>
          <w:rFonts w:ascii="Arial" w:hAnsi="Arial"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887FE8">
        <w:rPr>
          <w:rFonts w:ascii="Arial" w:hAnsi="Arial" w:hint="cs"/>
          <w:b/>
          <w:bCs/>
          <w:rtl/>
        </w:rPr>
        <w:t xml:space="preserve"> </w:t>
      </w:r>
      <w:r>
        <w:rPr>
          <w:rFonts w:ascii="Arial" w:hAnsi="Arial" w:hint="cs"/>
          <w:b/>
          <w:bCs/>
          <w:rtl/>
        </w:rPr>
        <w:t xml:space="preserve"> </w:t>
      </w:r>
    </w:p>
    <w:p w14:paraId="0635C57F" w14:textId="77777777" w:rsidR="0097142F" w:rsidRDefault="0097142F" w:rsidP="0097142F">
      <w:pPr>
        <w:spacing w:line="360" w:lineRule="auto"/>
        <w:ind w:left="720"/>
        <w:jc w:val="both"/>
        <w:rPr>
          <w:rFonts w:ascii="Arial" w:hAnsi="Arial"/>
          <w:rtl/>
        </w:rPr>
      </w:pPr>
    </w:p>
    <w:p w14:paraId="57E6583A" w14:textId="77777777" w:rsidR="0097142F" w:rsidRDefault="0097142F" w:rsidP="0097142F">
      <w:pPr>
        <w:spacing w:line="360" w:lineRule="auto"/>
        <w:ind w:left="720"/>
        <w:jc w:val="both"/>
        <w:rPr>
          <w:rFonts w:ascii="Arial" w:hAnsi="Arial"/>
          <w:b/>
          <w:bCs/>
          <w:rtl/>
        </w:rPr>
      </w:pPr>
      <w:r>
        <w:rPr>
          <w:rFonts w:ascii="Arial" w:hAnsi="Arial" w:hint="cs"/>
          <w:rtl/>
        </w:rPr>
        <w:t>ב</w:t>
      </w:r>
      <w:hyperlink r:id="rId28" w:history="1">
        <w:r w:rsidR="00887FE8" w:rsidRPr="00887FE8">
          <w:rPr>
            <w:rFonts w:ascii="Arial" w:hAnsi="Arial"/>
            <w:color w:val="0000FF"/>
            <w:u w:val="single"/>
            <w:rtl/>
          </w:rPr>
          <w:t>ע"פ 2513/96</w:t>
        </w:r>
      </w:hyperlink>
      <w:r>
        <w:rPr>
          <w:rFonts w:ascii="Arial" w:hAnsi="Arial" w:hint="cs"/>
          <w:rtl/>
        </w:rPr>
        <w:t xml:space="preserve"> </w:t>
      </w:r>
      <w:r>
        <w:rPr>
          <w:rFonts w:ascii="Arial" w:hAnsi="Arial" w:hint="cs"/>
          <w:b/>
          <w:bCs/>
          <w:rtl/>
        </w:rPr>
        <w:t>מדינת ישראל נגד ויקטור שמש (02.09.96)</w:t>
      </w:r>
      <w:r>
        <w:rPr>
          <w:rFonts w:ascii="Arial" w:hAnsi="Arial"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פוגעים גם בעקרון השוויון בפני החוק.</w:t>
      </w:r>
    </w:p>
    <w:p w14:paraId="3AD380AA" w14:textId="77777777" w:rsidR="0097142F" w:rsidRDefault="0097142F" w:rsidP="0097142F">
      <w:pPr>
        <w:spacing w:line="360" w:lineRule="auto"/>
        <w:jc w:val="both"/>
        <w:rPr>
          <w:rFonts w:ascii="Arial" w:hAnsi="Arial"/>
          <w:b/>
          <w:bCs/>
          <w:rtl/>
        </w:rPr>
      </w:pPr>
    </w:p>
    <w:p w14:paraId="5EFBBA32" w14:textId="77777777" w:rsidR="0097142F" w:rsidRDefault="0097142F" w:rsidP="0097142F">
      <w:pPr>
        <w:spacing w:line="360" w:lineRule="auto"/>
        <w:ind w:left="720" w:hanging="720"/>
        <w:jc w:val="both"/>
        <w:rPr>
          <w:rFonts w:ascii="Arial" w:hAnsi="Arial"/>
          <w:b/>
          <w:bCs/>
          <w:rtl/>
        </w:rPr>
      </w:pPr>
      <w:r>
        <w:rPr>
          <w:rFonts w:ascii="Arial" w:hAnsi="Arial" w:hint="cs"/>
          <w:rtl/>
        </w:rPr>
        <w:t>9.</w:t>
      </w:r>
      <w:r w:rsidR="00887FE8">
        <w:rPr>
          <w:rFonts w:ascii="Arial" w:hAnsi="Arial" w:hint="cs"/>
          <w:rtl/>
        </w:rPr>
        <w:t xml:space="preserve">        </w:t>
      </w:r>
      <w:r>
        <w:rPr>
          <w:rFonts w:ascii="Arial" w:hAnsi="Arial" w:hint="cs"/>
          <w:rtl/>
        </w:rPr>
        <w:t xml:space="preserve"> 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7A22F218" w14:textId="77777777" w:rsidR="0097142F" w:rsidRDefault="0097142F" w:rsidP="0097142F">
      <w:pPr>
        <w:spacing w:line="360" w:lineRule="auto"/>
        <w:jc w:val="both"/>
        <w:rPr>
          <w:rFonts w:ascii="Arial" w:hAnsi="Arial"/>
          <w:b/>
          <w:bCs/>
          <w:rtl/>
        </w:rPr>
      </w:pPr>
    </w:p>
    <w:p w14:paraId="29AE6C12" w14:textId="77777777" w:rsidR="0097142F" w:rsidRDefault="0097142F" w:rsidP="0097142F">
      <w:pPr>
        <w:spacing w:line="360" w:lineRule="auto"/>
        <w:ind w:left="720" w:hanging="720"/>
        <w:jc w:val="both"/>
        <w:rPr>
          <w:rFonts w:ascii="Arial" w:hAnsi="Arial"/>
          <w:rtl/>
        </w:rPr>
      </w:pPr>
      <w:r>
        <w:rPr>
          <w:rFonts w:ascii="Arial" w:hAnsi="Arial" w:hint="cs"/>
          <w:rtl/>
        </w:rPr>
        <w:t>10.</w:t>
      </w:r>
      <w:r w:rsidR="00887FE8">
        <w:rPr>
          <w:rFonts w:ascii="Arial" w:hAnsi="Arial" w:hint="cs"/>
          <w:rtl/>
        </w:rPr>
        <w:t xml:space="preserve">      </w:t>
      </w:r>
      <w:r>
        <w:rPr>
          <w:rFonts w:ascii="Arial" w:hAnsi="Arial" w:hint="cs"/>
          <w:rtl/>
        </w:rPr>
        <w:t xml:space="preserve"> </w:t>
      </w:r>
      <w:r>
        <w:rPr>
          <w:rFonts w:ascii="Arial" w:hAnsi="Arial" w:hint="cs"/>
          <w:u w:val="single"/>
          <w:rtl/>
        </w:rPr>
        <w:t>חומרת העבירה ונסיבותיה</w:t>
      </w:r>
      <w:r>
        <w:rPr>
          <w:rFonts w:ascii="Arial" w:hAnsi="Arial" w:hint="cs"/>
          <w:rtl/>
        </w:rPr>
        <w:t xml:space="preserve"> – הנאשם הורשע בשתי עבירות של סחר בסם, בעקבות מעורבותו בשתי עסקאות של מכירת קנאביס שתואמה מראש באמצעות אפליקציית הטלגראס, בין אדם אחר לבין הקונה, כשהנאשם משמש כשליח להעברת הסם והתמורה בין הצדדים. </w:t>
      </w:r>
    </w:p>
    <w:p w14:paraId="2374B101" w14:textId="77777777" w:rsidR="0097142F" w:rsidRDefault="0097142F" w:rsidP="0097142F">
      <w:pPr>
        <w:spacing w:line="360" w:lineRule="auto"/>
        <w:ind w:left="720" w:hanging="720"/>
        <w:jc w:val="both"/>
        <w:rPr>
          <w:rFonts w:ascii="Arial" w:hAnsi="Arial"/>
          <w:rtl/>
        </w:rPr>
      </w:pPr>
    </w:p>
    <w:p w14:paraId="4EB72B42" w14:textId="77777777" w:rsidR="0097142F" w:rsidRDefault="0097142F" w:rsidP="0097142F">
      <w:pPr>
        <w:spacing w:line="360" w:lineRule="auto"/>
        <w:ind w:left="720"/>
        <w:jc w:val="both"/>
        <w:rPr>
          <w:rFonts w:ascii="Arial" w:hAnsi="Arial"/>
          <w:rtl/>
        </w:rPr>
      </w:pPr>
      <w:r>
        <w:rPr>
          <w:rFonts w:ascii="Arial" w:hAnsi="Arial" w:hint="cs"/>
          <w:rtl/>
        </w:rPr>
        <w:t xml:space="preserve">במועד אחת העסקאות, נמצא הנאשם מחזיק ברכבו כמות של 42.01 גרם קנאביס, וכן כמות נוספת במשקל שאינו ידוע, ולפיכך הורשע בנוסף גם בעבירה של החזקת סם שלא לצריכה עצמית בלבד. </w:t>
      </w:r>
    </w:p>
    <w:p w14:paraId="64037025" w14:textId="77777777" w:rsidR="0097142F" w:rsidRDefault="0097142F" w:rsidP="0097142F">
      <w:pPr>
        <w:spacing w:line="360" w:lineRule="auto"/>
        <w:ind w:left="720"/>
        <w:jc w:val="both"/>
        <w:rPr>
          <w:rFonts w:ascii="Arial" w:hAnsi="Arial"/>
          <w:rtl/>
        </w:rPr>
      </w:pPr>
      <w:r>
        <w:rPr>
          <w:rFonts w:ascii="Arial" w:hAnsi="Arial" w:hint="cs"/>
          <w:rtl/>
        </w:rPr>
        <w:t xml:space="preserve">כמות הסם בה סחר הנאשם אינה גדולה, ובשתי העסקאות דובר בסמים במשקל של 10 גרם. </w:t>
      </w:r>
    </w:p>
    <w:p w14:paraId="72F22E3B" w14:textId="77777777" w:rsidR="0097142F" w:rsidRDefault="0097142F" w:rsidP="0097142F">
      <w:pPr>
        <w:spacing w:line="360" w:lineRule="auto"/>
        <w:ind w:left="720"/>
        <w:jc w:val="both"/>
        <w:rPr>
          <w:rFonts w:ascii="Arial" w:hAnsi="Arial"/>
          <w:rtl/>
        </w:rPr>
      </w:pPr>
    </w:p>
    <w:p w14:paraId="4FE471C3" w14:textId="77777777" w:rsidR="0097142F" w:rsidRDefault="0097142F" w:rsidP="0097142F">
      <w:pPr>
        <w:spacing w:line="360" w:lineRule="auto"/>
        <w:ind w:left="720" w:hanging="720"/>
        <w:jc w:val="both"/>
        <w:rPr>
          <w:rFonts w:ascii="Arial" w:hAnsi="Arial"/>
          <w:rtl/>
        </w:rPr>
      </w:pPr>
      <w:r>
        <w:rPr>
          <w:rFonts w:ascii="Arial" w:hAnsi="Arial" w:hint="cs"/>
          <w:rtl/>
        </w:rPr>
        <w:t>11.</w:t>
      </w:r>
      <w:r w:rsidR="00887FE8">
        <w:rPr>
          <w:rFonts w:ascii="Arial" w:hAnsi="Arial" w:hint="cs"/>
          <w:rtl/>
        </w:rPr>
        <w:t xml:space="preserve">      </w:t>
      </w:r>
      <w:r>
        <w:rPr>
          <w:rFonts w:ascii="Arial" w:hAnsi="Arial" w:hint="cs"/>
          <w:rtl/>
        </w:rPr>
        <w:t xml:space="preserve"> תופעת סחר בסמים ב"טלגראס" פשטה בתקופה האחרונה והפכה למציאות נפוצה. מדובר בתופעה רחבת היקף, המתאפיינת בהנגשה משמעותית של הסמים, והפיכת קנייתם לקלה. אמנם, מדובר בסמים המסווגים "קלים", ושמה של האפליקציה, "טלגראס" מלמד על כך, ואולם אין כל ערובה שפלטפורמת האינטרנט לא תנוצל גם להפצתם של סמים אחרים וקשים יותר. </w:t>
      </w:r>
    </w:p>
    <w:p w14:paraId="09ED2813" w14:textId="77777777" w:rsidR="0097142F" w:rsidRDefault="0097142F" w:rsidP="0097142F">
      <w:pPr>
        <w:spacing w:line="360" w:lineRule="auto"/>
        <w:ind w:left="720"/>
        <w:jc w:val="both"/>
        <w:rPr>
          <w:rFonts w:ascii="Arial" w:hAnsi="Arial"/>
          <w:rtl/>
        </w:rPr>
      </w:pPr>
    </w:p>
    <w:p w14:paraId="6A271965" w14:textId="77777777" w:rsidR="0097142F" w:rsidRDefault="0097142F" w:rsidP="0097142F">
      <w:pPr>
        <w:spacing w:line="360" w:lineRule="auto"/>
        <w:ind w:left="720"/>
        <w:jc w:val="both"/>
        <w:rPr>
          <w:rFonts w:ascii="Arial" w:hAnsi="Arial"/>
          <w:rtl/>
        </w:rPr>
      </w:pPr>
      <w:r>
        <w:rPr>
          <w:rFonts w:ascii="Arial" w:hAnsi="Arial" w:hint="cs"/>
          <w:rtl/>
        </w:rPr>
        <w:t xml:space="preserve">מעבר לכך, שימוש בסמים, ואפילו אלה המסווגים כקלים, עלול, כפי שנקבע בהחלטות ובפסקי דין רבים, לשבש את בריאותם ושגרת חייהם של הצרכנים, ליצור תלות והתמכרות, ולהביא להתדרדרות לשימוש בסמים קשים יותר. </w:t>
      </w:r>
    </w:p>
    <w:p w14:paraId="7906363E" w14:textId="77777777" w:rsidR="0097142F" w:rsidRDefault="0097142F" w:rsidP="0097142F">
      <w:pPr>
        <w:spacing w:line="360" w:lineRule="auto"/>
        <w:ind w:left="720"/>
        <w:jc w:val="both"/>
        <w:rPr>
          <w:rFonts w:ascii="Arial" w:hAnsi="Arial"/>
          <w:rtl/>
        </w:rPr>
      </w:pPr>
    </w:p>
    <w:p w14:paraId="7E5BE0B4" w14:textId="77777777" w:rsidR="0097142F" w:rsidRDefault="0097142F" w:rsidP="0097142F">
      <w:pPr>
        <w:spacing w:line="360" w:lineRule="auto"/>
        <w:ind w:left="720"/>
        <w:jc w:val="both"/>
        <w:rPr>
          <w:rFonts w:ascii="Arial" w:hAnsi="Arial"/>
          <w:rtl/>
        </w:rPr>
      </w:pPr>
      <w:r>
        <w:rPr>
          <w:rFonts w:ascii="Arial" w:hAnsi="Arial" w:hint="cs"/>
          <w:rtl/>
        </w:rPr>
        <w:t xml:space="preserve">נקודת המוצא היא כי סחר בסמים באפליקציות מהווה פגיעה ממשית בערכים מוגנים של בריאות הציבור ושלומו הפיזית והנפשי, מפני הנזקים הישירים והעקיפים הנגרמים עקב השימוש בסמים. </w:t>
      </w:r>
    </w:p>
    <w:p w14:paraId="25C86715" w14:textId="77777777" w:rsidR="0097142F" w:rsidRDefault="0097142F" w:rsidP="0097142F">
      <w:pPr>
        <w:spacing w:line="360" w:lineRule="auto"/>
        <w:ind w:left="720"/>
        <w:jc w:val="both"/>
        <w:rPr>
          <w:rFonts w:ascii="Arial" w:hAnsi="Arial"/>
          <w:rtl/>
        </w:rPr>
      </w:pPr>
    </w:p>
    <w:p w14:paraId="142756B1" w14:textId="77777777" w:rsidR="0097142F" w:rsidRDefault="0097142F" w:rsidP="0097142F">
      <w:pPr>
        <w:spacing w:line="360" w:lineRule="auto"/>
        <w:ind w:left="720" w:hanging="720"/>
        <w:jc w:val="both"/>
        <w:rPr>
          <w:rFonts w:ascii="Arial" w:hAnsi="Arial"/>
          <w:rtl/>
        </w:rPr>
      </w:pPr>
      <w:r>
        <w:rPr>
          <w:rFonts w:ascii="Arial" w:hAnsi="Arial" w:hint="cs"/>
          <w:rtl/>
        </w:rPr>
        <w:t>12.</w:t>
      </w:r>
      <w:r w:rsidR="00887FE8">
        <w:rPr>
          <w:rFonts w:ascii="Arial" w:hAnsi="Arial" w:hint="cs"/>
          <w:rtl/>
        </w:rPr>
        <w:t xml:space="preserve">      </w:t>
      </w:r>
      <w:r>
        <w:rPr>
          <w:rFonts w:ascii="Arial" w:hAnsi="Arial" w:hint="cs"/>
          <w:rtl/>
        </w:rPr>
        <w:t xml:space="preserve"> יחד עם זאת, לא ניתן להתעלם מכך כי מדיניות האכיפה והענישה בעבירות המתייחסות לסמים המסווגים "קלים" עוברת תמורות של ממש בימים אלה, אל הצד המקל. </w:t>
      </w:r>
    </w:p>
    <w:p w14:paraId="44357168" w14:textId="77777777" w:rsidR="0097142F" w:rsidRDefault="0097142F" w:rsidP="0097142F">
      <w:pPr>
        <w:spacing w:line="360" w:lineRule="auto"/>
        <w:ind w:left="720"/>
        <w:jc w:val="both"/>
        <w:rPr>
          <w:rFonts w:ascii="Arial" w:hAnsi="Arial"/>
          <w:rtl/>
        </w:rPr>
      </w:pPr>
      <w:r>
        <w:rPr>
          <w:rFonts w:ascii="Arial" w:hAnsi="Arial" w:hint="cs"/>
          <w:rtl/>
        </w:rPr>
        <w:t>בנוסף, השימוש באפליקציה נגישה ונוחה לשימוש לשם סחר בסמים,</w:t>
      </w:r>
      <w:r w:rsidR="00887FE8">
        <w:rPr>
          <w:rFonts w:ascii="Arial" w:hAnsi="Arial" w:hint="cs"/>
          <w:rtl/>
        </w:rPr>
        <w:t xml:space="preserve"> </w:t>
      </w:r>
      <w:r>
        <w:rPr>
          <w:rFonts w:ascii="Arial" w:hAnsi="Arial" w:hint="cs"/>
          <w:rtl/>
        </w:rPr>
        <w:t xml:space="preserve"> הפחיתה מהתחכום ומהפליליות של עבירה חמורה זו. כעת, בניגוד לעבר, סחר בסמים אינו כרוך עוד במעורבות מעמיקה בעולם העברייני, אף לא בתכנון והתכוננות מורכבים. הצטרפות למעגל סוחרי הסמים בטלגראס כרוכה בהווה בלחיצה על מקשי הטלפון הנייד, ומשם בציות להוראות בלתי מורכבות של גורמי הארגון. במקרה זה הופעל הנאשם על ידי אותו "שלומי" שצייד אותו בסמים. נראה כי המאבק בתופעה הנפוצה של סחר אינטרנטי בסמים, ראוי שיתמקד באיתורם ובנטרולם של ראשי הארגונים, אשר לעומתם, הנאשם ושכמותו הנם גורמים דלי השפעה.</w:t>
      </w:r>
    </w:p>
    <w:p w14:paraId="514C89F5" w14:textId="77777777" w:rsidR="0097142F" w:rsidRDefault="0097142F" w:rsidP="0097142F">
      <w:pPr>
        <w:spacing w:line="360" w:lineRule="auto"/>
        <w:ind w:left="720"/>
        <w:jc w:val="both"/>
        <w:rPr>
          <w:rFonts w:ascii="Arial" w:hAnsi="Arial"/>
          <w:rtl/>
        </w:rPr>
      </w:pPr>
    </w:p>
    <w:p w14:paraId="00555A6B" w14:textId="77777777" w:rsidR="0097142F" w:rsidRDefault="0097142F" w:rsidP="0097142F">
      <w:pPr>
        <w:spacing w:line="360" w:lineRule="auto"/>
        <w:ind w:left="720" w:hanging="720"/>
        <w:jc w:val="both"/>
        <w:rPr>
          <w:rFonts w:ascii="Arial" w:hAnsi="Arial"/>
          <w:rtl/>
        </w:rPr>
      </w:pPr>
      <w:r>
        <w:rPr>
          <w:rFonts w:ascii="Arial" w:hAnsi="Arial" w:hint="cs"/>
          <w:rtl/>
        </w:rPr>
        <w:t>13.</w:t>
      </w:r>
      <w:r w:rsidR="00887FE8">
        <w:rPr>
          <w:rFonts w:ascii="Arial" w:hAnsi="Arial" w:hint="cs"/>
          <w:rtl/>
        </w:rPr>
        <w:t xml:space="preserve">      </w:t>
      </w:r>
      <w:r>
        <w:rPr>
          <w:rFonts w:ascii="Arial" w:hAnsi="Arial" w:hint="cs"/>
          <w:rtl/>
        </w:rPr>
        <w:t xml:space="preserve"> ככלל, עבירת סחר בסמים באמצעות הטלגראס מכתיבה מתחם עונשי הכולל מאסר. במקרים דומים רבים שנדונו בפני בשנים האחרונות קבעתי כי מתחם העונש נע בין שישה חודשי מאסר בעבודות שרות לכ15 חודשי מאסר בפועל. הימנעות מהרשעה תהא, אם כך, נדירה, בשל חומרת העבירה.</w:t>
      </w:r>
    </w:p>
    <w:p w14:paraId="657A6940" w14:textId="77777777" w:rsidR="0097142F" w:rsidRDefault="0097142F" w:rsidP="0097142F">
      <w:pPr>
        <w:spacing w:line="360" w:lineRule="auto"/>
        <w:ind w:left="720"/>
        <w:jc w:val="both"/>
        <w:rPr>
          <w:rFonts w:ascii="Arial" w:hAnsi="Arial"/>
          <w:rtl/>
        </w:rPr>
      </w:pPr>
    </w:p>
    <w:p w14:paraId="2424A6CD" w14:textId="77777777" w:rsidR="0097142F" w:rsidRDefault="0097142F" w:rsidP="0097142F">
      <w:pPr>
        <w:spacing w:line="360" w:lineRule="auto"/>
        <w:ind w:left="720"/>
        <w:jc w:val="both"/>
        <w:rPr>
          <w:rFonts w:ascii="Arial" w:hAnsi="Arial"/>
          <w:rtl/>
        </w:rPr>
      </w:pPr>
    </w:p>
    <w:p w14:paraId="2D1FD393" w14:textId="77777777" w:rsidR="0097142F" w:rsidRDefault="0097142F" w:rsidP="0097142F">
      <w:pPr>
        <w:spacing w:line="360" w:lineRule="auto"/>
        <w:ind w:left="720" w:hanging="720"/>
        <w:jc w:val="both"/>
        <w:rPr>
          <w:rFonts w:ascii="Arial" w:hAnsi="Arial"/>
          <w:rtl/>
        </w:rPr>
      </w:pPr>
      <w:r>
        <w:rPr>
          <w:rFonts w:ascii="Arial" w:hAnsi="Arial" w:hint="cs"/>
          <w:rtl/>
        </w:rPr>
        <w:t>14.</w:t>
      </w:r>
      <w:r w:rsidR="00887FE8">
        <w:rPr>
          <w:rFonts w:ascii="Arial" w:hAnsi="Arial" w:hint="cs"/>
          <w:rtl/>
        </w:rPr>
        <w:t xml:space="preserve">      </w:t>
      </w:r>
      <w:r>
        <w:rPr>
          <w:rFonts w:ascii="Arial" w:hAnsi="Arial" w:hint="cs"/>
          <w:rtl/>
        </w:rPr>
        <w:t xml:space="preserve"> על אף שעבר עבירת סחר בסמים, סבורני כי ניתן, לאור נתוניו, להתייחס לנאשם הצעיר כאל מי שמעד לראשונה בחייו, בשל שיקול דעת שגוי ונקודתי.</w:t>
      </w:r>
    </w:p>
    <w:p w14:paraId="390484B8" w14:textId="77777777" w:rsidR="0097142F" w:rsidRDefault="0097142F" w:rsidP="0097142F">
      <w:pPr>
        <w:spacing w:line="360" w:lineRule="auto"/>
        <w:ind w:left="720"/>
        <w:jc w:val="both"/>
        <w:rPr>
          <w:rFonts w:ascii="Arial" w:hAnsi="Arial"/>
          <w:rtl/>
        </w:rPr>
      </w:pPr>
      <w:r>
        <w:rPr>
          <w:rFonts w:ascii="Arial" w:hAnsi="Arial" w:hint="cs"/>
          <w:rtl/>
        </w:rPr>
        <w:t>הימצאו של הנאשם ברכב יחד עם קטין, בעת שנתפסו השניים בשובם מעסקת סמים, לא מהווה נסיבה מחמירה, כפי שהמאשימה בקשה לטעון. מדובר ככל הנראה, על פי טענות הסנגור, בקטין אשר גילו קרוב מאד לגילו של הנאשם, כשרק חודשים ספורים מפרידים בין השניים.</w:t>
      </w:r>
    </w:p>
    <w:p w14:paraId="7D646A45" w14:textId="77777777" w:rsidR="0097142F" w:rsidRDefault="0097142F" w:rsidP="0097142F">
      <w:pPr>
        <w:spacing w:line="360" w:lineRule="auto"/>
        <w:ind w:left="720"/>
        <w:jc w:val="both"/>
        <w:rPr>
          <w:rFonts w:ascii="Arial" w:hAnsi="Arial"/>
          <w:rtl/>
        </w:rPr>
      </w:pPr>
      <w:r>
        <w:rPr>
          <w:rFonts w:ascii="Arial" w:hAnsi="Arial" w:hint="cs"/>
          <w:rtl/>
        </w:rPr>
        <w:t>המאשימה הודיעה כי הקטין, שעל פי כתב האישום יתכן והיה שותפו של הנאשם לעבירה, לא הועמד כלל לדין, והוחלט שעניינו אינו מתאים לאישום פלילי.</w:t>
      </w:r>
    </w:p>
    <w:p w14:paraId="104DDAB2" w14:textId="77777777" w:rsidR="0097142F" w:rsidRDefault="0097142F" w:rsidP="0097142F">
      <w:pPr>
        <w:spacing w:line="360" w:lineRule="auto"/>
        <w:ind w:left="720"/>
        <w:jc w:val="both"/>
        <w:rPr>
          <w:rFonts w:ascii="Arial" w:hAnsi="Arial"/>
          <w:rtl/>
        </w:rPr>
      </w:pPr>
      <w:r>
        <w:rPr>
          <w:rFonts w:ascii="Arial" w:hAnsi="Arial" w:hint="cs"/>
          <w:rtl/>
        </w:rPr>
        <w:t>הנאשם אינו קטין, ואולם בשל גילו המצוי על סף הקטינות, זכאי הנאשם לגישה עונשית זהירה, הבוחנת בעין אוהדת שיקולי שיקום.</w:t>
      </w:r>
    </w:p>
    <w:p w14:paraId="15CB9B6F" w14:textId="77777777" w:rsidR="0097142F" w:rsidRDefault="0097142F" w:rsidP="0097142F">
      <w:pPr>
        <w:spacing w:line="360" w:lineRule="auto"/>
        <w:ind w:left="720"/>
        <w:jc w:val="both"/>
        <w:rPr>
          <w:rFonts w:ascii="Arial" w:hAnsi="Arial"/>
          <w:rtl/>
        </w:rPr>
      </w:pPr>
    </w:p>
    <w:p w14:paraId="3F16B0B7" w14:textId="77777777" w:rsidR="0097142F" w:rsidRDefault="0097142F" w:rsidP="0097142F">
      <w:pPr>
        <w:spacing w:line="360" w:lineRule="auto"/>
        <w:ind w:left="720"/>
        <w:jc w:val="both"/>
        <w:rPr>
          <w:rFonts w:ascii="Arial" w:hAnsi="Arial"/>
          <w:rtl/>
        </w:rPr>
      </w:pPr>
    </w:p>
    <w:p w14:paraId="64862994" w14:textId="77777777" w:rsidR="0097142F" w:rsidRDefault="0097142F" w:rsidP="0097142F">
      <w:pPr>
        <w:spacing w:line="360" w:lineRule="auto"/>
        <w:ind w:left="720" w:hanging="720"/>
        <w:jc w:val="both"/>
        <w:rPr>
          <w:rFonts w:ascii="Arial" w:hAnsi="Arial"/>
          <w:rtl/>
        </w:rPr>
      </w:pPr>
      <w:r>
        <w:rPr>
          <w:rFonts w:ascii="Arial" w:hAnsi="Arial" w:hint="cs"/>
          <w:rtl/>
        </w:rPr>
        <w:t>15.</w:t>
      </w:r>
      <w:r w:rsidR="00887FE8">
        <w:rPr>
          <w:rFonts w:ascii="Arial" w:hAnsi="Arial" w:hint="cs"/>
          <w:rtl/>
        </w:rPr>
        <w:t xml:space="preserve">      </w:t>
      </w:r>
      <w:r>
        <w:rPr>
          <w:rFonts w:ascii="Arial" w:hAnsi="Arial" w:hint="cs"/>
          <w:rtl/>
        </w:rPr>
        <w:t xml:space="preserve"> גם במקרים אחרים, הכירו בתי-המשפט גם באפשרות להימנע מהרשעתם של צעירים, נעדרי עבר פלילי, שביצעו עבירות סמים, חרף חומרתן והנזק שהן גורמות לציבור. ראו לדוגמה: </w:t>
      </w:r>
      <w:hyperlink r:id="rId29" w:history="1">
        <w:r w:rsidR="00887FE8" w:rsidRPr="00887FE8">
          <w:rPr>
            <w:rFonts w:ascii="Arial" w:hAnsi="Arial"/>
            <w:color w:val="0000FF"/>
            <w:u w:val="single"/>
            <w:rtl/>
          </w:rPr>
          <w:t>ע"פ (י-ם) 33947-10-17</w:t>
        </w:r>
      </w:hyperlink>
      <w:r>
        <w:rPr>
          <w:rFonts w:ascii="Arial" w:hAnsi="Arial" w:hint="cs"/>
          <w:rtl/>
        </w:rPr>
        <w:t xml:space="preserve"> </w:t>
      </w:r>
      <w:r>
        <w:rPr>
          <w:rFonts w:ascii="Arial" w:hAnsi="Arial" w:hint="cs"/>
          <w:b/>
          <w:bCs/>
          <w:rtl/>
        </w:rPr>
        <w:t>מדינת ישראל נ' קרוקוצקי</w:t>
      </w:r>
      <w:r>
        <w:rPr>
          <w:rFonts w:ascii="Arial" w:hAnsi="Arial" w:hint="cs"/>
          <w:rtl/>
        </w:rPr>
        <w:t xml:space="preserve"> (20.3.18); </w:t>
      </w:r>
      <w:hyperlink r:id="rId30" w:history="1">
        <w:r w:rsidR="00887FE8" w:rsidRPr="00887FE8">
          <w:rPr>
            <w:rFonts w:ascii="Arial" w:hAnsi="Arial"/>
            <w:color w:val="0000FF"/>
            <w:u w:val="single"/>
            <w:rtl/>
          </w:rPr>
          <w:t>ת"פ (אי') 31509-01-17</w:t>
        </w:r>
      </w:hyperlink>
      <w:r>
        <w:rPr>
          <w:rFonts w:ascii="Arial" w:hAnsi="Arial" w:hint="cs"/>
          <w:rtl/>
        </w:rPr>
        <w:t xml:space="preserve"> </w:t>
      </w:r>
      <w:r>
        <w:rPr>
          <w:rFonts w:ascii="Arial" w:hAnsi="Arial" w:hint="cs"/>
          <w:b/>
          <w:bCs/>
          <w:rtl/>
        </w:rPr>
        <w:t>מדינת ישראל נ' שדה</w:t>
      </w:r>
      <w:r>
        <w:rPr>
          <w:rFonts w:ascii="Arial" w:hAnsi="Arial" w:hint="cs"/>
          <w:rtl/>
        </w:rPr>
        <w:t xml:space="preserve"> (18.3.18); </w:t>
      </w:r>
      <w:hyperlink r:id="rId31" w:history="1">
        <w:r w:rsidR="00887FE8" w:rsidRPr="00887FE8">
          <w:rPr>
            <w:rFonts w:ascii="Arial" w:hAnsi="Arial"/>
            <w:color w:val="0000FF"/>
            <w:u w:val="single"/>
            <w:rtl/>
          </w:rPr>
          <w:t>ת"פ (ק"ג) 53716-03-15</w:t>
        </w:r>
      </w:hyperlink>
      <w:r>
        <w:rPr>
          <w:rFonts w:ascii="Arial" w:hAnsi="Arial" w:hint="cs"/>
          <w:rtl/>
        </w:rPr>
        <w:t xml:space="preserve"> </w:t>
      </w:r>
      <w:r>
        <w:rPr>
          <w:rFonts w:ascii="Arial" w:hAnsi="Arial" w:hint="cs"/>
          <w:b/>
          <w:bCs/>
          <w:rtl/>
        </w:rPr>
        <w:t>מדינת ישראל נ' זגורי</w:t>
      </w:r>
      <w:r>
        <w:rPr>
          <w:rFonts w:ascii="Arial" w:hAnsi="Arial" w:hint="cs"/>
          <w:rtl/>
        </w:rPr>
        <w:t xml:space="preserve"> (5.4.16); </w:t>
      </w:r>
      <w:hyperlink r:id="rId32" w:history="1">
        <w:r w:rsidR="00887FE8" w:rsidRPr="00887FE8">
          <w:rPr>
            <w:rFonts w:ascii="Arial" w:hAnsi="Arial"/>
            <w:color w:val="0000FF"/>
            <w:u w:val="single"/>
            <w:rtl/>
          </w:rPr>
          <w:t>ת"פ (אש') 43935-05-15</w:t>
        </w:r>
      </w:hyperlink>
      <w:r>
        <w:rPr>
          <w:rFonts w:ascii="Arial" w:hAnsi="Arial" w:hint="cs"/>
          <w:rtl/>
        </w:rPr>
        <w:t xml:space="preserve"> </w:t>
      </w:r>
      <w:r>
        <w:rPr>
          <w:rFonts w:ascii="Arial" w:hAnsi="Arial" w:hint="cs"/>
          <w:b/>
          <w:bCs/>
          <w:rtl/>
        </w:rPr>
        <w:t>מדינת ישראל נ' אלמוג</w:t>
      </w:r>
      <w:r>
        <w:rPr>
          <w:rFonts w:ascii="Arial" w:hAnsi="Arial" w:hint="cs"/>
          <w:rtl/>
        </w:rPr>
        <w:t xml:space="preserve"> (20.12.15).</w:t>
      </w:r>
    </w:p>
    <w:p w14:paraId="09F60F73" w14:textId="77777777" w:rsidR="0097142F" w:rsidRDefault="0097142F" w:rsidP="0097142F">
      <w:pPr>
        <w:spacing w:line="360" w:lineRule="auto"/>
        <w:ind w:left="720"/>
        <w:jc w:val="both"/>
        <w:rPr>
          <w:rFonts w:ascii="Arial" w:hAnsi="Arial"/>
          <w:rtl/>
        </w:rPr>
      </w:pPr>
    </w:p>
    <w:p w14:paraId="3FBB6BD8" w14:textId="77777777" w:rsidR="0097142F" w:rsidRDefault="0097142F" w:rsidP="0097142F">
      <w:pPr>
        <w:spacing w:line="360" w:lineRule="auto"/>
        <w:ind w:left="720"/>
        <w:jc w:val="both"/>
        <w:rPr>
          <w:rFonts w:ascii="Calibri" w:hAnsi="Calibri"/>
          <w:rtl/>
        </w:rPr>
      </w:pPr>
      <w:r>
        <w:rPr>
          <w:rFonts w:ascii="Arial" w:hAnsi="Arial" w:hint="cs"/>
          <w:rtl/>
        </w:rPr>
        <w:t>הפגיעה בערכים המוגנים הנה במקרה זה בלתי זניחה, ואולם, לא מדובר בחומרה אשר שוללת מני וביה כל אפשרות לביטול הרשעה.</w:t>
      </w:r>
    </w:p>
    <w:p w14:paraId="142518BC" w14:textId="77777777" w:rsidR="0097142F" w:rsidRDefault="0097142F" w:rsidP="0097142F">
      <w:pPr>
        <w:spacing w:line="360" w:lineRule="auto"/>
        <w:ind w:firstLine="720"/>
        <w:jc w:val="both"/>
        <w:rPr>
          <w:rFonts w:ascii="Arial" w:hAnsi="Arial"/>
          <w:rtl/>
        </w:rPr>
      </w:pPr>
    </w:p>
    <w:p w14:paraId="6E32A0E9" w14:textId="77777777" w:rsidR="0097142F" w:rsidRDefault="0097142F" w:rsidP="0097142F">
      <w:pPr>
        <w:spacing w:line="360" w:lineRule="auto"/>
        <w:ind w:left="720" w:hanging="720"/>
        <w:jc w:val="both"/>
        <w:rPr>
          <w:rFonts w:ascii="Arial" w:hAnsi="Arial"/>
          <w:rtl/>
        </w:rPr>
      </w:pPr>
      <w:r>
        <w:rPr>
          <w:rFonts w:ascii="Arial" w:hAnsi="Arial" w:hint="cs"/>
          <w:rtl/>
        </w:rPr>
        <w:t>16.</w:t>
      </w:r>
      <w:r w:rsidR="00887FE8">
        <w:rPr>
          <w:rFonts w:ascii="Arial" w:hAnsi="Arial" w:hint="cs"/>
          <w:rtl/>
        </w:rPr>
        <w:t xml:space="preserve">      </w:t>
      </w:r>
      <w:r>
        <w:rPr>
          <w:rFonts w:ascii="Arial" w:hAnsi="Arial" w:hint="cs"/>
          <w:rtl/>
        </w:rPr>
        <w:t xml:space="preserve"> </w:t>
      </w:r>
      <w:r>
        <w:rPr>
          <w:rFonts w:ascii="Arial" w:hAnsi="Arial" w:hint="cs"/>
          <w:u w:val="single"/>
          <w:rtl/>
        </w:rPr>
        <w:t>הנזק לנאשם -</w:t>
      </w:r>
      <w:r>
        <w:rPr>
          <w:rFonts w:ascii="Arial" w:hAnsi="Arial" w:hint="cs"/>
          <w:rtl/>
        </w:rPr>
        <w:t xml:space="preserve"> בבואו של בית המשפט לבחון את הנזק העלול להיגרם לנאשם, על הנאשם להתייחס לנזק מוחשי קונקרטי ולא לאפשרויות תיאורטיות לפיהן ייגרם לנאשם נזק בעתיד. ראו לעניין זה את הדברים שנאמרו ב</w:t>
      </w:r>
      <w:hyperlink r:id="rId33" w:history="1">
        <w:r w:rsidR="00887FE8" w:rsidRPr="00887FE8">
          <w:rPr>
            <w:rFonts w:ascii="Arial" w:hAnsi="Arial"/>
            <w:color w:val="0000FF"/>
            <w:u w:val="single"/>
            <w:rtl/>
          </w:rPr>
          <w:t>רע"פ 9118/12</w:t>
        </w:r>
      </w:hyperlink>
      <w:r>
        <w:rPr>
          <w:rFonts w:ascii="Arial" w:hAnsi="Arial" w:hint="cs"/>
          <w:rtl/>
        </w:rPr>
        <w:t xml:space="preserve"> </w:t>
      </w:r>
      <w:r>
        <w:rPr>
          <w:rFonts w:ascii="Arial" w:hAnsi="Arial" w:hint="cs"/>
          <w:b/>
          <w:bCs/>
          <w:rtl/>
        </w:rPr>
        <w:t xml:space="preserve">אלכסנדר פריגין נגד מדינת ישראל </w:t>
      </w:r>
      <w:r>
        <w:rPr>
          <w:rFonts w:ascii="Arial" w:hAnsi="Arial" w:hint="cs"/>
          <w:rtl/>
        </w:rPr>
        <w:t>(03.01.13):</w:t>
      </w:r>
    </w:p>
    <w:p w14:paraId="275408D3" w14:textId="77777777" w:rsidR="0097142F" w:rsidRDefault="0097142F" w:rsidP="0097142F">
      <w:pPr>
        <w:spacing w:line="360" w:lineRule="auto"/>
        <w:jc w:val="both"/>
        <w:rPr>
          <w:rFonts w:ascii="Arial" w:hAnsi="Arial"/>
        </w:rPr>
      </w:pPr>
    </w:p>
    <w:p w14:paraId="5DE35BFF" w14:textId="77777777" w:rsidR="0097142F" w:rsidRDefault="0097142F" w:rsidP="0097142F">
      <w:pPr>
        <w:spacing w:line="360" w:lineRule="auto"/>
        <w:ind w:left="1440" w:right="850"/>
        <w:jc w:val="both"/>
        <w:rPr>
          <w:rFonts w:ascii="Arial" w:hAnsi="Arial"/>
          <w:b/>
          <w:bCs/>
          <w:spacing w:val="10"/>
          <w:rtl/>
        </w:rPr>
      </w:pPr>
      <w:r>
        <w:rPr>
          <w:rFonts w:ascii="Arial" w:hAnsi="Arial"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764D1B34" w14:textId="77777777" w:rsidR="0097142F" w:rsidRDefault="0097142F" w:rsidP="0097142F">
      <w:pPr>
        <w:spacing w:line="360" w:lineRule="auto"/>
        <w:ind w:left="850" w:right="850"/>
        <w:jc w:val="both"/>
        <w:rPr>
          <w:rFonts w:ascii="Arial" w:hAnsi="Arial"/>
          <w:b/>
          <w:bCs/>
          <w:spacing w:val="10"/>
          <w:rtl/>
        </w:rPr>
      </w:pPr>
    </w:p>
    <w:p w14:paraId="0719845E" w14:textId="77777777" w:rsidR="0097142F" w:rsidRDefault="0097142F" w:rsidP="0097142F">
      <w:pPr>
        <w:spacing w:line="360" w:lineRule="auto"/>
        <w:ind w:left="720" w:hanging="720"/>
        <w:jc w:val="both"/>
        <w:rPr>
          <w:rFonts w:ascii="Arial" w:hAnsi="Arial"/>
          <w:rtl/>
        </w:rPr>
      </w:pPr>
      <w:r>
        <w:rPr>
          <w:rFonts w:ascii="Arial" w:hAnsi="Arial" w:hint="cs"/>
          <w:rtl/>
        </w:rPr>
        <w:t>17.</w:t>
      </w:r>
      <w:r w:rsidR="00887FE8">
        <w:rPr>
          <w:rFonts w:ascii="Arial" w:hAnsi="Arial" w:hint="cs"/>
          <w:rtl/>
        </w:rPr>
        <w:t xml:space="preserve">      </w:t>
      </w:r>
      <w:r>
        <w:rPr>
          <w:rFonts w:ascii="Arial" w:hAnsi="Arial" w:hint="cs"/>
          <w:rtl/>
        </w:rPr>
        <w:t xml:space="preserve"> נטען כי הרשעתו של הנאשם תפגע בהליך שיקומו וכן בעתידו שכן הוא עתיד להתגייס לצה"ל בימים הקרובים, וכי הטלת העונש לו עותר ב"כ המאשימה, תגרום בהכרח לדחיית מועד גיוסו ואף תעמיד בספק את שאלת גיוסו לצבא. </w:t>
      </w:r>
    </w:p>
    <w:p w14:paraId="78F7C1F8" w14:textId="77777777" w:rsidR="0097142F" w:rsidRDefault="0097142F" w:rsidP="0097142F">
      <w:pPr>
        <w:spacing w:line="360" w:lineRule="auto"/>
        <w:ind w:left="720"/>
        <w:jc w:val="both"/>
        <w:rPr>
          <w:rFonts w:ascii="Arial" w:hAnsi="Arial"/>
          <w:rtl/>
        </w:rPr>
      </w:pPr>
      <w:r>
        <w:rPr>
          <w:rFonts w:ascii="Arial" w:hAnsi="Arial" w:hint="cs"/>
          <w:rtl/>
        </w:rPr>
        <w:t>אמנם, לא כל טענה של נאשם צעיר בדבר תכניותיו להתגייס לצה"ל ולתרום לחברה באמצעות שירות צבאי משמעה הימנעות מהרשעה בדין (ראו בפסק-הדין אליו הפנה ב"כ המאשימה ב</w:t>
      </w:r>
      <w:hyperlink r:id="rId34" w:history="1">
        <w:r w:rsidR="00887FE8" w:rsidRPr="00887FE8">
          <w:rPr>
            <w:rFonts w:ascii="Arial" w:hAnsi="Arial"/>
            <w:color w:val="0000FF"/>
            <w:u w:val="single"/>
            <w:rtl/>
          </w:rPr>
          <w:t>רע"פ 5831/13</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(22.12.13), שם נקבע כי כל מקרה ייבחן לפי נסיבותיו על ידי שלטונות צה"ל, וכי שאלת ההרשעה או היעדרה הנה רק אחד השיקולים שהמערכת הצבאית לוקחת בחשבון ואין המדובר בשיקול יחיד). אולם, בנסיבות העניין סבורה אני כי עלה בידי הנאשם להוכיח פגיעה קונקרטית בעתידו הקרוב באם לא תבוטל הרשעתו, וכי אינטרס הציבור לא יינזק באופן בלתי מידתי, ביחס לנזק שייגרם לנאשם באם תיוותר הרשעתו על כנה. </w:t>
      </w:r>
    </w:p>
    <w:p w14:paraId="53D92D4C" w14:textId="77777777" w:rsidR="0097142F" w:rsidRDefault="0097142F" w:rsidP="0097142F">
      <w:pPr>
        <w:spacing w:line="360" w:lineRule="auto"/>
        <w:jc w:val="both"/>
        <w:rPr>
          <w:rFonts w:ascii="Arial" w:hAnsi="Arial"/>
          <w:rtl/>
        </w:rPr>
      </w:pPr>
    </w:p>
    <w:p w14:paraId="4DAB8D28" w14:textId="77777777" w:rsidR="0097142F" w:rsidRDefault="0097142F" w:rsidP="0097142F">
      <w:pPr>
        <w:spacing w:line="360" w:lineRule="auto"/>
        <w:ind w:left="720" w:hanging="720"/>
        <w:jc w:val="both"/>
        <w:rPr>
          <w:rFonts w:ascii="Arial" w:hAnsi="Arial"/>
          <w:rtl/>
        </w:rPr>
      </w:pPr>
      <w:r>
        <w:rPr>
          <w:rFonts w:ascii="Arial" w:hAnsi="Arial" w:hint="cs"/>
          <w:rtl/>
        </w:rPr>
        <w:t>18.</w:t>
      </w:r>
      <w:r w:rsidR="00887FE8">
        <w:rPr>
          <w:rFonts w:ascii="Arial" w:hAnsi="Arial" w:hint="cs"/>
          <w:rtl/>
        </w:rPr>
        <w:t xml:space="preserve">      </w:t>
      </w:r>
      <w:r>
        <w:rPr>
          <w:rFonts w:ascii="Arial" w:hAnsi="Arial" w:hint="cs"/>
          <w:rtl/>
        </w:rPr>
        <w:t xml:space="preserve"> הנאשם הנו צעיר, נטול עבר פלילי, שזוהי הסתבכותו הראשונה. את העבירות ביצע הנאשם כשאך מלאו לו 18 שנים. הנאשם נטל אחריות למעשיו, הודה במעשים בהזדמנות הראשונה, וחסך זמן ציבורי יקר. כן, הנאשם שיתף פעולה בחקירת המשטרה. הנאשם הביע צער, חרטה ובושה ממעשיו, ומדבריו בשירות המבחן עולה כי הנו מפנים את חומרת מעשיו, ומכה על חטא. טיעוני הסנגור, על כך שהנאשם שיתף פעולה מיד, כבר בשלביה של החקירה המשטרתית, לא נשללו על ידי המאשימה. התנהגות זו של הנאשם, מלמדת על הכאה על חטא באופן כנה שיש בו להשקפתי להפחית מסוכנות, ולשמש נסיבה אישית חיובית. </w:t>
      </w:r>
    </w:p>
    <w:p w14:paraId="49531B7C" w14:textId="77777777" w:rsidR="0097142F" w:rsidRDefault="0097142F" w:rsidP="0097142F">
      <w:pPr>
        <w:spacing w:line="360" w:lineRule="auto"/>
        <w:ind w:left="720"/>
        <w:jc w:val="both"/>
        <w:rPr>
          <w:rFonts w:ascii="Arial" w:hAnsi="Arial"/>
          <w:rtl/>
        </w:rPr>
      </w:pPr>
    </w:p>
    <w:p w14:paraId="145249BA" w14:textId="77777777" w:rsidR="0097142F" w:rsidRDefault="0097142F" w:rsidP="0097142F">
      <w:pPr>
        <w:spacing w:line="360" w:lineRule="auto"/>
        <w:ind w:left="720"/>
        <w:jc w:val="both"/>
        <w:rPr>
          <w:rFonts w:ascii="Arial" w:hAnsi="Arial"/>
          <w:rtl/>
        </w:rPr>
      </w:pPr>
    </w:p>
    <w:p w14:paraId="33E32AB4" w14:textId="77777777" w:rsidR="0097142F" w:rsidRDefault="0097142F" w:rsidP="0097142F">
      <w:pPr>
        <w:spacing w:line="360" w:lineRule="auto"/>
        <w:ind w:left="720" w:hanging="720"/>
        <w:jc w:val="both"/>
        <w:rPr>
          <w:rFonts w:ascii="Arial" w:hAnsi="Arial"/>
          <w:rtl/>
        </w:rPr>
      </w:pPr>
      <w:r>
        <w:rPr>
          <w:rFonts w:ascii="Arial" w:hAnsi="Arial" w:hint="cs"/>
          <w:rtl/>
        </w:rPr>
        <w:t>19.</w:t>
      </w:r>
      <w:r w:rsidR="00887FE8">
        <w:rPr>
          <w:rFonts w:ascii="Arial" w:hAnsi="Arial" w:hint="cs"/>
          <w:rtl/>
        </w:rPr>
        <w:t xml:space="preserve">      </w:t>
      </w:r>
      <w:r>
        <w:rPr>
          <w:rFonts w:ascii="Arial" w:hAnsi="Arial" w:hint="cs"/>
          <w:rtl/>
        </w:rPr>
        <w:t xml:space="preserve"> מזה מספר חודשים שוהה הנאשם במעצר בית חלקי, ומקפיד על תנאיו. בני משפחתו של הנאשם, שליווהו לכל הדיונים בהליך הפלילי, כמו גם בהליך המעצר שהתנהל אף הוא בפני, מהווים גורמי תמיכה יציבים עבורו. ניכר כי הוריו, ובעיקר אביו, שהנו איש שרות בתי הסוהר, התגייסו במלוא הרצינות במטרה לחולל שינוי בחייו של הנאשם הצעיר שאך בגר. הנאשם שיתף בכנות בשירות המבחן כי בחודשים שקדמו למעצר החל לעשות שימוש בסמים כחשיש וגראס, אך הפסיק שימוש זה ומסר בדיקות שתן נקיות. לדברי הנאשם, בביצוע העבירות הונע מתוך הצורך להשיג כסף קל, סקרנות והעדר שיקול דעת. הנאשם הביע מוטיבציה גבוהה להשתלב בהליך טיפולי. שירות המבחן התרשם כי הנאשם נעדר קווי אישיות עברייניים, מאופיין ביכולת להתבוננות פנימית, ומפגין אחריות ביחס לתפקידיו, ולפיכך הסיק כי סיכויי השיקום שלו גבוהים, וכי שילובו בהליך טיפולי יהווה גורם מפחית סיכון ביחס להישנות מקרים דומים בעתיד. הנאשם ביטא חשש כי ההליך הפלילי יסכל את גיוסו לצה"ל והביע רצון לתרום לחברה במסגרת שירות צבאי משמעותי. הסנגור הציג צו גיוס המייעד את הנאשם לשיבוץ כלוחם בחיל השריון ליום 25.3.19. </w:t>
      </w:r>
    </w:p>
    <w:p w14:paraId="2CEA15D5" w14:textId="77777777" w:rsidR="0097142F" w:rsidRDefault="0097142F" w:rsidP="0097142F">
      <w:pPr>
        <w:spacing w:line="360" w:lineRule="auto"/>
        <w:ind w:left="720"/>
        <w:jc w:val="both"/>
        <w:rPr>
          <w:rFonts w:ascii="Arial" w:hAnsi="Arial"/>
          <w:rtl/>
        </w:rPr>
      </w:pPr>
    </w:p>
    <w:p w14:paraId="2B544913" w14:textId="77777777" w:rsidR="0097142F" w:rsidRDefault="0097142F" w:rsidP="0097142F">
      <w:pPr>
        <w:spacing w:line="360" w:lineRule="auto"/>
        <w:ind w:left="720" w:hanging="720"/>
        <w:jc w:val="both"/>
        <w:rPr>
          <w:rFonts w:ascii="Arial" w:hAnsi="Arial"/>
          <w:rtl/>
        </w:rPr>
      </w:pPr>
      <w:r>
        <w:rPr>
          <w:rFonts w:ascii="Arial" w:hAnsi="Arial" w:hint="cs"/>
          <w:rtl/>
        </w:rPr>
        <w:t>20.</w:t>
      </w:r>
      <w:r w:rsidR="00887FE8">
        <w:rPr>
          <w:rFonts w:ascii="Arial" w:hAnsi="Arial" w:hint="cs"/>
          <w:rtl/>
        </w:rPr>
        <w:t xml:space="preserve">      </w:t>
      </w:r>
      <w:r>
        <w:rPr>
          <w:rFonts w:ascii="Arial" w:hAnsi="Arial" w:hint="cs"/>
          <w:rtl/>
        </w:rPr>
        <w:t xml:space="preserve"> כאמור, שירות המבחן המליץ על ביטול הרשעתו של הנאשם בדין. בתסקיר נמסר כי נוכח גילו הצעיר, העובדה שהעבירה בוצעה על גבול גיל הקטינות, התגייסותו של הנאשם להליך הטיפולי, מאפייני אישיותו, שאיפותיו לעתיד, עלול עתידו של הנאשם להיפגע במידה ויורשע. כן הסיק שירות המבחן כי שילוב הנאשם בטיפול יוביל להפחתת הסיכון להישנות ביצוע עבירות בעתיד. שוכנעתי כי קיים סיכון ממשי שמא עתידו של הנאשם, ובתקופה ה קרובה ממש שילובו בצה"ל, עלול להיפגע אם תירשם לחובתו הרשעה בדין, וזאת לעומת רישום ללא הרשעה.</w:t>
      </w:r>
    </w:p>
    <w:p w14:paraId="5B841652" w14:textId="77777777" w:rsidR="0097142F" w:rsidRDefault="0097142F" w:rsidP="0097142F">
      <w:pPr>
        <w:spacing w:line="360" w:lineRule="auto"/>
        <w:ind w:left="720"/>
        <w:jc w:val="both"/>
        <w:rPr>
          <w:rFonts w:ascii="Arial" w:hAnsi="Arial"/>
          <w:rtl/>
        </w:rPr>
      </w:pPr>
    </w:p>
    <w:p w14:paraId="75593F5F" w14:textId="77777777" w:rsidR="0097142F" w:rsidRDefault="0097142F" w:rsidP="0097142F">
      <w:pPr>
        <w:spacing w:line="360" w:lineRule="auto"/>
        <w:ind w:left="720" w:hanging="720"/>
        <w:jc w:val="both"/>
        <w:rPr>
          <w:rFonts w:ascii="Arial" w:hAnsi="Arial"/>
          <w:rtl/>
        </w:rPr>
      </w:pPr>
      <w:r>
        <w:rPr>
          <w:rFonts w:ascii="Arial" w:hAnsi="Arial" w:hint="cs"/>
          <w:rtl/>
        </w:rPr>
        <w:t>21.</w:t>
      </w:r>
      <w:r w:rsidR="00887FE8">
        <w:rPr>
          <w:rFonts w:ascii="Arial" w:hAnsi="Arial" w:hint="cs"/>
          <w:rtl/>
        </w:rPr>
        <w:t xml:space="preserve">      </w:t>
      </w:r>
      <w:r>
        <w:rPr>
          <w:rFonts w:ascii="Arial" w:hAnsi="Arial" w:hint="cs"/>
          <w:rtl/>
        </w:rPr>
        <w:t xml:space="preserve"> מצאתי כי די בעצם הטלת צו פיקוח שרות המבחן ובטיפול המוצע בנאשם, כדי להוות לא רק את הרכיב הטיפולי, אלא גם את הרכיב ההרתעתי והעונשי עבורו.</w:t>
      </w:r>
    </w:p>
    <w:p w14:paraId="7BE11BD0" w14:textId="77777777" w:rsidR="0097142F" w:rsidRDefault="0097142F" w:rsidP="0097142F">
      <w:pPr>
        <w:spacing w:line="360" w:lineRule="auto"/>
        <w:ind w:left="720"/>
        <w:jc w:val="both"/>
        <w:rPr>
          <w:rFonts w:ascii="Arial" w:hAnsi="Arial"/>
          <w:rtl/>
        </w:rPr>
      </w:pPr>
      <w:r>
        <w:rPr>
          <w:rFonts w:ascii="Arial" w:hAnsi="Arial" w:hint="cs"/>
          <w:rtl/>
        </w:rPr>
        <w:t>אם לא יתמיד בטיפול, ניתן יהיה להחמיר בעונשו ואף להרשיעו בדין.</w:t>
      </w:r>
    </w:p>
    <w:p w14:paraId="05F507F5" w14:textId="77777777" w:rsidR="0097142F" w:rsidRDefault="0097142F" w:rsidP="0097142F">
      <w:pPr>
        <w:spacing w:line="360" w:lineRule="auto"/>
        <w:jc w:val="both"/>
        <w:rPr>
          <w:rFonts w:ascii="Arial" w:hAnsi="Arial"/>
          <w:rtl/>
        </w:rPr>
      </w:pPr>
    </w:p>
    <w:p w14:paraId="243EEC31" w14:textId="77777777" w:rsidR="0097142F" w:rsidRDefault="0097142F" w:rsidP="0097142F">
      <w:pPr>
        <w:spacing w:line="360" w:lineRule="auto"/>
        <w:ind w:left="720"/>
        <w:jc w:val="both"/>
        <w:rPr>
          <w:rFonts w:ascii="Arial" w:hAnsi="Arial"/>
          <w:rtl/>
        </w:rPr>
      </w:pPr>
      <w:r>
        <w:rPr>
          <w:rFonts w:ascii="Arial" w:hAnsi="Arial" w:hint="cs"/>
          <w:rtl/>
        </w:rPr>
        <w:t xml:space="preserve">החלטתי לפיכך כי בנסיבות העניין ראוי לבטל את הרשעתו של הנאשם ולתת לו הזדמנות לשקם את דרכו. </w:t>
      </w:r>
    </w:p>
    <w:p w14:paraId="1CF7D165" w14:textId="77777777" w:rsidR="0097142F" w:rsidRDefault="0097142F" w:rsidP="0097142F">
      <w:pPr>
        <w:spacing w:line="360" w:lineRule="auto"/>
        <w:ind w:left="720"/>
        <w:jc w:val="both"/>
        <w:rPr>
          <w:rFonts w:ascii="Arial" w:hAnsi="Arial"/>
          <w:rtl/>
        </w:rPr>
      </w:pPr>
    </w:p>
    <w:p w14:paraId="6A28CF01" w14:textId="77777777" w:rsidR="0097142F" w:rsidRDefault="0097142F" w:rsidP="0097142F">
      <w:pPr>
        <w:spacing w:line="360" w:lineRule="auto"/>
        <w:jc w:val="both"/>
        <w:rPr>
          <w:rFonts w:ascii="Arial" w:hAnsi="Arial"/>
          <w:b/>
          <w:bCs/>
          <w:u w:val="single"/>
          <w:rtl/>
        </w:rPr>
      </w:pPr>
      <w:r>
        <w:rPr>
          <w:rFonts w:ascii="Arial" w:hAnsi="Arial" w:hint="cs"/>
          <w:b/>
          <w:bCs/>
          <w:u w:val="single"/>
          <w:rtl/>
        </w:rPr>
        <w:t>סוף דבר</w:t>
      </w:r>
    </w:p>
    <w:p w14:paraId="3A9A45DC" w14:textId="77777777" w:rsidR="0097142F" w:rsidRDefault="0097142F" w:rsidP="0097142F">
      <w:pPr>
        <w:spacing w:line="360" w:lineRule="auto"/>
        <w:ind w:left="720" w:hanging="720"/>
        <w:jc w:val="both"/>
        <w:rPr>
          <w:rFonts w:ascii="Arial" w:hAnsi="Arial"/>
          <w:rtl/>
        </w:rPr>
      </w:pPr>
      <w:r>
        <w:rPr>
          <w:rFonts w:ascii="Arial" w:hAnsi="Arial" w:hint="cs"/>
          <w:rtl/>
        </w:rPr>
        <w:t>22.</w:t>
      </w:r>
      <w:r w:rsidR="00887FE8">
        <w:rPr>
          <w:rFonts w:ascii="Arial" w:hAnsi="Arial" w:hint="cs"/>
          <w:rtl/>
        </w:rPr>
        <w:t xml:space="preserve">      </w:t>
      </w:r>
      <w:r>
        <w:rPr>
          <w:rFonts w:ascii="Arial" w:hAnsi="Arial" w:hint="cs"/>
          <w:rtl/>
        </w:rPr>
        <w:t xml:space="preserve"> לאור כל האמור לעיל, </w:t>
      </w:r>
      <w:r>
        <w:rPr>
          <w:rFonts w:ascii="Arial" w:hAnsi="Arial" w:hint="cs"/>
          <w:b/>
          <w:bCs/>
          <w:rtl/>
        </w:rPr>
        <w:t>אני מבטלת</w:t>
      </w:r>
      <w:r>
        <w:rPr>
          <w:rFonts w:ascii="Arial" w:hAnsi="Arial" w:hint="cs"/>
          <w:rtl/>
        </w:rPr>
        <w:t xml:space="preserve"> את הרשעתו של הנאשם על פי סמכותי </w:t>
      </w:r>
      <w:hyperlink r:id="rId35" w:history="1">
        <w:r w:rsidR="00D21F96" w:rsidRPr="00D21F96">
          <w:rPr>
            <w:rFonts w:ascii="Arial" w:hAnsi="Arial"/>
            <w:color w:val="0000FF"/>
            <w:u w:val="single"/>
            <w:rtl/>
          </w:rPr>
          <w:t>בסעיף 192א</w:t>
        </w:r>
      </w:hyperlink>
      <w:r>
        <w:rPr>
          <w:rFonts w:ascii="Arial" w:hAnsi="Arial" w:hint="cs"/>
          <w:rtl/>
        </w:rPr>
        <w:t xml:space="preserve"> ל</w:t>
      </w:r>
      <w:hyperlink r:id="rId36" w:history="1">
        <w:r w:rsidR="00887FE8" w:rsidRPr="00887FE8">
          <w:rPr>
            <w:rFonts w:ascii="Arial" w:hAnsi="Arial"/>
            <w:color w:val="0000FF"/>
            <w:u w:val="single"/>
            <w:rtl/>
          </w:rPr>
          <w:t>חוק סדר הדין הפלילי</w:t>
        </w:r>
      </w:hyperlink>
      <w:r>
        <w:rPr>
          <w:rFonts w:ascii="Arial" w:hAnsi="Arial" w:hint="cs"/>
          <w:rtl/>
        </w:rPr>
        <w:t xml:space="preserve"> [נוסח משולב], התשמ"ב-1982, ומטילה עליו צו מבחן למשך 12 חודשים מהיום. בתקופה זו על הנאשם לעמוד בפיקוח שרות המבחן ולבצע את כל אשר יוטל עליו. </w:t>
      </w:r>
    </w:p>
    <w:p w14:paraId="4B76E35C" w14:textId="77777777" w:rsidR="0097142F" w:rsidRDefault="0097142F" w:rsidP="0097142F">
      <w:pPr>
        <w:spacing w:line="360" w:lineRule="auto"/>
        <w:ind w:left="720"/>
        <w:jc w:val="both"/>
        <w:rPr>
          <w:rFonts w:ascii="Arial" w:hAnsi="Arial"/>
          <w:rtl/>
        </w:rPr>
      </w:pPr>
    </w:p>
    <w:p w14:paraId="2AFD237B" w14:textId="77777777" w:rsidR="0097142F" w:rsidRDefault="0097142F" w:rsidP="0097142F">
      <w:pPr>
        <w:spacing w:line="360" w:lineRule="auto"/>
        <w:ind w:left="720"/>
        <w:jc w:val="both"/>
        <w:rPr>
          <w:rFonts w:ascii="Arial" w:hAnsi="Arial"/>
          <w:rtl/>
        </w:rPr>
      </w:pPr>
      <w:r>
        <w:rPr>
          <w:rFonts w:ascii="Arial" w:hAnsi="Arial" w:hint="cs"/>
          <w:rtl/>
        </w:rPr>
        <w:t xml:space="preserve">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w:t>
      </w:r>
    </w:p>
    <w:p w14:paraId="4C46DE1B" w14:textId="77777777" w:rsidR="0097142F" w:rsidRDefault="0097142F" w:rsidP="0097142F">
      <w:pPr>
        <w:spacing w:line="360" w:lineRule="auto"/>
        <w:ind w:left="720"/>
        <w:jc w:val="both"/>
        <w:rPr>
          <w:rFonts w:ascii="Arial" w:hAnsi="Arial"/>
          <w:rtl/>
        </w:rPr>
      </w:pPr>
    </w:p>
    <w:p w14:paraId="55C38308" w14:textId="77777777" w:rsidR="0097142F" w:rsidRDefault="0097142F" w:rsidP="0097142F">
      <w:pPr>
        <w:spacing w:line="360" w:lineRule="auto"/>
        <w:ind w:left="720"/>
        <w:jc w:val="both"/>
        <w:rPr>
          <w:rFonts w:ascii="Arial" w:hAnsi="Arial"/>
          <w:rtl/>
        </w:rPr>
      </w:pPr>
      <w:r>
        <w:rPr>
          <w:rFonts w:ascii="Arial" w:hAnsi="Arial" w:hint="cs"/>
          <w:rtl/>
        </w:rPr>
        <w:t xml:space="preserve">הנאשם יחתום על החייבות על סך 3000 ₪ שלא לעבור במשך שלוש שנים מהיום כל עבירה על </w:t>
      </w:r>
      <w:hyperlink r:id="rId37" w:history="1">
        <w:r w:rsidR="00887FE8" w:rsidRPr="00887FE8">
          <w:rPr>
            <w:rFonts w:ascii="Arial" w:hAnsi="Arial"/>
            <w:color w:val="0000FF"/>
            <w:u w:val="single"/>
            <w:rtl/>
          </w:rPr>
          <w:t>פקודת הסמים המסוכנים</w:t>
        </w:r>
      </w:hyperlink>
      <w:r>
        <w:rPr>
          <w:rFonts w:ascii="Arial" w:hAnsi="Arial" w:hint="cs"/>
          <w:rtl/>
        </w:rPr>
        <w:t>.</w:t>
      </w:r>
    </w:p>
    <w:p w14:paraId="48869FD9" w14:textId="77777777" w:rsidR="0097142F" w:rsidRDefault="0097142F" w:rsidP="0097142F">
      <w:pPr>
        <w:spacing w:line="360" w:lineRule="auto"/>
        <w:jc w:val="both"/>
        <w:rPr>
          <w:rFonts w:ascii="Arial" w:hAnsi="Arial"/>
          <w:rtl/>
        </w:rPr>
      </w:pPr>
    </w:p>
    <w:p w14:paraId="6FAF2EC8" w14:textId="77777777" w:rsidR="0097142F" w:rsidRDefault="0097142F" w:rsidP="0097142F">
      <w:pPr>
        <w:spacing w:line="360" w:lineRule="auto"/>
        <w:jc w:val="both"/>
        <w:rPr>
          <w:rFonts w:ascii="Arial" w:hAnsi="Arial"/>
          <w:b/>
          <w:bCs/>
          <w:rtl/>
        </w:rPr>
      </w:pPr>
      <w:r>
        <w:rPr>
          <w:rFonts w:ascii="Arial" w:hAnsi="Arial" w:hint="cs"/>
          <w:b/>
          <w:bCs/>
          <w:rtl/>
        </w:rPr>
        <w:t xml:space="preserve">ניתן בזה צו לחילוט סכום כסף בסך 570 ₪ שנתפס בתיק דנן. </w:t>
      </w:r>
    </w:p>
    <w:p w14:paraId="2EA29E87" w14:textId="77777777" w:rsidR="0097142F" w:rsidRDefault="0097142F" w:rsidP="0097142F">
      <w:pPr>
        <w:rPr>
          <w:rFonts w:ascii="Arial" w:hAnsi="Arial"/>
          <w:b/>
          <w:bCs/>
          <w:rtl/>
        </w:rPr>
      </w:pPr>
    </w:p>
    <w:p w14:paraId="2FA85BDD" w14:textId="77777777" w:rsidR="0097142F" w:rsidRDefault="0097142F" w:rsidP="0097142F">
      <w:pPr>
        <w:rPr>
          <w:rFonts w:ascii="Arial" w:hAnsi="Arial"/>
          <w:b/>
          <w:bCs/>
          <w:rtl/>
        </w:rPr>
      </w:pPr>
    </w:p>
    <w:p w14:paraId="68D8F750" w14:textId="77777777" w:rsidR="0097142F" w:rsidRDefault="0097142F" w:rsidP="0097142F">
      <w:pPr>
        <w:spacing w:line="360" w:lineRule="auto"/>
        <w:rPr>
          <w:rFonts w:ascii="Arial" w:hAnsi="Arial"/>
          <w:b/>
          <w:bCs/>
          <w:rtl/>
        </w:rPr>
      </w:pPr>
      <w:r>
        <w:rPr>
          <w:rFonts w:ascii="Arial" w:hAnsi="Arial" w:hint="cs"/>
          <w:b/>
          <w:bCs/>
          <w:rtl/>
        </w:rPr>
        <w:t>סמים – להשמדה.</w:t>
      </w:r>
    </w:p>
    <w:p w14:paraId="6694A395" w14:textId="77777777" w:rsidR="0097142F" w:rsidRDefault="0097142F" w:rsidP="0097142F">
      <w:pPr>
        <w:spacing w:line="360" w:lineRule="auto"/>
        <w:rPr>
          <w:rFonts w:ascii="Arial" w:hAnsi="Arial"/>
          <w:b/>
          <w:bCs/>
          <w:u w:val="single"/>
          <w:rtl/>
        </w:rPr>
      </w:pPr>
    </w:p>
    <w:p w14:paraId="6F547E11" w14:textId="77777777" w:rsidR="0097142F" w:rsidRDefault="0097142F" w:rsidP="0097142F">
      <w:pPr>
        <w:spacing w:line="360" w:lineRule="auto"/>
        <w:rPr>
          <w:rFonts w:ascii="Arial" w:hAnsi="Arial"/>
          <w:b/>
          <w:bCs/>
          <w:rtl/>
        </w:rPr>
      </w:pPr>
      <w:r>
        <w:rPr>
          <w:rFonts w:ascii="Arial" w:hAnsi="Arial" w:hint="cs"/>
          <w:b/>
          <w:bCs/>
          <w:u w:val="single"/>
          <w:rtl/>
        </w:rPr>
        <w:t>המזכירות תשלח עותק גזר הדין לשרות המבחן</w:t>
      </w:r>
      <w:r>
        <w:rPr>
          <w:rFonts w:ascii="Arial" w:hAnsi="Arial" w:hint="cs"/>
          <w:b/>
          <w:bCs/>
          <w:rtl/>
        </w:rPr>
        <w:t>.</w:t>
      </w:r>
    </w:p>
    <w:p w14:paraId="17754472" w14:textId="77777777" w:rsidR="0097142F" w:rsidRDefault="0097142F" w:rsidP="0097142F">
      <w:pPr>
        <w:spacing w:line="360" w:lineRule="auto"/>
        <w:rPr>
          <w:rFonts w:ascii="Arial" w:hAnsi="Arial"/>
          <w:rtl/>
        </w:rPr>
      </w:pPr>
    </w:p>
    <w:p w14:paraId="08CF7D0B" w14:textId="77777777" w:rsidR="0097142F" w:rsidRDefault="0097142F" w:rsidP="0097142F">
      <w:pPr>
        <w:spacing w:line="360" w:lineRule="auto"/>
        <w:rPr>
          <w:rFonts w:ascii="Arial" w:hAnsi="Arial"/>
          <w:b/>
          <w:bCs/>
          <w:rtl/>
        </w:rPr>
      </w:pPr>
      <w:r>
        <w:rPr>
          <w:rFonts w:ascii="Arial" w:hAnsi="Arial" w:hint="cs"/>
          <w:b/>
          <w:bCs/>
          <w:u w:val="single"/>
          <w:rtl/>
        </w:rPr>
        <w:t>זכות ערעור לבית המשפט המחוזי תוך 45</w:t>
      </w:r>
      <w:r w:rsidR="00887FE8">
        <w:rPr>
          <w:rFonts w:ascii="Arial" w:hAnsi="Arial" w:hint="cs"/>
          <w:b/>
          <w:bCs/>
          <w:u w:val="single"/>
          <w:rtl/>
        </w:rPr>
        <w:t xml:space="preserve"> </w:t>
      </w:r>
      <w:r>
        <w:rPr>
          <w:rFonts w:ascii="Arial" w:hAnsi="Arial" w:hint="cs"/>
          <w:b/>
          <w:bCs/>
          <w:u w:val="single"/>
          <w:rtl/>
        </w:rPr>
        <w:t xml:space="preserve"> יום מהיום</w:t>
      </w:r>
      <w:r>
        <w:rPr>
          <w:rFonts w:ascii="Arial" w:hAnsi="Arial" w:hint="cs"/>
          <w:b/>
          <w:bCs/>
          <w:rtl/>
        </w:rPr>
        <w:t xml:space="preserve">. </w:t>
      </w:r>
    </w:p>
    <w:p w14:paraId="1AFCC83E" w14:textId="77777777" w:rsidR="0097142F" w:rsidRPr="00887FE8" w:rsidRDefault="00887FE8" w:rsidP="0097142F">
      <w:pPr>
        <w:rPr>
          <w:color w:val="FFFFFF"/>
          <w:sz w:val="2"/>
          <w:szCs w:val="2"/>
          <w:rtl/>
        </w:rPr>
      </w:pPr>
      <w:r w:rsidRPr="00887FE8">
        <w:rPr>
          <w:color w:val="FFFFFF"/>
          <w:sz w:val="2"/>
          <w:szCs w:val="2"/>
          <w:rtl/>
        </w:rPr>
        <w:t>5129371</w:t>
      </w:r>
    </w:p>
    <w:p w14:paraId="6E9AC3AB" w14:textId="77777777" w:rsidR="0097142F" w:rsidRDefault="00887FE8" w:rsidP="0097142F">
      <w:pPr>
        <w:rPr>
          <w:rFonts w:cs="FrankRuehl"/>
          <w:sz w:val="28"/>
          <w:szCs w:val="28"/>
          <w:rtl/>
        </w:rPr>
      </w:pPr>
      <w:r w:rsidRPr="00887FE8">
        <w:rPr>
          <w:rFonts w:ascii="Arial" w:hAnsi="Arial"/>
          <w:color w:val="FFFFFF"/>
          <w:sz w:val="2"/>
          <w:szCs w:val="2"/>
          <w:rtl/>
        </w:rPr>
        <w:t>54678313</w:t>
      </w:r>
      <w:r>
        <w:rPr>
          <w:rFonts w:ascii="Arial" w:hAnsi="Arial"/>
          <w:rtl/>
        </w:rPr>
        <w:t xml:space="preserve">ניתן היום,  ט"ז אדר ב' תשע"ט, 23 מרץ 2019, במעמד הצדדים. </w:t>
      </w:r>
    </w:p>
    <w:p w14:paraId="42516C76" w14:textId="77777777" w:rsidR="0097142F" w:rsidRDefault="0097142F" w:rsidP="0097142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8BAAFBA" w14:textId="77777777" w:rsidR="0097142F" w:rsidRDefault="00AF26F4" w:rsidP="0097142F">
      <w:pPr>
        <w:jc w:val="center"/>
        <w:rPr>
          <w:rFonts w:ascii="Arial" w:hAnsi="Arial" w:cs="FrankRuehl"/>
          <w:sz w:val="28"/>
          <w:szCs w:val="28"/>
          <w:rtl/>
        </w:rPr>
      </w:pPr>
      <w:r>
        <w:rPr>
          <w:rFonts w:ascii="Arial" w:hAnsi="Arial" w:cs="FrankRuehl" w:hint="cs"/>
          <w:sz w:val="28"/>
          <w:szCs w:val="28"/>
          <w:rtl/>
        </w:rPr>
        <w:t xml:space="preserve">            </w:t>
      </w:r>
    </w:p>
    <w:p w14:paraId="3CF449A3" w14:textId="77777777" w:rsidR="0097142F" w:rsidRDefault="0097142F" w:rsidP="0097142F">
      <w:pPr>
        <w:rPr>
          <w:rFonts w:cs="FrankRuehl"/>
          <w:sz w:val="28"/>
          <w:szCs w:val="28"/>
          <w:rtl/>
        </w:rPr>
      </w:pPr>
    </w:p>
    <w:p w14:paraId="02B9CE9B" w14:textId="77777777" w:rsidR="0097142F" w:rsidRDefault="0097142F" w:rsidP="0097142F">
      <w:pPr>
        <w:pStyle w:val="a3"/>
        <w:jc w:val="center"/>
        <w:rPr>
          <w:rtl/>
        </w:rPr>
      </w:pPr>
    </w:p>
    <w:p w14:paraId="2D37C25D" w14:textId="77777777" w:rsidR="000161BF" w:rsidRPr="00887FE8" w:rsidRDefault="000161BF" w:rsidP="00887FE8">
      <w:pPr>
        <w:keepNext/>
        <w:rPr>
          <w:rFonts w:ascii="David" w:hAnsi="David"/>
          <w:color w:val="000000"/>
          <w:sz w:val="22"/>
          <w:szCs w:val="22"/>
          <w:rtl/>
        </w:rPr>
      </w:pPr>
    </w:p>
    <w:p w14:paraId="4F282A26" w14:textId="77777777" w:rsidR="00887FE8" w:rsidRPr="00887FE8" w:rsidRDefault="00887FE8" w:rsidP="00887FE8">
      <w:pPr>
        <w:keepNext/>
        <w:rPr>
          <w:rFonts w:ascii="David" w:hAnsi="David"/>
          <w:color w:val="000000"/>
          <w:sz w:val="22"/>
          <w:szCs w:val="22"/>
          <w:rtl/>
        </w:rPr>
      </w:pPr>
      <w:r w:rsidRPr="00887FE8">
        <w:rPr>
          <w:rFonts w:ascii="David" w:hAnsi="David"/>
          <w:color w:val="000000"/>
          <w:sz w:val="22"/>
          <w:szCs w:val="22"/>
          <w:rtl/>
        </w:rPr>
        <w:t>רות שפילברג כהן 54678313</w:t>
      </w:r>
    </w:p>
    <w:p w14:paraId="52E5E5C5" w14:textId="77777777" w:rsidR="00887FE8" w:rsidRDefault="00887FE8" w:rsidP="00887FE8">
      <w:r w:rsidRPr="00887FE8">
        <w:rPr>
          <w:color w:val="000000"/>
          <w:rtl/>
        </w:rPr>
        <w:t>נוסח מסמך זה כפוף לשינויי ניסוח ועריכה</w:t>
      </w:r>
    </w:p>
    <w:p w14:paraId="58AC9AF8" w14:textId="77777777" w:rsidR="00887FE8" w:rsidRDefault="00887FE8" w:rsidP="00887FE8">
      <w:pPr>
        <w:rPr>
          <w:rtl/>
        </w:rPr>
      </w:pPr>
    </w:p>
    <w:p w14:paraId="70C20537" w14:textId="77777777" w:rsidR="00887FE8" w:rsidRDefault="00887FE8" w:rsidP="00887FE8">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E4F091D" w14:textId="77777777" w:rsidR="00887FE8" w:rsidRPr="00887FE8" w:rsidRDefault="00887FE8" w:rsidP="00887FE8">
      <w:pPr>
        <w:jc w:val="center"/>
        <w:rPr>
          <w:color w:val="0000FF"/>
          <w:u w:val="single"/>
        </w:rPr>
      </w:pPr>
    </w:p>
    <w:sectPr w:rsidR="00887FE8" w:rsidRPr="00887FE8" w:rsidSect="00887FE8">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86D24" w14:textId="77777777" w:rsidR="007E284A" w:rsidRDefault="007E284A" w:rsidP="009F57C7">
      <w:r>
        <w:separator/>
      </w:r>
    </w:p>
  </w:endnote>
  <w:endnote w:type="continuationSeparator" w:id="0">
    <w:p w14:paraId="4BA49D34" w14:textId="77777777" w:rsidR="007E284A" w:rsidRDefault="007E284A" w:rsidP="009F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DD8AD" w14:textId="77777777" w:rsidR="00887FE8" w:rsidRDefault="00887FE8" w:rsidP="00887F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3E1494" w14:textId="77777777" w:rsidR="009F3D70" w:rsidRPr="00887FE8" w:rsidRDefault="00887FE8" w:rsidP="00887F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73E82" w14:textId="77777777" w:rsidR="00887FE8" w:rsidRDefault="00887FE8" w:rsidP="00887F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0192">
      <w:rPr>
        <w:rFonts w:ascii="FrankRuehl" w:hAnsi="FrankRuehl" w:cs="FrankRuehl"/>
        <w:noProof/>
        <w:rtl/>
      </w:rPr>
      <w:t>1</w:t>
    </w:r>
    <w:r>
      <w:rPr>
        <w:rFonts w:ascii="FrankRuehl" w:hAnsi="FrankRuehl" w:cs="FrankRuehl"/>
        <w:rtl/>
      </w:rPr>
      <w:fldChar w:fldCharType="end"/>
    </w:r>
  </w:p>
  <w:p w14:paraId="09E5E316" w14:textId="77777777" w:rsidR="009F3D70" w:rsidRPr="00887FE8" w:rsidRDefault="00887FE8" w:rsidP="00887F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B850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C6A60" w14:textId="77777777" w:rsidR="007E284A" w:rsidRDefault="007E284A" w:rsidP="009F57C7">
      <w:r>
        <w:separator/>
      </w:r>
    </w:p>
  </w:footnote>
  <w:footnote w:type="continuationSeparator" w:id="0">
    <w:p w14:paraId="41101896" w14:textId="77777777" w:rsidR="007E284A" w:rsidRDefault="007E284A" w:rsidP="009F5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A9192" w14:textId="77777777" w:rsidR="00887FE8" w:rsidRPr="00887FE8" w:rsidRDefault="00887FE8" w:rsidP="00887F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34271-10-18</w:t>
    </w:r>
    <w:r>
      <w:rPr>
        <w:rFonts w:ascii="David" w:hAnsi="David"/>
        <w:color w:val="000000"/>
        <w:sz w:val="22"/>
        <w:szCs w:val="22"/>
        <w:rtl/>
      </w:rPr>
      <w:tab/>
      <w:t xml:space="preserve"> מדינת ישראל נ' אור שמואל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1E8EB" w14:textId="77777777" w:rsidR="00887FE8" w:rsidRPr="00887FE8" w:rsidRDefault="00887FE8" w:rsidP="00887F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34271-10-18</w:t>
    </w:r>
    <w:r>
      <w:rPr>
        <w:rFonts w:ascii="David" w:hAnsi="David"/>
        <w:color w:val="000000"/>
        <w:sz w:val="22"/>
        <w:szCs w:val="22"/>
        <w:rtl/>
      </w:rPr>
      <w:tab/>
      <w:t xml:space="preserve"> מדינת ישראל נ' אור שמואל דהן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142F"/>
    <w:rsid w:val="000161BF"/>
    <w:rsid w:val="00182E55"/>
    <w:rsid w:val="00274A63"/>
    <w:rsid w:val="00381020"/>
    <w:rsid w:val="003B1D58"/>
    <w:rsid w:val="00593B29"/>
    <w:rsid w:val="007E284A"/>
    <w:rsid w:val="007F0192"/>
    <w:rsid w:val="00887FE8"/>
    <w:rsid w:val="0097142F"/>
    <w:rsid w:val="009F3D70"/>
    <w:rsid w:val="009F57C7"/>
    <w:rsid w:val="00A76E76"/>
    <w:rsid w:val="00AF26F4"/>
    <w:rsid w:val="00D21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D5436BB"/>
  <w15:chartTrackingRefBased/>
  <w15:docId w15:val="{ED7F1B7A-AEC8-4E26-AE62-54098EC7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14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142F"/>
    <w:pPr>
      <w:tabs>
        <w:tab w:val="center" w:pos="4153"/>
        <w:tab w:val="right" w:pos="8306"/>
      </w:tabs>
    </w:pPr>
  </w:style>
  <w:style w:type="character" w:customStyle="1" w:styleId="a4">
    <w:name w:val="כותרת עליונה תו"/>
    <w:link w:val="a3"/>
    <w:rsid w:val="0097142F"/>
    <w:rPr>
      <w:rFonts w:ascii="Times New Roman" w:eastAsia="Times New Roman" w:hAnsi="Times New Roman" w:cs="David"/>
      <w:sz w:val="24"/>
      <w:szCs w:val="24"/>
    </w:rPr>
  </w:style>
  <w:style w:type="paragraph" w:styleId="a5">
    <w:name w:val="footer"/>
    <w:basedOn w:val="a"/>
    <w:link w:val="a6"/>
    <w:rsid w:val="0097142F"/>
    <w:pPr>
      <w:tabs>
        <w:tab w:val="center" w:pos="4153"/>
        <w:tab w:val="right" w:pos="8306"/>
      </w:tabs>
    </w:pPr>
  </w:style>
  <w:style w:type="character" w:customStyle="1" w:styleId="a6">
    <w:name w:val="כותרת תחתונה תו"/>
    <w:link w:val="a5"/>
    <w:rsid w:val="0097142F"/>
    <w:rPr>
      <w:rFonts w:ascii="Times New Roman" w:eastAsia="Times New Roman" w:hAnsi="Times New Roman" w:cs="David"/>
      <w:sz w:val="24"/>
      <w:szCs w:val="24"/>
    </w:rPr>
  </w:style>
  <w:style w:type="table" w:styleId="a7">
    <w:name w:val="Table Grid"/>
    <w:basedOn w:val="a1"/>
    <w:rsid w:val="009714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142F"/>
  </w:style>
  <w:style w:type="character" w:styleId="Hyperlink">
    <w:name w:val="Hyperlink"/>
    <w:rsid w:val="00887FE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4943632" TargetMode="External"/><Relationship Id="rId26" Type="http://schemas.openxmlformats.org/officeDocument/2006/relationships/hyperlink" Target="http://www.nevo.co.il/case/4472611" TargetMode="External"/><Relationship Id="rId39" Type="http://schemas.openxmlformats.org/officeDocument/2006/relationships/header" Target="header1.xml"/><Relationship Id="rId21" Type="http://schemas.openxmlformats.org/officeDocument/2006/relationships/hyperlink" Target="http://www.nevo.co.il/case/10442662" TargetMode="External"/><Relationship Id="rId34" Type="http://schemas.openxmlformats.org/officeDocument/2006/relationships/hyperlink" Target="http://www.nevo.co.il/case/10442662" TargetMode="External"/><Relationship Id="rId42"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6248620" TargetMode="External"/><Relationship Id="rId29" Type="http://schemas.openxmlformats.org/officeDocument/2006/relationships/hyperlink" Target="http://www.nevo.co.il/case/23158178"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4903" TargetMode="External"/><Relationship Id="rId24" Type="http://schemas.openxmlformats.org/officeDocument/2006/relationships/hyperlink" Target="http://www.nevo.co.il/case/5633505" TargetMode="External"/><Relationship Id="rId32" Type="http://schemas.openxmlformats.org/officeDocument/2006/relationships/hyperlink" Target="http://www.nevo.co.il/case/20305474"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13;19.a" TargetMode="External"/><Relationship Id="rId23" Type="http://schemas.openxmlformats.org/officeDocument/2006/relationships/hyperlink" Target="http://www.nevo.co.il/case/24971234" TargetMode="External"/><Relationship Id="rId28" Type="http://schemas.openxmlformats.org/officeDocument/2006/relationships/hyperlink" Target="http://www.nevo.co.il/case/17916229" TargetMode="External"/><Relationship Id="rId36" Type="http://schemas.openxmlformats.org/officeDocument/2006/relationships/hyperlink" Target="http://www.nevo.co.il/law/74903"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24975541" TargetMode="External"/><Relationship Id="rId31" Type="http://schemas.openxmlformats.org/officeDocument/2006/relationships/hyperlink" Target="http://www.nevo.co.il/case/20145219"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740958" TargetMode="External"/><Relationship Id="rId27" Type="http://schemas.openxmlformats.org/officeDocument/2006/relationships/hyperlink" Target="http://www.nevo.co.il/case/5810781" TargetMode="External"/><Relationship Id="rId30" Type="http://schemas.openxmlformats.org/officeDocument/2006/relationships/hyperlink" Target="http://www.nevo.co.il/case/22142118" TargetMode="External"/><Relationship Id="rId35" Type="http://schemas.openxmlformats.org/officeDocument/2006/relationships/hyperlink" Target="http://www.nevo.co.il/law/74903/192a" TargetMode="External"/><Relationship Id="rId43"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4903/192a" TargetMode="External"/><Relationship Id="rId17" Type="http://schemas.openxmlformats.org/officeDocument/2006/relationships/hyperlink" Target="http://www.nevo.co.il/case/23360870" TargetMode="External"/><Relationship Id="rId25" Type="http://schemas.openxmlformats.org/officeDocument/2006/relationships/hyperlink" Target="http://www.nevo.co.il/case/4145194" TargetMode="External"/><Relationship Id="rId33" Type="http://schemas.openxmlformats.org/officeDocument/2006/relationships/hyperlink" Target="http://www.nevo.co.il/case/5611948"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3396</Words>
  <Characters>16983</Characters>
  <Application>Microsoft Office Word</Application>
  <DocSecurity>0</DocSecurity>
  <Lines>141</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20339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8257646</vt:i4>
      </vt:variant>
      <vt:variant>
        <vt:i4>90</vt:i4>
      </vt:variant>
      <vt:variant>
        <vt:i4>0</vt:i4>
      </vt:variant>
      <vt:variant>
        <vt:i4>5</vt:i4>
      </vt:variant>
      <vt:variant>
        <vt:lpwstr>http://www.nevo.co.il/law/74903</vt:lpwstr>
      </vt:variant>
      <vt:variant>
        <vt:lpwstr/>
      </vt:variant>
      <vt:variant>
        <vt:i4>589918</vt:i4>
      </vt:variant>
      <vt:variant>
        <vt:i4>87</vt:i4>
      </vt:variant>
      <vt:variant>
        <vt:i4>0</vt:i4>
      </vt:variant>
      <vt:variant>
        <vt:i4>5</vt:i4>
      </vt:variant>
      <vt:variant>
        <vt:lpwstr>http://www.nevo.co.il/law/74903/192a</vt:lpwstr>
      </vt:variant>
      <vt:variant>
        <vt:lpwstr/>
      </vt:variant>
      <vt:variant>
        <vt:i4>3211382</vt:i4>
      </vt:variant>
      <vt:variant>
        <vt:i4>84</vt:i4>
      </vt:variant>
      <vt:variant>
        <vt:i4>0</vt:i4>
      </vt:variant>
      <vt:variant>
        <vt:i4>5</vt:i4>
      </vt:variant>
      <vt:variant>
        <vt:lpwstr>http://www.nevo.co.il/case/10442662</vt:lpwstr>
      </vt:variant>
      <vt:variant>
        <vt:lpwstr/>
      </vt:variant>
      <vt:variant>
        <vt:i4>3473527</vt:i4>
      </vt:variant>
      <vt:variant>
        <vt:i4>81</vt:i4>
      </vt:variant>
      <vt:variant>
        <vt:i4>0</vt:i4>
      </vt:variant>
      <vt:variant>
        <vt:i4>5</vt:i4>
      </vt:variant>
      <vt:variant>
        <vt:lpwstr>http://www.nevo.co.il/case/5611948</vt:lpwstr>
      </vt:variant>
      <vt:variant>
        <vt:lpwstr/>
      </vt:variant>
      <vt:variant>
        <vt:i4>3342448</vt:i4>
      </vt:variant>
      <vt:variant>
        <vt:i4>78</vt:i4>
      </vt:variant>
      <vt:variant>
        <vt:i4>0</vt:i4>
      </vt:variant>
      <vt:variant>
        <vt:i4>5</vt:i4>
      </vt:variant>
      <vt:variant>
        <vt:lpwstr>http://www.nevo.co.il/case/20305474</vt:lpwstr>
      </vt:variant>
      <vt:variant>
        <vt:lpwstr/>
      </vt:variant>
      <vt:variant>
        <vt:i4>3604594</vt:i4>
      </vt:variant>
      <vt:variant>
        <vt:i4>75</vt:i4>
      </vt:variant>
      <vt:variant>
        <vt:i4>0</vt:i4>
      </vt:variant>
      <vt:variant>
        <vt:i4>5</vt:i4>
      </vt:variant>
      <vt:variant>
        <vt:lpwstr>http://www.nevo.co.il/case/20145219</vt:lpwstr>
      </vt:variant>
      <vt:variant>
        <vt:lpwstr/>
      </vt:variant>
      <vt:variant>
        <vt:i4>3145843</vt:i4>
      </vt:variant>
      <vt:variant>
        <vt:i4>72</vt:i4>
      </vt:variant>
      <vt:variant>
        <vt:i4>0</vt:i4>
      </vt:variant>
      <vt:variant>
        <vt:i4>5</vt:i4>
      </vt:variant>
      <vt:variant>
        <vt:lpwstr>http://www.nevo.co.il/case/22142118</vt:lpwstr>
      </vt:variant>
      <vt:variant>
        <vt:lpwstr/>
      </vt:variant>
      <vt:variant>
        <vt:i4>3932275</vt:i4>
      </vt:variant>
      <vt:variant>
        <vt:i4>69</vt:i4>
      </vt:variant>
      <vt:variant>
        <vt:i4>0</vt:i4>
      </vt:variant>
      <vt:variant>
        <vt:i4>5</vt:i4>
      </vt:variant>
      <vt:variant>
        <vt:lpwstr>http://www.nevo.co.il/case/23158178</vt:lpwstr>
      </vt:variant>
      <vt:variant>
        <vt:lpwstr/>
      </vt:variant>
      <vt:variant>
        <vt:i4>3932272</vt:i4>
      </vt:variant>
      <vt:variant>
        <vt:i4>66</vt:i4>
      </vt:variant>
      <vt:variant>
        <vt:i4>0</vt:i4>
      </vt:variant>
      <vt:variant>
        <vt:i4>5</vt:i4>
      </vt:variant>
      <vt:variant>
        <vt:lpwstr>http://www.nevo.co.il/case/17916229</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3407987</vt:i4>
      </vt:variant>
      <vt:variant>
        <vt:i4>60</vt:i4>
      </vt:variant>
      <vt:variant>
        <vt:i4>0</vt:i4>
      </vt:variant>
      <vt:variant>
        <vt:i4>5</vt:i4>
      </vt:variant>
      <vt:variant>
        <vt:lpwstr>http://www.nevo.co.il/case/4472611</vt:lpwstr>
      </vt:variant>
      <vt:variant>
        <vt:lpwstr/>
      </vt:variant>
      <vt:variant>
        <vt:i4>3473529</vt:i4>
      </vt:variant>
      <vt:variant>
        <vt:i4>57</vt:i4>
      </vt:variant>
      <vt:variant>
        <vt:i4>0</vt:i4>
      </vt:variant>
      <vt:variant>
        <vt:i4>5</vt:i4>
      </vt:variant>
      <vt:variant>
        <vt:lpwstr>http://www.nevo.co.il/case/4145194</vt:lpwstr>
      </vt:variant>
      <vt:variant>
        <vt:lpwstr/>
      </vt:variant>
      <vt:variant>
        <vt:i4>3539057</vt:i4>
      </vt:variant>
      <vt:variant>
        <vt:i4>54</vt:i4>
      </vt:variant>
      <vt:variant>
        <vt:i4>0</vt:i4>
      </vt:variant>
      <vt:variant>
        <vt:i4>5</vt:i4>
      </vt:variant>
      <vt:variant>
        <vt:lpwstr>http://www.nevo.co.il/case/5633505</vt:lpwstr>
      </vt:variant>
      <vt:variant>
        <vt:lpwstr/>
      </vt:variant>
      <vt:variant>
        <vt:i4>3735669</vt:i4>
      </vt:variant>
      <vt:variant>
        <vt:i4>51</vt:i4>
      </vt:variant>
      <vt:variant>
        <vt:i4>0</vt:i4>
      </vt:variant>
      <vt:variant>
        <vt:i4>5</vt:i4>
      </vt:variant>
      <vt:variant>
        <vt:lpwstr>http://www.nevo.co.il/case/24971234</vt:lpwstr>
      </vt:variant>
      <vt:variant>
        <vt:lpwstr/>
      </vt:variant>
      <vt:variant>
        <vt:i4>3145846</vt:i4>
      </vt:variant>
      <vt:variant>
        <vt:i4>48</vt:i4>
      </vt:variant>
      <vt:variant>
        <vt:i4>0</vt:i4>
      </vt:variant>
      <vt:variant>
        <vt:i4>5</vt:i4>
      </vt:variant>
      <vt:variant>
        <vt:lpwstr>http://www.nevo.co.il/case/5740958</vt:lpwstr>
      </vt:variant>
      <vt:variant>
        <vt:lpwstr/>
      </vt:variant>
      <vt:variant>
        <vt:i4>3211382</vt:i4>
      </vt:variant>
      <vt:variant>
        <vt:i4>45</vt:i4>
      </vt:variant>
      <vt:variant>
        <vt:i4>0</vt:i4>
      </vt:variant>
      <vt:variant>
        <vt:i4>5</vt:i4>
      </vt:variant>
      <vt:variant>
        <vt:lpwstr>http://www.nevo.co.il/case/10442662</vt:lpwstr>
      </vt:variant>
      <vt:variant>
        <vt:lpwstr/>
      </vt:variant>
      <vt:variant>
        <vt:i4>3407996</vt:i4>
      </vt:variant>
      <vt:variant>
        <vt:i4>42</vt:i4>
      </vt:variant>
      <vt:variant>
        <vt:i4>0</vt:i4>
      </vt:variant>
      <vt:variant>
        <vt:i4>5</vt:i4>
      </vt:variant>
      <vt:variant>
        <vt:lpwstr>http://www.nevo.co.il/case/6248620</vt:lpwstr>
      </vt:variant>
      <vt:variant>
        <vt:lpwstr/>
      </vt:variant>
      <vt:variant>
        <vt:i4>3801202</vt:i4>
      </vt:variant>
      <vt:variant>
        <vt:i4>39</vt:i4>
      </vt:variant>
      <vt:variant>
        <vt:i4>0</vt:i4>
      </vt:variant>
      <vt:variant>
        <vt:i4>5</vt:i4>
      </vt:variant>
      <vt:variant>
        <vt:lpwstr>http://www.nevo.co.il/case/24975541</vt:lpwstr>
      </vt:variant>
      <vt:variant>
        <vt:lpwstr/>
      </vt:variant>
      <vt:variant>
        <vt:i4>3866738</vt:i4>
      </vt:variant>
      <vt:variant>
        <vt:i4>36</vt:i4>
      </vt:variant>
      <vt:variant>
        <vt:i4>0</vt:i4>
      </vt:variant>
      <vt:variant>
        <vt:i4>5</vt:i4>
      </vt:variant>
      <vt:variant>
        <vt:lpwstr>http://www.nevo.co.il/case/24943632</vt:lpwstr>
      </vt:variant>
      <vt:variant>
        <vt:lpwstr/>
      </vt:variant>
      <vt:variant>
        <vt:i4>3539065</vt:i4>
      </vt:variant>
      <vt:variant>
        <vt:i4>33</vt:i4>
      </vt:variant>
      <vt:variant>
        <vt:i4>0</vt:i4>
      </vt:variant>
      <vt:variant>
        <vt:i4>5</vt:i4>
      </vt:variant>
      <vt:variant>
        <vt:lpwstr>http://www.nevo.co.il/case/23360870</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589918</vt:i4>
      </vt:variant>
      <vt:variant>
        <vt:i4>18</vt:i4>
      </vt:variant>
      <vt:variant>
        <vt:i4>0</vt:i4>
      </vt:variant>
      <vt:variant>
        <vt:i4>5</vt:i4>
      </vt:variant>
      <vt:variant>
        <vt:lpwstr>http://www.nevo.co.il/law/74903/192a</vt:lpwstr>
      </vt:variant>
      <vt:variant>
        <vt:lpwstr/>
      </vt:variant>
      <vt:variant>
        <vt:i4>8257646</vt:i4>
      </vt:variant>
      <vt:variant>
        <vt:i4>15</vt:i4>
      </vt:variant>
      <vt:variant>
        <vt:i4>0</vt:i4>
      </vt:variant>
      <vt:variant>
        <vt:i4>5</vt:i4>
      </vt:variant>
      <vt:variant>
        <vt:lpwstr>http://www.nevo.co.il/law/74903</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34271</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אור שמואל דהן</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20190323</vt:lpwstr>
  </property>
  <property fmtid="{D5CDD505-2E9C-101B-9397-08002B2CF9AE}" pid="13" name="TYPE_N_DATE">
    <vt:lpwstr>38020190323</vt:lpwstr>
  </property>
  <property fmtid="{D5CDD505-2E9C-101B-9397-08002B2CF9AE}" pid="14" name="WORDNUMPAGES">
    <vt:lpwstr>11</vt:lpwstr>
  </property>
  <property fmtid="{D5CDD505-2E9C-101B-9397-08002B2CF9AE}" pid="15" name="TYPE_ABS_DATE">
    <vt:lpwstr>380020190323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23360870;24975541;6248620;10442662:2;5740958;24971234;5633505;4145194;4472611;5810781;17916229;23158178;22142118;20145219;20305474;5611948</vt:lpwstr>
  </property>
  <property fmtid="{D5CDD505-2E9C-101B-9397-08002B2CF9AE}" pid="36" name="LAWLISTTMP1">
    <vt:lpwstr>4216/007.a;007.c;013;019.a</vt:lpwstr>
  </property>
  <property fmtid="{D5CDD505-2E9C-101B-9397-08002B2CF9AE}" pid="37" name="LAWLISTTMP2">
    <vt:lpwstr>74903/192a</vt:lpwstr>
  </property>
</Properties>
</file>