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FF3E66" w:rsidRPr="00B90758" w14:paraId="5E7934E6" w14:textId="77777777" w:rsidTr="001B327C">
        <w:trPr>
          <w:trHeight w:hRule="exact" w:val="418"/>
          <w:jc w:val="center"/>
        </w:trPr>
        <w:tc>
          <w:tcPr>
            <w:tcW w:w="8523" w:type="dxa"/>
            <w:gridSpan w:val="2"/>
          </w:tcPr>
          <w:p w14:paraId="05C48043" w14:textId="77777777" w:rsidR="00FF3E66" w:rsidRPr="00B90758" w:rsidRDefault="00FF3E66" w:rsidP="001059FB">
            <w:pPr>
              <w:pStyle w:val="a3"/>
              <w:jc w:val="center"/>
              <w:rPr>
                <w:rFonts w:ascii="Tahoma" w:hAnsi="Tahoma" w:cs="Tahoma"/>
                <w:color w:val="000080"/>
                <w:rtl/>
              </w:rPr>
            </w:pPr>
            <w:bookmarkStart w:id="0" w:name="LastJudge"/>
            <w:r w:rsidRPr="00B90758">
              <w:rPr>
                <w:rFonts w:ascii="Tahoma" w:hAnsi="Tahoma" w:cs="Tahoma"/>
                <w:b/>
                <w:bCs/>
                <w:color w:val="000080"/>
                <w:rtl/>
              </w:rPr>
              <w:t>בית משפט השלום ברחובות</w:t>
            </w:r>
          </w:p>
        </w:tc>
      </w:tr>
      <w:tr w:rsidR="00FF3E66" w:rsidRPr="00B90758" w14:paraId="1DA070B5" w14:textId="77777777" w:rsidTr="001B327C">
        <w:trPr>
          <w:trHeight w:val="337"/>
          <w:jc w:val="center"/>
        </w:trPr>
        <w:tc>
          <w:tcPr>
            <w:tcW w:w="4946" w:type="dxa"/>
          </w:tcPr>
          <w:p w14:paraId="6AEF3BFC" w14:textId="77777777" w:rsidR="00FF3E66" w:rsidRPr="00B90758" w:rsidRDefault="00FF3E66" w:rsidP="001059FB">
            <w:pPr>
              <w:rPr>
                <w:rFonts w:ascii="FrankRuehl" w:hAnsi="FrankRuehl" w:cs="FrankRuehl"/>
                <w:sz w:val="28"/>
                <w:szCs w:val="28"/>
                <w:rtl/>
              </w:rPr>
            </w:pPr>
            <w:r w:rsidRPr="00B90758">
              <w:rPr>
                <w:rFonts w:ascii="FrankRuehl" w:hAnsi="FrankRuehl" w:cs="FrankRuehl"/>
                <w:sz w:val="28"/>
                <w:szCs w:val="28"/>
                <w:rtl/>
              </w:rPr>
              <w:t xml:space="preserve">ת"פ </w:t>
            </w:r>
            <w:hyperlink r:id="rId6" w:history="1">
              <w:r w:rsidR="007726E1" w:rsidRPr="007726E1">
                <w:rPr>
                  <w:rFonts w:ascii="FrankRuehl" w:hAnsi="FrankRuehl" w:cs="FrankRuehl"/>
                  <w:color w:val="0000FF"/>
                  <w:sz w:val="28"/>
                  <w:szCs w:val="28"/>
                  <w:u w:val="single"/>
                  <w:rtl/>
                </w:rPr>
                <w:t xml:space="preserve">36499-10-18 </w:t>
              </w:r>
            </w:hyperlink>
            <w:r w:rsidRPr="00B90758">
              <w:rPr>
                <w:rFonts w:ascii="FrankRuehl" w:hAnsi="FrankRuehl" w:cs="FrankRuehl"/>
                <w:sz w:val="28"/>
                <w:szCs w:val="28"/>
                <w:rtl/>
              </w:rPr>
              <w:t xml:space="preserve"> מדינת ישראל נ' אליהו</w:t>
            </w:r>
            <w:r w:rsidRPr="00B90758">
              <w:rPr>
                <w:rFonts w:ascii="FrankRuehl" w:hAnsi="FrankRuehl" w:cs="FrankRuehl"/>
                <w:sz w:val="28"/>
                <w:szCs w:val="28"/>
                <w:rtl/>
              </w:rPr>
              <w:br/>
              <w:t xml:space="preserve">ת"פ </w:t>
            </w:r>
            <w:hyperlink r:id="rId7" w:history="1">
              <w:r w:rsidR="007726E1" w:rsidRPr="007726E1">
                <w:rPr>
                  <w:rFonts w:ascii="FrankRuehl" w:hAnsi="FrankRuehl" w:cs="FrankRuehl"/>
                  <w:color w:val="0000FF"/>
                  <w:sz w:val="28"/>
                  <w:szCs w:val="28"/>
                  <w:u w:val="single"/>
                  <w:rtl/>
                </w:rPr>
                <w:t>56582-07-18</w:t>
              </w:r>
            </w:hyperlink>
          </w:p>
        </w:tc>
        <w:tc>
          <w:tcPr>
            <w:tcW w:w="3577" w:type="dxa"/>
          </w:tcPr>
          <w:p w14:paraId="76DD29FB" w14:textId="77777777" w:rsidR="00FF3E66" w:rsidRPr="00B90758" w:rsidRDefault="00FF3E66" w:rsidP="001059FB">
            <w:pPr>
              <w:pStyle w:val="a3"/>
              <w:jc w:val="right"/>
              <w:rPr>
                <w:rFonts w:cs="FrankRuehl"/>
                <w:sz w:val="28"/>
                <w:szCs w:val="28"/>
                <w:rtl/>
              </w:rPr>
            </w:pPr>
          </w:p>
        </w:tc>
      </w:tr>
    </w:tbl>
    <w:p w14:paraId="2F10803C" w14:textId="77777777" w:rsidR="00FF3E66" w:rsidRPr="00B90758" w:rsidRDefault="00FF3E66" w:rsidP="00FF3E66">
      <w:pPr>
        <w:pStyle w:val="a3"/>
        <w:rPr>
          <w:rtl/>
        </w:rPr>
      </w:pPr>
    </w:p>
    <w:p w14:paraId="27144548" w14:textId="77777777" w:rsidR="00FF3E66" w:rsidRPr="00B90758" w:rsidRDefault="00FF3E66" w:rsidP="00FF3E66">
      <w:pPr>
        <w:rPr>
          <w:rFonts w:ascii="David" w:hAnsi="David"/>
          <w:bCs/>
          <w:sz w:val="28"/>
          <w:szCs w:val="28"/>
          <w:rtl/>
        </w:rPr>
      </w:pPr>
    </w:p>
    <w:p w14:paraId="4FB29992" w14:textId="77777777" w:rsidR="00FF3E66" w:rsidRPr="00B90758" w:rsidRDefault="00FF3E66" w:rsidP="00FF3E66">
      <w:pPr>
        <w:rPr>
          <w:rFonts w:ascii="David" w:hAnsi="David"/>
          <w:bCs/>
          <w:sz w:val="28"/>
          <w:szCs w:val="28"/>
        </w:rPr>
      </w:pPr>
      <w:r w:rsidRPr="00B90758">
        <w:rPr>
          <w:rFonts w:ascii="David" w:hAnsi="David"/>
          <w:bCs/>
          <w:sz w:val="28"/>
          <w:szCs w:val="28"/>
          <w:rtl/>
        </w:rPr>
        <w:softHyphen/>
      </w:r>
      <w:r w:rsidRPr="00B90758">
        <w:rPr>
          <w:rFonts w:ascii="David" w:hAnsi="David"/>
          <w:bCs/>
          <w:sz w:val="28"/>
          <w:szCs w:val="28"/>
          <w:rtl/>
        </w:rPr>
        <w:softHyphen/>
        <w:t>לפני:</w:t>
      </w: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t>כבוד השופט גיא אבנון</w:t>
      </w:r>
    </w:p>
    <w:p w14:paraId="11BA5BA5" w14:textId="77777777" w:rsidR="00FF3E66" w:rsidRPr="00B90758" w:rsidRDefault="00FF3E66" w:rsidP="00FF3E66">
      <w:pPr>
        <w:rPr>
          <w:rFonts w:ascii="David" w:hAnsi="David"/>
          <w:bCs/>
          <w:sz w:val="28"/>
          <w:szCs w:val="28"/>
          <w:rtl/>
        </w:rPr>
      </w:pPr>
    </w:p>
    <w:p w14:paraId="355A881B" w14:textId="77777777" w:rsidR="00FF3E66" w:rsidRPr="00B90758" w:rsidRDefault="00FF3E66" w:rsidP="00FF3E66">
      <w:pPr>
        <w:rPr>
          <w:rFonts w:ascii="David" w:hAnsi="David"/>
          <w:bCs/>
          <w:sz w:val="28"/>
          <w:szCs w:val="28"/>
          <w:rtl/>
        </w:rPr>
      </w:pPr>
      <w:r w:rsidRPr="00B90758">
        <w:rPr>
          <w:rFonts w:ascii="David" w:hAnsi="David"/>
          <w:bCs/>
          <w:sz w:val="28"/>
          <w:szCs w:val="28"/>
          <w:rtl/>
        </w:rPr>
        <w:t>ה</w:t>
      </w:r>
      <w:bookmarkStart w:id="1" w:name="FirstAppellant"/>
      <w:r w:rsidRPr="00B90758">
        <w:rPr>
          <w:rFonts w:ascii="David" w:hAnsi="David"/>
          <w:bCs/>
          <w:sz w:val="28"/>
          <w:szCs w:val="28"/>
          <w:rtl/>
        </w:rPr>
        <w:t>מאשימ</w:t>
      </w:r>
      <w:bookmarkEnd w:id="1"/>
      <w:r w:rsidRPr="00B90758">
        <w:rPr>
          <w:rFonts w:ascii="David" w:hAnsi="David"/>
          <w:bCs/>
          <w:sz w:val="28"/>
          <w:szCs w:val="28"/>
          <w:rtl/>
        </w:rPr>
        <w:t>ה:</w:t>
      </w: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t>מדינת ישראל</w:t>
      </w:r>
    </w:p>
    <w:p w14:paraId="6D24525E" w14:textId="77777777" w:rsidR="00FF3E66" w:rsidRPr="00B90758" w:rsidRDefault="00FF3E66" w:rsidP="00FF3E66">
      <w:pPr>
        <w:rPr>
          <w:rFonts w:ascii="David" w:hAnsi="David"/>
          <w:bCs/>
          <w:sz w:val="28"/>
          <w:szCs w:val="28"/>
          <w:rtl/>
        </w:rPr>
      </w:pP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t>באמצעות תביעות מרכז – שלוחת רחובות</w:t>
      </w:r>
    </w:p>
    <w:p w14:paraId="2578C2D5" w14:textId="77777777" w:rsidR="00FF3E66" w:rsidRPr="00B90758" w:rsidRDefault="00FF3E66" w:rsidP="00FF3E66">
      <w:pPr>
        <w:rPr>
          <w:rFonts w:ascii="David" w:hAnsi="David"/>
          <w:bCs/>
          <w:sz w:val="28"/>
          <w:szCs w:val="28"/>
          <w:rtl/>
        </w:rPr>
      </w:pPr>
    </w:p>
    <w:p w14:paraId="24D72166" w14:textId="77777777" w:rsidR="00FF3E66" w:rsidRPr="00B90758" w:rsidRDefault="00FF3E66" w:rsidP="00FF3E66">
      <w:pPr>
        <w:rPr>
          <w:rFonts w:ascii="David" w:hAnsi="David"/>
          <w:bCs/>
          <w:sz w:val="28"/>
          <w:szCs w:val="28"/>
          <w:rtl/>
        </w:rPr>
      </w:pP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t>נ ג ד</w:t>
      </w:r>
    </w:p>
    <w:p w14:paraId="6C290C7C" w14:textId="77777777" w:rsidR="00FF3E66" w:rsidRPr="00B90758" w:rsidRDefault="00FF3E66" w:rsidP="00FF3E66">
      <w:pPr>
        <w:rPr>
          <w:rFonts w:ascii="David" w:hAnsi="David"/>
          <w:bCs/>
          <w:sz w:val="28"/>
          <w:szCs w:val="28"/>
          <w:rtl/>
        </w:rPr>
      </w:pPr>
    </w:p>
    <w:p w14:paraId="7DD0E75B" w14:textId="77777777" w:rsidR="00FF3E66" w:rsidRPr="00B90758" w:rsidRDefault="00FF3E66" w:rsidP="00FF3E66">
      <w:pPr>
        <w:rPr>
          <w:rFonts w:ascii="David" w:hAnsi="David"/>
          <w:bCs/>
          <w:sz w:val="28"/>
          <w:szCs w:val="28"/>
          <w:rtl/>
        </w:rPr>
      </w:pPr>
      <w:r w:rsidRPr="00B90758">
        <w:rPr>
          <w:rFonts w:ascii="David" w:hAnsi="David"/>
          <w:bCs/>
          <w:sz w:val="28"/>
          <w:szCs w:val="28"/>
          <w:rtl/>
        </w:rPr>
        <w:t>הנאשם:</w:t>
      </w:r>
      <w:r w:rsidRPr="00B90758">
        <w:rPr>
          <w:rFonts w:ascii="David" w:hAnsi="David"/>
          <w:bCs/>
          <w:sz w:val="28"/>
          <w:szCs w:val="28"/>
          <w:rtl/>
        </w:rPr>
        <w:tab/>
      </w:r>
      <w:r w:rsidRPr="00B90758">
        <w:rPr>
          <w:rFonts w:ascii="David" w:hAnsi="David"/>
          <w:bCs/>
          <w:sz w:val="28"/>
          <w:szCs w:val="28"/>
          <w:rtl/>
        </w:rPr>
        <w:tab/>
      </w:r>
      <w:r w:rsidRPr="00B90758">
        <w:rPr>
          <w:rFonts w:ascii="David" w:hAnsi="David"/>
          <w:bCs/>
          <w:sz w:val="28"/>
          <w:szCs w:val="28"/>
          <w:rtl/>
        </w:rPr>
        <w:tab/>
        <w:t xml:space="preserve">אריק אליהו </w:t>
      </w:r>
    </w:p>
    <w:p w14:paraId="52488711" w14:textId="77777777" w:rsidR="00FF3E66" w:rsidRPr="00B90758" w:rsidRDefault="00FF3E66" w:rsidP="00FF3E66">
      <w:pPr>
        <w:rPr>
          <w:rFonts w:ascii="David" w:hAnsi="David"/>
          <w:bCs/>
          <w:sz w:val="28"/>
          <w:szCs w:val="28"/>
          <w:rtl/>
        </w:rPr>
      </w:pPr>
    </w:p>
    <w:p w14:paraId="43727E81" w14:textId="77777777" w:rsidR="00FF3E66" w:rsidRPr="00B90758" w:rsidRDefault="00FF3E66" w:rsidP="00FF3E66">
      <w:pPr>
        <w:rPr>
          <w:rFonts w:ascii="David" w:hAnsi="David"/>
          <w:b/>
          <w:sz w:val="28"/>
          <w:szCs w:val="28"/>
          <w:rtl/>
        </w:rPr>
      </w:pPr>
      <w:bookmarkStart w:id="2" w:name="FirstLawyer"/>
      <w:r w:rsidRPr="00B90758">
        <w:rPr>
          <w:rFonts w:ascii="David" w:hAnsi="David"/>
          <w:b/>
          <w:sz w:val="28"/>
          <w:szCs w:val="28"/>
          <w:rtl/>
        </w:rPr>
        <w:t>בשם</w:t>
      </w:r>
      <w:bookmarkEnd w:id="2"/>
      <w:r w:rsidRPr="00B90758">
        <w:rPr>
          <w:rFonts w:ascii="David" w:hAnsi="David"/>
          <w:b/>
          <w:sz w:val="28"/>
          <w:szCs w:val="28"/>
          <w:rtl/>
        </w:rPr>
        <w:t xml:space="preserve"> המאשימה:</w:t>
      </w:r>
      <w:r w:rsidRPr="00B90758">
        <w:rPr>
          <w:rFonts w:ascii="David" w:hAnsi="David"/>
          <w:b/>
          <w:sz w:val="28"/>
          <w:szCs w:val="28"/>
          <w:rtl/>
        </w:rPr>
        <w:tab/>
      </w:r>
      <w:r w:rsidRPr="00B90758">
        <w:rPr>
          <w:rFonts w:ascii="David" w:hAnsi="David"/>
          <w:b/>
          <w:sz w:val="28"/>
          <w:szCs w:val="28"/>
          <w:rtl/>
        </w:rPr>
        <w:tab/>
        <w:t>עו"ד הדר פרשר, מתמחה גב' קים סלמה</w:t>
      </w:r>
    </w:p>
    <w:p w14:paraId="1A6BE0D9" w14:textId="77777777" w:rsidR="00FF3E66" w:rsidRPr="00B90758" w:rsidRDefault="00FF3E66" w:rsidP="00FF3E66">
      <w:pPr>
        <w:rPr>
          <w:rFonts w:ascii="David" w:hAnsi="David"/>
          <w:b/>
          <w:sz w:val="28"/>
          <w:szCs w:val="28"/>
          <w:rtl/>
        </w:rPr>
      </w:pPr>
      <w:r w:rsidRPr="00B90758">
        <w:rPr>
          <w:rFonts w:ascii="David" w:hAnsi="David"/>
          <w:b/>
          <w:sz w:val="28"/>
          <w:szCs w:val="28"/>
          <w:rtl/>
        </w:rPr>
        <w:t>בשם הנאשם:</w:t>
      </w:r>
      <w:r w:rsidRPr="00B90758">
        <w:rPr>
          <w:rFonts w:ascii="David" w:hAnsi="David"/>
          <w:b/>
          <w:sz w:val="28"/>
          <w:szCs w:val="28"/>
          <w:rtl/>
        </w:rPr>
        <w:tab/>
      </w:r>
      <w:r w:rsidRPr="00B90758">
        <w:rPr>
          <w:rFonts w:ascii="David" w:hAnsi="David"/>
          <w:b/>
          <w:sz w:val="28"/>
          <w:szCs w:val="28"/>
          <w:rtl/>
        </w:rPr>
        <w:tab/>
      </w:r>
      <w:r w:rsidRPr="00B90758">
        <w:rPr>
          <w:rFonts w:ascii="David" w:hAnsi="David"/>
          <w:b/>
          <w:sz w:val="28"/>
          <w:szCs w:val="28"/>
          <w:rtl/>
        </w:rPr>
        <w:tab/>
        <w:t>עו"ד נעמה אלחדד</w:t>
      </w:r>
    </w:p>
    <w:p w14:paraId="379DB156" w14:textId="77777777" w:rsidR="00FF3E66" w:rsidRPr="00B90758" w:rsidRDefault="00FF3E66" w:rsidP="00FF3E66">
      <w:pPr>
        <w:rPr>
          <w:rFonts w:ascii="David" w:hAnsi="David"/>
          <w:bCs/>
          <w:sz w:val="28"/>
          <w:szCs w:val="28"/>
          <w:rtl/>
        </w:rPr>
      </w:pPr>
    </w:p>
    <w:p w14:paraId="37A8F52D" w14:textId="77777777" w:rsidR="007726E1" w:rsidRPr="007726E1" w:rsidRDefault="007726E1" w:rsidP="007726E1">
      <w:pPr>
        <w:spacing w:before="120" w:after="120" w:line="240" w:lineRule="exact"/>
        <w:ind w:left="283" w:hanging="283"/>
        <w:jc w:val="both"/>
        <w:rPr>
          <w:rFonts w:ascii="FrankRuehl" w:hAnsi="FrankRuehl" w:cs="FrankRuehl"/>
          <w:rtl/>
        </w:rPr>
      </w:pPr>
    </w:p>
    <w:p w14:paraId="67D29D61" w14:textId="77777777" w:rsidR="00044C21" w:rsidRDefault="00044C21" w:rsidP="00044C21">
      <w:pPr>
        <w:jc w:val="center"/>
        <w:rPr>
          <w:rFonts w:ascii="David" w:hAnsi="David"/>
          <w:sz w:val="28"/>
          <w:szCs w:val="28"/>
          <w:rtl/>
        </w:rPr>
      </w:pPr>
      <w:bookmarkStart w:id="3" w:name="LawTable"/>
      <w:bookmarkEnd w:id="3"/>
    </w:p>
    <w:p w14:paraId="15EC90DF" w14:textId="77777777" w:rsidR="00044C21" w:rsidRPr="00044C21" w:rsidRDefault="00044C21" w:rsidP="00044C21">
      <w:pPr>
        <w:spacing w:before="120" w:after="120" w:line="240" w:lineRule="exact"/>
        <w:ind w:left="283" w:hanging="283"/>
        <w:jc w:val="both"/>
        <w:rPr>
          <w:rFonts w:ascii="FrankRuehl" w:hAnsi="FrankRuehl" w:cs="FrankRuehl"/>
          <w:rtl/>
        </w:rPr>
      </w:pPr>
    </w:p>
    <w:p w14:paraId="2F7E6D71" w14:textId="77777777" w:rsidR="00044C21" w:rsidRPr="00044C21" w:rsidRDefault="00044C21" w:rsidP="00044C21">
      <w:pPr>
        <w:spacing w:before="120" w:after="120" w:line="240" w:lineRule="exact"/>
        <w:ind w:left="283" w:hanging="283"/>
        <w:jc w:val="both"/>
        <w:rPr>
          <w:rFonts w:ascii="FrankRuehl" w:hAnsi="FrankRuehl" w:cs="FrankRuehl"/>
          <w:rtl/>
        </w:rPr>
      </w:pPr>
    </w:p>
    <w:p w14:paraId="203944E5" w14:textId="77777777" w:rsidR="00044C21" w:rsidRPr="00044C21" w:rsidRDefault="00044C21" w:rsidP="00044C21">
      <w:pPr>
        <w:spacing w:before="120" w:after="120" w:line="240" w:lineRule="exact"/>
        <w:ind w:left="283" w:hanging="283"/>
        <w:jc w:val="both"/>
        <w:rPr>
          <w:rFonts w:ascii="FrankRuehl" w:hAnsi="FrankRuehl" w:cs="FrankRuehl"/>
          <w:rtl/>
        </w:rPr>
      </w:pPr>
      <w:r w:rsidRPr="00044C21">
        <w:rPr>
          <w:rFonts w:ascii="FrankRuehl" w:hAnsi="FrankRuehl" w:cs="FrankRuehl"/>
          <w:rtl/>
        </w:rPr>
        <w:t xml:space="preserve">חקיקה שאוזכרה: </w:t>
      </w:r>
    </w:p>
    <w:p w14:paraId="5014CB8C" w14:textId="77777777" w:rsidR="00044C21" w:rsidRPr="00044C21" w:rsidRDefault="00044C21" w:rsidP="00044C21">
      <w:pPr>
        <w:spacing w:before="120" w:after="120" w:line="240" w:lineRule="exact"/>
        <w:ind w:left="283" w:hanging="283"/>
        <w:jc w:val="both"/>
        <w:rPr>
          <w:rFonts w:ascii="FrankRuehl" w:hAnsi="FrankRuehl" w:cs="FrankRuehl"/>
          <w:rtl/>
        </w:rPr>
      </w:pPr>
      <w:hyperlink r:id="rId8" w:history="1">
        <w:r w:rsidRPr="00044C21">
          <w:rPr>
            <w:rFonts w:ascii="FrankRuehl" w:hAnsi="FrankRuehl" w:cs="FrankRuehl"/>
            <w:color w:val="0000FF"/>
            <w:rtl/>
          </w:rPr>
          <w:t>פקודת הסמים המסוכנים [נוסח חדש], תשל"ג-1973</w:t>
        </w:r>
      </w:hyperlink>
      <w:r w:rsidRPr="00044C21">
        <w:rPr>
          <w:rFonts w:ascii="FrankRuehl" w:hAnsi="FrankRuehl" w:cs="FrankRuehl"/>
          <w:rtl/>
        </w:rPr>
        <w:t xml:space="preserve">: סע'  </w:t>
      </w:r>
      <w:hyperlink r:id="rId9" w:history="1">
        <w:r w:rsidRPr="00044C21">
          <w:rPr>
            <w:rFonts w:ascii="FrankRuehl" w:hAnsi="FrankRuehl" w:cs="FrankRuehl"/>
            <w:color w:val="0000FF"/>
            <w:rtl/>
          </w:rPr>
          <w:t>7(א)</w:t>
        </w:r>
      </w:hyperlink>
      <w:r w:rsidRPr="00044C21">
        <w:rPr>
          <w:rFonts w:ascii="FrankRuehl" w:hAnsi="FrankRuehl" w:cs="FrankRuehl"/>
          <w:rtl/>
        </w:rPr>
        <w:t xml:space="preserve">, </w:t>
      </w:r>
      <w:hyperlink r:id="rId10" w:history="1">
        <w:r w:rsidRPr="00044C21">
          <w:rPr>
            <w:rFonts w:ascii="FrankRuehl" w:hAnsi="FrankRuehl" w:cs="FrankRuehl"/>
            <w:color w:val="0000FF"/>
            <w:rtl/>
          </w:rPr>
          <w:t>7(ג)</w:t>
        </w:r>
      </w:hyperlink>
    </w:p>
    <w:p w14:paraId="48D1A934" w14:textId="77777777" w:rsidR="00044C21" w:rsidRPr="00044C21" w:rsidRDefault="00044C21" w:rsidP="00044C21">
      <w:pPr>
        <w:spacing w:before="120" w:after="120" w:line="240" w:lineRule="exact"/>
        <w:ind w:left="283" w:hanging="283"/>
        <w:jc w:val="both"/>
        <w:rPr>
          <w:rFonts w:ascii="FrankRuehl" w:hAnsi="FrankRuehl" w:cs="FrankRuehl"/>
          <w:rtl/>
        </w:rPr>
      </w:pPr>
      <w:hyperlink r:id="rId11" w:history="1">
        <w:r w:rsidRPr="00044C21">
          <w:rPr>
            <w:rFonts w:ascii="FrankRuehl" w:hAnsi="FrankRuehl" w:cs="FrankRuehl"/>
            <w:color w:val="0000FF"/>
            <w:rtl/>
          </w:rPr>
          <w:t>תקנות התעבורה, תשכ"א-1961 - לא מרובדות</w:t>
        </w:r>
      </w:hyperlink>
      <w:r w:rsidRPr="00044C21">
        <w:rPr>
          <w:rFonts w:ascii="FrankRuehl" w:hAnsi="FrankRuehl" w:cs="FrankRuehl"/>
          <w:rtl/>
        </w:rPr>
        <w:t xml:space="preserve">: סע'  </w:t>
      </w:r>
      <w:hyperlink r:id="rId12" w:history="1">
        <w:r w:rsidRPr="00044C21">
          <w:rPr>
            <w:rFonts w:ascii="FrankRuehl" w:hAnsi="FrankRuehl" w:cs="FrankRuehl"/>
            <w:color w:val="0000FF"/>
            <w:rtl/>
          </w:rPr>
          <w:t>26(2)</w:t>
        </w:r>
      </w:hyperlink>
    </w:p>
    <w:p w14:paraId="2E550696" w14:textId="77777777" w:rsidR="00044C21" w:rsidRPr="00044C21" w:rsidRDefault="00044C21" w:rsidP="00044C21">
      <w:pPr>
        <w:spacing w:before="120" w:after="120" w:line="240" w:lineRule="exact"/>
        <w:ind w:left="283" w:hanging="283"/>
        <w:jc w:val="both"/>
        <w:rPr>
          <w:rFonts w:ascii="FrankRuehl" w:hAnsi="FrankRuehl" w:cs="FrankRuehl"/>
          <w:rtl/>
        </w:rPr>
      </w:pPr>
      <w:hyperlink r:id="rId13" w:history="1">
        <w:r w:rsidRPr="00044C21">
          <w:rPr>
            <w:rFonts w:ascii="FrankRuehl" w:hAnsi="FrankRuehl" w:cs="FrankRuehl"/>
            <w:color w:val="0000FF"/>
            <w:rtl/>
          </w:rPr>
          <w:t>חוק העונשין, תשל"ז-1977</w:t>
        </w:r>
      </w:hyperlink>
      <w:r w:rsidRPr="00044C21">
        <w:rPr>
          <w:rFonts w:ascii="FrankRuehl" w:hAnsi="FrankRuehl" w:cs="FrankRuehl"/>
          <w:rtl/>
        </w:rPr>
        <w:t xml:space="preserve">: סע'  </w:t>
      </w:r>
      <w:hyperlink r:id="rId14" w:history="1">
        <w:r w:rsidRPr="00044C21">
          <w:rPr>
            <w:rFonts w:ascii="FrankRuehl" w:hAnsi="FrankRuehl" w:cs="FrankRuehl"/>
            <w:color w:val="0000FF"/>
            <w:rtl/>
          </w:rPr>
          <w:t>192</w:t>
        </w:r>
      </w:hyperlink>
    </w:p>
    <w:p w14:paraId="0EEA620A" w14:textId="77777777" w:rsidR="00044C21" w:rsidRPr="00044C21" w:rsidRDefault="00044C21" w:rsidP="00044C21">
      <w:pPr>
        <w:jc w:val="center"/>
        <w:rPr>
          <w:rFonts w:ascii="David" w:hAnsi="David"/>
          <w:sz w:val="28"/>
          <w:szCs w:val="28"/>
          <w:rtl/>
        </w:rPr>
      </w:pPr>
      <w:bookmarkStart w:id="4" w:name="LawTable_End"/>
      <w:bookmarkEnd w:id="4"/>
    </w:p>
    <w:p w14:paraId="50BFE04A" w14:textId="77777777" w:rsidR="00B90758" w:rsidRPr="007726E1" w:rsidRDefault="00B90758" w:rsidP="007726E1">
      <w:pPr>
        <w:jc w:val="center"/>
        <w:rPr>
          <w:rFonts w:ascii="David" w:hAnsi="David"/>
          <w:sz w:val="28"/>
          <w:szCs w:val="28"/>
          <w:rtl/>
        </w:rPr>
      </w:pPr>
    </w:p>
    <w:p w14:paraId="6C0C5BBC" w14:textId="77777777" w:rsidR="00B90758" w:rsidRPr="00B90758" w:rsidRDefault="00B90758" w:rsidP="00B90758">
      <w:pPr>
        <w:spacing w:line="360" w:lineRule="auto"/>
        <w:jc w:val="center"/>
        <w:rPr>
          <w:rFonts w:ascii="David" w:hAnsi="David"/>
          <w:bCs/>
          <w:sz w:val="28"/>
          <w:szCs w:val="28"/>
          <w:u w:val="single"/>
          <w:rtl/>
        </w:rPr>
      </w:pPr>
      <w:bookmarkStart w:id="5" w:name="PsakDin"/>
      <w:bookmarkEnd w:id="0"/>
      <w:r w:rsidRPr="00B90758">
        <w:rPr>
          <w:rFonts w:ascii="David" w:hAnsi="David"/>
          <w:bCs/>
          <w:sz w:val="28"/>
          <w:szCs w:val="28"/>
          <w:u w:val="single"/>
          <w:rtl/>
        </w:rPr>
        <w:t>גזר דין</w:t>
      </w:r>
    </w:p>
    <w:bookmarkEnd w:id="5"/>
    <w:p w14:paraId="312827DF" w14:textId="77777777" w:rsidR="00FF3E66" w:rsidRPr="009C145A" w:rsidRDefault="00FF3E66" w:rsidP="00FF3E66">
      <w:pPr>
        <w:spacing w:line="360" w:lineRule="auto"/>
        <w:jc w:val="both"/>
        <w:rPr>
          <w:rFonts w:ascii="FrankRuehl" w:hAnsi="FrankRuehl" w:cs="FrankRuehl"/>
          <w:sz w:val="28"/>
          <w:szCs w:val="28"/>
          <w:rtl/>
        </w:rPr>
      </w:pPr>
    </w:p>
    <w:p w14:paraId="6C8E5121" w14:textId="77777777" w:rsidR="00FF3E66" w:rsidRPr="009C145A" w:rsidRDefault="00FF3E66" w:rsidP="00FF3E66">
      <w:pPr>
        <w:spacing w:line="360" w:lineRule="auto"/>
        <w:jc w:val="both"/>
        <w:rPr>
          <w:rFonts w:ascii="FrankRuehl" w:hAnsi="FrankRuehl" w:cs="FrankRuehl"/>
          <w:sz w:val="28"/>
          <w:szCs w:val="28"/>
          <w:rtl/>
        </w:rPr>
      </w:pPr>
      <w:r w:rsidRPr="009C145A">
        <w:rPr>
          <w:rFonts w:ascii="FrankRuehl" w:hAnsi="FrankRuehl" w:cs="Miriam"/>
          <w:b/>
          <w:sz w:val="28"/>
          <w:rtl/>
        </w:rPr>
        <w:t>כתבי האישום</w:t>
      </w:r>
    </w:p>
    <w:p w14:paraId="2ACB44E4" w14:textId="77777777" w:rsidR="00FF3E66" w:rsidRPr="009C145A" w:rsidRDefault="00FF3E66" w:rsidP="00FF3E66">
      <w:pPr>
        <w:spacing w:line="360" w:lineRule="auto"/>
        <w:jc w:val="both"/>
        <w:rPr>
          <w:rFonts w:ascii="FrankRuehl" w:hAnsi="FrankRuehl" w:cs="FrankRuehl"/>
          <w:sz w:val="28"/>
          <w:szCs w:val="28"/>
          <w:u w:val="single"/>
          <w:rtl/>
        </w:rPr>
      </w:pPr>
    </w:p>
    <w:p w14:paraId="531EB9DD" w14:textId="77777777" w:rsidR="00FF3E66" w:rsidRPr="009C145A" w:rsidRDefault="00FF3E66" w:rsidP="00FF3E66">
      <w:pPr>
        <w:spacing w:line="360" w:lineRule="auto"/>
        <w:jc w:val="both"/>
        <w:rPr>
          <w:rFonts w:ascii="FrankRuehl" w:hAnsi="FrankRuehl" w:cs="FrankRuehl"/>
          <w:sz w:val="28"/>
          <w:szCs w:val="28"/>
          <w:rtl/>
        </w:rPr>
      </w:pPr>
      <w:r w:rsidRPr="009C145A">
        <w:rPr>
          <w:rFonts w:ascii="FrankRuehl" w:hAnsi="FrankRuehl" w:cs="FrankRuehl"/>
          <w:b/>
          <w:sz w:val="28"/>
          <w:szCs w:val="28"/>
          <w:rtl/>
        </w:rPr>
        <w:t>1.</w:t>
      </w:r>
      <w:r w:rsidRPr="009C145A">
        <w:rPr>
          <w:rFonts w:ascii="FrankRuehl" w:hAnsi="FrankRuehl" w:cs="FrankRuehl"/>
          <w:b/>
          <w:sz w:val="28"/>
          <w:szCs w:val="28"/>
          <w:rtl/>
        </w:rPr>
        <w:tab/>
      </w:r>
      <w:bookmarkStart w:id="6" w:name="ABSTRACT_START"/>
      <w:bookmarkEnd w:id="6"/>
      <w:r w:rsidR="00B90758" w:rsidRPr="00B90758">
        <w:rPr>
          <w:rFonts w:ascii="FrankRuehl" w:hAnsi="FrankRuehl" w:cs="Miriam"/>
          <w:b/>
          <w:color w:val="0000FF"/>
          <w:sz w:val="28"/>
          <w:u w:val="single"/>
          <w:rtl/>
        </w:rPr>
        <w:fldChar w:fldCharType="begin"/>
      </w:r>
      <w:r w:rsidR="00B90758" w:rsidRPr="00B90758">
        <w:rPr>
          <w:rFonts w:ascii="FrankRuehl" w:hAnsi="FrankRuehl" w:cs="Miriam"/>
          <w:b/>
          <w:color w:val="0000FF"/>
          <w:sz w:val="28"/>
          <w:u w:val="single"/>
          <w:rtl/>
        </w:rPr>
        <w:instrText xml:space="preserve"> </w:instrText>
      </w:r>
      <w:r w:rsidR="00B90758" w:rsidRPr="00B90758">
        <w:rPr>
          <w:rFonts w:ascii="FrankRuehl" w:hAnsi="FrankRuehl" w:cs="Miriam"/>
          <w:b/>
          <w:color w:val="0000FF"/>
          <w:sz w:val="28"/>
          <w:u w:val="single"/>
        </w:rPr>
        <w:instrText xml:space="preserve">HYPERLINK </w:instrText>
      </w:r>
      <w:r w:rsidR="00B90758" w:rsidRPr="00B90758">
        <w:rPr>
          <w:rFonts w:ascii="FrankRuehl" w:hAnsi="FrankRuehl" w:cs="Miriam"/>
          <w:b/>
          <w:color w:val="0000FF"/>
          <w:sz w:val="28"/>
          <w:u w:val="single"/>
          <w:rtl/>
        </w:rPr>
        <w:instrText>"</w:instrText>
      </w:r>
      <w:r w:rsidR="00B90758" w:rsidRPr="00B90758">
        <w:rPr>
          <w:rFonts w:ascii="FrankRuehl" w:hAnsi="FrankRuehl" w:cs="Miriam"/>
          <w:b/>
          <w:color w:val="0000FF"/>
          <w:sz w:val="28"/>
          <w:u w:val="single"/>
        </w:rPr>
        <w:instrText>http://www.nevo.co.il/case/25055673"</w:instrText>
      </w:r>
      <w:r w:rsidR="00B90758" w:rsidRPr="00B90758">
        <w:rPr>
          <w:rFonts w:ascii="FrankRuehl" w:hAnsi="FrankRuehl" w:cs="Miriam"/>
          <w:b/>
          <w:color w:val="0000FF"/>
          <w:sz w:val="28"/>
          <w:u w:val="single"/>
          <w:rtl/>
        </w:rPr>
        <w:instrText xml:space="preserve"> </w:instrText>
      </w:r>
      <w:r w:rsidR="00B90758" w:rsidRPr="00B90758">
        <w:rPr>
          <w:rFonts w:ascii="FrankRuehl" w:hAnsi="FrankRuehl" w:cs="Miriam"/>
          <w:b/>
          <w:color w:val="0000FF"/>
          <w:sz w:val="28"/>
          <w:u w:val="single"/>
          <w:rtl/>
        </w:rPr>
      </w:r>
      <w:r w:rsidR="00B90758" w:rsidRPr="00B90758">
        <w:rPr>
          <w:rFonts w:ascii="FrankRuehl" w:hAnsi="FrankRuehl" w:cs="Miriam"/>
          <w:b/>
          <w:color w:val="0000FF"/>
          <w:sz w:val="28"/>
          <w:u w:val="single"/>
          <w:rtl/>
        </w:rPr>
        <w:fldChar w:fldCharType="separate"/>
      </w:r>
      <w:r w:rsidR="00B90758" w:rsidRPr="00B90758">
        <w:rPr>
          <w:rFonts w:ascii="FrankRuehl" w:hAnsi="FrankRuehl" w:cs="Miriam"/>
          <w:b/>
          <w:color w:val="0000FF"/>
          <w:sz w:val="28"/>
          <w:u w:val="single"/>
          <w:rtl/>
        </w:rPr>
        <w:t>ת"פ (רחובות) 36499-10-18</w:t>
      </w:r>
      <w:r w:rsidR="00B90758" w:rsidRPr="00B90758">
        <w:rPr>
          <w:rFonts w:ascii="FrankRuehl" w:hAnsi="FrankRuehl" w:cs="Miriam"/>
          <w:b/>
          <w:color w:val="0000FF"/>
          <w:sz w:val="28"/>
          <w:u w:val="single"/>
          <w:rtl/>
        </w:rPr>
        <w:fldChar w:fldCharType="end"/>
      </w:r>
      <w:r w:rsidRPr="009C145A">
        <w:rPr>
          <w:rFonts w:ascii="FrankRuehl" w:hAnsi="FrankRuehl" w:cs="Miriam"/>
          <w:b/>
          <w:sz w:val="28"/>
          <w:rtl/>
        </w:rPr>
        <w:t xml:space="preserve">: </w:t>
      </w:r>
      <w:r w:rsidRPr="009C145A">
        <w:rPr>
          <w:rFonts w:ascii="FrankRuehl" w:hAnsi="FrankRuehl" w:cs="FrankRuehl"/>
          <w:sz w:val="28"/>
          <w:szCs w:val="28"/>
          <w:rtl/>
        </w:rPr>
        <w:t xml:space="preserve">הנאשם הורשע בהתאם להודאתו בכתב אישום מתוקן. ביום 3.4.2018 בשעה 02:53 לערך עוכב הנאשם לבדיקה שגרתית עת נהג ברכב, בו החזיק באותה עת (מתחת למושב הנהג) שקית ובה סם מסוכן מסוג קנבוס במשקל 120 גרם נטו, וכן החזיק בכיס בגדיו ב-2 שקיות סם מסוכן מסוג קנבוס במשקל כולל 3.55 גרם נטו. בהמשך הובא הנאשם לתחנת משטרת רחובות, שם סירב </w:t>
      </w:r>
      <w:r>
        <w:rPr>
          <w:rFonts w:ascii="FrankRuehl" w:hAnsi="FrankRuehl" w:cs="FrankRuehl" w:hint="cs"/>
          <w:sz w:val="28"/>
          <w:szCs w:val="28"/>
          <w:rtl/>
        </w:rPr>
        <w:t>לתת</w:t>
      </w:r>
      <w:r w:rsidRPr="009C145A">
        <w:rPr>
          <w:rFonts w:ascii="FrankRuehl" w:hAnsi="FrankRuehl" w:cs="FrankRuehl"/>
          <w:sz w:val="28"/>
          <w:szCs w:val="28"/>
          <w:rtl/>
        </w:rPr>
        <w:t xml:space="preserve"> בדיקת שתן. בגין אישום זה הורשע הנאשם בעבירות </w:t>
      </w:r>
      <w:r w:rsidRPr="009C145A">
        <w:rPr>
          <w:rFonts w:ascii="FrankRuehl" w:hAnsi="FrankRuehl" w:cs="Miriam"/>
          <w:b/>
          <w:sz w:val="28"/>
          <w:rtl/>
        </w:rPr>
        <w:t>החזקת סמים שלא לצריכה עצמית</w:t>
      </w:r>
      <w:r w:rsidRPr="009C145A">
        <w:rPr>
          <w:rFonts w:ascii="FrankRuehl" w:hAnsi="FrankRuehl" w:cs="FrankRuehl"/>
          <w:sz w:val="28"/>
          <w:szCs w:val="28"/>
          <w:rtl/>
        </w:rPr>
        <w:t xml:space="preserve"> לפי </w:t>
      </w:r>
      <w:hyperlink r:id="rId15" w:history="1">
        <w:r w:rsidR="001B327C" w:rsidRPr="001B327C">
          <w:rPr>
            <w:rStyle w:val="Hyperlink"/>
            <w:rFonts w:ascii="FrankRuehl" w:hAnsi="FrankRuehl" w:cs="FrankRuehl"/>
            <w:sz w:val="28"/>
            <w:szCs w:val="28"/>
            <w:rtl/>
          </w:rPr>
          <w:t>סעיפים 7(א)</w:t>
        </w:r>
      </w:hyperlink>
      <w:r w:rsidRPr="009C145A">
        <w:rPr>
          <w:rFonts w:ascii="FrankRuehl" w:hAnsi="FrankRuehl" w:cs="FrankRuehl"/>
          <w:sz w:val="28"/>
          <w:szCs w:val="28"/>
          <w:rtl/>
        </w:rPr>
        <w:t xml:space="preserve"> ו- </w:t>
      </w:r>
      <w:hyperlink r:id="rId16" w:history="1">
        <w:r w:rsidR="001B327C" w:rsidRPr="001B327C">
          <w:rPr>
            <w:rStyle w:val="Hyperlink"/>
            <w:rFonts w:ascii="FrankRuehl" w:hAnsi="FrankRuehl" w:cs="FrankRuehl"/>
            <w:sz w:val="28"/>
            <w:szCs w:val="28"/>
            <w:rtl/>
          </w:rPr>
          <w:t>7(ג)</w:t>
        </w:r>
      </w:hyperlink>
      <w:r w:rsidRPr="009C145A">
        <w:rPr>
          <w:rFonts w:ascii="FrankRuehl" w:hAnsi="FrankRuehl" w:cs="FrankRuehl"/>
          <w:sz w:val="28"/>
          <w:szCs w:val="28"/>
          <w:rtl/>
        </w:rPr>
        <w:t xml:space="preserve"> רישא ל</w:t>
      </w:r>
      <w:hyperlink r:id="rId17" w:history="1">
        <w:r w:rsidR="00B90758" w:rsidRPr="00B90758">
          <w:rPr>
            <w:rFonts w:ascii="FrankRuehl" w:hAnsi="FrankRuehl" w:cs="FrankRuehl"/>
            <w:color w:val="0000FF"/>
            <w:sz w:val="28"/>
            <w:szCs w:val="28"/>
            <w:u w:val="single"/>
            <w:rtl/>
          </w:rPr>
          <w:t>פקודת הסמים המסוכנים</w:t>
        </w:r>
      </w:hyperlink>
      <w:r w:rsidRPr="009C145A">
        <w:rPr>
          <w:rFonts w:ascii="FrankRuehl" w:hAnsi="FrankRuehl" w:cs="FrankRuehl"/>
          <w:sz w:val="28"/>
          <w:szCs w:val="28"/>
          <w:rtl/>
        </w:rPr>
        <w:t xml:space="preserve"> [נוסח חדש], תשל"ג-1973 (להלן: </w:t>
      </w:r>
      <w:r w:rsidRPr="009C145A">
        <w:rPr>
          <w:rFonts w:ascii="FrankRuehl" w:hAnsi="FrankRuehl" w:cs="Miriam"/>
          <w:b/>
          <w:sz w:val="28"/>
          <w:rtl/>
        </w:rPr>
        <w:t>פקודת הסמים</w:t>
      </w:r>
      <w:r w:rsidRPr="009C145A">
        <w:rPr>
          <w:rFonts w:ascii="FrankRuehl" w:hAnsi="FrankRuehl" w:cs="FrankRuehl"/>
          <w:sz w:val="28"/>
          <w:szCs w:val="28"/>
          <w:rtl/>
        </w:rPr>
        <w:t xml:space="preserve">); </w:t>
      </w:r>
      <w:r w:rsidRPr="009C145A">
        <w:rPr>
          <w:rFonts w:ascii="FrankRuehl" w:hAnsi="FrankRuehl" w:cs="Miriam"/>
          <w:b/>
          <w:sz w:val="28"/>
          <w:rtl/>
        </w:rPr>
        <w:t xml:space="preserve">נהיגה תחת השפעת סמים </w:t>
      </w:r>
      <w:r w:rsidRPr="009C145A">
        <w:rPr>
          <w:rFonts w:ascii="FrankRuehl" w:hAnsi="FrankRuehl" w:cs="FrankRuehl"/>
          <w:sz w:val="28"/>
          <w:szCs w:val="28"/>
          <w:rtl/>
        </w:rPr>
        <w:t xml:space="preserve">לפי </w:t>
      </w:r>
      <w:hyperlink r:id="rId18" w:history="1">
        <w:r w:rsidR="001B327C" w:rsidRPr="001B327C">
          <w:rPr>
            <w:rStyle w:val="Hyperlink"/>
            <w:rFonts w:ascii="FrankRuehl" w:hAnsi="FrankRuehl" w:cs="FrankRuehl"/>
            <w:sz w:val="28"/>
            <w:szCs w:val="28"/>
            <w:rtl/>
          </w:rPr>
          <w:t>סעיף 26(2)</w:t>
        </w:r>
      </w:hyperlink>
      <w:r w:rsidRPr="009C145A">
        <w:rPr>
          <w:rFonts w:ascii="FrankRuehl" w:hAnsi="FrankRuehl" w:cs="FrankRuehl"/>
          <w:sz w:val="28"/>
          <w:szCs w:val="28"/>
          <w:rtl/>
        </w:rPr>
        <w:t xml:space="preserve"> ל</w:t>
      </w:r>
      <w:hyperlink r:id="rId19" w:history="1">
        <w:r w:rsidR="00B90758" w:rsidRPr="00B90758">
          <w:rPr>
            <w:rFonts w:ascii="FrankRuehl" w:hAnsi="FrankRuehl" w:cs="FrankRuehl"/>
            <w:color w:val="0000FF"/>
            <w:sz w:val="28"/>
            <w:szCs w:val="28"/>
            <w:u w:val="single"/>
            <w:rtl/>
          </w:rPr>
          <w:t>תקנות התעבורה</w:t>
        </w:r>
      </w:hyperlink>
      <w:r w:rsidRPr="009C145A">
        <w:rPr>
          <w:rFonts w:ascii="FrankRuehl" w:hAnsi="FrankRuehl" w:cs="FrankRuehl"/>
          <w:sz w:val="28"/>
          <w:szCs w:val="28"/>
          <w:rtl/>
        </w:rPr>
        <w:t xml:space="preserve">, תשכ"א – 1961. </w:t>
      </w:r>
    </w:p>
    <w:p w14:paraId="5CCD47B9" w14:textId="77777777" w:rsidR="00FF3E66" w:rsidRPr="009C145A" w:rsidRDefault="00FF3E66" w:rsidP="00FF3E66">
      <w:pPr>
        <w:spacing w:line="360" w:lineRule="auto"/>
        <w:ind w:firstLine="720"/>
        <w:jc w:val="both"/>
        <w:rPr>
          <w:rFonts w:ascii="FrankRuehl" w:hAnsi="FrankRuehl" w:cs="FrankRuehl"/>
          <w:sz w:val="28"/>
          <w:szCs w:val="28"/>
          <w:rtl/>
        </w:rPr>
      </w:pPr>
      <w:bookmarkStart w:id="7" w:name="ABSTRACT_END"/>
      <w:bookmarkEnd w:id="7"/>
    </w:p>
    <w:p w14:paraId="4A456863" w14:textId="77777777" w:rsidR="00FF3E66" w:rsidRPr="009C145A" w:rsidRDefault="00FF3E66" w:rsidP="00FF3E66">
      <w:pPr>
        <w:spacing w:line="360" w:lineRule="auto"/>
        <w:jc w:val="both"/>
        <w:rPr>
          <w:rFonts w:ascii="FrankRuehl" w:hAnsi="FrankRuehl" w:cs="FrankRuehl"/>
          <w:sz w:val="28"/>
          <w:szCs w:val="28"/>
          <w:rtl/>
        </w:rPr>
      </w:pPr>
      <w:r w:rsidRPr="009C145A">
        <w:rPr>
          <w:rFonts w:ascii="FrankRuehl" w:hAnsi="FrankRuehl" w:cs="FrankRuehl"/>
          <w:b/>
          <w:sz w:val="28"/>
          <w:szCs w:val="28"/>
          <w:rtl/>
        </w:rPr>
        <w:lastRenderedPageBreak/>
        <w:t>2.</w:t>
      </w:r>
      <w:r w:rsidRPr="009C145A">
        <w:rPr>
          <w:rFonts w:ascii="FrankRuehl" w:hAnsi="FrankRuehl" w:cs="FrankRuehl"/>
          <w:b/>
          <w:sz w:val="28"/>
          <w:szCs w:val="28"/>
          <w:rtl/>
        </w:rPr>
        <w:tab/>
      </w:r>
      <w:hyperlink r:id="rId20" w:history="1">
        <w:r w:rsidR="00B90758" w:rsidRPr="00B90758">
          <w:rPr>
            <w:rFonts w:ascii="FrankRuehl" w:hAnsi="FrankRuehl" w:cs="Miriam"/>
            <w:b/>
            <w:color w:val="0000FF"/>
            <w:sz w:val="28"/>
            <w:u w:val="single"/>
            <w:rtl/>
          </w:rPr>
          <w:t>ת"פ (קרית גת) 56582-07-18</w:t>
        </w:r>
      </w:hyperlink>
      <w:r w:rsidRPr="009C145A">
        <w:rPr>
          <w:rFonts w:ascii="FrankRuehl" w:hAnsi="FrankRuehl" w:cs="Miriam"/>
          <w:b/>
          <w:sz w:val="28"/>
          <w:rtl/>
        </w:rPr>
        <w:t>:</w:t>
      </w:r>
      <w:r w:rsidRPr="009C145A">
        <w:rPr>
          <w:rFonts w:ascii="FrankRuehl" w:hAnsi="FrankRuehl" w:cs="FrankRuehl"/>
          <w:sz w:val="28"/>
          <w:szCs w:val="28"/>
          <w:rtl/>
        </w:rPr>
        <w:t xml:space="preserve"> הנאשם הורשע לאחר ניהול הוכחות בחלק מעובדות כתב האישום. הרשעתו בוטלה על מנת לאפשר צירוף ההליך בפניי. משכך </w:t>
      </w:r>
      <w:r>
        <w:rPr>
          <w:rFonts w:ascii="FrankRuehl" w:hAnsi="FrankRuehl" w:cs="FrankRuehl" w:hint="cs"/>
          <w:sz w:val="28"/>
          <w:szCs w:val="28"/>
          <w:rtl/>
        </w:rPr>
        <w:t>הגישו</w:t>
      </w:r>
      <w:r w:rsidRPr="009C145A">
        <w:rPr>
          <w:rFonts w:ascii="FrankRuehl" w:hAnsi="FrankRuehl" w:cs="FrankRuehl"/>
          <w:sz w:val="28"/>
          <w:szCs w:val="28"/>
          <w:rtl/>
        </w:rPr>
        <w:t xml:space="preserve"> הצדדים כתב אישום בנוסח מתוקן בהתאם להכרעת הדין. ביום 15.9.2017 בשעה 21:17 לערך, בהיותו במרפאת "טרם" בקרית גת ועל רקע חוסר שביעות רצונו של הנאשם מאופן ההתנהלות כלפיו במקום, איים הנאשם בהתנהגותו על שני רופאים והעליבם במהלך מילוי תפקידם בכך שצעק: "...שרמוטות, בני זונות סנדלרים". בגין אישום זה הורשע הנאשם בעבירת </w:t>
      </w:r>
      <w:r w:rsidRPr="009C145A">
        <w:rPr>
          <w:rFonts w:ascii="FrankRuehl" w:hAnsi="FrankRuehl" w:cs="Miriam"/>
          <w:b/>
          <w:sz w:val="28"/>
          <w:rtl/>
        </w:rPr>
        <w:t>איומים</w:t>
      </w:r>
      <w:r w:rsidRPr="009C145A">
        <w:rPr>
          <w:rFonts w:ascii="FrankRuehl" w:hAnsi="FrankRuehl" w:cs="FrankRuehl"/>
          <w:sz w:val="28"/>
          <w:szCs w:val="28"/>
          <w:rtl/>
        </w:rPr>
        <w:t xml:space="preserve">, לפי </w:t>
      </w:r>
      <w:hyperlink r:id="rId21" w:history="1">
        <w:r w:rsidR="001B327C" w:rsidRPr="001B327C">
          <w:rPr>
            <w:rStyle w:val="Hyperlink"/>
            <w:rFonts w:ascii="FrankRuehl" w:hAnsi="FrankRuehl" w:cs="FrankRuehl"/>
            <w:sz w:val="28"/>
            <w:szCs w:val="28"/>
            <w:rtl/>
          </w:rPr>
          <w:t>סעיף 192</w:t>
        </w:r>
      </w:hyperlink>
      <w:r w:rsidRPr="009C145A">
        <w:rPr>
          <w:rFonts w:ascii="FrankRuehl" w:hAnsi="FrankRuehl" w:cs="FrankRuehl"/>
          <w:sz w:val="28"/>
          <w:szCs w:val="28"/>
          <w:rtl/>
        </w:rPr>
        <w:t xml:space="preserve"> ל</w:t>
      </w:r>
      <w:hyperlink r:id="rId22" w:history="1">
        <w:r w:rsidR="00B90758" w:rsidRPr="00B90758">
          <w:rPr>
            <w:rFonts w:ascii="FrankRuehl" w:hAnsi="FrankRuehl" w:cs="FrankRuehl"/>
            <w:color w:val="0000FF"/>
            <w:sz w:val="28"/>
            <w:szCs w:val="28"/>
            <w:u w:val="single"/>
            <w:rtl/>
          </w:rPr>
          <w:t>חוק העונשין</w:t>
        </w:r>
      </w:hyperlink>
      <w:r w:rsidRPr="009C145A">
        <w:rPr>
          <w:rFonts w:ascii="FrankRuehl" w:hAnsi="FrankRuehl" w:cs="FrankRuehl"/>
          <w:sz w:val="28"/>
          <w:szCs w:val="28"/>
          <w:rtl/>
        </w:rPr>
        <w:t xml:space="preserve">, תשל"ז-1977 (להלן: </w:t>
      </w:r>
      <w:r w:rsidRPr="009C145A">
        <w:rPr>
          <w:rFonts w:ascii="FrankRuehl" w:hAnsi="FrankRuehl" w:cs="Miriam"/>
          <w:b/>
          <w:sz w:val="28"/>
          <w:rtl/>
        </w:rPr>
        <w:t>חוק העונשין</w:t>
      </w:r>
      <w:r w:rsidRPr="009C145A">
        <w:rPr>
          <w:rFonts w:ascii="FrankRuehl" w:hAnsi="FrankRuehl" w:cs="FrankRuehl"/>
          <w:sz w:val="28"/>
          <w:szCs w:val="28"/>
          <w:rtl/>
        </w:rPr>
        <w:t xml:space="preserve">), וזוכה מעבירת </w:t>
      </w:r>
      <w:r>
        <w:rPr>
          <w:rFonts w:ascii="FrankRuehl" w:hAnsi="FrankRuehl" w:cs="FrankRuehl" w:hint="cs"/>
          <w:sz w:val="28"/>
          <w:szCs w:val="28"/>
          <w:rtl/>
        </w:rPr>
        <w:t xml:space="preserve">ניסיון </w:t>
      </w:r>
      <w:r w:rsidRPr="009C145A">
        <w:rPr>
          <w:rFonts w:ascii="FrankRuehl" w:hAnsi="FrankRuehl" w:cs="FrankRuehl"/>
          <w:sz w:val="28"/>
          <w:szCs w:val="28"/>
          <w:rtl/>
        </w:rPr>
        <w:t xml:space="preserve">תקיפה, שלא ראיתי לפרט את עובדותיה. </w:t>
      </w:r>
    </w:p>
    <w:p w14:paraId="63C2722F" w14:textId="77777777" w:rsidR="00FF3E66" w:rsidRPr="009C145A" w:rsidRDefault="00FF3E66" w:rsidP="00FF3E66">
      <w:pPr>
        <w:spacing w:line="360" w:lineRule="auto"/>
        <w:jc w:val="both"/>
        <w:rPr>
          <w:rFonts w:ascii="FrankRuehl" w:hAnsi="FrankRuehl" w:cs="FrankRuehl"/>
          <w:sz w:val="28"/>
          <w:szCs w:val="28"/>
          <w:rtl/>
        </w:rPr>
      </w:pPr>
    </w:p>
    <w:p w14:paraId="35A35535" w14:textId="77777777" w:rsidR="00FF3E66" w:rsidRPr="009C145A" w:rsidRDefault="00FF3E66" w:rsidP="00FF3E66">
      <w:pPr>
        <w:spacing w:line="360" w:lineRule="auto"/>
        <w:jc w:val="both"/>
        <w:rPr>
          <w:rFonts w:ascii="FrankRuehl" w:hAnsi="FrankRuehl" w:cs="Miriam"/>
          <w:b/>
          <w:sz w:val="28"/>
          <w:rtl/>
        </w:rPr>
      </w:pPr>
      <w:r w:rsidRPr="009C145A">
        <w:rPr>
          <w:rFonts w:ascii="FrankRuehl" w:hAnsi="FrankRuehl" w:cs="Miriam"/>
          <w:b/>
          <w:sz w:val="28"/>
          <w:rtl/>
        </w:rPr>
        <w:t>תסקירי מבחן</w:t>
      </w:r>
    </w:p>
    <w:p w14:paraId="5608ADD1" w14:textId="77777777" w:rsidR="00FF3E66" w:rsidRPr="009C145A" w:rsidRDefault="00FF3E66" w:rsidP="00FF3E66">
      <w:pPr>
        <w:spacing w:line="360" w:lineRule="auto"/>
        <w:jc w:val="both"/>
        <w:rPr>
          <w:rFonts w:ascii="FrankRuehl" w:hAnsi="FrankRuehl" w:cs="FrankRuehl"/>
          <w:sz w:val="28"/>
          <w:szCs w:val="28"/>
          <w:rtl/>
        </w:rPr>
      </w:pPr>
    </w:p>
    <w:p w14:paraId="2601036B" w14:textId="77777777" w:rsidR="00FF3E66" w:rsidRPr="009C145A" w:rsidRDefault="00FF3E66" w:rsidP="00FF3E66">
      <w:pPr>
        <w:spacing w:line="360" w:lineRule="auto"/>
        <w:jc w:val="both"/>
        <w:rPr>
          <w:rFonts w:ascii="FrankRuehl" w:hAnsi="FrankRuehl" w:cs="FrankRuehl"/>
          <w:sz w:val="28"/>
          <w:szCs w:val="28"/>
          <w:rtl/>
        </w:rPr>
      </w:pPr>
      <w:r w:rsidRPr="009C145A">
        <w:rPr>
          <w:rFonts w:ascii="FrankRuehl" w:hAnsi="FrankRuehl" w:cs="FrankRuehl"/>
          <w:sz w:val="28"/>
          <w:szCs w:val="28"/>
          <w:rtl/>
        </w:rPr>
        <w:t>3.</w:t>
      </w:r>
      <w:r w:rsidRPr="009C145A">
        <w:rPr>
          <w:rFonts w:ascii="FrankRuehl" w:hAnsi="FrankRuehl" w:cs="FrankRuehl"/>
          <w:sz w:val="28"/>
          <w:szCs w:val="28"/>
          <w:rtl/>
        </w:rPr>
        <w:tab/>
        <w:t xml:space="preserve">על מנת להקטין את הפגיעה בצנעת הפרט, יובא תוכנם של התסקירים </w:t>
      </w:r>
      <w:r>
        <w:rPr>
          <w:rFonts w:ascii="FrankRuehl" w:hAnsi="FrankRuehl" w:cs="FrankRuehl" w:hint="cs"/>
          <w:sz w:val="28"/>
          <w:szCs w:val="28"/>
          <w:rtl/>
        </w:rPr>
        <w:t xml:space="preserve">(שהוגשו בשני ההליכים) </w:t>
      </w:r>
      <w:r w:rsidRPr="009C145A">
        <w:rPr>
          <w:rFonts w:ascii="FrankRuehl" w:hAnsi="FrankRuehl" w:cs="FrankRuehl"/>
          <w:sz w:val="28"/>
          <w:szCs w:val="28"/>
          <w:rtl/>
        </w:rPr>
        <w:t xml:space="preserve">בצמצום. הנאשם בן 37, נשוי ואב לארבעה ילדים, בעל עסק עצמאי, הפסיק את לימודיו כשהיה בגיל 16, לא התגייס לצה"ל לאחר שהעדיף לדבריו להתפתח בתחום התעסוקתי. אחד מילדיו אובחן כלוקה בבעיות התפתחות, ובהקשר זה שיתף הנאשם בתחושות תסכול וקשיי התמודדות שלו ושל רעייתו. לדבריו, על רקע זה השתמש בעברו בסמים מסוג קנאביס, בין היתר כדרך להתמודד עם קשייו. קצינת המבחן עמדה על </w:t>
      </w:r>
      <w:r>
        <w:rPr>
          <w:rFonts w:ascii="FrankRuehl" w:hAnsi="FrankRuehl" w:cs="FrankRuehl" w:hint="cs"/>
          <w:sz w:val="28"/>
          <w:szCs w:val="28"/>
          <w:rtl/>
        </w:rPr>
        <w:t>הרשעותיו הקודמות</w:t>
      </w:r>
      <w:r w:rsidRPr="009C145A">
        <w:rPr>
          <w:rFonts w:ascii="FrankRuehl" w:hAnsi="FrankRuehl" w:cs="FrankRuehl"/>
          <w:sz w:val="28"/>
          <w:szCs w:val="28"/>
          <w:rtl/>
        </w:rPr>
        <w:t xml:space="preserve"> של הנאשם, </w:t>
      </w:r>
      <w:r>
        <w:rPr>
          <w:rFonts w:ascii="FrankRuehl" w:hAnsi="FrankRuehl" w:cs="FrankRuehl" w:hint="cs"/>
          <w:sz w:val="28"/>
          <w:szCs w:val="28"/>
          <w:rtl/>
        </w:rPr>
        <w:t>בהן</w:t>
      </w:r>
      <w:r>
        <w:rPr>
          <w:rFonts w:ascii="FrankRuehl" w:hAnsi="FrankRuehl" w:cs="FrankRuehl"/>
          <w:sz w:val="28"/>
          <w:szCs w:val="28"/>
          <w:rtl/>
        </w:rPr>
        <w:t xml:space="preserve"> הודה בפניה ותיאר</w:t>
      </w:r>
      <w:r>
        <w:rPr>
          <w:rFonts w:ascii="FrankRuehl" w:hAnsi="FrankRuehl" w:cs="FrankRuehl" w:hint="cs"/>
          <w:sz w:val="28"/>
          <w:szCs w:val="28"/>
          <w:rtl/>
        </w:rPr>
        <w:t>ן</w:t>
      </w:r>
      <w:r w:rsidRPr="009C145A">
        <w:rPr>
          <w:rFonts w:ascii="FrankRuehl" w:hAnsi="FrankRuehl" w:cs="FrankRuehl"/>
          <w:sz w:val="28"/>
          <w:szCs w:val="28"/>
          <w:rtl/>
        </w:rPr>
        <w:t xml:space="preserve"> כמעשי קונדס ילדותיים השייכים לעברו הרחוק, ואינם מאפיינים אותו בשנים האחרונות. הוא הודה בהחזקת הסמים במכוניתו, אך טען אלו נועדו לצריכתו העצמית (נטילת אחריות חלקית). הוא טען כי ניסה ללא הצלחה למסור דגימת שתן, וכפר בטענה (בה הורשע בהתאם להודאתו), לפיה סירב ליתן בדיקת שתן, תוך הכחשה כי נהג תחת השפעת סמים. בדיקות שנערכו בשירות המבחן לאיתור שרידי סם נמצאו נקיות פרט לראשונה שבהן. בחודש נובמבר 2020 השתלב הנאשם בקבוצה טיפולית, הגיע באופן עקבי למפגשים ונטל חלק פעיל בשיח הקבוצתי. קצינת המבחן התרשמה מתפקודו החיובי והמליצה לנקוט גישה שיקומית, להעמיד את הנאשם בצו מבחן ולהטיל עליו שירות לתועלת הציבור, מאסר מותנה וקנס כספי.</w:t>
      </w:r>
    </w:p>
    <w:p w14:paraId="0FECE735" w14:textId="77777777" w:rsidR="00FF3E66" w:rsidRPr="009C145A" w:rsidRDefault="00FF3E66" w:rsidP="00FF3E66">
      <w:pPr>
        <w:spacing w:line="360" w:lineRule="auto"/>
        <w:ind w:firstLine="720"/>
        <w:jc w:val="both"/>
        <w:rPr>
          <w:rFonts w:ascii="FrankRuehl" w:hAnsi="FrankRuehl" w:cs="FrankRuehl"/>
          <w:sz w:val="28"/>
          <w:szCs w:val="28"/>
          <w:rtl/>
        </w:rPr>
      </w:pPr>
    </w:p>
    <w:p w14:paraId="0E6E8CBC" w14:textId="77777777" w:rsidR="00FF3E66" w:rsidRPr="009C145A" w:rsidRDefault="00FF3E66" w:rsidP="00FF3E66">
      <w:pPr>
        <w:spacing w:line="360" w:lineRule="auto"/>
        <w:jc w:val="both"/>
        <w:rPr>
          <w:rFonts w:ascii="FrankRuehl" w:hAnsi="FrankRuehl" w:cs="Miriam"/>
          <w:b/>
          <w:sz w:val="28"/>
          <w:rtl/>
        </w:rPr>
      </w:pPr>
      <w:r w:rsidRPr="009C145A">
        <w:rPr>
          <w:rFonts w:ascii="FrankRuehl" w:hAnsi="FrankRuehl" w:cs="Miriam"/>
          <w:b/>
          <w:sz w:val="28"/>
          <w:rtl/>
        </w:rPr>
        <w:t>ראיות וטיעוני הצדדים לעונש</w:t>
      </w:r>
    </w:p>
    <w:p w14:paraId="4219CFC7" w14:textId="77777777" w:rsidR="00FF3E66" w:rsidRPr="009C145A" w:rsidRDefault="00FF3E66" w:rsidP="00FF3E66">
      <w:pPr>
        <w:spacing w:line="360" w:lineRule="auto"/>
        <w:jc w:val="both"/>
        <w:rPr>
          <w:rFonts w:ascii="FrankRuehl" w:hAnsi="FrankRuehl" w:cs="Miriam"/>
          <w:b/>
          <w:sz w:val="28"/>
          <w:rtl/>
        </w:rPr>
      </w:pPr>
    </w:p>
    <w:p w14:paraId="7344EA12" w14:textId="77777777" w:rsidR="00FF3E66" w:rsidRPr="009C145A" w:rsidRDefault="00FF3E66" w:rsidP="00FF3E66">
      <w:pPr>
        <w:spacing w:line="360" w:lineRule="auto"/>
        <w:jc w:val="both"/>
        <w:rPr>
          <w:rFonts w:ascii="FrankRuehl" w:hAnsi="FrankRuehl" w:cs="FrankRuehl"/>
          <w:sz w:val="28"/>
          <w:szCs w:val="28"/>
          <w:rtl/>
        </w:rPr>
      </w:pPr>
      <w:r w:rsidRPr="009C145A">
        <w:rPr>
          <w:rFonts w:ascii="FrankRuehl" w:hAnsi="FrankRuehl" w:cs="FrankRuehl"/>
          <w:b/>
          <w:sz w:val="28"/>
          <w:szCs w:val="28"/>
          <w:rtl/>
        </w:rPr>
        <w:t>4.</w:t>
      </w:r>
      <w:r w:rsidRPr="009C145A">
        <w:rPr>
          <w:rFonts w:ascii="FrankRuehl" w:hAnsi="FrankRuehl" w:cs="FrankRuehl"/>
          <w:b/>
          <w:sz w:val="28"/>
          <w:szCs w:val="28"/>
          <w:rtl/>
        </w:rPr>
        <w:tab/>
      </w:r>
      <w:r w:rsidRPr="009C145A">
        <w:rPr>
          <w:rFonts w:ascii="FrankRuehl" w:hAnsi="FrankRuehl" w:cs="Miriam"/>
          <w:b/>
          <w:sz w:val="28"/>
          <w:rtl/>
        </w:rPr>
        <w:t>ב"כ המאשימה</w:t>
      </w:r>
      <w:r w:rsidRPr="009C145A">
        <w:rPr>
          <w:rFonts w:ascii="FrankRuehl" w:hAnsi="FrankRuehl" w:cs="FrankRuehl"/>
          <w:sz w:val="28"/>
          <w:szCs w:val="28"/>
          <w:rtl/>
        </w:rPr>
        <w:t xml:space="preserve"> עמדה על עוצמת הפגיעה בערכים המוגנים בכל אחד מהאישומים, וביקשה לקבוע מתחמי ענישה נפרדים, בעבירות הסמים בין מספר חודשי מאסר שניתן לרצות בעבודות שירות, לבין שנת מאסר, ובעבירת האיומים בין מספר חודשי מאסר שניתן לרצות בעבודות שירות, לבין 18 חודשי מאסר. הוגשו גיליון רישום פלילי ותעבורתי (</w:t>
      </w:r>
      <w:r w:rsidRPr="009C145A">
        <w:rPr>
          <w:rFonts w:ascii="FrankRuehl" w:hAnsi="FrankRuehl" w:cs="Miriam"/>
          <w:b/>
          <w:sz w:val="28"/>
          <w:rtl/>
        </w:rPr>
        <w:t>עת/1</w:t>
      </w:r>
      <w:r w:rsidRPr="009C145A">
        <w:rPr>
          <w:rFonts w:ascii="FrankRuehl" w:hAnsi="FrankRuehl" w:cs="FrankRuehl"/>
          <w:sz w:val="28"/>
          <w:szCs w:val="28"/>
          <w:rtl/>
        </w:rPr>
        <w:t xml:space="preserve">, </w:t>
      </w:r>
      <w:r w:rsidRPr="009C145A">
        <w:rPr>
          <w:rFonts w:ascii="FrankRuehl" w:hAnsi="FrankRuehl" w:cs="Miriam"/>
          <w:b/>
          <w:sz w:val="28"/>
          <w:rtl/>
        </w:rPr>
        <w:t>עת/2</w:t>
      </w:r>
      <w:r w:rsidRPr="009C145A">
        <w:rPr>
          <w:rFonts w:ascii="FrankRuehl" w:hAnsi="FrankRuehl" w:cs="FrankRuehl"/>
          <w:sz w:val="28"/>
          <w:szCs w:val="28"/>
          <w:rtl/>
        </w:rPr>
        <w:t xml:space="preserve">). </w:t>
      </w:r>
      <w:r w:rsidRPr="009C145A">
        <w:rPr>
          <w:rFonts w:ascii="FrankRuehl" w:hAnsi="FrankRuehl" w:cs="FrankRuehl"/>
          <w:sz w:val="28"/>
          <w:szCs w:val="28"/>
          <w:rtl/>
        </w:rPr>
        <w:lastRenderedPageBreak/>
        <w:t>לטענתה, ההליך הטי</w:t>
      </w:r>
      <w:r>
        <w:rPr>
          <w:rFonts w:ascii="FrankRuehl" w:hAnsi="FrankRuehl" w:cs="FrankRuehl"/>
          <w:sz w:val="28"/>
          <w:szCs w:val="28"/>
          <w:rtl/>
        </w:rPr>
        <w:t>פולי בו השתתף הנאשם איננו מצדיק</w:t>
      </w:r>
      <w:r w:rsidRPr="009C145A">
        <w:rPr>
          <w:rFonts w:ascii="FrankRuehl" w:hAnsi="FrankRuehl" w:cs="FrankRuehl"/>
          <w:sz w:val="28"/>
          <w:szCs w:val="28"/>
          <w:rtl/>
        </w:rPr>
        <w:t xml:space="preserve"> </w:t>
      </w:r>
      <w:r>
        <w:rPr>
          <w:rFonts w:ascii="FrankRuehl" w:hAnsi="FrankRuehl" w:cs="FrankRuehl" w:hint="cs"/>
          <w:sz w:val="28"/>
          <w:szCs w:val="28"/>
          <w:rtl/>
        </w:rPr>
        <w:t>ל</w:t>
      </w:r>
      <w:r w:rsidRPr="009C145A">
        <w:rPr>
          <w:rFonts w:ascii="FrankRuehl" w:hAnsi="FrankRuehl" w:cs="FrankRuehl"/>
          <w:sz w:val="28"/>
          <w:szCs w:val="28"/>
          <w:rtl/>
        </w:rPr>
        <w:t>חר</w:t>
      </w:r>
      <w:r>
        <w:rPr>
          <w:rFonts w:ascii="FrankRuehl" w:hAnsi="FrankRuehl" w:cs="FrankRuehl" w:hint="cs"/>
          <w:sz w:val="28"/>
          <w:szCs w:val="28"/>
          <w:rtl/>
        </w:rPr>
        <w:t>ו</w:t>
      </w:r>
      <w:r w:rsidRPr="009C145A">
        <w:rPr>
          <w:rFonts w:ascii="FrankRuehl" w:hAnsi="FrankRuehl" w:cs="FrankRuehl"/>
          <w:sz w:val="28"/>
          <w:szCs w:val="28"/>
          <w:rtl/>
        </w:rPr>
        <w:t>ג לקולה ממתחמי הענישה. משכך עתרה למקם את עונשו של הנאשם בתחתית מתחמי הענישה ולגזור עליו עונש בן 8 חודשי מאסר שירוצו בעבודות שירות ככל שיימצא כשיר, מאסר על תנאי, פסילה בפועל ועל תנאי, קנס ופיצוי לרופאים.</w:t>
      </w:r>
    </w:p>
    <w:p w14:paraId="35D49A25" w14:textId="77777777" w:rsidR="00FF3E66" w:rsidRPr="009C145A" w:rsidRDefault="00FF3E66" w:rsidP="00FF3E66">
      <w:pPr>
        <w:spacing w:line="360" w:lineRule="auto"/>
        <w:ind w:firstLine="720"/>
        <w:jc w:val="both"/>
        <w:rPr>
          <w:rFonts w:ascii="FrankRuehl" w:hAnsi="FrankRuehl" w:cs="FrankRuehl"/>
          <w:sz w:val="28"/>
          <w:szCs w:val="28"/>
          <w:rtl/>
        </w:rPr>
      </w:pPr>
    </w:p>
    <w:p w14:paraId="382A3C9B" w14:textId="77777777" w:rsidR="00FF3E66" w:rsidRPr="009C145A" w:rsidRDefault="00FF3E66" w:rsidP="00FF3E66">
      <w:pPr>
        <w:spacing w:line="360" w:lineRule="auto"/>
        <w:ind w:firstLine="720"/>
        <w:jc w:val="both"/>
        <w:rPr>
          <w:rFonts w:ascii="FrankRuehl" w:hAnsi="FrankRuehl" w:cs="Miriam"/>
          <w:b/>
          <w:sz w:val="28"/>
          <w:rtl/>
        </w:rPr>
      </w:pPr>
      <w:r w:rsidRPr="009C145A">
        <w:rPr>
          <w:rFonts w:ascii="FrankRuehl" w:hAnsi="FrankRuehl" w:cs="Miriam"/>
          <w:b/>
          <w:sz w:val="28"/>
          <w:rtl/>
        </w:rPr>
        <w:t>ב"כ הנאשם</w:t>
      </w:r>
      <w:r w:rsidRPr="009C145A">
        <w:rPr>
          <w:rFonts w:ascii="FrankRuehl" w:hAnsi="FrankRuehl" w:cs="FrankRuehl"/>
          <w:sz w:val="28"/>
          <w:szCs w:val="28"/>
          <w:rtl/>
        </w:rPr>
        <w:t xml:space="preserve"> עמדה על חלוף הזמן מביצוע העבירות, כשמאז מקפיד הנאשם על התנהגות נורמטיבית. אשר לעבירת האיומים, הנאשם זוכה לאחר ניהול הוכחות מהעבירה המרכזית שיוחסה לו (</w:t>
      </w:r>
      <w:r>
        <w:rPr>
          <w:rFonts w:ascii="FrankRuehl" w:hAnsi="FrankRuehl" w:cs="FrankRuehl" w:hint="cs"/>
          <w:sz w:val="28"/>
          <w:szCs w:val="28"/>
          <w:rtl/>
        </w:rPr>
        <w:t xml:space="preserve">ניסיון </w:t>
      </w:r>
      <w:r w:rsidRPr="009C145A">
        <w:rPr>
          <w:rFonts w:ascii="FrankRuehl" w:hAnsi="FrankRuehl" w:cs="FrankRuehl"/>
          <w:sz w:val="28"/>
          <w:szCs w:val="28"/>
          <w:rtl/>
        </w:rPr>
        <w:t>תקיפה). האירוע התרחש לאחר שהנאשם הגיע למרפאה עם בנו הפעוט שצרח ללא הרף, הצוות הרפואי לא שעה לבקשות שלו ושל רעייתו, ומכאן הלחץ המנטלי שהביא לביצוע העבירה. בדיעבד הנאשם הודה בביצועהּ והפנים את חומרתה. ב"כ הנאשם הגישה אסופת מסמכים טיפוליים בענינו של הבן (</w:t>
      </w:r>
      <w:r w:rsidRPr="009C145A">
        <w:rPr>
          <w:rFonts w:ascii="FrankRuehl" w:hAnsi="FrankRuehl" w:cs="Miriam"/>
          <w:b/>
          <w:sz w:val="28"/>
          <w:rtl/>
        </w:rPr>
        <w:t>ענ/1</w:t>
      </w:r>
      <w:r w:rsidRPr="009C145A">
        <w:rPr>
          <w:rFonts w:ascii="FrankRuehl" w:hAnsi="FrankRuehl" w:cs="FrankRuehl"/>
          <w:sz w:val="28"/>
          <w:szCs w:val="28"/>
          <w:rtl/>
        </w:rPr>
        <w:t xml:space="preserve">). </w:t>
      </w:r>
      <w:r>
        <w:rPr>
          <w:rFonts w:ascii="FrankRuehl" w:hAnsi="FrankRuehl" w:cs="FrankRuehl" w:hint="cs"/>
          <w:sz w:val="28"/>
          <w:szCs w:val="28"/>
          <w:rtl/>
        </w:rPr>
        <w:t xml:space="preserve">היא </w:t>
      </w:r>
      <w:r w:rsidRPr="009C145A">
        <w:rPr>
          <w:rFonts w:ascii="FrankRuehl" w:hAnsi="FrankRuehl" w:cs="FrankRuehl"/>
          <w:sz w:val="28"/>
          <w:szCs w:val="28"/>
          <w:rtl/>
        </w:rPr>
        <w:t>הפנתה לתובנות קצינת המבחן שעמדה על השפעת  מצבו של הילד על קשייו הרגשיים של הנאשם, ולכך שמעורבותו בביצוע עבירת האיומים היא ביטוי למורכבות רגשית שהובילה אותו לפעול באימפולסיביות. אשר לעבירת הסמים, הנאשם הודה במיוחס לו וקיבל אחריות על מעשיו. ב"כ הנאשם הגישה אסופת פסיקה, עתרה לקבוע בכל אחד מהאישומים מתחם ענישה שתחילתו בענישה צופה פני עתיד, וביקשה לאמץ את עמדת שירות המבחן, בין בקביעת עונשו של הנאשם בתחתית המתחמים, ובין בחריגה לקולה משיקולי שיקום. היא ביקשה להימנע מפסילת רישיון הנהיגה של הנאשם כדי למנוע פגיעה בעבודתו ובמשפחתו.</w:t>
      </w:r>
    </w:p>
    <w:p w14:paraId="4763E4DE" w14:textId="77777777" w:rsidR="00FF3E66" w:rsidRPr="009C145A" w:rsidRDefault="00FF3E66" w:rsidP="00FF3E66">
      <w:pPr>
        <w:spacing w:line="360" w:lineRule="auto"/>
        <w:ind w:firstLine="720"/>
        <w:jc w:val="both"/>
        <w:rPr>
          <w:rFonts w:ascii="FrankRuehl" w:hAnsi="FrankRuehl" w:cs="Miriam"/>
          <w:b/>
          <w:sz w:val="28"/>
          <w:rtl/>
        </w:rPr>
      </w:pPr>
    </w:p>
    <w:p w14:paraId="5E4FFB54" w14:textId="77777777" w:rsidR="00FF3E66" w:rsidRPr="009C145A" w:rsidRDefault="00FF3E66" w:rsidP="00FF3E66">
      <w:pPr>
        <w:spacing w:line="360" w:lineRule="auto"/>
        <w:ind w:firstLine="720"/>
        <w:jc w:val="both"/>
        <w:rPr>
          <w:rFonts w:ascii="FrankRuehl" w:hAnsi="FrankRuehl" w:cs="FrankRuehl"/>
          <w:sz w:val="28"/>
          <w:szCs w:val="28"/>
          <w:rtl/>
        </w:rPr>
      </w:pPr>
      <w:r w:rsidRPr="009C145A">
        <w:rPr>
          <w:rFonts w:ascii="FrankRuehl" w:hAnsi="FrankRuehl" w:cs="Miriam"/>
          <w:b/>
          <w:sz w:val="28"/>
          <w:rtl/>
        </w:rPr>
        <w:t>הנאשם</w:t>
      </w:r>
      <w:r w:rsidRPr="009C145A">
        <w:rPr>
          <w:rFonts w:ascii="FrankRuehl" w:hAnsi="FrankRuehl" w:cs="FrankRuehl"/>
          <w:sz w:val="28"/>
          <w:szCs w:val="28"/>
          <w:rtl/>
        </w:rPr>
        <w:t xml:space="preserve"> הביע חרטה על מעשיו והודה לשירות המבחן על ההזדמנות שניתנה לו. לשאלת בית המשפט, ביקש כי ככל שייגזר עליו עונש מאסר בפועל, יוכל לרצותו בעבודות שירות.</w:t>
      </w:r>
    </w:p>
    <w:p w14:paraId="3D69A7D2" w14:textId="77777777" w:rsidR="00FF3E66" w:rsidRPr="009C145A" w:rsidRDefault="00FF3E66" w:rsidP="00FF3E66">
      <w:pPr>
        <w:spacing w:line="360" w:lineRule="auto"/>
        <w:jc w:val="both"/>
        <w:rPr>
          <w:rFonts w:ascii="FrankRuehl" w:hAnsi="FrankRuehl" w:cs="FrankRuehl"/>
          <w:sz w:val="28"/>
          <w:szCs w:val="28"/>
          <w:rtl/>
        </w:rPr>
      </w:pPr>
    </w:p>
    <w:p w14:paraId="1958091F" w14:textId="77777777" w:rsidR="00FF3E66" w:rsidRPr="009C145A" w:rsidRDefault="00FF3E66" w:rsidP="00FF3E66">
      <w:pPr>
        <w:spacing w:line="360" w:lineRule="auto"/>
        <w:ind w:firstLine="720"/>
        <w:jc w:val="both"/>
        <w:rPr>
          <w:rFonts w:ascii="FrankRuehl" w:hAnsi="FrankRuehl" w:cs="FrankRuehl"/>
          <w:sz w:val="28"/>
          <w:szCs w:val="28"/>
          <w:rtl/>
        </w:rPr>
      </w:pPr>
      <w:r w:rsidRPr="009C145A">
        <w:rPr>
          <w:rFonts w:ascii="FrankRuehl" w:hAnsi="FrankRuehl" w:cs="FrankRuehl"/>
          <w:sz w:val="28"/>
          <w:szCs w:val="28"/>
          <w:rtl/>
        </w:rPr>
        <w:t>לאחר ישיבת הטיעונים לעונש מיום 24.5.21 הופנה הנאשם לקבלת חוות דעת הממונה על עבודות שירות, ונמצא מתאים לריצוי עונשו בדרך זו.</w:t>
      </w:r>
    </w:p>
    <w:p w14:paraId="616297F7" w14:textId="77777777" w:rsidR="00FF3E66" w:rsidRPr="009C145A" w:rsidRDefault="00FF3E66" w:rsidP="00FF3E66">
      <w:pPr>
        <w:spacing w:line="360" w:lineRule="auto"/>
        <w:jc w:val="both"/>
        <w:rPr>
          <w:rFonts w:ascii="FrankRuehl" w:hAnsi="FrankRuehl" w:cs="FrankRuehl"/>
          <w:sz w:val="28"/>
          <w:szCs w:val="28"/>
          <w:rtl/>
        </w:rPr>
      </w:pPr>
    </w:p>
    <w:p w14:paraId="1E6CD74B" w14:textId="77777777" w:rsidR="00FF3E66" w:rsidRPr="009C145A" w:rsidRDefault="00FF3E66" w:rsidP="00FF3E66">
      <w:pPr>
        <w:spacing w:line="360" w:lineRule="auto"/>
        <w:jc w:val="both"/>
        <w:rPr>
          <w:rFonts w:ascii="Miriam" w:hAnsi="Miriam" w:cs="Miriam"/>
          <w:b/>
          <w:rtl/>
        </w:rPr>
      </w:pPr>
      <w:r w:rsidRPr="009C145A">
        <w:rPr>
          <w:rFonts w:ascii="Miriam" w:hAnsi="Miriam" w:cs="Miriam"/>
          <w:b/>
          <w:rtl/>
        </w:rPr>
        <w:t>דיון</w:t>
      </w:r>
    </w:p>
    <w:p w14:paraId="508C15B0" w14:textId="77777777" w:rsidR="00FF3E66" w:rsidRPr="009C145A" w:rsidRDefault="00FF3E66" w:rsidP="00FF3E66">
      <w:pPr>
        <w:spacing w:line="360" w:lineRule="auto"/>
        <w:jc w:val="both"/>
        <w:rPr>
          <w:rFonts w:ascii="Miriam" w:hAnsi="Miriam" w:cs="Miriam"/>
          <w:b/>
          <w:u w:val="single"/>
          <w:rtl/>
        </w:rPr>
      </w:pPr>
    </w:p>
    <w:p w14:paraId="2928D8AE" w14:textId="77777777" w:rsidR="00FF3E66" w:rsidRPr="009C145A" w:rsidRDefault="00FF3E66" w:rsidP="00FF3E66">
      <w:pPr>
        <w:spacing w:line="360" w:lineRule="auto"/>
        <w:jc w:val="both"/>
        <w:rPr>
          <w:rFonts w:ascii="Miriam" w:hAnsi="Miriam" w:cs="Miriam"/>
          <w:b/>
          <w:rtl/>
        </w:rPr>
      </w:pPr>
      <w:r w:rsidRPr="009C145A">
        <w:rPr>
          <w:rFonts w:ascii="Miriam" w:hAnsi="Miriam" w:cs="Miriam"/>
          <w:b/>
          <w:rtl/>
        </w:rPr>
        <w:t>קביעת מתחמי העונש</w:t>
      </w:r>
    </w:p>
    <w:p w14:paraId="1F0D5997" w14:textId="77777777" w:rsidR="00FF3E66" w:rsidRPr="009C145A" w:rsidRDefault="00FF3E66" w:rsidP="00FF3E66">
      <w:pPr>
        <w:spacing w:line="360" w:lineRule="auto"/>
        <w:jc w:val="both"/>
        <w:rPr>
          <w:rFonts w:ascii="FrankRuehl" w:hAnsi="FrankRuehl" w:cs="FrankRuehl"/>
          <w:b/>
          <w:sz w:val="28"/>
          <w:szCs w:val="28"/>
          <w:rtl/>
        </w:rPr>
      </w:pPr>
    </w:p>
    <w:p w14:paraId="5E32A92E" w14:textId="77777777" w:rsidR="00FF3E66" w:rsidRPr="009C145A" w:rsidRDefault="00FF3E66" w:rsidP="00FF3E66">
      <w:pPr>
        <w:spacing w:line="360" w:lineRule="auto"/>
        <w:jc w:val="both"/>
        <w:rPr>
          <w:rFonts w:ascii="FrankRuehl" w:hAnsi="FrankRuehl" w:cs="FrankRuehl"/>
          <w:b/>
          <w:sz w:val="28"/>
          <w:szCs w:val="28"/>
          <w:rtl/>
        </w:rPr>
      </w:pPr>
      <w:r w:rsidRPr="009C145A">
        <w:rPr>
          <w:rFonts w:ascii="FrankRuehl" w:hAnsi="FrankRuehl" w:cs="FrankRuehl"/>
          <w:sz w:val="28"/>
          <w:szCs w:val="28"/>
          <w:rtl/>
        </w:rPr>
        <w:t>5.</w:t>
      </w:r>
      <w:r w:rsidRPr="009C145A">
        <w:rPr>
          <w:rFonts w:ascii="FrankRuehl" w:hAnsi="FrankRuehl" w:cs="FrankRuehl"/>
          <w:sz w:val="28"/>
          <w:szCs w:val="28"/>
          <w:rtl/>
        </w:rPr>
        <w:tab/>
        <w:t xml:space="preserve">בהיעדר מחלוקת בין הצדדים, ייקבעו מתחמי ענישה נפרדים לכל אחד מהאישומים. </w:t>
      </w:r>
      <w:r w:rsidRPr="009C145A">
        <w:rPr>
          <w:rFonts w:ascii="FrankRuehl" w:hAnsi="FrankRuehl" w:cs="FrankRuehl"/>
          <w:b/>
          <w:sz w:val="28"/>
          <w:szCs w:val="28"/>
          <w:rtl/>
        </w:rPr>
        <w:t xml:space="preserve">מתחמי העונש ייקבעו בהתאם לעקרון ההלימה, תוך מתן משקל לערכים החברתיים שנפגעו ממעשיו של הנאשם, למידת הפגיעה בהם ולמדיניות הענישה הנוהגת, והכל בנסיבות העבירות בהן הורשע הנאשם. אשר לעבירת הסמים, מבלי להקל בחומרתה של העבירה, כמות הסמים שנתפסה איננה גדולה (כמובן, בהינתן סוג הסם – קנבוס). מנגד, הנאשם החזיק בסמים </w:t>
      </w:r>
      <w:r w:rsidRPr="009C145A">
        <w:rPr>
          <w:rFonts w:ascii="Miriam" w:hAnsi="Miriam" w:cs="Miriam"/>
          <w:b/>
          <w:rtl/>
        </w:rPr>
        <w:t>שלא</w:t>
      </w:r>
      <w:r w:rsidRPr="009C145A">
        <w:rPr>
          <w:rFonts w:ascii="FrankRuehl" w:hAnsi="FrankRuehl" w:cs="FrankRuehl"/>
          <w:b/>
          <w:sz w:val="28"/>
          <w:szCs w:val="28"/>
          <w:rtl/>
        </w:rPr>
        <w:t xml:space="preserve"> לצריכתו העצמית, ועל כך יש להוסיף את סירובו ליתן בדיקת שתן, ומכאן הרשעתו בנהיגה תחת השפעת סמים (כתב האישום</w:t>
      </w:r>
      <w:r>
        <w:rPr>
          <w:rFonts w:ascii="FrankRuehl" w:hAnsi="FrankRuehl" w:cs="FrankRuehl" w:hint="cs"/>
          <w:b/>
          <w:sz w:val="28"/>
          <w:szCs w:val="28"/>
          <w:rtl/>
        </w:rPr>
        <w:t xml:space="preserve"> תוקן לקולה לעבירה</w:t>
      </w:r>
      <w:r w:rsidRPr="009C145A">
        <w:rPr>
          <w:rFonts w:ascii="FrankRuehl" w:hAnsi="FrankRuehl" w:cs="FrankRuehl"/>
          <w:b/>
          <w:sz w:val="28"/>
          <w:szCs w:val="28"/>
          <w:rtl/>
        </w:rPr>
        <w:t xml:space="preserve"> בניגוד ל</w:t>
      </w:r>
      <w:hyperlink r:id="rId23" w:history="1">
        <w:r w:rsidR="00B90758" w:rsidRPr="00B90758">
          <w:rPr>
            <w:rFonts w:ascii="FrankRuehl" w:hAnsi="FrankRuehl" w:cs="FrankRuehl"/>
            <w:b/>
            <w:color w:val="0000FF"/>
            <w:sz w:val="28"/>
            <w:szCs w:val="28"/>
            <w:u w:val="single"/>
            <w:rtl/>
          </w:rPr>
          <w:t>תקנות התעבורה</w:t>
        </w:r>
      </w:hyperlink>
      <w:r w:rsidRPr="009C145A">
        <w:rPr>
          <w:rFonts w:ascii="FrankRuehl" w:hAnsi="FrankRuehl" w:cs="FrankRuehl"/>
          <w:b/>
          <w:sz w:val="28"/>
          <w:szCs w:val="28"/>
          <w:rtl/>
        </w:rPr>
        <w:t>). ב"כ הנאשם הפנתה לאסופה נרחבת של פסקי דין המתיישבים עם טענ</w:t>
      </w:r>
      <w:r>
        <w:rPr>
          <w:rFonts w:ascii="FrankRuehl" w:hAnsi="FrankRuehl" w:cs="FrankRuehl" w:hint="cs"/>
          <w:b/>
          <w:sz w:val="28"/>
          <w:szCs w:val="28"/>
          <w:rtl/>
        </w:rPr>
        <w:t>ת</w:t>
      </w:r>
      <w:r w:rsidRPr="009C145A">
        <w:rPr>
          <w:rFonts w:ascii="FrankRuehl" w:hAnsi="FrankRuehl" w:cs="FrankRuehl"/>
          <w:b/>
          <w:sz w:val="28"/>
          <w:szCs w:val="28"/>
          <w:rtl/>
        </w:rPr>
        <w:t xml:space="preserve">ה כי חלק מההליכים בעבירות החזקת סם בכמויות דומות מסתיימים בענישה צופה פני עתיד, ואולם </w:t>
      </w:r>
      <w:r>
        <w:rPr>
          <w:rFonts w:ascii="FrankRuehl" w:hAnsi="FrankRuehl" w:cs="FrankRuehl" w:hint="cs"/>
          <w:b/>
          <w:sz w:val="28"/>
          <w:szCs w:val="28"/>
          <w:rtl/>
        </w:rPr>
        <w:t xml:space="preserve">השילוב בין החזקת הסמים ברכב לבין </w:t>
      </w:r>
      <w:r w:rsidRPr="009C145A">
        <w:rPr>
          <w:rFonts w:ascii="FrankRuehl" w:hAnsi="FrankRuehl" w:cs="FrankRuehl"/>
          <w:b/>
          <w:sz w:val="28"/>
          <w:szCs w:val="28"/>
          <w:rtl/>
        </w:rPr>
        <w:t xml:space="preserve">נהיגתו של הנאשם תחת השפעת סמים, </w:t>
      </w:r>
      <w:r>
        <w:rPr>
          <w:rFonts w:ascii="FrankRuehl" w:hAnsi="FrankRuehl" w:cs="FrankRuehl" w:hint="cs"/>
          <w:b/>
          <w:sz w:val="28"/>
          <w:szCs w:val="28"/>
          <w:rtl/>
        </w:rPr>
        <w:t>מקים סיכון של ממש ל</w:t>
      </w:r>
      <w:r w:rsidRPr="009C145A">
        <w:rPr>
          <w:rFonts w:ascii="FrankRuehl" w:hAnsi="FrankRuehl" w:cs="FrankRuehl"/>
          <w:b/>
          <w:sz w:val="28"/>
          <w:szCs w:val="28"/>
          <w:rtl/>
        </w:rPr>
        <w:t xml:space="preserve">כלל המשתמשים בדרך. מחובתו של בית המשפט לשמור על הציבור מפני פורעי חוק המסכנים את שלומו ובריאותו. </w:t>
      </w:r>
      <w:r>
        <w:rPr>
          <w:rFonts w:ascii="FrankRuehl" w:hAnsi="FrankRuehl" w:cs="FrankRuehl" w:hint="cs"/>
          <w:b/>
          <w:sz w:val="28"/>
          <w:szCs w:val="28"/>
          <w:rtl/>
        </w:rPr>
        <w:t>לפיכך</w:t>
      </w:r>
      <w:r w:rsidRPr="009C145A">
        <w:rPr>
          <w:rFonts w:ascii="FrankRuehl" w:hAnsi="FrankRuehl" w:cs="FrankRuehl"/>
          <w:b/>
          <w:sz w:val="28"/>
          <w:szCs w:val="28"/>
          <w:rtl/>
        </w:rPr>
        <w:t xml:space="preserve"> החלטתי לקבוע מתחם ענישה בין תקופת מאסר קצרה שניתן לרצות בעבו</w:t>
      </w:r>
      <w:r>
        <w:rPr>
          <w:rFonts w:ascii="FrankRuehl" w:hAnsi="FrankRuehl" w:cs="FrankRuehl"/>
          <w:b/>
          <w:sz w:val="28"/>
          <w:szCs w:val="28"/>
          <w:rtl/>
        </w:rPr>
        <w:t>דות שירות, לבין שנת מאסר בפועל.</w:t>
      </w:r>
    </w:p>
    <w:p w14:paraId="589133CF" w14:textId="77777777" w:rsidR="00FF3E66" w:rsidRPr="009C145A" w:rsidRDefault="00FF3E66" w:rsidP="00FF3E66">
      <w:pPr>
        <w:spacing w:line="360" w:lineRule="auto"/>
        <w:ind w:firstLine="720"/>
        <w:jc w:val="both"/>
        <w:rPr>
          <w:rFonts w:ascii="FrankRuehl" w:hAnsi="FrankRuehl" w:cs="FrankRuehl"/>
          <w:b/>
          <w:sz w:val="28"/>
          <w:szCs w:val="28"/>
          <w:rtl/>
        </w:rPr>
      </w:pPr>
    </w:p>
    <w:p w14:paraId="557D6DD4" w14:textId="77777777" w:rsidR="00FF3E66" w:rsidRPr="009C145A" w:rsidRDefault="00FF3E66" w:rsidP="00FF3E66">
      <w:pPr>
        <w:spacing w:line="360" w:lineRule="auto"/>
        <w:ind w:firstLine="720"/>
        <w:jc w:val="both"/>
        <w:rPr>
          <w:rFonts w:ascii="FrankRuehl" w:hAnsi="FrankRuehl" w:cs="FrankRuehl"/>
          <w:b/>
          <w:sz w:val="28"/>
          <w:szCs w:val="28"/>
          <w:rtl/>
        </w:rPr>
      </w:pPr>
      <w:r w:rsidRPr="009C145A">
        <w:rPr>
          <w:rFonts w:ascii="FrankRuehl" w:hAnsi="FrankRuehl" w:cs="FrankRuehl"/>
          <w:b/>
          <w:sz w:val="28"/>
          <w:szCs w:val="28"/>
          <w:rtl/>
        </w:rPr>
        <w:t xml:space="preserve">אשר לעבירת האיומים: בית המשפט מחויב להגן על עובדי ציבור בכלל, ועובדי צוות רפואי בפרט, העושים עבודתם נאמנה למען הציבור, משקיעים לילות כימים, וזכאים להגנה על שלומם, בריאותם ושלוות נפשם. אלא שבמקרה הנדון (לאחר שהנאשם זוכה מניסיון תקיפה), מדובר בעבירת איומים ברף נמוך, כזו שהתבצעה בלהט הרגע, ועל רקע מצוקה של ממש בה היו נתונים אותה עת הנאשם ורעייתו, שהיו מטופלים בבנם הפעוט. מכאן, בגין עבירת האיומים החלטתי לקבוע מתחם ענישה בין מאסר על תנאי לבין 6 חודשי מאסר שניתן לרצות בעבודות שירות. </w:t>
      </w:r>
    </w:p>
    <w:p w14:paraId="47EB51DB" w14:textId="77777777" w:rsidR="00FF3E66" w:rsidRPr="009C145A" w:rsidRDefault="00FF3E66" w:rsidP="00FF3E66">
      <w:pPr>
        <w:spacing w:line="360" w:lineRule="auto"/>
        <w:ind w:firstLine="720"/>
        <w:jc w:val="both"/>
        <w:rPr>
          <w:rFonts w:ascii="FrankRuehl" w:hAnsi="FrankRuehl" w:cs="FrankRuehl"/>
          <w:b/>
          <w:sz w:val="28"/>
          <w:szCs w:val="28"/>
          <w:rtl/>
        </w:rPr>
      </w:pPr>
    </w:p>
    <w:p w14:paraId="29B0115B" w14:textId="77777777" w:rsidR="00FF3E66" w:rsidRPr="009C145A" w:rsidRDefault="00FF3E66" w:rsidP="00FF3E66">
      <w:pPr>
        <w:spacing w:line="360" w:lineRule="auto"/>
        <w:jc w:val="both"/>
        <w:rPr>
          <w:rFonts w:ascii="Miriam" w:hAnsi="Miriam" w:cs="Miriam"/>
          <w:b/>
          <w:rtl/>
        </w:rPr>
      </w:pPr>
      <w:r w:rsidRPr="009C145A">
        <w:rPr>
          <w:rFonts w:ascii="Miriam" w:hAnsi="Miriam" w:cs="Miriam"/>
          <w:b/>
          <w:rtl/>
        </w:rPr>
        <w:t>גזירת העונש בתוך המתחם</w:t>
      </w:r>
    </w:p>
    <w:p w14:paraId="62969EE2" w14:textId="77777777" w:rsidR="00FF3E66" w:rsidRPr="009C145A" w:rsidRDefault="00FF3E66" w:rsidP="00FF3E66">
      <w:pPr>
        <w:spacing w:line="360" w:lineRule="auto"/>
        <w:jc w:val="both"/>
        <w:rPr>
          <w:rFonts w:ascii="FrankRuehl" w:hAnsi="FrankRuehl" w:cs="FrankRuehl"/>
          <w:b/>
          <w:sz w:val="28"/>
          <w:szCs w:val="28"/>
          <w:rtl/>
        </w:rPr>
      </w:pPr>
    </w:p>
    <w:p w14:paraId="475A213D" w14:textId="77777777" w:rsidR="00FF3E66" w:rsidRPr="009C145A" w:rsidRDefault="00FF3E66" w:rsidP="00FF3E66">
      <w:pPr>
        <w:spacing w:line="360" w:lineRule="auto"/>
        <w:jc w:val="both"/>
        <w:rPr>
          <w:rFonts w:ascii="FrankRuehl" w:hAnsi="FrankRuehl" w:cs="FrankRuehl"/>
          <w:b/>
          <w:sz w:val="28"/>
          <w:szCs w:val="28"/>
          <w:rtl/>
        </w:rPr>
      </w:pPr>
      <w:r w:rsidRPr="009C145A">
        <w:rPr>
          <w:rFonts w:ascii="FrankRuehl" w:hAnsi="FrankRuehl" w:cs="FrankRuehl"/>
          <w:b/>
          <w:sz w:val="28"/>
          <w:szCs w:val="28"/>
          <w:rtl/>
        </w:rPr>
        <w:t>6.</w:t>
      </w:r>
      <w:r w:rsidRPr="009C145A">
        <w:rPr>
          <w:rFonts w:ascii="FrankRuehl" w:hAnsi="FrankRuehl" w:cs="FrankRuehl"/>
          <w:b/>
          <w:sz w:val="28"/>
          <w:szCs w:val="28"/>
          <w:rtl/>
        </w:rPr>
        <w:tab/>
        <w:t xml:space="preserve">עברו הפלילי של הנאשם רלוונטי, אך רחוק בזמן. הרשעתו האחרונה משנת 2011 (איומים ותקיפה גורמת חבלה), אז ריצה עונש מאסר בן חודש בעבודות שירות. הרשעות נוספות מוקדמות יותר. הרשעותיו בעבירות תעבורה אינן רלוונטיות. הנאשם שיתף פעולה עם שירות המבחן, הביע חרטה על מעשיו, וניכר כי עשה מאמצים להתמודד עם קשייו באופן בוגר ונורמטיבי. בצד זאת, לא ניתן להתעלם מנטילת אחריות חלקית בלבד בגין עבירות הסמים, כמפורט לעיל. ההליך הטיפולי בו משתתף הנאשם איננו במידה המצדיקה חריגה לקולה ממתחמי הענישה, אך ברי כי ראוי למקמו בתחתיתם של המתחמים, כעתירתה של המאשימה. </w:t>
      </w:r>
    </w:p>
    <w:p w14:paraId="67B9F288" w14:textId="77777777" w:rsidR="00FF3E66" w:rsidRPr="009C145A" w:rsidRDefault="00FF3E66" w:rsidP="00FF3E66">
      <w:pPr>
        <w:spacing w:line="360" w:lineRule="auto"/>
        <w:ind w:firstLine="720"/>
        <w:jc w:val="both"/>
        <w:rPr>
          <w:rFonts w:ascii="FrankRuehl" w:hAnsi="FrankRuehl" w:cs="FrankRuehl"/>
          <w:b/>
          <w:sz w:val="28"/>
          <w:szCs w:val="28"/>
          <w:rtl/>
        </w:rPr>
      </w:pPr>
    </w:p>
    <w:p w14:paraId="639A2F49" w14:textId="77777777" w:rsidR="00FF3E66" w:rsidRPr="009C145A" w:rsidRDefault="00FF3E66" w:rsidP="00FF3E66">
      <w:pPr>
        <w:spacing w:line="360" w:lineRule="auto"/>
        <w:ind w:firstLine="720"/>
        <w:jc w:val="both"/>
        <w:rPr>
          <w:rFonts w:ascii="FrankRuehl" w:hAnsi="FrankRuehl" w:cs="FrankRuehl"/>
          <w:sz w:val="28"/>
          <w:szCs w:val="28"/>
          <w:rtl/>
        </w:rPr>
      </w:pPr>
      <w:r w:rsidRPr="009C145A">
        <w:rPr>
          <w:rFonts w:ascii="FrankRuehl" w:hAnsi="FrankRuehl" w:cs="FrankRuehl"/>
          <w:sz w:val="28"/>
          <w:szCs w:val="28"/>
          <w:rtl/>
        </w:rPr>
        <w:t>אני גוזר על הנאשם את העונשים הבאים:</w:t>
      </w:r>
    </w:p>
    <w:p w14:paraId="2D14E23B" w14:textId="77777777" w:rsidR="00FF3E66" w:rsidRPr="009C145A" w:rsidRDefault="00FF3E66" w:rsidP="00FF3E66">
      <w:pPr>
        <w:spacing w:line="360" w:lineRule="auto"/>
        <w:ind w:left="1440" w:hanging="720"/>
        <w:jc w:val="both"/>
        <w:rPr>
          <w:rFonts w:ascii="FrankRuehl" w:hAnsi="FrankRuehl" w:cs="FrankRuehl"/>
          <w:sz w:val="28"/>
          <w:szCs w:val="28"/>
          <w:rtl/>
        </w:rPr>
      </w:pPr>
      <w:r w:rsidRPr="009C145A">
        <w:rPr>
          <w:rFonts w:ascii="FrankRuehl" w:hAnsi="FrankRuehl" w:cs="FrankRuehl"/>
          <w:sz w:val="28"/>
          <w:szCs w:val="28"/>
          <w:rtl/>
        </w:rPr>
        <w:t>א.</w:t>
      </w:r>
      <w:r w:rsidRPr="009C145A">
        <w:rPr>
          <w:rFonts w:ascii="FrankRuehl" w:hAnsi="FrankRuehl" w:cs="FrankRuehl"/>
          <w:sz w:val="28"/>
          <w:szCs w:val="28"/>
          <w:rtl/>
        </w:rPr>
        <w:tab/>
        <w:t>3 חודשי מאסר בפועל.</w:t>
      </w:r>
    </w:p>
    <w:p w14:paraId="1537BBB1" w14:textId="77777777" w:rsidR="00FF3E66" w:rsidRPr="009C145A" w:rsidRDefault="00FF3E66" w:rsidP="00FF3E66">
      <w:pPr>
        <w:spacing w:line="360" w:lineRule="auto"/>
        <w:ind w:left="1440"/>
        <w:jc w:val="both"/>
        <w:rPr>
          <w:rFonts w:ascii="FrankRuehl" w:hAnsi="FrankRuehl" w:cs="FrankRuehl"/>
          <w:sz w:val="28"/>
          <w:szCs w:val="28"/>
          <w:rtl/>
        </w:rPr>
      </w:pPr>
      <w:r w:rsidRPr="009C145A">
        <w:rPr>
          <w:rFonts w:ascii="FrankRuehl" w:hAnsi="FrankRuehl" w:cs="FrankRuehl"/>
          <w:sz w:val="28"/>
          <w:szCs w:val="28"/>
          <w:rtl/>
        </w:rPr>
        <w:t>המאסר ירוצה בדרך של עבודות שירות בדואר קרית גת, בהתאם לחוות דעת הממונה על עבודות שירות מיום 21.6.21. הנאשם יתייצב ביום 30.8.21 בשעה 8:00 במשרדי הממונה במפקדת מחוז דרום של שב"ס.</w:t>
      </w:r>
    </w:p>
    <w:p w14:paraId="16282901" w14:textId="77777777" w:rsidR="00FF3E66" w:rsidRPr="009C145A" w:rsidRDefault="00FF3E66" w:rsidP="00FF3E66">
      <w:pPr>
        <w:spacing w:line="360" w:lineRule="auto"/>
        <w:ind w:left="1440"/>
        <w:jc w:val="both"/>
        <w:rPr>
          <w:rFonts w:ascii="FrankRuehl" w:hAnsi="FrankRuehl" w:cs="FrankRuehl"/>
          <w:sz w:val="28"/>
          <w:szCs w:val="28"/>
          <w:rtl/>
        </w:rPr>
      </w:pPr>
      <w:r w:rsidRPr="009C145A">
        <w:rPr>
          <w:rFonts w:ascii="FrankRuehl" w:hAnsi="FrankRuehl" w:cs="FrankRuehl"/>
          <w:sz w:val="28"/>
          <w:szCs w:val="28"/>
          <w:rtl/>
        </w:rPr>
        <w:t>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1DB9CB94" w14:textId="77777777" w:rsidR="00FF3E66" w:rsidRPr="009C145A" w:rsidRDefault="00FF3E66" w:rsidP="00FF3E66">
      <w:pPr>
        <w:spacing w:line="360" w:lineRule="auto"/>
        <w:ind w:left="1440" w:hanging="720"/>
        <w:jc w:val="both"/>
        <w:rPr>
          <w:rFonts w:ascii="FrankRuehl" w:hAnsi="FrankRuehl" w:cs="FrankRuehl"/>
          <w:sz w:val="28"/>
          <w:szCs w:val="28"/>
          <w:rtl/>
        </w:rPr>
      </w:pPr>
      <w:r w:rsidRPr="009C145A">
        <w:rPr>
          <w:rFonts w:ascii="FrankRuehl" w:hAnsi="FrankRuehl" w:cs="FrankRuehl"/>
          <w:sz w:val="28"/>
          <w:szCs w:val="28"/>
          <w:rtl/>
        </w:rPr>
        <w:t>ב.</w:t>
      </w:r>
      <w:r w:rsidRPr="009C145A">
        <w:rPr>
          <w:rFonts w:ascii="FrankRuehl" w:hAnsi="FrankRuehl" w:cs="FrankRuehl"/>
          <w:sz w:val="28"/>
          <w:szCs w:val="28"/>
          <w:rtl/>
        </w:rPr>
        <w:tab/>
        <w:t>3 חודשי מאסר אותם לא ירצה הנאשם אלא אם יעבור בתוך שלוש שנים עבירה על פקודת הסמים, עבירת אלימות מסוג  פשע או עוון (לרבות איומים), או נהיגה בפסילה.</w:t>
      </w:r>
    </w:p>
    <w:p w14:paraId="7BC3B9CA" w14:textId="77777777" w:rsidR="00FF3E66" w:rsidRPr="009C145A" w:rsidRDefault="00FF3E66" w:rsidP="00FF3E66">
      <w:pPr>
        <w:spacing w:line="360" w:lineRule="auto"/>
        <w:ind w:left="1440" w:hanging="720"/>
        <w:jc w:val="both"/>
        <w:rPr>
          <w:rFonts w:ascii="FrankRuehl" w:hAnsi="FrankRuehl" w:cs="FrankRuehl"/>
          <w:sz w:val="28"/>
          <w:szCs w:val="28"/>
          <w:rtl/>
        </w:rPr>
      </w:pPr>
      <w:r w:rsidRPr="009C145A">
        <w:rPr>
          <w:rFonts w:ascii="FrankRuehl" w:hAnsi="FrankRuehl" w:cs="FrankRuehl"/>
          <w:sz w:val="28"/>
          <w:szCs w:val="28"/>
          <w:rtl/>
        </w:rPr>
        <w:t>ג.</w:t>
      </w:r>
      <w:r w:rsidRPr="009C145A">
        <w:rPr>
          <w:rFonts w:ascii="FrankRuehl" w:hAnsi="FrankRuehl" w:cs="FrankRuehl"/>
          <w:sz w:val="28"/>
          <w:szCs w:val="28"/>
          <w:rtl/>
        </w:rPr>
        <w:tab/>
        <w:t>פיצויים בסך 1,000 ₪ אשר ישולמו לכל אחד מהרופאים (עדי תביעה מס' 1, 2 ב</w:t>
      </w:r>
      <w:hyperlink r:id="rId24" w:history="1">
        <w:r w:rsidR="00B90758" w:rsidRPr="00B90758">
          <w:rPr>
            <w:rFonts w:ascii="FrankRuehl" w:hAnsi="FrankRuehl" w:cs="FrankRuehl"/>
            <w:color w:val="0000FF"/>
            <w:sz w:val="28"/>
            <w:szCs w:val="28"/>
            <w:u w:val="single"/>
            <w:rtl/>
          </w:rPr>
          <w:t>ת"פ 56582-07-18</w:t>
        </w:r>
      </w:hyperlink>
      <w:r w:rsidRPr="009C145A">
        <w:rPr>
          <w:rFonts w:ascii="FrankRuehl" w:hAnsi="FrankRuehl" w:cs="FrankRuehl"/>
          <w:sz w:val="28"/>
          <w:szCs w:val="28"/>
          <w:rtl/>
        </w:rPr>
        <w:t>). הפיצויים (סה"כ 2,000 ₪) יופקדו בקופת בית המשפט עד ליום 10.10.21.</w:t>
      </w:r>
    </w:p>
    <w:p w14:paraId="1EBB7019" w14:textId="77777777" w:rsidR="00FF3E66" w:rsidRPr="009C145A" w:rsidRDefault="00FF3E66" w:rsidP="00FF3E66">
      <w:pPr>
        <w:spacing w:line="360" w:lineRule="auto"/>
        <w:ind w:left="1440" w:hanging="720"/>
        <w:jc w:val="both"/>
        <w:rPr>
          <w:rFonts w:ascii="FrankRuehl" w:hAnsi="FrankRuehl" w:cs="FrankRuehl"/>
          <w:sz w:val="28"/>
          <w:szCs w:val="28"/>
          <w:rtl/>
        </w:rPr>
      </w:pPr>
      <w:r w:rsidRPr="009C145A">
        <w:rPr>
          <w:rFonts w:ascii="FrankRuehl" w:hAnsi="FrankRuehl" w:cs="FrankRuehl"/>
          <w:sz w:val="28"/>
          <w:szCs w:val="28"/>
          <w:rtl/>
        </w:rPr>
        <w:t xml:space="preserve">ד. </w:t>
      </w:r>
      <w:r w:rsidRPr="009C145A">
        <w:rPr>
          <w:rFonts w:ascii="FrankRuehl" w:hAnsi="FrankRuehl" w:cs="FrankRuehl"/>
          <w:sz w:val="28"/>
          <w:szCs w:val="28"/>
          <w:rtl/>
        </w:rPr>
        <w:tab/>
        <w:t>אני פוסל את הנאשם מלקבל ומלהחזיק רישיון נהיגה לתקופה של 3 חודשים. הנאשם יפקיד את רישיון הנהיגה שלו במזכירות בית המשפט.</w:t>
      </w:r>
    </w:p>
    <w:p w14:paraId="17C83059" w14:textId="77777777" w:rsidR="00FF3E66" w:rsidRPr="009C145A" w:rsidRDefault="00FF3E66" w:rsidP="00FF3E66">
      <w:pPr>
        <w:spacing w:line="360" w:lineRule="auto"/>
        <w:ind w:left="1440" w:hanging="720"/>
        <w:jc w:val="both"/>
        <w:rPr>
          <w:rFonts w:ascii="FrankRuehl" w:hAnsi="FrankRuehl" w:cs="FrankRuehl"/>
          <w:sz w:val="28"/>
          <w:szCs w:val="28"/>
          <w:rtl/>
        </w:rPr>
      </w:pPr>
      <w:r w:rsidRPr="009C145A">
        <w:rPr>
          <w:rFonts w:ascii="FrankRuehl" w:hAnsi="FrankRuehl" w:cs="FrankRuehl"/>
          <w:sz w:val="28"/>
          <w:szCs w:val="28"/>
          <w:rtl/>
        </w:rPr>
        <w:t>ה.</w:t>
      </w:r>
      <w:r w:rsidRPr="009C145A">
        <w:rPr>
          <w:rFonts w:ascii="FrankRuehl" w:hAnsi="FrankRuehl" w:cs="FrankRuehl"/>
          <w:sz w:val="28"/>
          <w:szCs w:val="28"/>
          <w:rtl/>
        </w:rPr>
        <w:tab/>
        <w:t xml:space="preserve">הנאשם ייפסל מלקבל ומלהחזיק רישיון נהיגה לתקופה של 6 חודשים, ואולם הנאשם לא יישא בעונש זה אלא אם יעבור בתוך 3 שנים עבירה על פקודת הסמים או נהיגה בזמן פסילה. </w:t>
      </w:r>
    </w:p>
    <w:p w14:paraId="75F381D2" w14:textId="77777777" w:rsidR="00FF3E66" w:rsidRPr="009C145A" w:rsidRDefault="00FF3E66" w:rsidP="00FF3E66">
      <w:pPr>
        <w:spacing w:line="360" w:lineRule="auto"/>
        <w:jc w:val="both"/>
        <w:rPr>
          <w:rFonts w:ascii="FrankRuehl" w:hAnsi="FrankRuehl" w:cs="FrankRuehl"/>
          <w:sz w:val="28"/>
          <w:szCs w:val="28"/>
          <w:rtl/>
        </w:rPr>
      </w:pPr>
    </w:p>
    <w:p w14:paraId="19C85E09" w14:textId="77777777" w:rsidR="00FF3E66" w:rsidRPr="009C145A" w:rsidRDefault="00FF3E66" w:rsidP="00FF3E66">
      <w:pPr>
        <w:spacing w:line="360" w:lineRule="auto"/>
        <w:jc w:val="both"/>
        <w:rPr>
          <w:rFonts w:ascii="FrankRuehl" w:hAnsi="FrankRuehl" w:cs="Miriam"/>
          <w:b/>
          <w:sz w:val="28"/>
          <w:u w:val="single"/>
          <w:rtl/>
        </w:rPr>
      </w:pPr>
      <w:r w:rsidRPr="009C145A">
        <w:rPr>
          <w:rFonts w:ascii="FrankRuehl" w:hAnsi="FrankRuehl" w:cs="Miriam"/>
          <w:b/>
          <w:sz w:val="28"/>
          <w:u w:val="single"/>
          <w:rtl/>
        </w:rPr>
        <w:t>זכות ערעור לבית המשפט המחוזי תוך 45 ימים מהיום.</w:t>
      </w:r>
    </w:p>
    <w:p w14:paraId="36CC45C7" w14:textId="77777777" w:rsidR="00FF3E66" w:rsidRPr="009C145A" w:rsidRDefault="00FF3E66" w:rsidP="00FF3E66">
      <w:pPr>
        <w:spacing w:line="360" w:lineRule="auto"/>
        <w:rPr>
          <w:rFonts w:ascii="FrankRuehl" w:hAnsi="FrankRuehl" w:cs="FrankRuehl"/>
          <w:sz w:val="28"/>
          <w:szCs w:val="28"/>
          <w:rtl/>
        </w:rPr>
      </w:pPr>
    </w:p>
    <w:p w14:paraId="559DBA35" w14:textId="77777777" w:rsidR="00FF3E66" w:rsidRPr="009C145A" w:rsidRDefault="00FF3E66" w:rsidP="00FF3E66">
      <w:pPr>
        <w:spacing w:line="360" w:lineRule="auto"/>
        <w:jc w:val="both"/>
        <w:rPr>
          <w:rFonts w:ascii="FrankRuehl" w:hAnsi="FrankRuehl" w:cs="Miriam"/>
          <w:b/>
          <w:sz w:val="28"/>
          <w:u w:val="single"/>
          <w:rtl/>
        </w:rPr>
      </w:pPr>
      <w:r w:rsidRPr="009C145A">
        <w:rPr>
          <w:rFonts w:ascii="FrankRuehl" w:hAnsi="FrankRuehl" w:cs="Miriam"/>
          <w:b/>
          <w:sz w:val="28"/>
          <w:u w:val="single"/>
          <w:rtl/>
        </w:rPr>
        <w:t>המזכירות תעביר עותק מגזר הדין לשירות המבחן ולממונה על עבודות שירות.</w:t>
      </w:r>
    </w:p>
    <w:p w14:paraId="1EFD7812" w14:textId="77777777" w:rsidR="00FF3E66" w:rsidRPr="00B90758" w:rsidRDefault="00B90758" w:rsidP="00FF3E66">
      <w:pPr>
        <w:spacing w:line="360" w:lineRule="auto"/>
        <w:jc w:val="both"/>
        <w:rPr>
          <w:rFonts w:ascii="FrankRuehl" w:hAnsi="FrankRuehl" w:cs="Miriam"/>
          <w:b/>
          <w:color w:val="FFFFFF"/>
          <w:sz w:val="2"/>
          <w:szCs w:val="2"/>
          <w:u w:val="single"/>
          <w:rtl/>
        </w:rPr>
      </w:pPr>
      <w:r w:rsidRPr="00B90758">
        <w:rPr>
          <w:rFonts w:ascii="FrankRuehl" w:hAnsi="FrankRuehl" w:cs="Miriam"/>
          <w:b/>
          <w:color w:val="FFFFFF"/>
          <w:sz w:val="2"/>
          <w:szCs w:val="2"/>
          <w:u w:val="single"/>
          <w:rtl/>
        </w:rPr>
        <w:t>5129371</w:t>
      </w:r>
    </w:p>
    <w:p w14:paraId="7CF404D4" w14:textId="77777777" w:rsidR="00FF3E66" w:rsidRPr="009C145A" w:rsidRDefault="00B90758" w:rsidP="00FF3E66">
      <w:pPr>
        <w:spacing w:line="360" w:lineRule="auto"/>
        <w:jc w:val="both"/>
        <w:rPr>
          <w:rFonts w:ascii="FrankRuehl" w:hAnsi="FrankRuehl" w:cs="Miriam"/>
          <w:b/>
          <w:sz w:val="28"/>
          <w:u w:val="single"/>
          <w:rtl/>
        </w:rPr>
      </w:pPr>
      <w:r w:rsidRPr="00B90758">
        <w:rPr>
          <w:rFonts w:ascii="FrankRuehl" w:hAnsi="FrankRuehl" w:cs="Miriam"/>
          <w:b/>
          <w:color w:val="FFFFFF"/>
          <w:sz w:val="2"/>
          <w:szCs w:val="2"/>
          <w:u w:val="single"/>
          <w:rtl/>
        </w:rPr>
        <w:t>54678313</w:t>
      </w:r>
      <w:r w:rsidR="00FF3E66" w:rsidRPr="009C145A">
        <w:rPr>
          <w:rFonts w:ascii="FrankRuehl" w:hAnsi="FrankRuehl" w:cs="Miriam"/>
          <w:b/>
          <w:sz w:val="28"/>
          <w:u w:val="single"/>
          <w:rtl/>
        </w:rPr>
        <w:t>גזר הדין מושמע מפיו של מותב תורן.</w:t>
      </w:r>
    </w:p>
    <w:p w14:paraId="386A455B" w14:textId="77777777" w:rsidR="00FF3E66" w:rsidRPr="002B7D23" w:rsidRDefault="00FF3E66" w:rsidP="00FF3E66">
      <w:pPr>
        <w:rPr>
          <w:rFonts w:ascii="David" w:hAnsi="David"/>
          <w:sz w:val="26"/>
          <w:szCs w:val="26"/>
          <w:rtl/>
        </w:rPr>
      </w:pPr>
    </w:p>
    <w:p w14:paraId="5FF39623" w14:textId="77777777" w:rsidR="00FF3E66" w:rsidRPr="002B7D23" w:rsidRDefault="00B90758" w:rsidP="00FF3E66">
      <w:pPr>
        <w:rPr>
          <w:rFonts w:ascii="David" w:hAnsi="David"/>
          <w:sz w:val="26"/>
          <w:szCs w:val="26"/>
          <w:rtl/>
        </w:rPr>
      </w:pPr>
      <w:bookmarkStart w:id="8" w:name="Nitan"/>
      <w:r>
        <w:rPr>
          <w:rFonts w:ascii="David" w:hAnsi="David"/>
          <w:sz w:val="26"/>
          <w:szCs w:val="26"/>
          <w:rtl/>
        </w:rPr>
        <w:t xml:space="preserve">ניתן היום,  כ"ז תמוז תשפ"א, 07 יולי 2021, במעמד הצדדים. </w:t>
      </w:r>
      <w:bookmarkEnd w:id="8"/>
    </w:p>
    <w:p w14:paraId="1ED3B401" w14:textId="77777777" w:rsidR="00FF3E66" w:rsidRPr="002B7D23" w:rsidRDefault="00FF3E66" w:rsidP="00B90758">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AAD446F" w14:textId="77777777" w:rsidR="00FF3E66" w:rsidRPr="001B327C" w:rsidRDefault="001B327C" w:rsidP="00FF3E66">
      <w:pPr>
        <w:jc w:val="center"/>
        <w:rPr>
          <w:rFonts w:ascii="David" w:hAnsi="David"/>
          <w:color w:val="FFFFFF"/>
          <w:sz w:val="2"/>
          <w:szCs w:val="2"/>
          <w:rtl/>
        </w:rPr>
      </w:pPr>
      <w:r w:rsidRPr="001B327C">
        <w:rPr>
          <w:rFonts w:ascii="David" w:hAnsi="David"/>
          <w:color w:val="FFFFFF"/>
          <w:sz w:val="2"/>
          <w:szCs w:val="2"/>
          <w:rtl/>
        </w:rPr>
        <w:t>5129371</w:t>
      </w:r>
    </w:p>
    <w:p w14:paraId="24272766" w14:textId="77777777" w:rsidR="003A1E87" w:rsidRPr="001B327C" w:rsidRDefault="001B327C" w:rsidP="00B90758">
      <w:pPr>
        <w:keepNext/>
        <w:rPr>
          <w:rFonts w:ascii="David" w:hAnsi="David"/>
          <w:color w:val="FFFFFF"/>
          <w:sz w:val="2"/>
          <w:szCs w:val="2"/>
          <w:rtl/>
        </w:rPr>
      </w:pPr>
      <w:r w:rsidRPr="001B327C">
        <w:rPr>
          <w:rFonts w:ascii="David" w:hAnsi="David"/>
          <w:color w:val="FFFFFF"/>
          <w:sz w:val="2"/>
          <w:szCs w:val="2"/>
          <w:rtl/>
        </w:rPr>
        <w:t>54678313</w:t>
      </w:r>
    </w:p>
    <w:p w14:paraId="0D1F3C10" w14:textId="77777777" w:rsidR="00B90758" w:rsidRPr="00B90758" w:rsidRDefault="00B90758" w:rsidP="00B90758">
      <w:pPr>
        <w:keepNext/>
        <w:rPr>
          <w:rFonts w:ascii="David" w:hAnsi="David"/>
          <w:color w:val="000000"/>
          <w:sz w:val="22"/>
          <w:szCs w:val="22"/>
          <w:rtl/>
        </w:rPr>
      </w:pPr>
      <w:r w:rsidRPr="00B90758">
        <w:rPr>
          <w:rFonts w:ascii="David" w:hAnsi="David"/>
          <w:color w:val="000000"/>
          <w:sz w:val="22"/>
          <w:szCs w:val="22"/>
          <w:rtl/>
        </w:rPr>
        <w:t>גיא אבנון 54678313</w:t>
      </w:r>
    </w:p>
    <w:p w14:paraId="024FFAA6" w14:textId="77777777" w:rsidR="00B90758" w:rsidRDefault="00B90758" w:rsidP="00B90758">
      <w:r w:rsidRPr="00B90758">
        <w:rPr>
          <w:color w:val="000000"/>
          <w:rtl/>
        </w:rPr>
        <w:t>נוסח מסמך זה כפוף לשינויי ניסוח ועריכה</w:t>
      </w:r>
    </w:p>
    <w:p w14:paraId="514F54B2" w14:textId="77777777" w:rsidR="00B90758" w:rsidRDefault="00B90758" w:rsidP="00B90758">
      <w:pPr>
        <w:rPr>
          <w:rtl/>
        </w:rPr>
      </w:pPr>
    </w:p>
    <w:p w14:paraId="6B7118D0" w14:textId="77777777" w:rsidR="00B90758" w:rsidRDefault="00B90758" w:rsidP="00B90758">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sectPr w:rsidR="00B90758" w:rsidSect="001B327C">
      <w:headerReference w:type="even" r:id="rId26"/>
      <w:headerReference w:type="default" r:id="rId27"/>
      <w:footerReference w:type="even" r:id="rId28"/>
      <w:footerReference w:type="default" r:id="rId29"/>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4C8D2" w14:textId="77777777" w:rsidR="00F10107" w:rsidRDefault="00F10107" w:rsidP="00673434">
      <w:r>
        <w:separator/>
      </w:r>
    </w:p>
  </w:endnote>
  <w:endnote w:type="continuationSeparator" w:id="0">
    <w:p w14:paraId="205A4D51" w14:textId="77777777" w:rsidR="00F10107" w:rsidRDefault="00F10107" w:rsidP="00673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EC613" w14:textId="77777777" w:rsidR="001B327C" w:rsidRDefault="001B327C" w:rsidP="001B327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AE1B0EE" w14:textId="77777777" w:rsidR="001059FB" w:rsidRPr="001B327C" w:rsidRDefault="001B327C" w:rsidP="001B327C">
    <w:pPr>
      <w:pStyle w:val="a5"/>
      <w:pBdr>
        <w:top w:val="single" w:sz="4" w:space="1" w:color="auto"/>
        <w:between w:val="single" w:sz="4" w:space="0" w:color="auto"/>
      </w:pBdr>
      <w:spacing w:after="60"/>
      <w:jc w:val="center"/>
      <w:rPr>
        <w:rFonts w:ascii="FrankRuehl" w:hAnsi="FrankRuehl" w:cs="FrankRuehl"/>
        <w:color w:val="000000"/>
      </w:rPr>
    </w:pPr>
    <w:r w:rsidRPr="001B327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404F" w14:textId="77777777" w:rsidR="001B327C" w:rsidRDefault="001B327C" w:rsidP="001B327C">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0994">
      <w:rPr>
        <w:rFonts w:ascii="FrankRuehl" w:hAnsi="FrankRuehl" w:cs="FrankRuehl"/>
        <w:noProof/>
        <w:rtl/>
      </w:rPr>
      <w:t>1</w:t>
    </w:r>
    <w:r>
      <w:rPr>
        <w:rFonts w:ascii="FrankRuehl" w:hAnsi="FrankRuehl" w:cs="FrankRuehl"/>
        <w:rtl/>
      </w:rPr>
      <w:fldChar w:fldCharType="end"/>
    </w:r>
  </w:p>
  <w:p w14:paraId="6D6DE4FF" w14:textId="77777777" w:rsidR="001059FB" w:rsidRPr="001B327C" w:rsidRDefault="001B327C" w:rsidP="001B327C">
    <w:pPr>
      <w:pStyle w:val="a5"/>
      <w:pBdr>
        <w:top w:val="single" w:sz="4" w:space="1" w:color="auto"/>
        <w:between w:val="single" w:sz="4" w:space="0" w:color="auto"/>
      </w:pBdr>
      <w:spacing w:after="60"/>
      <w:jc w:val="center"/>
      <w:rPr>
        <w:rFonts w:ascii="FrankRuehl" w:hAnsi="FrankRuehl" w:cs="FrankRuehl"/>
        <w:color w:val="000000"/>
      </w:rPr>
    </w:pPr>
    <w:r w:rsidRPr="001B327C">
      <w:rPr>
        <w:rFonts w:ascii="FrankRuehl" w:hAnsi="FrankRuehl" w:cs="FrankRuehl"/>
        <w:color w:val="000000"/>
      </w:rPr>
      <w:pict w14:anchorId="1B147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918292" w14:textId="77777777" w:rsidR="00F10107" w:rsidRDefault="00F10107" w:rsidP="00673434">
      <w:r>
        <w:separator/>
      </w:r>
    </w:p>
  </w:footnote>
  <w:footnote w:type="continuationSeparator" w:id="0">
    <w:p w14:paraId="61FF869C" w14:textId="77777777" w:rsidR="00F10107" w:rsidRDefault="00F10107" w:rsidP="00673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CCC1B0" w14:textId="77777777" w:rsidR="00B90758" w:rsidRPr="001B327C" w:rsidRDefault="001B327C" w:rsidP="001B32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36499-10-18</w:t>
    </w:r>
    <w:r>
      <w:rPr>
        <w:rFonts w:ascii="David" w:hAnsi="David"/>
        <w:color w:val="000000"/>
        <w:sz w:val="22"/>
        <w:szCs w:val="22"/>
        <w:rtl/>
      </w:rPr>
      <w:tab/>
      <w:t xml:space="preserve"> מדינת ישראל נ' אריק אליהו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CF488" w14:textId="77777777" w:rsidR="00B90758" w:rsidRPr="001B327C" w:rsidRDefault="001B327C" w:rsidP="001B327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36499-10-18</w:t>
    </w:r>
    <w:r>
      <w:rPr>
        <w:rFonts w:ascii="David" w:hAnsi="David"/>
        <w:color w:val="000000"/>
        <w:sz w:val="22"/>
        <w:szCs w:val="22"/>
        <w:rtl/>
      </w:rPr>
      <w:tab/>
      <w:t xml:space="preserve"> מדינת ישראל נ' אריק אליהו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3E66"/>
    <w:rsid w:val="00044C21"/>
    <w:rsid w:val="001059FB"/>
    <w:rsid w:val="00130994"/>
    <w:rsid w:val="001B327C"/>
    <w:rsid w:val="001B5A3B"/>
    <w:rsid w:val="003A1E87"/>
    <w:rsid w:val="005A7B8A"/>
    <w:rsid w:val="005E4009"/>
    <w:rsid w:val="00673434"/>
    <w:rsid w:val="007726E1"/>
    <w:rsid w:val="008930BB"/>
    <w:rsid w:val="009E3338"/>
    <w:rsid w:val="00B671AF"/>
    <w:rsid w:val="00B90758"/>
    <w:rsid w:val="00C4341C"/>
    <w:rsid w:val="00F10107"/>
    <w:rsid w:val="00FF3E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10BD2B"/>
  <w15:chartTrackingRefBased/>
  <w15:docId w15:val="{995AC9FC-6D05-4EBA-8DA7-94A9B55C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3E6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3E66"/>
    <w:pPr>
      <w:tabs>
        <w:tab w:val="center" w:pos="4153"/>
        <w:tab w:val="right" w:pos="8306"/>
      </w:tabs>
    </w:pPr>
  </w:style>
  <w:style w:type="character" w:customStyle="1" w:styleId="a4">
    <w:name w:val="כותרת עליונה תו"/>
    <w:link w:val="a3"/>
    <w:rsid w:val="00FF3E66"/>
    <w:rPr>
      <w:rFonts w:ascii="Times New Roman" w:eastAsia="Times New Roman" w:hAnsi="Times New Roman" w:cs="David"/>
      <w:sz w:val="24"/>
      <w:szCs w:val="24"/>
    </w:rPr>
  </w:style>
  <w:style w:type="paragraph" w:styleId="a5">
    <w:name w:val="footer"/>
    <w:basedOn w:val="a"/>
    <w:link w:val="a6"/>
    <w:rsid w:val="00FF3E66"/>
    <w:pPr>
      <w:tabs>
        <w:tab w:val="center" w:pos="4153"/>
        <w:tab w:val="right" w:pos="8306"/>
      </w:tabs>
    </w:pPr>
  </w:style>
  <w:style w:type="character" w:customStyle="1" w:styleId="a6">
    <w:name w:val="כותרת תחתונה תו"/>
    <w:link w:val="a5"/>
    <w:rsid w:val="00FF3E66"/>
    <w:rPr>
      <w:rFonts w:ascii="Times New Roman" w:eastAsia="Times New Roman" w:hAnsi="Times New Roman" w:cs="David"/>
      <w:sz w:val="24"/>
      <w:szCs w:val="24"/>
    </w:rPr>
  </w:style>
  <w:style w:type="character" w:styleId="a7">
    <w:name w:val="page number"/>
    <w:rsid w:val="00FF3E66"/>
  </w:style>
  <w:style w:type="character" w:styleId="Hyperlink">
    <w:name w:val="Hyperlink"/>
    <w:rsid w:val="00B907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4274/26.2" TargetMode="External"/><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hyperlink" Target="http://www.nevo.co.il/law/70301/192" TargetMode="External"/><Relationship Id="rId7" Type="http://schemas.openxmlformats.org/officeDocument/2006/relationships/hyperlink" Target="http://www.nevo.co.il/case/24408932" TargetMode="External"/><Relationship Id="rId12" Type="http://schemas.openxmlformats.org/officeDocument/2006/relationships/hyperlink" Target="http://www.nevo.co.il/law/74274/26.2" TargetMode="External"/><Relationship Id="rId17" Type="http://schemas.openxmlformats.org/officeDocument/2006/relationships/hyperlink" Target="http://www.nevo.co.il/law/4216" TargetMode="External"/><Relationship Id="rId25"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0" Type="http://schemas.openxmlformats.org/officeDocument/2006/relationships/hyperlink" Target="http://www.nevo.co.il/case/24408932" TargetMode="External"/><Relationship Id="rId29"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case/25055673" TargetMode="External"/><Relationship Id="rId11" Type="http://schemas.openxmlformats.org/officeDocument/2006/relationships/hyperlink" Target="http://www.nevo.co.il/law/74274" TargetMode="External"/><Relationship Id="rId24" Type="http://schemas.openxmlformats.org/officeDocument/2006/relationships/hyperlink" Target="http://www.nevo.co.il/case/24408932" TargetMode="Externa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law/74274" TargetMode="External"/><Relationship Id="rId28" Type="http://schemas.openxmlformats.org/officeDocument/2006/relationships/footer" Target="footer1.xml"/><Relationship Id="rId10" Type="http://schemas.openxmlformats.org/officeDocument/2006/relationships/hyperlink" Target="http://www.nevo.co.il/law/4216/7.c" TargetMode="External"/><Relationship Id="rId19" Type="http://schemas.openxmlformats.org/officeDocument/2006/relationships/hyperlink" Target="http://www.nevo.co.il/law/74274"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1516</Words>
  <Characters>7585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9083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3997817</vt:i4>
      </vt:variant>
      <vt:variant>
        <vt:i4>57</vt:i4>
      </vt:variant>
      <vt:variant>
        <vt:i4>0</vt:i4>
      </vt:variant>
      <vt:variant>
        <vt:i4>5</vt:i4>
      </vt:variant>
      <vt:variant>
        <vt:lpwstr>http://www.nevo.co.il/case/24408932</vt:lpwstr>
      </vt:variant>
      <vt:variant>
        <vt:lpwstr/>
      </vt:variant>
      <vt:variant>
        <vt:i4>7929957</vt:i4>
      </vt:variant>
      <vt:variant>
        <vt:i4>54</vt:i4>
      </vt:variant>
      <vt:variant>
        <vt:i4>0</vt:i4>
      </vt:variant>
      <vt:variant>
        <vt:i4>5</vt:i4>
      </vt:variant>
      <vt:variant>
        <vt:lpwstr>http://www.nevo.co.il/law/74274</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3997817</vt:i4>
      </vt:variant>
      <vt:variant>
        <vt:i4>45</vt:i4>
      </vt:variant>
      <vt:variant>
        <vt:i4>0</vt:i4>
      </vt:variant>
      <vt:variant>
        <vt:i4>5</vt:i4>
      </vt:variant>
      <vt:variant>
        <vt:lpwstr>http://www.nevo.co.il/case/24408932</vt:lpwstr>
      </vt:variant>
      <vt:variant>
        <vt:lpwstr/>
      </vt:variant>
      <vt:variant>
        <vt:i4>7929957</vt:i4>
      </vt:variant>
      <vt:variant>
        <vt:i4>42</vt:i4>
      </vt:variant>
      <vt:variant>
        <vt:i4>0</vt:i4>
      </vt:variant>
      <vt:variant>
        <vt:i4>5</vt:i4>
      </vt:variant>
      <vt:variant>
        <vt:lpwstr>http://www.nevo.co.il/law/74274</vt:lpwstr>
      </vt:variant>
      <vt:variant>
        <vt:lpwstr/>
      </vt:variant>
      <vt:variant>
        <vt:i4>5374029</vt:i4>
      </vt:variant>
      <vt:variant>
        <vt:i4>39</vt:i4>
      </vt:variant>
      <vt:variant>
        <vt:i4>0</vt:i4>
      </vt:variant>
      <vt:variant>
        <vt:i4>5</vt:i4>
      </vt:variant>
      <vt:variant>
        <vt:lpwstr>http://www.nevo.co.il/law/74274/26.2</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3145842</vt:i4>
      </vt:variant>
      <vt:variant>
        <vt:i4>27</vt:i4>
      </vt:variant>
      <vt:variant>
        <vt:i4>0</vt:i4>
      </vt:variant>
      <vt:variant>
        <vt:i4>5</vt:i4>
      </vt:variant>
      <vt:variant>
        <vt:lpwstr>http://www.nevo.co.il/case/25055673</vt:lpwstr>
      </vt:variant>
      <vt:variant>
        <vt:lpwstr/>
      </vt:variant>
      <vt:variant>
        <vt:i4>7077988</vt:i4>
      </vt:variant>
      <vt:variant>
        <vt:i4>24</vt:i4>
      </vt:variant>
      <vt:variant>
        <vt:i4>0</vt:i4>
      </vt:variant>
      <vt:variant>
        <vt:i4>5</vt:i4>
      </vt:variant>
      <vt:variant>
        <vt:lpwstr>http://www.nevo.co.il/law/70301/192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5374029</vt:i4>
      </vt:variant>
      <vt:variant>
        <vt:i4>18</vt:i4>
      </vt:variant>
      <vt:variant>
        <vt:i4>0</vt:i4>
      </vt:variant>
      <vt:variant>
        <vt:i4>5</vt:i4>
      </vt:variant>
      <vt:variant>
        <vt:lpwstr>http://www.nevo.co.il/law/74274/26.2</vt:lpwstr>
      </vt:variant>
      <vt:variant>
        <vt:lpwstr/>
      </vt:variant>
      <vt:variant>
        <vt:i4>7929957</vt:i4>
      </vt:variant>
      <vt:variant>
        <vt:i4>15</vt:i4>
      </vt:variant>
      <vt:variant>
        <vt:i4>0</vt:i4>
      </vt:variant>
      <vt:variant>
        <vt:i4>5</vt:i4>
      </vt:variant>
      <vt:variant>
        <vt:lpwstr>http://www.nevo.co.il/law/74274</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3997817</vt:i4>
      </vt:variant>
      <vt:variant>
        <vt:i4>3</vt:i4>
      </vt:variant>
      <vt:variant>
        <vt:i4>0</vt:i4>
      </vt:variant>
      <vt:variant>
        <vt:i4>5</vt:i4>
      </vt:variant>
      <vt:variant>
        <vt:lpwstr>http://www.nevo.co.il/case/24408932</vt:lpwstr>
      </vt:variant>
      <vt:variant>
        <vt:lpwstr/>
      </vt:variant>
      <vt:variant>
        <vt:i4>3145842</vt:i4>
      </vt:variant>
      <vt:variant>
        <vt:i4>0</vt:i4>
      </vt:variant>
      <vt:variant>
        <vt:i4>0</vt:i4>
      </vt:variant>
      <vt:variant>
        <vt:i4>5</vt:i4>
      </vt:variant>
      <vt:variant>
        <vt:lpwstr>http://www.nevo.co.il/case/25055673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2025-04-22T23:55:00Z</dcterms:created>
  <dcterms:modified xsi:type="dcterms:W3CDTF">2025-04-22T23:55:00Z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36499;56582</vt:lpwstr>
  </property>
  <property fmtid="{D5CDD505-2E9C-101B-9397-08002B2CF9AE}" pid="6" name="NEWPARTB">
    <vt:lpwstr>10;07</vt:lpwstr>
  </property>
  <property fmtid="{D5CDD505-2E9C-101B-9397-08002B2CF9AE}" pid="7" name="NEWPARTC">
    <vt:lpwstr>18;18</vt:lpwstr>
  </property>
  <property fmtid="{D5CDD505-2E9C-101B-9397-08002B2CF9AE}" pid="8" name="APPELLANT">
    <vt:lpwstr>מדינת ישראל</vt:lpwstr>
  </property>
  <property fmtid="{D5CDD505-2E9C-101B-9397-08002B2CF9AE}" pid="9" name="APPELLEE">
    <vt:lpwstr>אריק אליהו</vt:lpwstr>
  </property>
  <property fmtid="{D5CDD505-2E9C-101B-9397-08002B2CF9AE}" pid="10" name="LAWYER">
    <vt:lpwstr>הדר פרשר;קים סלמה;נעמה אלחדד</vt:lpwstr>
  </property>
  <property fmtid="{D5CDD505-2E9C-101B-9397-08002B2CF9AE}" pid="11" name="JUDGE">
    <vt:lpwstr>גיא אבנון</vt:lpwstr>
  </property>
  <property fmtid="{D5CDD505-2E9C-101B-9397-08002B2CF9AE}" pid="12" name="CITY">
    <vt:lpwstr>רח'</vt:lpwstr>
  </property>
  <property fmtid="{D5CDD505-2E9C-101B-9397-08002B2CF9AE}" pid="13" name="DATE">
    <vt:lpwstr>20210707</vt:lpwstr>
  </property>
  <property fmtid="{D5CDD505-2E9C-101B-9397-08002B2CF9AE}" pid="14" name="TYPE_N_DATE">
    <vt:lpwstr>38020210707</vt:lpwstr>
  </property>
  <property fmtid="{D5CDD505-2E9C-101B-9397-08002B2CF9AE}" pid="15" name="WORDNUMPAGES">
    <vt:lpwstr>5</vt:lpwstr>
  </property>
  <property fmtid="{D5CDD505-2E9C-101B-9397-08002B2CF9AE}" pid="16" name="TYPE_ABS_DATE">
    <vt:lpwstr>380020210707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25055673:2;24408932:3</vt:lpwstr>
  </property>
  <property fmtid="{D5CDD505-2E9C-101B-9397-08002B2CF9AE}" pid="36" name="LAWLISTTMP1">
    <vt:lpwstr>4216/007.a;007.c</vt:lpwstr>
  </property>
  <property fmtid="{D5CDD505-2E9C-101B-9397-08002B2CF9AE}" pid="37" name="LAWLISTTMP2">
    <vt:lpwstr>74274/026.2</vt:lpwstr>
  </property>
  <property fmtid="{D5CDD505-2E9C-101B-9397-08002B2CF9AE}" pid="38" name="LAWLISTTMP3">
    <vt:lpwstr>70301/192</vt:lpwstr>
  </property>
</Properties>
</file>