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3062F" w14:textId="77777777" w:rsidR="006F3A29" w:rsidRPr="006F3A29" w:rsidRDefault="006F3A29" w:rsidP="006F3A29">
      <w:pPr>
        <w:pStyle w:val="a3"/>
        <w:rPr>
          <w:rtl/>
        </w:rPr>
      </w:pPr>
      <w:bookmarkStart w:id="0" w:name="LastJudge"/>
    </w:p>
    <w:tbl>
      <w:tblPr>
        <w:bidiVisual/>
        <w:tblW w:w="0" w:type="auto"/>
        <w:jc w:val="center"/>
        <w:tblLook w:val="0000" w:firstRow="0" w:lastRow="0" w:firstColumn="0" w:lastColumn="0" w:noHBand="0" w:noVBand="0"/>
      </w:tblPr>
      <w:tblGrid>
        <w:gridCol w:w="5054"/>
        <w:gridCol w:w="3667"/>
      </w:tblGrid>
      <w:tr w:rsidR="00091456" w:rsidRPr="006F3A29" w14:paraId="1C502AE6" w14:textId="77777777" w:rsidTr="00CD5378">
        <w:trPr>
          <w:trHeight w:hRule="exact" w:val="709"/>
          <w:jc w:val="center"/>
        </w:trPr>
        <w:tc>
          <w:tcPr>
            <w:tcW w:w="8721" w:type="dxa"/>
            <w:gridSpan w:val="2"/>
          </w:tcPr>
          <w:p w14:paraId="0350F2D9" w14:textId="77777777" w:rsidR="00091456" w:rsidRPr="006F3A29" w:rsidRDefault="00091456" w:rsidP="00F71DBF">
            <w:pPr>
              <w:pStyle w:val="a3"/>
              <w:jc w:val="center"/>
              <w:rPr>
                <w:sz w:val="16"/>
                <w:szCs w:val="16"/>
                <w:rtl/>
              </w:rPr>
            </w:pPr>
          </w:p>
          <w:p w14:paraId="53812408" w14:textId="77777777" w:rsidR="00091456" w:rsidRPr="006F3A29" w:rsidRDefault="00091456" w:rsidP="00F71DBF">
            <w:pPr>
              <w:pStyle w:val="a3"/>
              <w:jc w:val="center"/>
              <w:rPr>
                <w:rFonts w:ascii="Tahoma" w:hAnsi="Tahoma" w:cs="Tahoma"/>
                <w:color w:val="000080"/>
                <w:rtl/>
              </w:rPr>
            </w:pPr>
            <w:r w:rsidRPr="006F3A29">
              <w:rPr>
                <w:rFonts w:ascii="Tahoma" w:hAnsi="Tahoma" w:cs="Tahoma"/>
                <w:b/>
                <w:bCs/>
                <w:color w:val="000080"/>
                <w:rtl/>
              </w:rPr>
              <w:t>בית משפט השלום בראשון לציון</w:t>
            </w:r>
          </w:p>
        </w:tc>
      </w:tr>
      <w:tr w:rsidR="00091456" w:rsidRPr="006F3A29" w14:paraId="298FDBFC" w14:textId="77777777" w:rsidTr="00CD5378">
        <w:trPr>
          <w:trHeight w:val="337"/>
          <w:jc w:val="center"/>
        </w:trPr>
        <w:tc>
          <w:tcPr>
            <w:tcW w:w="5054" w:type="dxa"/>
          </w:tcPr>
          <w:p w14:paraId="4A8A7892" w14:textId="77777777" w:rsidR="00091456" w:rsidRPr="006F3A29" w:rsidRDefault="00091456" w:rsidP="00F71DBF">
            <w:pPr>
              <w:rPr>
                <w:rFonts w:cs="FrankRuehl"/>
                <w:sz w:val="28"/>
                <w:szCs w:val="28"/>
                <w:rtl/>
              </w:rPr>
            </w:pPr>
            <w:r w:rsidRPr="006F3A29">
              <w:rPr>
                <w:rFonts w:cs="FrankRuehl"/>
                <w:sz w:val="28"/>
                <w:szCs w:val="28"/>
                <w:rtl/>
              </w:rPr>
              <w:t>ת"פ</w:t>
            </w:r>
            <w:r w:rsidRPr="006F3A29">
              <w:rPr>
                <w:rFonts w:cs="FrankRuehl" w:hint="cs"/>
                <w:sz w:val="28"/>
                <w:szCs w:val="28"/>
                <w:rtl/>
              </w:rPr>
              <w:t xml:space="preserve"> </w:t>
            </w:r>
            <w:hyperlink r:id="rId6" w:history="1">
              <w:r w:rsidR="004F61B1" w:rsidRPr="004F61B1">
                <w:rPr>
                  <w:rFonts w:cs="FrankRuehl"/>
                  <w:color w:val="0000FF"/>
                  <w:sz w:val="28"/>
                  <w:szCs w:val="28"/>
                  <w:u w:val="single"/>
                  <w:rtl/>
                </w:rPr>
                <w:t xml:space="preserve">37295-10-18 </w:t>
              </w:r>
            </w:hyperlink>
            <w:r w:rsidRPr="006F3A29">
              <w:rPr>
                <w:rFonts w:cs="FrankRuehl" w:hint="cs"/>
                <w:sz w:val="28"/>
                <w:szCs w:val="28"/>
                <w:rtl/>
              </w:rPr>
              <w:t xml:space="preserve"> </w:t>
            </w:r>
            <w:r w:rsidRPr="006F3A29">
              <w:rPr>
                <w:rFonts w:cs="FrankRuehl"/>
                <w:sz w:val="28"/>
                <w:szCs w:val="28"/>
                <w:rtl/>
              </w:rPr>
              <w:t>מדינת ישראל נ' פרטוש ואח'</w:t>
            </w:r>
          </w:p>
          <w:p w14:paraId="3D4049AA" w14:textId="77777777" w:rsidR="00091456" w:rsidRPr="006F3A29" w:rsidRDefault="00091456" w:rsidP="00F71DBF">
            <w:pPr>
              <w:pStyle w:val="a3"/>
              <w:rPr>
                <w:rFonts w:cs="FrankRuehl"/>
                <w:sz w:val="28"/>
                <w:szCs w:val="28"/>
                <w:rtl/>
              </w:rPr>
            </w:pPr>
          </w:p>
        </w:tc>
        <w:tc>
          <w:tcPr>
            <w:tcW w:w="3667" w:type="dxa"/>
          </w:tcPr>
          <w:p w14:paraId="6656C351" w14:textId="77777777" w:rsidR="00091456" w:rsidRPr="006F3A29" w:rsidRDefault="00091456" w:rsidP="00F71DBF">
            <w:pPr>
              <w:pStyle w:val="a3"/>
              <w:jc w:val="right"/>
              <w:rPr>
                <w:rFonts w:cs="FrankRuehl"/>
                <w:sz w:val="28"/>
                <w:szCs w:val="28"/>
                <w:rtl/>
              </w:rPr>
            </w:pPr>
          </w:p>
        </w:tc>
      </w:tr>
    </w:tbl>
    <w:p w14:paraId="0EF7190F" w14:textId="77777777" w:rsidR="00091456" w:rsidRPr="006F3A29" w:rsidRDefault="00091456" w:rsidP="00091456">
      <w:pPr>
        <w:pStyle w:val="a3"/>
        <w:rPr>
          <w:rtl/>
        </w:rPr>
      </w:pPr>
      <w:r w:rsidRPr="006F3A29">
        <w:rPr>
          <w:rFonts w:hint="cs"/>
          <w:rtl/>
        </w:rPr>
        <w:t xml:space="preserve"> </w:t>
      </w:r>
    </w:p>
    <w:p w14:paraId="38890501" w14:textId="77777777" w:rsidR="00091456" w:rsidRPr="006F3A29" w:rsidRDefault="00091456" w:rsidP="00091456">
      <w:pPr>
        <w:rPr>
          <w:rtl/>
        </w:rPr>
      </w:pPr>
    </w:p>
    <w:p w14:paraId="7B91C5CF" w14:textId="77777777" w:rsidR="00091456" w:rsidRPr="006F3A29" w:rsidRDefault="00091456" w:rsidP="0009145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91456" w:rsidRPr="006F3A29" w14:paraId="4835B8C6" w14:textId="77777777" w:rsidTr="00091456">
        <w:trPr>
          <w:trHeight w:val="295"/>
          <w:jc w:val="center"/>
        </w:trPr>
        <w:tc>
          <w:tcPr>
            <w:tcW w:w="923" w:type="dxa"/>
            <w:tcBorders>
              <w:top w:val="nil"/>
              <w:left w:val="nil"/>
              <w:bottom w:val="nil"/>
              <w:right w:val="nil"/>
            </w:tcBorders>
            <w:shd w:val="clear" w:color="auto" w:fill="auto"/>
          </w:tcPr>
          <w:p w14:paraId="225E9D39" w14:textId="77777777" w:rsidR="00091456" w:rsidRPr="006F3A29" w:rsidRDefault="00091456" w:rsidP="00091456">
            <w:pPr>
              <w:jc w:val="both"/>
              <w:rPr>
                <w:rFonts w:ascii="David" w:hAnsi="David"/>
                <w:sz w:val="26"/>
                <w:szCs w:val="26"/>
              </w:rPr>
            </w:pPr>
            <w:r w:rsidRPr="006F3A2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2C25379" w14:textId="77777777" w:rsidR="00091456" w:rsidRPr="006F3A29" w:rsidRDefault="00091456" w:rsidP="00F71DBF">
            <w:pPr>
              <w:rPr>
                <w:rFonts w:ascii="David" w:hAnsi="David"/>
                <w:b/>
                <w:bCs/>
                <w:sz w:val="26"/>
                <w:szCs w:val="26"/>
                <w:rtl/>
              </w:rPr>
            </w:pPr>
            <w:r w:rsidRPr="006F3A29">
              <w:rPr>
                <w:rFonts w:ascii="David" w:hAnsi="David"/>
                <w:b/>
                <w:bCs/>
                <w:sz w:val="26"/>
                <w:szCs w:val="26"/>
                <w:rtl/>
              </w:rPr>
              <w:t>כבוד השופט  עמית מיכלס</w:t>
            </w:r>
          </w:p>
          <w:p w14:paraId="1409128A" w14:textId="77777777" w:rsidR="00091456" w:rsidRPr="006F3A29" w:rsidRDefault="00091456" w:rsidP="00F71DBF">
            <w:pPr>
              <w:rPr>
                <w:rFonts w:ascii="David" w:hAnsi="David"/>
                <w:sz w:val="26"/>
                <w:szCs w:val="26"/>
                <w:rtl/>
              </w:rPr>
            </w:pPr>
          </w:p>
          <w:p w14:paraId="3B18F9D8" w14:textId="77777777" w:rsidR="00091456" w:rsidRPr="006F3A29" w:rsidRDefault="00091456" w:rsidP="00091456">
            <w:pPr>
              <w:jc w:val="both"/>
              <w:rPr>
                <w:rFonts w:ascii="David" w:hAnsi="David"/>
                <w:sz w:val="26"/>
                <w:szCs w:val="26"/>
              </w:rPr>
            </w:pPr>
          </w:p>
        </w:tc>
      </w:tr>
      <w:tr w:rsidR="00091456" w:rsidRPr="006F3A29" w14:paraId="5C624CA6" w14:textId="77777777" w:rsidTr="00091456">
        <w:trPr>
          <w:trHeight w:val="355"/>
          <w:jc w:val="center"/>
        </w:trPr>
        <w:tc>
          <w:tcPr>
            <w:tcW w:w="923" w:type="dxa"/>
            <w:tcBorders>
              <w:top w:val="nil"/>
              <w:left w:val="nil"/>
              <w:bottom w:val="nil"/>
              <w:right w:val="nil"/>
            </w:tcBorders>
            <w:shd w:val="clear" w:color="auto" w:fill="auto"/>
          </w:tcPr>
          <w:p w14:paraId="4FFE4D95" w14:textId="77777777" w:rsidR="00091456" w:rsidRPr="006F3A29" w:rsidRDefault="00091456" w:rsidP="00091456">
            <w:pPr>
              <w:jc w:val="both"/>
              <w:rPr>
                <w:rFonts w:ascii="David" w:hAnsi="David"/>
                <w:sz w:val="26"/>
                <w:szCs w:val="26"/>
              </w:rPr>
            </w:pPr>
            <w:bookmarkStart w:id="1" w:name="FirstAppellant"/>
            <w:r w:rsidRPr="006F3A29">
              <w:rPr>
                <w:rFonts w:ascii="David" w:hAnsi="David"/>
                <w:sz w:val="26"/>
                <w:szCs w:val="26"/>
                <w:rtl/>
              </w:rPr>
              <w:t>בעניין:</w:t>
            </w:r>
          </w:p>
        </w:tc>
        <w:tc>
          <w:tcPr>
            <w:tcW w:w="4126" w:type="dxa"/>
            <w:tcBorders>
              <w:top w:val="nil"/>
              <w:left w:val="nil"/>
              <w:bottom w:val="nil"/>
              <w:right w:val="nil"/>
            </w:tcBorders>
            <w:shd w:val="clear" w:color="auto" w:fill="auto"/>
          </w:tcPr>
          <w:p w14:paraId="69F33C2C" w14:textId="77777777" w:rsidR="00091456" w:rsidRPr="006F3A29" w:rsidRDefault="00091456" w:rsidP="00F71DBF">
            <w:pPr>
              <w:rPr>
                <w:rFonts w:ascii="David" w:hAnsi="David"/>
                <w:sz w:val="26"/>
                <w:szCs w:val="26"/>
              </w:rPr>
            </w:pPr>
            <w:r w:rsidRPr="006F3A29">
              <w:rPr>
                <w:rFonts w:ascii="David" w:hAnsi="David"/>
                <w:sz w:val="26"/>
                <w:szCs w:val="26"/>
                <w:rtl/>
              </w:rPr>
              <w:t>מדינת ישראל</w:t>
            </w:r>
          </w:p>
        </w:tc>
        <w:tc>
          <w:tcPr>
            <w:tcW w:w="3771" w:type="dxa"/>
            <w:tcBorders>
              <w:top w:val="nil"/>
              <w:left w:val="nil"/>
              <w:bottom w:val="nil"/>
              <w:right w:val="nil"/>
            </w:tcBorders>
            <w:shd w:val="clear" w:color="auto" w:fill="auto"/>
          </w:tcPr>
          <w:p w14:paraId="3358452B" w14:textId="77777777" w:rsidR="00091456" w:rsidRPr="006F3A29" w:rsidRDefault="00091456" w:rsidP="00091456">
            <w:pPr>
              <w:jc w:val="both"/>
              <w:rPr>
                <w:rFonts w:ascii="David" w:hAnsi="David"/>
                <w:sz w:val="26"/>
                <w:szCs w:val="26"/>
              </w:rPr>
            </w:pPr>
          </w:p>
        </w:tc>
      </w:tr>
      <w:bookmarkEnd w:id="1"/>
      <w:tr w:rsidR="00091456" w:rsidRPr="006F3A29" w14:paraId="0303C22E" w14:textId="77777777" w:rsidTr="00091456">
        <w:trPr>
          <w:trHeight w:val="355"/>
          <w:jc w:val="center"/>
        </w:trPr>
        <w:tc>
          <w:tcPr>
            <w:tcW w:w="923" w:type="dxa"/>
            <w:tcBorders>
              <w:top w:val="nil"/>
              <w:left w:val="nil"/>
              <w:bottom w:val="nil"/>
              <w:right w:val="nil"/>
            </w:tcBorders>
            <w:shd w:val="clear" w:color="auto" w:fill="auto"/>
          </w:tcPr>
          <w:p w14:paraId="422367D4" w14:textId="77777777" w:rsidR="00091456" w:rsidRPr="006F3A29" w:rsidRDefault="00091456" w:rsidP="00091456">
            <w:pPr>
              <w:jc w:val="both"/>
              <w:rPr>
                <w:rFonts w:ascii="David" w:hAnsi="David"/>
                <w:sz w:val="26"/>
                <w:szCs w:val="26"/>
                <w:rtl/>
              </w:rPr>
            </w:pPr>
          </w:p>
        </w:tc>
        <w:tc>
          <w:tcPr>
            <w:tcW w:w="4126" w:type="dxa"/>
            <w:tcBorders>
              <w:top w:val="nil"/>
              <w:left w:val="nil"/>
              <w:bottom w:val="nil"/>
              <w:right w:val="nil"/>
            </w:tcBorders>
            <w:shd w:val="clear" w:color="auto" w:fill="auto"/>
          </w:tcPr>
          <w:p w14:paraId="6352FC97" w14:textId="77777777" w:rsidR="00091456" w:rsidRPr="006F3A29" w:rsidRDefault="00091456" w:rsidP="00091456">
            <w:pPr>
              <w:jc w:val="both"/>
              <w:rPr>
                <w:rFonts w:ascii="David" w:hAnsi="David"/>
                <w:sz w:val="26"/>
                <w:szCs w:val="26"/>
                <w:rtl/>
              </w:rPr>
            </w:pPr>
          </w:p>
        </w:tc>
        <w:tc>
          <w:tcPr>
            <w:tcW w:w="3771" w:type="dxa"/>
            <w:tcBorders>
              <w:top w:val="nil"/>
              <w:left w:val="nil"/>
              <w:bottom w:val="nil"/>
              <w:right w:val="nil"/>
            </w:tcBorders>
            <w:shd w:val="clear" w:color="auto" w:fill="auto"/>
          </w:tcPr>
          <w:p w14:paraId="01B11F20" w14:textId="77777777" w:rsidR="00091456" w:rsidRPr="006F3A29" w:rsidRDefault="00091456" w:rsidP="00091456">
            <w:pPr>
              <w:jc w:val="right"/>
              <w:rPr>
                <w:rFonts w:ascii="David" w:hAnsi="David"/>
                <w:sz w:val="26"/>
                <w:szCs w:val="26"/>
                <w:rtl/>
              </w:rPr>
            </w:pPr>
            <w:r w:rsidRPr="006F3A29">
              <w:rPr>
                <w:rFonts w:ascii="David" w:hAnsi="David"/>
                <w:sz w:val="26"/>
                <w:szCs w:val="26"/>
                <w:rtl/>
              </w:rPr>
              <w:t>המאשימה</w:t>
            </w:r>
          </w:p>
        </w:tc>
      </w:tr>
      <w:tr w:rsidR="00091456" w:rsidRPr="006F3A29" w14:paraId="3216375D" w14:textId="77777777" w:rsidTr="00091456">
        <w:trPr>
          <w:trHeight w:val="355"/>
          <w:jc w:val="center"/>
        </w:trPr>
        <w:tc>
          <w:tcPr>
            <w:tcW w:w="923" w:type="dxa"/>
            <w:tcBorders>
              <w:top w:val="nil"/>
              <w:left w:val="nil"/>
              <w:bottom w:val="nil"/>
              <w:right w:val="nil"/>
            </w:tcBorders>
            <w:shd w:val="clear" w:color="auto" w:fill="auto"/>
          </w:tcPr>
          <w:p w14:paraId="423D10FE" w14:textId="77777777" w:rsidR="00091456" w:rsidRPr="006F3A29" w:rsidRDefault="00091456" w:rsidP="0009145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BC1A62D" w14:textId="77777777" w:rsidR="00091456" w:rsidRPr="006F3A29" w:rsidRDefault="00091456" w:rsidP="00091456">
            <w:pPr>
              <w:jc w:val="center"/>
              <w:rPr>
                <w:rFonts w:ascii="David" w:hAnsi="David"/>
                <w:b/>
                <w:bCs/>
                <w:sz w:val="26"/>
                <w:szCs w:val="26"/>
                <w:rtl/>
              </w:rPr>
            </w:pPr>
          </w:p>
          <w:p w14:paraId="0F10F09B" w14:textId="77777777" w:rsidR="00091456" w:rsidRPr="006F3A29" w:rsidRDefault="00091456" w:rsidP="00091456">
            <w:pPr>
              <w:jc w:val="center"/>
              <w:rPr>
                <w:rFonts w:ascii="David" w:hAnsi="David"/>
                <w:b/>
                <w:bCs/>
                <w:sz w:val="26"/>
                <w:szCs w:val="26"/>
                <w:rtl/>
              </w:rPr>
            </w:pPr>
            <w:r w:rsidRPr="006F3A29">
              <w:rPr>
                <w:rFonts w:ascii="David" w:hAnsi="David"/>
                <w:b/>
                <w:bCs/>
                <w:sz w:val="26"/>
                <w:szCs w:val="26"/>
                <w:rtl/>
              </w:rPr>
              <w:t>נגד</w:t>
            </w:r>
          </w:p>
          <w:p w14:paraId="17EB1F23" w14:textId="77777777" w:rsidR="00091456" w:rsidRPr="006F3A29" w:rsidRDefault="00091456" w:rsidP="00091456">
            <w:pPr>
              <w:jc w:val="both"/>
              <w:rPr>
                <w:rFonts w:ascii="David" w:hAnsi="David"/>
                <w:sz w:val="26"/>
                <w:szCs w:val="26"/>
              </w:rPr>
            </w:pPr>
          </w:p>
        </w:tc>
      </w:tr>
      <w:tr w:rsidR="00091456" w:rsidRPr="006F3A29" w14:paraId="56DEC3A7" w14:textId="77777777" w:rsidTr="00091456">
        <w:trPr>
          <w:trHeight w:val="355"/>
          <w:jc w:val="center"/>
        </w:trPr>
        <w:tc>
          <w:tcPr>
            <w:tcW w:w="923" w:type="dxa"/>
            <w:tcBorders>
              <w:top w:val="nil"/>
              <w:left w:val="nil"/>
              <w:bottom w:val="nil"/>
              <w:right w:val="nil"/>
            </w:tcBorders>
            <w:shd w:val="clear" w:color="auto" w:fill="auto"/>
          </w:tcPr>
          <w:p w14:paraId="1956C6BA" w14:textId="77777777" w:rsidR="00091456" w:rsidRPr="006F3A29" w:rsidRDefault="00091456" w:rsidP="00F71DBF">
            <w:pPr>
              <w:rPr>
                <w:rFonts w:ascii="David" w:hAnsi="David"/>
                <w:sz w:val="26"/>
                <w:szCs w:val="26"/>
                <w:rtl/>
              </w:rPr>
            </w:pPr>
          </w:p>
        </w:tc>
        <w:tc>
          <w:tcPr>
            <w:tcW w:w="4126" w:type="dxa"/>
            <w:tcBorders>
              <w:top w:val="nil"/>
              <w:left w:val="nil"/>
              <w:bottom w:val="nil"/>
              <w:right w:val="nil"/>
            </w:tcBorders>
            <w:shd w:val="clear" w:color="auto" w:fill="auto"/>
          </w:tcPr>
          <w:p w14:paraId="31127C2D" w14:textId="77777777" w:rsidR="00091456" w:rsidRPr="006F3A29" w:rsidRDefault="00091456" w:rsidP="00F71DBF">
            <w:pPr>
              <w:rPr>
                <w:rFonts w:ascii="David" w:hAnsi="David"/>
                <w:sz w:val="26"/>
                <w:szCs w:val="26"/>
                <w:rtl/>
              </w:rPr>
            </w:pPr>
            <w:r w:rsidRPr="006F3A29">
              <w:rPr>
                <w:rFonts w:ascii="David" w:hAnsi="David"/>
                <w:sz w:val="26"/>
                <w:szCs w:val="26"/>
                <w:rtl/>
              </w:rPr>
              <w:t xml:space="preserve">1.     </w:t>
            </w:r>
          </w:p>
          <w:p w14:paraId="2D32A370" w14:textId="77777777" w:rsidR="00091456" w:rsidRPr="006F3A29" w:rsidRDefault="00091456" w:rsidP="00F71DBF">
            <w:pPr>
              <w:rPr>
                <w:rFonts w:ascii="David" w:hAnsi="David"/>
                <w:sz w:val="26"/>
                <w:szCs w:val="26"/>
                <w:rtl/>
              </w:rPr>
            </w:pPr>
            <w:r w:rsidRPr="006F3A29">
              <w:rPr>
                <w:rFonts w:ascii="David" w:hAnsi="David"/>
                <w:sz w:val="26"/>
                <w:szCs w:val="26"/>
                <w:rtl/>
              </w:rPr>
              <w:t>2.יורי פופוב</w:t>
            </w:r>
          </w:p>
        </w:tc>
        <w:tc>
          <w:tcPr>
            <w:tcW w:w="3771" w:type="dxa"/>
            <w:tcBorders>
              <w:top w:val="nil"/>
              <w:left w:val="nil"/>
              <w:bottom w:val="nil"/>
              <w:right w:val="nil"/>
            </w:tcBorders>
            <w:shd w:val="clear" w:color="auto" w:fill="auto"/>
          </w:tcPr>
          <w:p w14:paraId="0AB4D868" w14:textId="77777777" w:rsidR="00091456" w:rsidRPr="006F3A29" w:rsidRDefault="00091456" w:rsidP="00091456">
            <w:pPr>
              <w:jc w:val="right"/>
              <w:rPr>
                <w:rFonts w:ascii="David" w:hAnsi="David"/>
                <w:sz w:val="26"/>
                <w:szCs w:val="26"/>
              </w:rPr>
            </w:pPr>
          </w:p>
        </w:tc>
      </w:tr>
      <w:tr w:rsidR="00091456" w:rsidRPr="006F3A29" w14:paraId="794C8F63" w14:textId="77777777" w:rsidTr="00091456">
        <w:trPr>
          <w:trHeight w:val="355"/>
          <w:jc w:val="center"/>
        </w:trPr>
        <w:tc>
          <w:tcPr>
            <w:tcW w:w="923" w:type="dxa"/>
            <w:tcBorders>
              <w:top w:val="nil"/>
              <w:left w:val="nil"/>
              <w:bottom w:val="nil"/>
              <w:right w:val="nil"/>
            </w:tcBorders>
            <w:shd w:val="clear" w:color="auto" w:fill="auto"/>
          </w:tcPr>
          <w:p w14:paraId="3B04CE83" w14:textId="77777777" w:rsidR="00091456" w:rsidRPr="006F3A29" w:rsidRDefault="00091456" w:rsidP="00091456">
            <w:pPr>
              <w:jc w:val="both"/>
              <w:rPr>
                <w:rFonts w:ascii="David" w:hAnsi="David"/>
                <w:sz w:val="26"/>
                <w:szCs w:val="26"/>
                <w:rtl/>
              </w:rPr>
            </w:pPr>
          </w:p>
        </w:tc>
        <w:tc>
          <w:tcPr>
            <w:tcW w:w="4126" w:type="dxa"/>
            <w:tcBorders>
              <w:top w:val="nil"/>
              <w:left w:val="nil"/>
              <w:bottom w:val="nil"/>
              <w:right w:val="nil"/>
            </w:tcBorders>
            <w:shd w:val="clear" w:color="auto" w:fill="auto"/>
          </w:tcPr>
          <w:p w14:paraId="42734032" w14:textId="77777777" w:rsidR="00091456" w:rsidRPr="006F3A29" w:rsidRDefault="00091456" w:rsidP="00091456">
            <w:pPr>
              <w:jc w:val="both"/>
              <w:rPr>
                <w:rFonts w:ascii="David" w:hAnsi="David"/>
                <w:sz w:val="26"/>
                <w:szCs w:val="26"/>
                <w:rtl/>
              </w:rPr>
            </w:pPr>
          </w:p>
        </w:tc>
        <w:tc>
          <w:tcPr>
            <w:tcW w:w="3771" w:type="dxa"/>
            <w:tcBorders>
              <w:top w:val="nil"/>
              <w:left w:val="nil"/>
              <w:bottom w:val="nil"/>
              <w:right w:val="nil"/>
            </w:tcBorders>
            <w:shd w:val="clear" w:color="auto" w:fill="auto"/>
          </w:tcPr>
          <w:p w14:paraId="5A729860" w14:textId="77777777" w:rsidR="00091456" w:rsidRPr="006F3A29" w:rsidRDefault="00091456" w:rsidP="00091456">
            <w:pPr>
              <w:jc w:val="right"/>
              <w:rPr>
                <w:rFonts w:ascii="David" w:hAnsi="David"/>
                <w:sz w:val="26"/>
                <w:szCs w:val="26"/>
              </w:rPr>
            </w:pPr>
            <w:r w:rsidRPr="006F3A29">
              <w:rPr>
                <w:rFonts w:ascii="David" w:hAnsi="David"/>
                <w:sz w:val="26"/>
                <w:szCs w:val="26"/>
                <w:rtl/>
              </w:rPr>
              <w:t>הנאשם</w:t>
            </w:r>
          </w:p>
        </w:tc>
      </w:tr>
    </w:tbl>
    <w:p w14:paraId="0925B41E" w14:textId="77777777" w:rsidR="00091456" w:rsidRPr="006F3A29" w:rsidRDefault="00091456" w:rsidP="00091456">
      <w:pPr>
        <w:rPr>
          <w:rtl/>
        </w:rPr>
      </w:pPr>
    </w:p>
    <w:p w14:paraId="067B8CCA" w14:textId="77777777" w:rsidR="00091456" w:rsidRPr="006F3A29" w:rsidRDefault="00091456" w:rsidP="00091456">
      <w:pPr>
        <w:rPr>
          <w:rtl/>
        </w:rPr>
      </w:pPr>
    </w:p>
    <w:p w14:paraId="4CD4C31A" w14:textId="77777777" w:rsidR="00091456" w:rsidRPr="006F3A29" w:rsidRDefault="00091456" w:rsidP="00091456">
      <w:pPr>
        <w:rPr>
          <w:rtl/>
        </w:rPr>
      </w:pPr>
      <w:bookmarkStart w:id="2" w:name="FirstLawyer"/>
      <w:r w:rsidRPr="006F3A29">
        <w:rPr>
          <w:rFonts w:hint="cs"/>
          <w:rtl/>
        </w:rPr>
        <w:t>בשם</w:t>
      </w:r>
      <w:bookmarkEnd w:id="2"/>
      <w:r w:rsidRPr="006F3A29">
        <w:rPr>
          <w:rFonts w:hint="cs"/>
          <w:rtl/>
        </w:rPr>
        <w:t xml:space="preserve"> המאשימה: עוה"ד יסמין נוי ורז הורוביץ</w:t>
      </w:r>
    </w:p>
    <w:p w14:paraId="194D8C3F" w14:textId="77777777" w:rsidR="00091456" w:rsidRDefault="00091456" w:rsidP="00091456">
      <w:pPr>
        <w:rPr>
          <w:rFonts w:hint="cs"/>
          <w:rtl/>
        </w:rPr>
      </w:pPr>
      <w:r w:rsidRPr="006F3A29">
        <w:rPr>
          <w:rFonts w:hint="cs"/>
          <w:rtl/>
        </w:rPr>
        <w:t>בשם נאשם 2: עו"ד אלי מסטרמן</w:t>
      </w:r>
    </w:p>
    <w:p w14:paraId="4F0A1185" w14:textId="77777777" w:rsidR="00CD5378" w:rsidRPr="00CD5378" w:rsidRDefault="00CD5378" w:rsidP="00CD5378">
      <w:pPr>
        <w:pStyle w:val="a3"/>
        <w:spacing w:before="120"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1456" w:rsidRPr="006F3A29" w14:paraId="70DF71BC" w14:textId="77777777" w:rsidTr="00091456">
        <w:trPr>
          <w:trHeight w:val="355"/>
          <w:jc w:val="center"/>
        </w:trPr>
        <w:tc>
          <w:tcPr>
            <w:tcW w:w="8820" w:type="dxa"/>
            <w:tcBorders>
              <w:top w:val="nil"/>
              <w:left w:val="nil"/>
              <w:bottom w:val="nil"/>
              <w:right w:val="nil"/>
            </w:tcBorders>
            <w:shd w:val="clear" w:color="auto" w:fill="auto"/>
          </w:tcPr>
          <w:p w14:paraId="504F03D7" w14:textId="77777777" w:rsidR="002B7FCA" w:rsidRDefault="002B7FCA" w:rsidP="00091456">
            <w:pPr>
              <w:jc w:val="center"/>
              <w:rPr>
                <w:rFonts w:ascii="David" w:hAnsi="David"/>
                <w:b/>
                <w:bCs/>
                <w:sz w:val="32"/>
                <w:szCs w:val="32"/>
                <w:rtl/>
              </w:rPr>
            </w:pPr>
          </w:p>
          <w:p w14:paraId="025337DC" w14:textId="77777777" w:rsidR="002B7FCA" w:rsidRDefault="002B7FCA" w:rsidP="002B7FCA">
            <w:pPr>
              <w:jc w:val="center"/>
              <w:rPr>
                <w:rFonts w:ascii="David" w:hAnsi="David"/>
                <w:sz w:val="32"/>
                <w:szCs w:val="32"/>
                <w:rtl/>
              </w:rPr>
            </w:pPr>
            <w:bookmarkStart w:id="3" w:name="LawTable"/>
            <w:bookmarkEnd w:id="3"/>
          </w:p>
          <w:p w14:paraId="4D92A3D9" w14:textId="77777777" w:rsidR="002B7FCA" w:rsidRPr="002B7FCA" w:rsidRDefault="002B7FCA" w:rsidP="002B7FCA">
            <w:pPr>
              <w:spacing w:before="120" w:after="120" w:line="240" w:lineRule="exact"/>
              <w:ind w:left="283" w:hanging="283"/>
              <w:jc w:val="both"/>
              <w:rPr>
                <w:rFonts w:ascii="FrankRuehl" w:hAnsi="FrankRuehl" w:cs="FrankRuehl"/>
                <w:rtl/>
              </w:rPr>
            </w:pPr>
          </w:p>
          <w:p w14:paraId="0DA4AD21" w14:textId="77777777" w:rsidR="002B7FCA" w:rsidRPr="002B7FCA" w:rsidRDefault="002B7FCA" w:rsidP="002B7FCA">
            <w:pPr>
              <w:spacing w:before="120" w:after="120" w:line="240" w:lineRule="exact"/>
              <w:ind w:left="283" w:hanging="283"/>
              <w:jc w:val="both"/>
              <w:rPr>
                <w:rFonts w:ascii="FrankRuehl" w:hAnsi="FrankRuehl" w:cs="FrankRuehl"/>
                <w:rtl/>
              </w:rPr>
            </w:pPr>
          </w:p>
          <w:p w14:paraId="019287AF" w14:textId="77777777" w:rsidR="002B7FCA" w:rsidRPr="002B7FCA" w:rsidRDefault="002B7FCA" w:rsidP="002B7FCA">
            <w:pPr>
              <w:spacing w:before="120" w:after="120" w:line="240" w:lineRule="exact"/>
              <w:ind w:left="283" w:hanging="283"/>
              <w:jc w:val="both"/>
              <w:rPr>
                <w:rFonts w:ascii="FrankRuehl" w:hAnsi="FrankRuehl" w:cs="FrankRuehl"/>
                <w:rtl/>
              </w:rPr>
            </w:pPr>
            <w:r w:rsidRPr="002B7FCA">
              <w:rPr>
                <w:rFonts w:ascii="FrankRuehl" w:hAnsi="FrankRuehl" w:cs="FrankRuehl"/>
                <w:rtl/>
              </w:rPr>
              <w:t xml:space="preserve">חקיקה שאוזכרה: </w:t>
            </w:r>
          </w:p>
          <w:p w14:paraId="6D6BFCFE" w14:textId="77777777" w:rsidR="002B7FCA" w:rsidRPr="002B7FCA" w:rsidRDefault="002B7FCA" w:rsidP="002B7FCA">
            <w:pPr>
              <w:spacing w:before="120" w:after="120" w:line="240" w:lineRule="exact"/>
              <w:ind w:left="283" w:hanging="283"/>
              <w:jc w:val="both"/>
              <w:rPr>
                <w:rFonts w:ascii="FrankRuehl" w:hAnsi="FrankRuehl" w:cs="FrankRuehl"/>
                <w:color w:val="0000FF"/>
                <w:rtl/>
              </w:rPr>
            </w:pPr>
            <w:hyperlink r:id="rId7" w:history="1">
              <w:r w:rsidRPr="002B7FCA">
                <w:rPr>
                  <w:rStyle w:val="Hyperlink"/>
                  <w:rFonts w:ascii="FrankRuehl" w:hAnsi="FrankRuehl" w:cs="FrankRuehl"/>
                  <w:u w:val="none"/>
                  <w:rtl/>
                </w:rPr>
                <w:t>חוק העונשין, תשל"ז-1977</w:t>
              </w:r>
            </w:hyperlink>
            <w:r w:rsidRPr="002B7FCA">
              <w:rPr>
                <w:rFonts w:ascii="FrankRuehl" w:hAnsi="FrankRuehl" w:cs="FrankRuehl"/>
                <w:color w:val="0000FF"/>
                <w:rtl/>
              </w:rPr>
              <w:t xml:space="preserve">: סע'  </w:t>
            </w:r>
            <w:hyperlink r:id="rId8" w:history="1">
              <w:r w:rsidRPr="002B7FCA">
                <w:rPr>
                  <w:rStyle w:val="Hyperlink"/>
                  <w:rFonts w:ascii="FrankRuehl" w:hAnsi="FrankRuehl" w:cs="FrankRuehl"/>
                  <w:u w:val="none"/>
                </w:rPr>
                <w:t>22</w:t>
              </w:r>
              <w:r w:rsidRPr="002B7FCA">
                <w:rPr>
                  <w:rStyle w:val="Hyperlink"/>
                  <w:rFonts w:ascii="FrankRuehl" w:hAnsi="FrankRuehl" w:cs="FrankRuehl"/>
                  <w:u w:val="none"/>
                  <w:rtl/>
                </w:rPr>
                <w:t>ד</w:t>
              </w:r>
            </w:hyperlink>
            <w:r w:rsidRPr="002B7FCA">
              <w:rPr>
                <w:rFonts w:ascii="FrankRuehl" w:hAnsi="FrankRuehl" w:cs="FrankRuehl"/>
                <w:color w:val="0000FF"/>
                <w:rtl/>
              </w:rPr>
              <w:t xml:space="preserve">, </w:t>
            </w:r>
            <w:hyperlink r:id="rId9" w:history="1">
              <w:r w:rsidRPr="002B7FCA">
                <w:rPr>
                  <w:rStyle w:val="Hyperlink"/>
                  <w:rFonts w:ascii="FrankRuehl" w:hAnsi="FrankRuehl" w:cs="FrankRuehl"/>
                  <w:u w:val="none"/>
                </w:rPr>
                <w:t>31</w:t>
              </w:r>
            </w:hyperlink>
            <w:r w:rsidRPr="002B7FCA">
              <w:rPr>
                <w:rFonts w:ascii="FrankRuehl" w:hAnsi="FrankRuehl" w:cs="FrankRuehl"/>
                <w:color w:val="0000FF"/>
                <w:rtl/>
              </w:rPr>
              <w:t xml:space="preserve">, </w:t>
            </w:r>
            <w:hyperlink r:id="rId10" w:history="1">
              <w:r w:rsidRPr="002B7FCA">
                <w:rPr>
                  <w:rStyle w:val="Hyperlink"/>
                  <w:rFonts w:ascii="FrankRuehl" w:hAnsi="FrankRuehl" w:cs="FrankRuehl"/>
                  <w:u w:val="none"/>
                </w:rPr>
                <w:t>51</w:t>
              </w:r>
              <w:r w:rsidRPr="002B7FCA">
                <w:rPr>
                  <w:rStyle w:val="Hyperlink"/>
                  <w:rFonts w:ascii="FrankRuehl" w:hAnsi="FrankRuehl" w:cs="FrankRuehl"/>
                  <w:u w:val="none"/>
                  <w:rtl/>
                </w:rPr>
                <w:t>י</w:t>
              </w:r>
            </w:hyperlink>
            <w:r w:rsidRPr="002B7FCA">
              <w:rPr>
                <w:rFonts w:ascii="FrankRuehl" w:hAnsi="FrankRuehl" w:cs="FrankRuehl"/>
                <w:color w:val="0000FF"/>
                <w:rtl/>
              </w:rPr>
              <w:t xml:space="preserve">, </w:t>
            </w:r>
            <w:hyperlink r:id="rId11" w:history="1">
              <w:r w:rsidRPr="002B7FCA">
                <w:rPr>
                  <w:rStyle w:val="Hyperlink"/>
                  <w:rFonts w:ascii="FrankRuehl" w:hAnsi="FrankRuehl" w:cs="FrankRuehl"/>
                  <w:u w:val="none"/>
                </w:rPr>
                <w:t>51</w:t>
              </w:r>
              <w:r w:rsidRPr="002B7FCA">
                <w:rPr>
                  <w:rStyle w:val="Hyperlink"/>
                  <w:rFonts w:ascii="FrankRuehl" w:hAnsi="FrankRuehl" w:cs="FrankRuehl"/>
                  <w:u w:val="none"/>
                  <w:rtl/>
                </w:rPr>
                <w:t>י</w:t>
              </w:r>
            </w:hyperlink>
            <w:r w:rsidRPr="002B7FCA">
              <w:rPr>
                <w:rFonts w:ascii="FrankRuehl" w:hAnsi="FrankRuehl" w:cs="FrankRuehl"/>
                <w:color w:val="0000FF"/>
                <w:rtl/>
              </w:rPr>
              <w:t xml:space="preserve">, </w:t>
            </w:r>
            <w:hyperlink r:id="rId12" w:history="1">
              <w:r w:rsidRPr="002B7FCA">
                <w:rPr>
                  <w:rStyle w:val="Hyperlink"/>
                  <w:rFonts w:ascii="FrankRuehl" w:hAnsi="FrankRuehl" w:cs="FrankRuehl"/>
                  <w:u w:val="none"/>
                </w:rPr>
                <w:t>51</w:t>
              </w:r>
              <w:r w:rsidRPr="002B7FCA">
                <w:rPr>
                  <w:rStyle w:val="Hyperlink"/>
                  <w:rFonts w:ascii="FrankRuehl" w:hAnsi="FrankRuehl" w:cs="FrankRuehl"/>
                  <w:u w:val="none"/>
                  <w:rtl/>
                </w:rPr>
                <w:t>י</w:t>
              </w:r>
            </w:hyperlink>
            <w:r w:rsidRPr="002B7FCA">
              <w:rPr>
                <w:rFonts w:ascii="FrankRuehl" w:hAnsi="FrankRuehl" w:cs="FrankRuehl"/>
                <w:color w:val="0000FF"/>
                <w:rtl/>
              </w:rPr>
              <w:t xml:space="preserve">, </w:t>
            </w:r>
            <w:hyperlink r:id="rId13" w:history="1">
              <w:r w:rsidRPr="002B7FCA">
                <w:rPr>
                  <w:rStyle w:val="Hyperlink"/>
                  <w:rFonts w:ascii="FrankRuehl" w:hAnsi="FrankRuehl" w:cs="FrankRuehl"/>
                  <w:u w:val="none"/>
                </w:rPr>
                <w:t>80</w:t>
              </w:r>
            </w:hyperlink>
          </w:p>
          <w:p w14:paraId="62D593DC" w14:textId="77777777" w:rsidR="002B7FCA" w:rsidRPr="002B7FCA" w:rsidRDefault="002B7FCA" w:rsidP="002B7FCA">
            <w:pPr>
              <w:spacing w:before="120" w:after="120" w:line="240" w:lineRule="exact"/>
              <w:ind w:left="283" w:hanging="283"/>
              <w:jc w:val="both"/>
              <w:rPr>
                <w:rFonts w:ascii="FrankRuehl" w:hAnsi="FrankRuehl" w:cs="FrankRuehl"/>
                <w:color w:val="0000FF"/>
                <w:rtl/>
              </w:rPr>
            </w:pPr>
            <w:hyperlink r:id="rId14" w:history="1">
              <w:r w:rsidRPr="002B7FCA">
                <w:rPr>
                  <w:rStyle w:val="Hyperlink"/>
                  <w:rFonts w:ascii="FrankRuehl" w:hAnsi="FrankRuehl" w:cs="FrankRuehl"/>
                  <w:u w:val="none"/>
                  <w:rtl/>
                </w:rPr>
                <w:t>פקודת המבחן [נוסח חדש], תשכ"ט-1969</w:t>
              </w:r>
            </w:hyperlink>
            <w:r w:rsidRPr="002B7FCA">
              <w:rPr>
                <w:rFonts w:ascii="FrankRuehl" w:hAnsi="FrankRuehl" w:cs="FrankRuehl"/>
                <w:color w:val="0000FF"/>
                <w:rtl/>
              </w:rPr>
              <w:t xml:space="preserve">: סע'  </w:t>
            </w:r>
            <w:hyperlink r:id="rId15" w:history="1">
              <w:r w:rsidRPr="002B7FCA">
                <w:rPr>
                  <w:rStyle w:val="Hyperlink"/>
                  <w:rFonts w:ascii="FrankRuehl" w:hAnsi="FrankRuehl" w:cs="FrankRuehl"/>
                  <w:u w:val="none"/>
                </w:rPr>
                <w:t>20</w:t>
              </w:r>
            </w:hyperlink>
            <w:r w:rsidRPr="002B7FCA">
              <w:rPr>
                <w:rFonts w:ascii="FrankRuehl" w:hAnsi="FrankRuehl" w:cs="FrankRuehl"/>
                <w:color w:val="0000FF"/>
                <w:rtl/>
              </w:rPr>
              <w:t xml:space="preserve">, </w:t>
            </w:r>
            <w:hyperlink r:id="rId16" w:history="1">
              <w:r w:rsidRPr="002B7FCA">
                <w:rPr>
                  <w:rStyle w:val="Hyperlink"/>
                  <w:rFonts w:ascii="FrankRuehl" w:hAnsi="FrankRuehl" w:cs="FrankRuehl"/>
                  <w:u w:val="none"/>
                </w:rPr>
                <w:t>25</w:t>
              </w:r>
            </w:hyperlink>
          </w:p>
          <w:p w14:paraId="36964068" w14:textId="77777777" w:rsidR="002B7FCA" w:rsidRPr="002B7FCA" w:rsidRDefault="002B7FCA" w:rsidP="002B7FCA">
            <w:pPr>
              <w:spacing w:before="120" w:after="120" w:line="240" w:lineRule="exact"/>
              <w:ind w:left="283" w:hanging="283"/>
              <w:jc w:val="both"/>
              <w:rPr>
                <w:rFonts w:ascii="FrankRuehl" w:hAnsi="FrankRuehl" w:cs="FrankRuehl"/>
                <w:color w:val="0000FF"/>
                <w:rtl/>
              </w:rPr>
            </w:pPr>
            <w:hyperlink r:id="rId17" w:history="1">
              <w:r w:rsidRPr="002B7FCA">
                <w:rPr>
                  <w:rStyle w:val="Hyperlink"/>
                  <w:rFonts w:ascii="FrankRuehl" w:hAnsi="FrankRuehl" w:cs="FrankRuehl"/>
                  <w:u w:val="none"/>
                  <w:rtl/>
                </w:rPr>
                <w:t>פקודת הסמים המסוכנים [נוסח חדש], תשל"ג-1973</w:t>
              </w:r>
            </w:hyperlink>
            <w:r w:rsidRPr="002B7FCA">
              <w:rPr>
                <w:rFonts w:ascii="FrankRuehl" w:hAnsi="FrankRuehl" w:cs="FrankRuehl"/>
                <w:color w:val="0000FF"/>
                <w:rtl/>
              </w:rPr>
              <w:t xml:space="preserve">: סע'  </w:t>
            </w:r>
            <w:hyperlink r:id="rId18" w:history="1">
              <w:r w:rsidRPr="002B7FCA">
                <w:rPr>
                  <w:rStyle w:val="Hyperlink"/>
                  <w:rFonts w:ascii="FrankRuehl" w:hAnsi="FrankRuehl" w:cs="FrankRuehl"/>
                  <w:u w:val="none"/>
                </w:rPr>
                <w:t>13</w:t>
              </w:r>
            </w:hyperlink>
            <w:r w:rsidRPr="002B7FCA">
              <w:rPr>
                <w:rFonts w:ascii="FrankRuehl" w:hAnsi="FrankRuehl" w:cs="FrankRuehl"/>
                <w:color w:val="0000FF"/>
                <w:rtl/>
              </w:rPr>
              <w:t xml:space="preserve">, </w:t>
            </w:r>
            <w:hyperlink r:id="rId19" w:history="1">
              <w:r w:rsidRPr="002B7FCA">
                <w:rPr>
                  <w:rStyle w:val="Hyperlink"/>
                  <w:rFonts w:ascii="FrankRuehl" w:hAnsi="FrankRuehl" w:cs="FrankRuehl"/>
                  <w:u w:val="none"/>
                </w:rPr>
                <w:t>19</w:t>
              </w:r>
              <w:r w:rsidRPr="002B7FCA">
                <w:rPr>
                  <w:rStyle w:val="Hyperlink"/>
                  <w:rFonts w:ascii="FrankRuehl" w:hAnsi="FrankRuehl" w:cs="FrankRuehl"/>
                  <w:u w:val="none"/>
                  <w:rtl/>
                </w:rPr>
                <w:t>א</w:t>
              </w:r>
            </w:hyperlink>
          </w:p>
          <w:p w14:paraId="3D319552" w14:textId="77777777" w:rsidR="00091456" w:rsidRPr="002B7FCA" w:rsidRDefault="00091456" w:rsidP="002B7FCA">
            <w:pPr>
              <w:jc w:val="center"/>
              <w:rPr>
                <w:rFonts w:ascii="David" w:hAnsi="David"/>
                <w:sz w:val="32"/>
                <w:szCs w:val="32"/>
                <w:rtl/>
              </w:rPr>
            </w:pPr>
            <w:bookmarkStart w:id="4" w:name="LawTable_End"/>
            <w:bookmarkEnd w:id="4"/>
          </w:p>
          <w:p w14:paraId="323A45D4" w14:textId="77777777" w:rsidR="004F61B1" w:rsidRPr="004F61B1" w:rsidRDefault="004F61B1" w:rsidP="004F61B1">
            <w:pPr>
              <w:spacing w:before="120" w:after="120" w:line="240" w:lineRule="exact"/>
              <w:ind w:left="283" w:hanging="283"/>
              <w:jc w:val="both"/>
              <w:rPr>
                <w:rFonts w:ascii="FrankRuehl" w:hAnsi="FrankRuehl" w:cs="FrankRuehl"/>
                <w:rtl/>
              </w:rPr>
            </w:pPr>
            <w:bookmarkStart w:id="5" w:name="PsakDin"/>
          </w:p>
          <w:p w14:paraId="0095A418" w14:textId="77777777" w:rsidR="004F61B1" w:rsidRPr="004F61B1" w:rsidRDefault="004F61B1" w:rsidP="004F61B1">
            <w:pPr>
              <w:spacing w:before="120" w:after="120" w:line="240" w:lineRule="exact"/>
              <w:ind w:left="283" w:hanging="283"/>
              <w:jc w:val="both"/>
              <w:rPr>
                <w:rFonts w:ascii="FrankRuehl" w:hAnsi="FrankRuehl" w:cs="FrankRuehl"/>
                <w:rtl/>
              </w:rPr>
            </w:pPr>
            <w:r w:rsidRPr="004F61B1">
              <w:rPr>
                <w:rFonts w:ascii="FrankRuehl" w:hAnsi="FrankRuehl" w:cs="FrankRuehl"/>
                <w:rtl/>
              </w:rPr>
              <w:t xml:space="preserve">חקיקה שאוזכרה: </w:t>
            </w:r>
          </w:p>
          <w:p w14:paraId="07C4EA8A" w14:textId="77777777" w:rsidR="004F61B1" w:rsidRPr="004F61B1" w:rsidRDefault="004F61B1" w:rsidP="004F61B1">
            <w:pPr>
              <w:spacing w:before="120" w:after="120" w:line="240" w:lineRule="exact"/>
              <w:ind w:left="283" w:hanging="283"/>
              <w:jc w:val="both"/>
              <w:rPr>
                <w:rFonts w:ascii="FrankRuehl" w:hAnsi="FrankRuehl" w:cs="FrankRuehl"/>
                <w:rtl/>
              </w:rPr>
            </w:pPr>
            <w:hyperlink r:id="rId20" w:history="1">
              <w:r w:rsidRPr="004F61B1">
                <w:rPr>
                  <w:rFonts w:ascii="FrankRuehl" w:hAnsi="FrankRuehl" w:cs="FrankRuehl"/>
                  <w:color w:val="0000FF"/>
                  <w:rtl/>
                </w:rPr>
                <w:t>חוק העונשין, תשל"ז-1977</w:t>
              </w:r>
            </w:hyperlink>
            <w:r w:rsidRPr="004F61B1">
              <w:rPr>
                <w:rFonts w:ascii="FrankRuehl" w:hAnsi="FrankRuehl" w:cs="FrankRuehl"/>
                <w:rtl/>
              </w:rPr>
              <w:t xml:space="preserve">: סע'  </w:t>
            </w:r>
            <w:hyperlink r:id="rId21" w:history="1">
              <w:r w:rsidRPr="004F61B1">
                <w:rPr>
                  <w:rFonts w:ascii="FrankRuehl" w:hAnsi="FrankRuehl" w:cs="FrankRuehl"/>
                  <w:color w:val="0000FF"/>
                  <w:rtl/>
                </w:rPr>
                <w:t>22ד</w:t>
              </w:r>
            </w:hyperlink>
            <w:r w:rsidRPr="004F61B1">
              <w:rPr>
                <w:rFonts w:ascii="FrankRuehl" w:hAnsi="FrankRuehl" w:cs="FrankRuehl"/>
                <w:color w:val="0000FF"/>
                <w:rtl/>
              </w:rPr>
              <w:t xml:space="preserve">, </w:t>
            </w:r>
            <w:hyperlink r:id="rId22" w:history="1">
              <w:r w:rsidRPr="004F61B1">
                <w:rPr>
                  <w:rFonts w:ascii="FrankRuehl" w:hAnsi="FrankRuehl" w:cs="FrankRuehl"/>
                  <w:color w:val="0000FF"/>
                  <w:rtl/>
                </w:rPr>
                <w:t>31</w:t>
              </w:r>
            </w:hyperlink>
            <w:r w:rsidRPr="004F61B1">
              <w:rPr>
                <w:rFonts w:ascii="FrankRuehl" w:hAnsi="FrankRuehl" w:cs="FrankRuehl"/>
                <w:color w:val="0000FF"/>
                <w:rtl/>
              </w:rPr>
              <w:t xml:space="preserve">, </w:t>
            </w:r>
            <w:hyperlink r:id="rId23" w:history="1">
              <w:r w:rsidRPr="004F61B1">
                <w:rPr>
                  <w:rFonts w:ascii="FrankRuehl" w:hAnsi="FrankRuehl" w:cs="FrankRuehl"/>
                  <w:color w:val="0000FF"/>
                  <w:rtl/>
                </w:rPr>
                <w:t>51י</w:t>
              </w:r>
            </w:hyperlink>
            <w:r w:rsidRPr="004F61B1">
              <w:rPr>
                <w:rFonts w:ascii="FrankRuehl" w:hAnsi="FrankRuehl" w:cs="FrankRuehl"/>
                <w:color w:val="0000FF"/>
                <w:rtl/>
              </w:rPr>
              <w:t xml:space="preserve">, </w:t>
            </w:r>
            <w:hyperlink r:id="rId24" w:history="1">
              <w:r w:rsidRPr="004F61B1">
                <w:rPr>
                  <w:rFonts w:ascii="FrankRuehl" w:hAnsi="FrankRuehl" w:cs="FrankRuehl"/>
                  <w:color w:val="0000FF"/>
                  <w:rtl/>
                </w:rPr>
                <w:t>51י</w:t>
              </w:r>
            </w:hyperlink>
            <w:r w:rsidRPr="004F61B1">
              <w:rPr>
                <w:rFonts w:ascii="FrankRuehl" w:hAnsi="FrankRuehl" w:cs="FrankRuehl"/>
                <w:color w:val="0000FF"/>
                <w:rtl/>
              </w:rPr>
              <w:t xml:space="preserve">, </w:t>
            </w:r>
            <w:hyperlink r:id="rId25" w:history="1">
              <w:r w:rsidRPr="004F61B1">
                <w:rPr>
                  <w:rFonts w:ascii="FrankRuehl" w:hAnsi="FrankRuehl" w:cs="FrankRuehl"/>
                  <w:color w:val="0000FF"/>
                  <w:rtl/>
                </w:rPr>
                <w:t>51י</w:t>
              </w:r>
            </w:hyperlink>
            <w:r w:rsidRPr="004F61B1">
              <w:rPr>
                <w:rFonts w:ascii="FrankRuehl" w:hAnsi="FrankRuehl" w:cs="FrankRuehl"/>
                <w:color w:val="0000FF"/>
                <w:rtl/>
              </w:rPr>
              <w:t xml:space="preserve">, </w:t>
            </w:r>
            <w:hyperlink r:id="rId26" w:history="1">
              <w:r w:rsidRPr="004F61B1">
                <w:rPr>
                  <w:rFonts w:ascii="FrankRuehl" w:hAnsi="FrankRuehl" w:cs="FrankRuehl"/>
                  <w:color w:val="0000FF"/>
                  <w:rtl/>
                </w:rPr>
                <w:t>80</w:t>
              </w:r>
            </w:hyperlink>
          </w:p>
          <w:p w14:paraId="28665DFE" w14:textId="77777777" w:rsidR="004F61B1" w:rsidRPr="004F61B1" w:rsidRDefault="004F61B1" w:rsidP="004F61B1">
            <w:pPr>
              <w:spacing w:before="120" w:after="120" w:line="240" w:lineRule="exact"/>
              <w:ind w:left="283" w:hanging="283"/>
              <w:jc w:val="both"/>
              <w:rPr>
                <w:rFonts w:ascii="FrankRuehl" w:hAnsi="FrankRuehl" w:cs="FrankRuehl"/>
                <w:rtl/>
              </w:rPr>
            </w:pPr>
            <w:hyperlink r:id="rId27" w:history="1">
              <w:r w:rsidRPr="004F61B1">
                <w:rPr>
                  <w:rFonts w:ascii="FrankRuehl" w:hAnsi="FrankRuehl" w:cs="FrankRuehl"/>
                  <w:color w:val="0000FF"/>
                  <w:rtl/>
                </w:rPr>
                <w:t>פקודת המבחן [נוסח חדש], תשכ"ט-1969</w:t>
              </w:r>
            </w:hyperlink>
            <w:r w:rsidRPr="004F61B1">
              <w:rPr>
                <w:rFonts w:ascii="FrankRuehl" w:hAnsi="FrankRuehl" w:cs="FrankRuehl"/>
                <w:rtl/>
              </w:rPr>
              <w:t xml:space="preserve">: סע'  </w:t>
            </w:r>
            <w:hyperlink r:id="rId28" w:history="1">
              <w:r w:rsidRPr="004F61B1">
                <w:rPr>
                  <w:rFonts w:ascii="FrankRuehl" w:hAnsi="FrankRuehl" w:cs="FrankRuehl"/>
                  <w:color w:val="0000FF"/>
                  <w:rtl/>
                </w:rPr>
                <w:t>20</w:t>
              </w:r>
            </w:hyperlink>
            <w:r w:rsidRPr="004F61B1">
              <w:rPr>
                <w:rFonts w:ascii="FrankRuehl" w:hAnsi="FrankRuehl" w:cs="FrankRuehl"/>
                <w:color w:val="0000FF"/>
                <w:rtl/>
              </w:rPr>
              <w:t xml:space="preserve">, </w:t>
            </w:r>
            <w:hyperlink r:id="rId29" w:history="1">
              <w:r w:rsidRPr="004F61B1">
                <w:rPr>
                  <w:rFonts w:ascii="FrankRuehl" w:hAnsi="FrankRuehl" w:cs="FrankRuehl"/>
                  <w:color w:val="0000FF"/>
                  <w:rtl/>
                </w:rPr>
                <w:t>25</w:t>
              </w:r>
            </w:hyperlink>
          </w:p>
          <w:p w14:paraId="7A309E8B" w14:textId="77777777" w:rsidR="004F61B1" w:rsidRPr="004F61B1" w:rsidRDefault="004F61B1" w:rsidP="004F61B1">
            <w:pPr>
              <w:spacing w:before="120" w:after="120" w:line="240" w:lineRule="exact"/>
              <w:ind w:left="283" w:hanging="283"/>
              <w:jc w:val="both"/>
              <w:rPr>
                <w:rFonts w:ascii="FrankRuehl" w:hAnsi="FrankRuehl" w:cs="FrankRuehl"/>
                <w:rtl/>
              </w:rPr>
            </w:pPr>
            <w:hyperlink r:id="rId30" w:history="1">
              <w:r w:rsidRPr="004F61B1">
                <w:rPr>
                  <w:rFonts w:ascii="FrankRuehl" w:hAnsi="FrankRuehl" w:cs="FrankRuehl"/>
                  <w:color w:val="0000FF"/>
                  <w:rtl/>
                </w:rPr>
                <w:t>פקודת הסמים המסוכנים [נוסח חדש], תשל"ג-1973</w:t>
              </w:r>
            </w:hyperlink>
            <w:r w:rsidRPr="004F61B1">
              <w:rPr>
                <w:rFonts w:ascii="FrankRuehl" w:hAnsi="FrankRuehl" w:cs="FrankRuehl"/>
                <w:rtl/>
              </w:rPr>
              <w:t xml:space="preserve">: סע'  </w:t>
            </w:r>
            <w:hyperlink r:id="rId31" w:history="1">
              <w:r w:rsidRPr="004F61B1">
                <w:rPr>
                  <w:rFonts w:ascii="FrankRuehl" w:hAnsi="FrankRuehl" w:cs="FrankRuehl"/>
                  <w:color w:val="0000FF"/>
                  <w:rtl/>
                </w:rPr>
                <w:t>13</w:t>
              </w:r>
            </w:hyperlink>
            <w:r w:rsidRPr="004F61B1">
              <w:rPr>
                <w:rFonts w:ascii="FrankRuehl" w:hAnsi="FrankRuehl" w:cs="FrankRuehl"/>
                <w:color w:val="0000FF"/>
                <w:rtl/>
              </w:rPr>
              <w:t xml:space="preserve">, </w:t>
            </w:r>
            <w:hyperlink r:id="rId32" w:history="1">
              <w:r w:rsidRPr="004F61B1">
                <w:rPr>
                  <w:rFonts w:ascii="FrankRuehl" w:hAnsi="FrankRuehl" w:cs="FrankRuehl"/>
                  <w:color w:val="0000FF"/>
                  <w:rtl/>
                </w:rPr>
                <w:t>19א</w:t>
              </w:r>
            </w:hyperlink>
          </w:p>
          <w:p w14:paraId="363F24B5" w14:textId="77777777" w:rsidR="004F61B1" w:rsidRPr="004F61B1" w:rsidRDefault="004F61B1" w:rsidP="004F61B1">
            <w:pPr>
              <w:spacing w:before="120" w:after="120" w:line="240" w:lineRule="exact"/>
              <w:ind w:left="283" w:hanging="283"/>
              <w:jc w:val="both"/>
              <w:rPr>
                <w:rFonts w:ascii="FrankRuehl" w:hAnsi="FrankRuehl" w:cs="FrankRuehl"/>
                <w:rtl/>
              </w:rPr>
            </w:pPr>
          </w:p>
          <w:p w14:paraId="2F700CB2" w14:textId="77777777" w:rsidR="004F61B1" w:rsidRPr="004F61B1" w:rsidRDefault="004F61B1" w:rsidP="004F61B1">
            <w:pPr>
              <w:spacing w:before="120" w:after="120" w:line="240" w:lineRule="exact"/>
              <w:ind w:left="283" w:hanging="283"/>
              <w:jc w:val="both"/>
              <w:rPr>
                <w:rFonts w:ascii="FrankRuehl" w:hAnsi="FrankRuehl" w:cs="FrankRuehl"/>
                <w:rtl/>
              </w:rPr>
            </w:pPr>
            <w:r w:rsidRPr="004F61B1">
              <w:rPr>
                <w:rFonts w:ascii="FrankRuehl" w:hAnsi="FrankRuehl" w:cs="FrankRuehl"/>
                <w:rtl/>
              </w:rPr>
              <w:t xml:space="preserve">חקיקה שאוזכרה: </w:t>
            </w:r>
          </w:p>
          <w:p w14:paraId="78A3D370" w14:textId="77777777" w:rsidR="004F61B1" w:rsidRPr="004F61B1" w:rsidRDefault="004F61B1" w:rsidP="004F61B1">
            <w:pPr>
              <w:spacing w:before="120" w:after="120" w:line="240" w:lineRule="exact"/>
              <w:ind w:left="283" w:hanging="283"/>
              <w:jc w:val="both"/>
              <w:rPr>
                <w:rFonts w:ascii="FrankRuehl" w:hAnsi="FrankRuehl" w:cs="FrankRuehl"/>
                <w:rtl/>
              </w:rPr>
            </w:pPr>
            <w:hyperlink r:id="rId33" w:history="1">
              <w:r w:rsidRPr="004F61B1">
                <w:rPr>
                  <w:rFonts w:ascii="FrankRuehl" w:hAnsi="FrankRuehl" w:cs="FrankRuehl"/>
                  <w:rtl/>
                </w:rPr>
                <w:t>חוק העונשין, תשל"ז-1977</w:t>
              </w:r>
            </w:hyperlink>
            <w:r w:rsidRPr="004F61B1">
              <w:rPr>
                <w:rFonts w:ascii="FrankRuehl" w:hAnsi="FrankRuehl" w:cs="FrankRuehl"/>
                <w:rtl/>
              </w:rPr>
              <w:t xml:space="preserve">: סע'  </w:t>
            </w:r>
            <w:hyperlink r:id="rId34" w:history="1">
              <w:r w:rsidRPr="004F61B1">
                <w:rPr>
                  <w:rFonts w:ascii="FrankRuehl" w:hAnsi="FrankRuehl" w:cs="FrankRuehl"/>
                  <w:rtl/>
                </w:rPr>
                <w:t>22ד</w:t>
              </w:r>
            </w:hyperlink>
            <w:r w:rsidRPr="004F61B1">
              <w:rPr>
                <w:rFonts w:ascii="FrankRuehl" w:hAnsi="FrankRuehl" w:cs="FrankRuehl"/>
                <w:color w:val="0000FF"/>
                <w:rtl/>
              </w:rPr>
              <w:t>(1)(ג)</w:t>
            </w:r>
            <w:r w:rsidRPr="004F61B1">
              <w:rPr>
                <w:rFonts w:ascii="FrankRuehl" w:hAnsi="FrankRuehl" w:cs="FrankRuehl"/>
                <w:rtl/>
              </w:rPr>
              <w:t xml:space="preserve">, </w:t>
            </w:r>
            <w:hyperlink r:id="rId35" w:history="1">
              <w:r w:rsidRPr="004F61B1">
                <w:rPr>
                  <w:rFonts w:ascii="FrankRuehl" w:hAnsi="FrankRuehl" w:cs="FrankRuehl"/>
                  <w:color w:val="0000FF"/>
                  <w:rtl/>
                </w:rPr>
                <w:t>31</w:t>
              </w:r>
            </w:hyperlink>
            <w:r w:rsidRPr="004F61B1">
              <w:rPr>
                <w:rFonts w:ascii="FrankRuehl" w:hAnsi="FrankRuehl" w:cs="FrankRuehl"/>
                <w:color w:val="0000FF"/>
                <w:rtl/>
              </w:rPr>
              <w:t xml:space="preserve">, </w:t>
            </w:r>
            <w:hyperlink r:id="rId36" w:history="1">
              <w:r w:rsidRPr="004F61B1">
                <w:rPr>
                  <w:rFonts w:ascii="FrankRuehl" w:hAnsi="FrankRuehl" w:cs="FrankRuehl"/>
                  <w:color w:val="0000FF"/>
                  <w:rtl/>
                </w:rPr>
                <w:t>51י</w:t>
              </w:r>
            </w:hyperlink>
            <w:r w:rsidRPr="004F61B1">
              <w:rPr>
                <w:rFonts w:ascii="FrankRuehl" w:hAnsi="FrankRuehl" w:cs="FrankRuehl"/>
                <w:color w:val="0000FF"/>
                <w:rtl/>
              </w:rPr>
              <w:t xml:space="preserve">(א1), </w:t>
            </w:r>
            <w:hyperlink r:id="rId37" w:history="1">
              <w:r w:rsidRPr="004F61B1">
                <w:rPr>
                  <w:rFonts w:ascii="FrankRuehl" w:hAnsi="FrankRuehl" w:cs="FrankRuehl"/>
                  <w:color w:val="0000FF"/>
                  <w:rtl/>
                </w:rPr>
                <w:t>51י</w:t>
              </w:r>
            </w:hyperlink>
            <w:r w:rsidRPr="004F61B1">
              <w:rPr>
                <w:rFonts w:ascii="FrankRuehl" w:hAnsi="FrankRuehl" w:cs="FrankRuehl"/>
                <w:color w:val="0000FF"/>
                <w:rtl/>
              </w:rPr>
              <w:t xml:space="preserve">(א2), </w:t>
            </w:r>
            <w:hyperlink r:id="rId38" w:history="1">
              <w:r w:rsidRPr="004F61B1">
                <w:rPr>
                  <w:rFonts w:ascii="FrankRuehl" w:hAnsi="FrankRuehl" w:cs="FrankRuehl"/>
                  <w:color w:val="0000FF"/>
                  <w:rtl/>
                </w:rPr>
                <w:t>51י</w:t>
              </w:r>
            </w:hyperlink>
            <w:r w:rsidRPr="004F61B1">
              <w:rPr>
                <w:rFonts w:ascii="FrankRuehl" w:hAnsi="FrankRuehl" w:cs="FrankRuehl"/>
                <w:color w:val="0000FF"/>
                <w:rtl/>
              </w:rPr>
              <w:t xml:space="preserve">(ב), </w:t>
            </w:r>
            <w:hyperlink r:id="rId39" w:history="1">
              <w:r w:rsidRPr="004F61B1">
                <w:rPr>
                  <w:rFonts w:ascii="FrankRuehl" w:hAnsi="FrankRuehl" w:cs="FrankRuehl"/>
                  <w:rtl/>
                </w:rPr>
                <w:t>80</w:t>
              </w:r>
            </w:hyperlink>
          </w:p>
          <w:p w14:paraId="3FF37A88" w14:textId="77777777" w:rsidR="004F61B1" w:rsidRPr="004F61B1" w:rsidRDefault="004F61B1" w:rsidP="004F61B1">
            <w:pPr>
              <w:spacing w:before="120" w:after="120" w:line="240" w:lineRule="exact"/>
              <w:ind w:left="283" w:hanging="283"/>
              <w:jc w:val="both"/>
              <w:rPr>
                <w:rFonts w:ascii="FrankRuehl" w:hAnsi="FrankRuehl" w:cs="FrankRuehl"/>
                <w:rtl/>
              </w:rPr>
            </w:pPr>
            <w:hyperlink r:id="rId40" w:history="1">
              <w:r w:rsidRPr="004F61B1">
                <w:rPr>
                  <w:rFonts w:ascii="FrankRuehl" w:hAnsi="FrankRuehl" w:cs="FrankRuehl"/>
                  <w:rtl/>
                </w:rPr>
                <w:t>פקודת המבחן [נוסח חדש], תשכ"ט-1969</w:t>
              </w:r>
            </w:hyperlink>
            <w:r w:rsidRPr="004F61B1">
              <w:rPr>
                <w:rFonts w:ascii="FrankRuehl" w:hAnsi="FrankRuehl" w:cs="FrankRuehl"/>
                <w:rtl/>
              </w:rPr>
              <w:t xml:space="preserve">: סע'  </w:t>
            </w:r>
            <w:hyperlink r:id="rId41" w:history="1">
              <w:r w:rsidRPr="004F61B1">
                <w:rPr>
                  <w:rFonts w:ascii="FrankRuehl" w:hAnsi="FrankRuehl" w:cs="FrankRuehl"/>
                  <w:rtl/>
                </w:rPr>
                <w:t>20</w:t>
              </w:r>
            </w:hyperlink>
            <w:r w:rsidRPr="004F61B1">
              <w:rPr>
                <w:rFonts w:ascii="FrankRuehl" w:hAnsi="FrankRuehl" w:cs="FrankRuehl"/>
                <w:color w:val="0000FF"/>
                <w:rtl/>
              </w:rPr>
              <w:t>(4)</w:t>
            </w:r>
            <w:r w:rsidRPr="004F61B1">
              <w:rPr>
                <w:rFonts w:ascii="FrankRuehl" w:hAnsi="FrankRuehl" w:cs="FrankRuehl"/>
                <w:rtl/>
              </w:rPr>
              <w:t xml:space="preserve">, </w:t>
            </w:r>
            <w:hyperlink r:id="rId42" w:history="1">
              <w:r w:rsidRPr="004F61B1">
                <w:rPr>
                  <w:rFonts w:ascii="FrankRuehl" w:hAnsi="FrankRuehl" w:cs="FrankRuehl"/>
                  <w:rtl/>
                </w:rPr>
                <w:t>25</w:t>
              </w:r>
            </w:hyperlink>
          </w:p>
          <w:p w14:paraId="7AB07D35" w14:textId="77777777" w:rsidR="004F61B1" w:rsidRPr="004F61B1" w:rsidRDefault="004F61B1" w:rsidP="004F61B1">
            <w:pPr>
              <w:spacing w:before="120" w:after="120" w:line="240" w:lineRule="exact"/>
              <w:ind w:left="283" w:hanging="283"/>
              <w:jc w:val="both"/>
              <w:rPr>
                <w:rFonts w:ascii="FrankRuehl" w:hAnsi="FrankRuehl" w:cs="FrankRuehl"/>
                <w:rtl/>
              </w:rPr>
            </w:pPr>
            <w:hyperlink r:id="rId43" w:history="1">
              <w:r w:rsidRPr="004F61B1">
                <w:rPr>
                  <w:rFonts w:ascii="FrankRuehl" w:hAnsi="FrankRuehl" w:cs="FrankRuehl"/>
                  <w:rtl/>
                </w:rPr>
                <w:t>פקודת הסמים המסוכנים [נוסח חדש], תשל"ג-1973</w:t>
              </w:r>
            </w:hyperlink>
            <w:r w:rsidRPr="004F61B1">
              <w:rPr>
                <w:rFonts w:ascii="FrankRuehl" w:hAnsi="FrankRuehl" w:cs="FrankRuehl"/>
                <w:rtl/>
              </w:rPr>
              <w:t xml:space="preserve">: סע'  </w:t>
            </w:r>
            <w:hyperlink r:id="rId44" w:history="1">
              <w:r w:rsidRPr="004F61B1">
                <w:rPr>
                  <w:rFonts w:ascii="FrankRuehl" w:hAnsi="FrankRuehl" w:cs="FrankRuehl"/>
                  <w:color w:val="0000FF"/>
                  <w:rtl/>
                </w:rPr>
                <w:t>13</w:t>
              </w:r>
            </w:hyperlink>
            <w:r w:rsidRPr="004F61B1">
              <w:rPr>
                <w:rFonts w:ascii="FrankRuehl" w:hAnsi="FrankRuehl" w:cs="FrankRuehl"/>
                <w:color w:val="0000FF"/>
                <w:rtl/>
              </w:rPr>
              <w:t xml:space="preserve">, </w:t>
            </w:r>
            <w:hyperlink r:id="rId45" w:history="1">
              <w:r w:rsidRPr="004F61B1">
                <w:rPr>
                  <w:rFonts w:ascii="FrankRuehl" w:hAnsi="FrankRuehl" w:cs="FrankRuehl"/>
                  <w:rtl/>
                </w:rPr>
                <w:t>19א</w:t>
              </w:r>
            </w:hyperlink>
          </w:p>
          <w:p w14:paraId="5FC0573C" w14:textId="77777777" w:rsidR="00091456" w:rsidRPr="006F3A29" w:rsidRDefault="00091456" w:rsidP="004F61B1">
            <w:pPr>
              <w:jc w:val="center"/>
              <w:rPr>
                <w:rFonts w:ascii="David" w:hAnsi="David"/>
                <w:sz w:val="32"/>
                <w:szCs w:val="32"/>
                <w:rtl/>
              </w:rPr>
            </w:pPr>
            <w:r w:rsidRPr="004F61B1">
              <w:rPr>
                <w:rFonts w:ascii="David" w:hAnsi="David" w:hint="cs"/>
                <w:b/>
                <w:bCs/>
                <w:sz w:val="32"/>
                <w:szCs w:val="32"/>
                <w:rtl/>
              </w:rPr>
              <w:t>גזר</w:t>
            </w:r>
            <w:r w:rsidRPr="006F3A29">
              <w:rPr>
                <w:rFonts w:ascii="David" w:hAnsi="David" w:hint="cs"/>
                <w:b/>
                <w:bCs/>
                <w:sz w:val="32"/>
                <w:szCs w:val="32"/>
                <w:rtl/>
              </w:rPr>
              <w:t xml:space="preserve"> דין </w:t>
            </w:r>
            <w:bookmarkEnd w:id="5"/>
            <w:r w:rsidRPr="006F3A29">
              <w:rPr>
                <w:rFonts w:ascii="David" w:hAnsi="David" w:hint="cs"/>
                <w:b/>
                <w:bCs/>
                <w:sz w:val="32"/>
                <w:szCs w:val="32"/>
                <w:rtl/>
              </w:rPr>
              <w:t xml:space="preserve">משלים  </w:t>
            </w:r>
            <w:r w:rsidRPr="006F3A29">
              <w:rPr>
                <w:rFonts w:ascii="David" w:hAnsi="David"/>
                <w:b/>
                <w:bCs/>
                <w:sz w:val="32"/>
                <w:szCs w:val="32"/>
                <w:rtl/>
              </w:rPr>
              <w:t>–</w:t>
            </w:r>
            <w:r w:rsidRPr="006F3A29">
              <w:rPr>
                <w:rFonts w:ascii="David" w:hAnsi="David" w:hint="cs"/>
                <w:b/>
                <w:bCs/>
                <w:sz w:val="32"/>
                <w:szCs w:val="32"/>
                <w:rtl/>
              </w:rPr>
              <w:t xml:space="preserve"> נאשם 2</w:t>
            </w:r>
          </w:p>
        </w:tc>
      </w:tr>
    </w:tbl>
    <w:p w14:paraId="471B2A70" w14:textId="77777777" w:rsidR="00091456" w:rsidRPr="006F3A29" w:rsidRDefault="00091456" w:rsidP="00091456">
      <w:pPr>
        <w:spacing w:line="360" w:lineRule="auto"/>
        <w:jc w:val="both"/>
        <w:rPr>
          <w:rFonts w:ascii="FrankRuehl" w:hAnsi="FrankRuehl" w:cs="FrankRuehl"/>
          <w:sz w:val="28"/>
          <w:szCs w:val="28"/>
          <w:rtl/>
        </w:rPr>
      </w:pPr>
      <w:r w:rsidRPr="006F3A29">
        <w:rPr>
          <w:rFonts w:ascii="FrankRuehl" w:hAnsi="FrankRuehl" w:cs="FrankRuehl"/>
          <w:sz w:val="28"/>
          <w:szCs w:val="28"/>
          <w:rtl/>
        </w:rPr>
        <w:lastRenderedPageBreak/>
        <w:tab/>
      </w:r>
      <w:r w:rsidRPr="006F3A29">
        <w:rPr>
          <w:rFonts w:ascii="FrankRuehl" w:hAnsi="FrankRuehl" w:cs="FrankRuehl"/>
          <w:sz w:val="28"/>
          <w:szCs w:val="28"/>
          <w:rtl/>
        </w:rPr>
        <w:tab/>
      </w:r>
      <w:r w:rsidRPr="006F3A29">
        <w:rPr>
          <w:rFonts w:ascii="FrankRuehl" w:hAnsi="FrankRuehl" w:cs="FrankRuehl"/>
          <w:sz w:val="28"/>
          <w:szCs w:val="28"/>
          <w:rtl/>
        </w:rPr>
        <w:tab/>
      </w:r>
      <w:r w:rsidRPr="006F3A29">
        <w:rPr>
          <w:rFonts w:ascii="FrankRuehl" w:hAnsi="FrankRuehl" w:cs="FrankRuehl"/>
          <w:sz w:val="28"/>
          <w:szCs w:val="28"/>
          <w:rtl/>
        </w:rPr>
        <w:tab/>
      </w:r>
      <w:r w:rsidRPr="006F3A29">
        <w:rPr>
          <w:rFonts w:ascii="FrankRuehl" w:hAnsi="FrankRuehl" w:cs="FrankRuehl" w:hint="cs"/>
          <w:sz w:val="28"/>
          <w:szCs w:val="28"/>
          <w:rtl/>
        </w:rPr>
        <w:t>(אגב הפקעת צו מבחן)</w:t>
      </w:r>
    </w:p>
    <w:p w14:paraId="7837EF50" w14:textId="77777777" w:rsidR="00091456" w:rsidRPr="006F3A29" w:rsidRDefault="00091456" w:rsidP="00091456">
      <w:pPr>
        <w:spacing w:line="360" w:lineRule="auto"/>
        <w:jc w:val="both"/>
        <w:rPr>
          <w:rFonts w:ascii="FrankRuehl" w:hAnsi="FrankRuehl" w:cs="FrankRuehl"/>
          <w:sz w:val="28"/>
          <w:szCs w:val="28"/>
          <w:rtl/>
        </w:rPr>
      </w:pPr>
    </w:p>
    <w:bookmarkEnd w:id="0"/>
    <w:p w14:paraId="14E4CE18"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t xml:space="preserve">לפניי </w:t>
      </w:r>
      <w:bookmarkStart w:id="6" w:name="ABSTRACT_START"/>
      <w:bookmarkEnd w:id="6"/>
      <w:r>
        <w:rPr>
          <w:rFonts w:ascii="FrankRuehl" w:hAnsi="FrankRuehl" w:cs="FrankRuehl" w:hint="cs"/>
          <w:sz w:val="28"/>
          <w:szCs w:val="28"/>
          <w:rtl/>
        </w:rPr>
        <w:t xml:space="preserve">בקשת הממונה על עבודות השירות (להלן: </w:t>
      </w:r>
      <w:r w:rsidRPr="007A6666">
        <w:rPr>
          <w:rFonts w:ascii="Miriam" w:hAnsi="Miriam" w:cs="Miriam"/>
          <w:rtl/>
        </w:rPr>
        <w:t>הממונה</w:t>
      </w:r>
      <w:r>
        <w:rPr>
          <w:rFonts w:ascii="FrankRuehl" w:hAnsi="FrankRuehl" w:cs="FrankRuehl" w:hint="cs"/>
          <w:sz w:val="28"/>
          <w:szCs w:val="28"/>
          <w:rtl/>
        </w:rPr>
        <w:t xml:space="preserve">) להפסיק עונש מאסר בעבודות שירות, בהתאם </w:t>
      </w:r>
      <w:hyperlink r:id="rId46" w:history="1">
        <w:r w:rsidR="00CD5378" w:rsidRPr="00CD5378">
          <w:rPr>
            <w:rStyle w:val="Hyperlink"/>
            <w:rFonts w:ascii="FrankRuehl" w:hAnsi="FrankRuehl" w:cs="FrankRuehl" w:hint="eastAsia"/>
            <w:sz w:val="28"/>
            <w:szCs w:val="28"/>
            <w:rtl/>
          </w:rPr>
          <w:t>לסעיף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ל</w:t>
      </w:r>
      <w:hyperlink r:id="rId47" w:history="1">
        <w:r w:rsidR="006F3A29" w:rsidRPr="006F3A29">
          <w:rPr>
            <w:rFonts w:ascii="FrankRuehl" w:hAnsi="FrankRuehl" w:cs="FrankRuehl"/>
            <w:color w:val="0000FF"/>
            <w:sz w:val="28"/>
            <w:szCs w:val="28"/>
            <w:u w:val="single"/>
            <w:rtl/>
          </w:rPr>
          <w:t>חוק העונשין</w:t>
        </w:r>
      </w:hyperlink>
      <w:r>
        <w:rPr>
          <w:rFonts w:ascii="FrankRuehl" w:hAnsi="FrankRuehl" w:cs="FrankRuehl" w:hint="cs"/>
          <w:sz w:val="28"/>
          <w:szCs w:val="28"/>
          <w:rtl/>
        </w:rPr>
        <w:t xml:space="preserve">, התשל"ז-1977 (להלן: </w:t>
      </w:r>
      <w:r w:rsidRPr="00315668">
        <w:rPr>
          <w:rFonts w:ascii="Miriam" w:hAnsi="Miriam" w:cs="Miriam"/>
          <w:rtl/>
        </w:rPr>
        <w:t>החוק</w:t>
      </w:r>
      <w:r>
        <w:rPr>
          <w:rFonts w:ascii="FrankRuehl" w:hAnsi="FrankRuehl" w:cs="FrankRuehl" w:hint="cs"/>
          <w:sz w:val="28"/>
          <w:szCs w:val="28"/>
          <w:rtl/>
        </w:rPr>
        <w:t xml:space="preserve">), ובקשת שירות המבחן </w:t>
      </w:r>
      <w:r w:rsidRPr="00507D2F">
        <w:rPr>
          <w:rFonts w:ascii="FrankRuehl" w:hAnsi="FrankRuehl" w:cs="FrankRuehl" w:hint="cs"/>
          <w:sz w:val="28"/>
          <w:szCs w:val="28"/>
          <w:rtl/>
        </w:rPr>
        <w:t xml:space="preserve">להפקעת צו מבחן, לפי </w:t>
      </w:r>
      <w:hyperlink r:id="rId48"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25</w:t>
        </w:r>
      </w:hyperlink>
      <w:r w:rsidRPr="00507D2F">
        <w:rPr>
          <w:rFonts w:ascii="FrankRuehl" w:hAnsi="FrankRuehl" w:cs="FrankRuehl" w:hint="cs"/>
          <w:sz w:val="28"/>
          <w:szCs w:val="28"/>
          <w:rtl/>
        </w:rPr>
        <w:t xml:space="preserve"> ל</w:t>
      </w:r>
      <w:hyperlink r:id="rId49" w:history="1">
        <w:r w:rsidR="006F3A29" w:rsidRPr="006F3A29">
          <w:rPr>
            <w:rFonts w:ascii="FrankRuehl" w:hAnsi="FrankRuehl" w:cs="FrankRuehl"/>
            <w:color w:val="0000FF"/>
            <w:sz w:val="28"/>
            <w:szCs w:val="28"/>
            <w:u w:val="single"/>
            <w:rtl/>
          </w:rPr>
          <w:t>פקודת המבחן</w:t>
        </w:r>
      </w:hyperlink>
      <w:r w:rsidRPr="00507D2F">
        <w:rPr>
          <w:rFonts w:ascii="FrankRuehl" w:hAnsi="FrankRuehl" w:cs="FrankRuehl" w:hint="cs"/>
          <w:sz w:val="28"/>
          <w:szCs w:val="28"/>
          <w:rtl/>
        </w:rPr>
        <w:t xml:space="preserve"> [נוסח חדש], תשכ"ט-1969 (להלן: </w:t>
      </w:r>
      <w:r w:rsidRPr="00507D2F">
        <w:rPr>
          <w:rFonts w:ascii="Miriam" w:hAnsi="Miriam" w:cs="Miriam"/>
          <w:rtl/>
        </w:rPr>
        <w:t>פקודת המבחן</w:t>
      </w:r>
      <w:r>
        <w:rPr>
          <w:rFonts w:ascii="FrankRuehl" w:hAnsi="FrankRuehl" w:cs="FrankRuehl" w:hint="cs"/>
          <w:sz w:val="28"/>
          <w:szCs w:val="28"/>
          <w:rtl/>
        </w:rPr>
        <w:t>).</w:t>
      </w:r>
    </w:p>
    <w:p w14:paraId="28C33647" w14:textId="77777777" w:rsidR="00091456" w:rsidRDefault="00091456" w:rsidP="00091456">
      <w:pPr>
        <w:rPr>
          <w:rFonts w:ascii="FrankRuehl" w:hAnsi="FrankRuehl" w:cs="FrankRuehl"/>
          <w:sz w:val="28"/>
          <w:szCs w:val="28"/>
          <w:rtl/>
        </w:rPr>
      </w:pPr>
      <w:bookmarkStart w:id="7" w:name="ABSTRACT_END"/>
      <w:bookmarkEnd w:id="7"/>
    </w:p>
    <w:p w14:paraId="6406072D"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t>בפתח הדברים אציין שכותרתה של החלטה זו, "</w:t>
      </w:r>
      <w:r w:rsidRPr="00BA4A1F">
        <w:rPr>
          <w:rFonts w:ascii="Miriam" w:hAnsi="Miriam" w:cs="Miriam" w:hint="cs"/>
          <w:rtl/>
        </w:rPr>
        <w:t>גזר</w:t>
      </w:r>
      <w:r>
        <w:rPr>
          <w:rFonts w:ascii="FrankRuehl" w:hAnsi="FrankRuehl" w:cs="FrankRuehl" w:hint="cs"/>
          <w:sz w:val="28"/>
          <w:szCs w:val="28"/>
          <w:rtl/>
        </w:rPr>
        <w:t xml:space="preserve"> </w:t>
      </w:r>
      <w:r w:rsidRPr="00BA4A1F">
        <w:rPr>
          <w:rFonts w:ascii="Miriam" w:hAnsi="Miriam" w:cs="Miriam" w:hint="cs"/>
          <w:rtl/>
        </w:rPr>
        <w:t>דין</w:t>
      </w:r>
      <w:r>
        <w:rPr>
          <w:rFonts w:ascii="FrankRuehl" w:hAnsi="FrankRuehl" w:cs="FrankRuehl" w:hint="cs"/>
          <w:sz w:val="28"/>
          <w:szCs w:val="28"/>
          <w:rtl/>
        </w:rPr>
        <w:t xml:space="preserve"> </w:t>
      </w:r>
      <w:r w:rsidRPr="00BA4A1F">
        <w:rPr>
          <w:rFonts w:ascii="Miriam" w:hAnsi="Miriam" w:cs="Miriam" w:hint="cs"/>
          <w:rtl/>
        </w:rPr>
        <w:t>משלים</w:t>
      </w:r>
      <w:r>
        <w:rPr>
          <w:rFonts w:ascii="FrankRuehl" w:hAnsi="FrankRuehl" w:cs="FrankRuehl" w:hint="cs"/>
          <w:sz w:val="28"/>
          <w:szCs w:val="28"/>
          <w:rtl/>
        </w:rPr>
        <w:t>", נובעת מהבקשה להפקעת צו המבחן, המאפשרת</w:t>
      </w:r>
      <w:r w:rsidRPr="00BA4A1F">
        <w:rPr>
          <w:rFonts w:ascii="FrankRuehl" w:hAnsi="FrankRuehl" w:cs="FrankRuehl"/>
          <w:sz w:val="28"/>
          <w:szCs w:val="28"/>
          <w:rtl/>
        </w:rPr>
        <w:t xml:space="preserve"> </w:t>
      </w:r>
      <w:r>
        <w:rPr>
          <w:rFonts w:ascii="FrankRuehl" w:hAnsi="FrankRuehl" w:cs="FrankRuehl" w:hint="cs"/>
          <w:sz w:val="28"/>
          <w:szCs w:val="28"/>
          <w:rtl/>
        </w:rPr>
        <w:t>את גזירת דינו של הנאשם מחדש</w:t>
      </w:r>
      <w:r w:rsidRPr="00BA4A1F">
        <w:rPr>
          <w:rFonts w:ascii="FrankRuehl" w:hAnsi="FrankRuehl" w:cs="FrankRuehl"/>
          <w:sz w:val="28"/>
          <w:szCs w:val="28"/>
          <w:rtl/>
        </w:rPr>
        <w:t xml:space="preserve">, כאמור </w:t>
      </w:r>
      <w:hyperlink r:id="rId50" w:history="1">
        <w:r w:rsidR="00CD5378" w:rsidRPr="00CD5378">
          <w:rPr>
            <w:rStyle w:val="Hyperlink"/>
            <w:rFonts w:ascii="FrankRuehl" w:hAnsi="FrankRuehl" w:cs="FrankRuehl"/>
            <w:sz w:val="28"/>
            <w:szCs w:val="28"/>
            <w:rtl/>
          </w:rPr>
          <w:t>בסעיף 20(4)</w:t>
        </w:r>
      </w:hyperlink>
      <w:r>
        <w:rPr>
          <w:rFonts w:ascii="FrankRuehl" w:hAnsi="FrankRuehl" w:cs="FrankRuehl"/>
          <w:sz w:val="28"/>
          <w:szCs w:val="28"/>
          <w:rtl/>
        </w:rPr>
        <w:t xml:space="preserve"> ל</w:t>
      </w:r>
      <w:hyperlink r:id="rId51" w:history="1">
        <w:r w:rsidR="006F3A29" w:rsidRPr="006F3A29">
          <w:rPr>
            <w:rFonts w:ascii="FrankRuehl" w:hAnsi="FrankRuehl" w:cs="FrankRuehl"/>
            <w:color w:val="0000FF"/>
            <w:sz w:val="28"/>
            <w:szCs w:val="28"/>
            <w:u w:val="single"/>
            <w:rtl/>
          </w:rPr>
          <w:t>פקודת המבחן</w:t>
        </w:r>
      </w:hyperlink>
      <w:r>
        <w:rPr>
          <w:rFonts w:ascii="FrankRuehl" w:hAnsi="FrankRuehl" w:cs="FrankRuehl" w:hint="cs"/>
          <w:sz w:val="28"/>
          <w:szCs w:val="28"/>
          <w:rtl/>
        </w:rPr>
        <w:t xml:space="preserve">, זאת בשונה מבקשת הממונה, המאפשרת לבית המשפט להמיר את עונש עבודות השירות במסגרת </w:t>
      </w:r>
      <w:r w:rsidRPr="00BA4A1F">
        <w:rPr>
          <w:rFonts w:ascii="Miriam" w:hAnsi="Miriam" w:cs="Miriam" w:hint="cs"/>
          <w:rtl/>
        </w:rPr>
        <w:t>החלטה</w:t>
      </w:r>
      <w:r>
        <w:rPr>
          <w:rFonts w:ascii="FrankRuehl" w:hAnsi="FrankRuehl" w:cs="FrankRuehl" w:hint="cs"/>
          <w:sz w:val="28"/>
          <w:szCs w:val="28"/>
          <w:rtl/>
        </w:rPr>
        <w:t xml:space="preserve"> בלבד, כפי שיורחב בהמשך.</w:t>
      </w:r>
    </w:p>
    <w:p w14:paraId="564E2AD4" w14:textId="77777777" w:rsidR="00091456" w:rsidRDefault="00091456" w:rsidP="00091456">
      <w:pPr>
        <w:spacing w:line="360" w:lineRule="auto"/>
        <w:rPr>
          <w:rFonts w:ascii="FrankRuehl" w:hAnsi="FrankRuehl" w:cs="FrankRuehl"/>
          <w:sz w:val="28"/>
          <w:szCs w:val="28"/>
          <w:rtl/>
        </w:rPr>
      </w:pPr>
    </w:p>
    <w:p w14:paraId="0FCDECEC" w14:textId="77777777" w:rsidR="00091456" w:rsidRPr="00595149" w:rsidRDefault="00091456" w:rsidP="00091456">
      <w:pPr>
        <w:spacing w:line="360" w:lineRule="auto"/>
        <w:jc w:val="both"/>
        <w:rPr>
          <w:rFonts w:ascii="Miriam" w:hAnsi="Miriam" w:cs="Miriam"/>
          <w:sz w:val="28"/>
          <w:szCs w:val="28"/>
          <w:rtl/>
        </w:rPr>
      </w:pPr>
      <w:r w:rsidRPr="00595149">
        <w:rPr>
          <w:rFonts w:ascii="Miriam" w:hAnsi="Miriam" w:cs="Miriam"/>
          <w:sz w:val="28"/>
          <w:szCs w:val="28"/>
          <w:rtl/>
        </w:rPr>
        <w:t xml:space="preserve">רקע </w:t>
      </w:r>
    </w:p>
    <w:p w14:paraId="6A06CE68" w14:textId="77777777" w:rsidR="00091456" w:rsidRDefault="00091456" w:rsidP="00091456">
      <w:pPr>
        <w:rPr>
          <w:rFonts w:ascii="FrankRuehl" w:hAnsi="FrankRuehl" w:cs="FrankRuehl"/>
          <w:sz w:val="28"/>
          <w:szCs w:val="28"/>
          <w:rtl/>
        </w:rPr>
      </w:pPr>
    </w:p>
    <w:p w14:paraId="22296039"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 xml:space="preserve">הנאשם הורשע על יסוד הודאתו ובמסגרת הסדר דיוני בעבירה של </w:t>
      </w:r>
      <w:r w:rsidRPr="00E221BD">
        <w:rPr>
          <w:rFonts w:ascii="FrankRuehl" w:hAnsi="FrankRuehl" w:cs="FrankRuehl" w:hint="cs"/>
          <w:b/>
          <w:bCs/>
          <w:sz w:val="28"/>
          <w:szCs w:val="28"/>
          <w:rtl/>
        </w:rPr>
        <w:t>סיוע לסחר בסם מסוכן</w:t>
      </w:r>
      <w:r>
        <w:rPr>
          <w:rFonts w:ascii="FrankRuehl" w:hAnsi="FrankRuehl" w:cs="FrankRuehl" w:hint="cs"/>
          <w:sz w:val="28"/>
          <w:szCs w:val="28"/>
          <w:rtl/>
        </w:rPr>
        <w:t xml:space="preserve">, לפי </w:t>
      </w:r>
      <w:hyperlink r:id="rId52" w:history="1">
        <w:r w:rsidR="00CD5378" w:rsidRPr="00CD5378">
          <w:rPr>
            <w:rStyle w:val="Hyperlink"/>
            <w:rFonts w:ascii="FrankRuehl" w:hAnsi="FrankRuehl" w:cs="FrankRuehl" w:hint="eastAsia"/>
            <w:sz w:val="28"/>
            <w:szCs w:val="28"/>
            <w:rtl/>
          </w:rPr>
          <w:t>סעיפים</w:t>
        </w:r>
        <w:r w:rsidR="00CD5378" w:rsidRPr="00CD5378">
          <w:rPr>
            <w:rStyle w:val="Hyperlink"/>
            <w:rFonts w:ascii="FrankRuehl" w:hAnsi="FrankRuehl" w:cs="FrankRuehl"/>
            <w:sz w:val="28"/>
            <w:szCs w:val="28"/>
            <w:rtl/>
          </w:rPr>
          <w:t xml:space="preserve"> 13</w:t>
        </w:r>
      </w:hyperlink>
      <w:r>
        <w:rPr>
          <w:rFonts w:ascii="FrankRuehl" w:hAnsi="FrankRuehl" w:cs="FrankRuehl" w:hint="cs"/>
          <w:sz w:val="28"/>
          <w:szCs w:val="28"/>
          <w:rtl/>
        </w:rPr>
        <w:t xml:space="preserve"> ו-</w:t>
      </w:r>
      <w:hyperlink r:id="rId53" w:history="1">
        <w:r w:rsidR="00CD5378" w:rsidRPr="00CD5378">
          <w:rPr>
            <w:rStyle w:val="Hyperlink"/>
            <w:rFonts w:ascii="FrankRuehl" w:hAnsi="FrankRuehl" w:cs="FrankRuehl"/>
            <w:sz w:val="28"/>
            <w:szCs w:val="28"/>
            <w:rtl/>
          </w:rPr>
          <w:t>19א</w:t>
        </w:r>
      </w:hyperlink>
      <w:r>
        <w:rPr>
          <w:rFonts w:ascii="FrankRuehl" w:hAnsi="FrankRuehl" w:cs="FrankRuehl" w:hint="cs"/>
          <w:sz w:val="28"/>
          <w:szCs w:val="28"/>
          <w:rtl/>
        </w:rPr>
        <w:t xml:space="preserve"> ל</w:t>
      </w:r>
      <w:hyperlink r:id="rId54" w:history="1">
        <w:r w:rsidR="006F3A29" w:rsidRPr="006F3A29">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התשל"ג-1973, בשילוב </w:t>
      </w:r>
      <w:hyperlink r:id="rId55"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31</w:t>
        </w:r>
      </w:hyperlink>
      <w:r>
        <w:rPr>
          <w:rFonts w:ascii="FrankRuehl" w:hAnsi="FrankRuehl" w:cs="FrankRuehl" w:hint="cs"/>
          <w:sz w:val="28"/>
          <w:szCs w:val="28"/>
          <w:rtl/>
        </w:rPr>
        <w:t xml:space="preserve"> לחוק. </w:t>
      </w:r>
    </w:p>
    <w:p w14:paraId="285D2886" w14:textId="77777777" w:rsidR="00091456" w:rsidRDefault="00091456" w:rsidP="00091456">
      <w:pPr>
        <w:jc w:val="both"/>
        <w:rPr>
          <w:rFonts w:ascii="FrankRuehl" w:hAnsi="FrankRuehl" w:cs="FrankRuehl"/>
          <w:sz w:val="28"/>
          <w:szCs w:val="28"/>
          <w:rtl/>
        </w:rPr>
      </w:pPr>
    </w:p>
    <w:p w14:paraId="18E870E7"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hint="cs"/>
          <w:sz w:val="28"/>
          <w:szCs w:val="28"/>
          <w:rtl/>
        </w:rPr>
        <w:t>על פי עובדות כתב האישום המתוקן סייע הנאשם לנאשם 1 למכור לסוכן משטרתי סם מסוכן מסוג קנאביס במשקל של 300 גרם, תמורת 10,000 ₪ באמצעות יישומון הטלגרם. לאחר שנאשם 1 והסוכן סיכמו על פרטי העסקה, פגש הסוכן את הנאשם, אשר הובילו לחניון סמוך ובו חדר, שם המתין להם נאשם 1, כשהוא ישוב על מזרן בסמוך למשקל, שקיות והסם. נאשם 1 מסר לסוכן את הסם במשקל 212.36 גרם נטו, והסוכן מסר לנאשם סך של 10,000 ש"ח.</w:t>
      </w:r>
    </w:p>
    <w:p w14:paraId="284007B1" w14:textId="77777777" w:rsidR="00091456" w:rsidRDefault="00091456" w:rsidP="00091456">
      <w:pPr>
        <w:rPr>
          <w:rFonts w:ascii="FrankRuehl" w:hAnsi="FrankRuehl" w:cs="FrankRuehl"/>
          <w:sz w:val="28"/>
          <w:szCs w:val="28"/>
          <w:rtl/>
        </w:rPr>
      </w:pPr>
    </w:p>
    <w:p w14:paraId="3B73C680"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ביום 10.2.2020 נגזר דינו של הנאשם, לאחר שנשמעו טיעוני הצדדים לעונש, ולא לפני שהתקבלו בעניינו 3 תסקירים מאת שירות המבחן, וכן חוות דעת הממונה, שמצאה אותו כשיר לרצות עונש מאסר בעבודות שירות. במסגרת גזר הדין מצאתי להטיל על הנאשם 3 חודשי מאסר שירוצו בדרך של עבודות שירות, מאסר מותנה, קנס בסך 1,000 ₪ וצו מבחן למשך שנה. רכיבי הענישה של המאסר בעבודות שירות וצו המבחן הם העומדים במרכז הדיון שלפנינו.</w:t>
      </w:r>
    </w:p>
    <w:p w14:paraId="6392F4FD" w14:textId="77777777" w:rsidR="00091456" w:rsidRDefault="00091456" w:rsidP="00091456">
      <w:pPr>
        <w:rPr>
          <w:rFonts w:ascii="FrankRuehl" w:hAnsi="FrankRuehl" w:cs="FrankRuehl"/>
          <w:sz w:val="28"/>
          <w:szCs w:val="28"/>
          <w:rtl/>
        </w:rPr>
      </w:pPr>
    </w:p>
    <w:p w14:paraId="17CD7B9C"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5.</w:t>
      </w:r>
      <w:r>
        <w:rPr>
          <w:rFonts w:ascii="FrankRuehl" w:hAnsi="FrankRuehl" w:cs="FrankRuehl"/>
          <w:sz w:val="28"/>
          <w:szCs w:val="28"/>
          <w:rtl/>
        </w:rPr>
        <w:tab/>
      </w:r>
      <w:r>
        <w:rPr>
          <w:rFonts w:ascii="FrankRuehl" w:hAnsi="FrankRuehl" w:cs="FrankRuehl" w:hint="cs"/>
          <w:sz w:val="28"/>
          <w:szCs w:val="28"/>
          <w:rtl/>
        </w:rPr>
        <w:t xml:space="preserve">ביום 16.9.2020 הוגשה בקשת הממונה להפסיק את עבודות השירות, בנימוק שנגד הנאשם הוגש ביום 14.9.2020 כתב אישום חדש במסגרת ת"פ 31650-09-20 של בית המשפט המחוזי בחיפה (להלן: </w:t>
      </w:r>
      <w:r w:rsidRPr="00B81E6A">
        <w:rPr>
          <w:rFonts w:ascii="Miriam" w:hAnsi="Miriam" w:cs="Miriam"/>
          <w:rtl/>
        </w:rPr>
        <w:t>כתב האישום החדש</w:t>
      </w:r>
      <w:r>
        <w:rPr>
          <w:rFonts w:ascii="FrankRuehl" w:hAnsi="FrankRuehl" w:cs="FrankRuehl" w:hint="cs"/>
          <w:sz w:val="28"/>
          <w:szCs w:val="28"/>
          <w:rtl/>
        </w:rPr>
        <w:t xml:space="preserve">), בו יוחסו לו עבירות של חטיפה לשם סחיטה, קשר לפשע, סחיטה בכוח, תקיפה הגורמת חבלה של ממש וסחיטה באיומים. בבקשתו ציין הממונה שעל אף שהנאשם אמור היה להתייצב לתחילת ריצוי עבודות השירות ביום 29.6.2020, הוא התייצב באיחור ועבד כ-20 ימים בלבד. ביום הגשת כתב האישום התקיים דיון בבית המשפט המחוזי בחיפה, בו נקבע שהנאשם ייעצר עד מתן החלטה אחרת. </w:t>
      </w:r>
    </w:p>
    <w:p w14:paraId="410BC027" w14:textId="77777777" w:rsidR="00091456" w:rsidRDefault="00091456" w:rsidP="00091456">
      <w:pPr>
        <w:spacing w:line="360" w:lineRule="auto"/>
        <w:jc w:val="both"/>
        <w:rPr>
          <w:rFonts w:ascii="FrankRuehl" w:hAnsi="FrankRuehl" w:cs="FrankRuehl"/>
          <w:sz w:val="28"/>
          <w:szCs w:val="28"/>
          <w:rtl/>
        </w:rPr>
      </w:pPr>
    </w:p>
    <w:p w14:paraId="7AD75FA5"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sz w:val="28"/>
          <w:szCs w:val="28"/>
          <w:rtl/>
        </w:rPr>
        <w:tab/>
      </w:r>
      <w:r>
        <w:rPr>
          <w:rFonts w:ascii="FrankRuehl" w:hAnsi="FrankRuehl" w:cs="FrankRuehl" w:hint="cs"/>
          <w:sz w:val="28"/>
          <w:szCs w:val="28"/>
          <w:rtl/>
        </w:rPr>
        <w:t>בהודעת המשך מטעם הממונה, שהוגשה ביום 24.2.2021 בהתאם להחלטתי, נמסר שהנאשם מצוי בתנאי מעצר באיזוק אלקטרוני, והובהר שבהתאם לתנאים בהם היה מצוי באותו מועד, הוא יוכל לשוב ולבצע עבודות שירות רק אם יאושרו לו "חלונות פיקוח".</w:t>
      </w:r>
    </w:p>
    <w:p w14:paraId="337D4816" w14:textId="77777777" w:rsidR="00091456" w:rsidRDefault="00091456" w:rsidP="00091456">
      <w:pPr>
        <w:spacing w:line="360" w:lineRule="auto"/>
        <w:jc w:val="both"/>
        <w:rPr>
          <w:rFonts w:ascii="FrankRuehl" w:hAnsi="FrankRuehl" w:cs="FrankRuehl"/>
          <w:sz w:val="28"/>
          <w:szCs w:val="28"/>
          <w:rtl/>
        </w:rPr>
      </w:pPr>
    </w:p>
    <w:p w14:paraId="6843334E"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בין לבין, הוגשה כאמור גם הודעה מטעם שירות המבחן, בסופה ביקש שירות המבחן להפקיע את צו המבחן. בהודעה ראשונה מיום 15.12.2020 (להלן: </w:t>
      </w:r>
      <w:r w:rsidRPr="0065180D">
        <w:rPr>
          <w:rFonts w:ascii="Miriam" w:hAnsi="Miriam" w:cs="Miriam"/>
          <w:rtl/>
        </w:rPr>
        <w:t>ההודעה הראשונה</w:t>
      </w:r>
      <w:r>
        <w:rPr>
          <w:rFonts w:ascii="FrankRuehl" w:hAnsi="FrankRuehl" w:cs="FrankRuehl" w:hint="cs"/>
          <w:sz w:val="28"/>
          <w:szCs w:val="28"/>
          <w:rtl/>
        </w:rPr>
        <w:t>) ציין שירות המבחן שהנאשם השתלב בקבוצה טיפולית החל מחודש ספטמבר 2019, בה המשיך לקחת חלק גם בתקופת צו המבחן. הנאשם הגיע אמנם למפגשים באופן סדיר ומסר בדיקות שתן נקיות משרידי סם, אולם נמסר שגילה קושי לקדם שיח אישי ושהרושם שהתקבל הוא ש"החל לבחון דפוסיו באופן ראשוני". בהמשך, נוכח התפשטות נגיף הקורונה הופסקה הפעילות בקבוצה, אולם הנאשם נדרש להמשך קשר מעקבי עם שירות המבחן. הנאשם לא עשה כן, ונמסר שמספר ניסיונות שנעשו על ידי שירות המבחן לאתרו החל מחודש יולי 2020 עלו בתוהו. בהמשך התברר לשירות המבחן שהנאשם נעצר ביום 1.9.2020 בגין חלקו בתיק החדש, ואף הוגש נגדו כתב האישום. עוד צוין בתסקיר שהתפתחות זו מעלה שאלה בדבר דפוסים עברייניים מושרשים יותר, אותם התקשה הנאשם לחשוף בפני שירות המבחן בתקופה הממושכת בה היה נתון תחת פיקוחו. בשל כל אלו הגיע שירות המבחן לכלל מסקנה כי אין כיום תועלת רבה להמשך הקשר עם הנאשם.</w:t>
      </w:r>
    </w:p>
    <w:p w14:paraId="751423D4" w14:textId="77777777" w:rsidR="00091456" w:rsidRDefault="00091456" w:rsidP="00091456">
      <w:pPr>
        <w:rPr>
          <w:rFonts w:ascii="FrankRuehl" w:hAnsi="FrankRuehl" w:cs="FrankRuehl"/>
          <w:sz w:val="28"/>
          <w:szCs w:val="28"/>
          <w:rtl/>
        </w:rPr>
      </w:pPr>
    </w:p>
    <w:p w14:paraId="20AF7CD2" w14:textId="77777777" w:rsidR="00091456" w:rsidRDefault="00091456" w:rsidP="00091456">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בהודעה שנייה מיום 10.2.2021 (להלן: </w:t>
      </w:r>
      <w:r w:rsidRPr="0065180D">
        <w:rPr>
          <w:rFonts w:ascii="Miriam" w:hAnsi="Miriam" w:cs="Miriam"/>
          <w:rtl/>
        </w:rPr>
        <w:t>ההודעה השנייה</w:t>
      </w:r>
      <w:r>
        <w:rPr>
          <w:rFonts w:ascii="FrankRuehl" w:hAnsi="FrankRuehl" w:cs="FrankRuehl" w:hint="cs"/>
          <w:sz w:val="28"/>
          <w:szCs w:val="28"/>
          <w:rtl/>
        </w:rPr>
        <w:t>) חזר שירות המבחן על המלצתו שלא להמשיך את הקשר עם הנאשם, זאת לאחר מפגש נוסף שקיים עמו, ולאחר שהנאשם שלל מפורשות צורך להעמיק ולבחון את הסתבכותו עם החוק בפעם השנייה, תוך שחזר והדגיש את תפקודו התקין.</w:t>
      </w:r>
    </w:p>
    <w:p w14:paraId="0754410F" w14:textId="77777777" w:rsidR="00091456" w:rsidRDefault="00091456" w:rsidP="00091456">
      <w:pPr>
        <w:rPr>
          <w:rFonts w:ascii="FrankRuehl" w:hAnsi="FrankRuehl" w:cs="FrankRuehl"/>
          <w:sz w:val="28"/>
          <w:szCs w:val="28"/>
          <w:rtl/>
        </w:rPr>
      </w:pPr>
    </w:p>
    <w:p w14:paraId="46509BD7" w14:textId="77777777" w:rsidR="00091456" w:rsidRPr="00E27C39" w:rsidRDefault="00091456" w:rsidP="00091456">
      <w:pPr>
        <w:spacing w:line="360" w:lineRule="auto"/>
        <w:jc w:val="both"/>
        <w:rPr>
          <w:rFonts w:ascii="Miriam" w:hAnsi="Miriam" w:cs="Miriam"/>
          <w:sz w:val="28"/>
          <w:szCs w:val="28"/>
          <w:rtl/>
        </w:rPr>
      </w:pPr>
      <w:r w:rsidRPr="00E27C39">
        <w:rPr>
          <w:rFonts w:ascii="Miriam" w:hAnsi="Miriam" w:cs="Miriam"/>
          <w:sz w:val="28"/>
          <w:szCs w:val="28"/>
          <w:rtl/>
        </w:rPr>
        <w:t>טיעוני הצדדים</w:t>
      </w:r>
    </w:p>
    <w:p w14:paraId="1D775436" w14:textId="77777777" w:rsidR="00091456" w:rsidRDefault="00091456" w:rsidP="00091456">
      <w:pPr>
        <w:rPr>
          <w:rFonts w:ascii="FrankRuehl" w:hAnsi="FrankRuehl" w:cs="FrankRuehl"/>
          <w:sz w:val="28"/>
          <w:szCs w:val="28"/>
          <w:rtl/>
        </w:rPr>
      </w:pPr>
    </w:p>
    <w:p w14:paraId="05E64B93"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ב"כ המאשימה טענו כי מקום בו נאשם נעצר באיזוק אלקטרוני, אין לאפשר יציאתו לצורך ביצוע עבודות שירות, שכן הדבר מאיין את מטרת המעצר. מעבר לכך הוסיפו שהסכמות להחליט החלטה מעין זו מסורה למותב שהחליט על תנאי המעצר. בשל התנהלות הנאשם, ובשים לב לכתב האישום החמור שהוגש נגדו, ביקשה המאשימה לקבוע כי הנאשם אינו יכול להמשיך לרצות את עבודות השירות וכי עליו להשלים את מניין הימים שנותרו בדרך של מאסר ממש. </w:t>
      </w:r>
    </w:p>
    <w:p w14:paraId="6EEE0377" w14:textId="77777777" w:rsidR="00091456" w:rsidRDefault="00091456" w:rsidP="00091456">
      <w:pPr>
        <w:rPr>
          <w:rFonts w:ascii="FrankRuehl" w:hAnsi="FrankRuehl" w:cs="FrankRuehl"/>
          <w:sz w:val="28"/>
          <w:szCs w:val="28"/>
          <w:rtl/>
        </w:rPr>
      </w:pPr>
    </w:p>
    <w:p w14:paraId="3C07EDDB"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 xml:space="preserve">ב"כ הנאשם הפנה להתפתחויות שחלו בחוק לאורך השנים בנושא עבודות השירות, תוך שציין שאין בנמצא "פסיקה משמעותית" העוסקת בנושא. עוד הפנה למקרה אחר, בו השתנתה עמדת המאשימה לאור תמורות שחלו במהלך ניהול כתב אישום חדש שהוגש נגדו. בהקשר זה טען שככל שיתברר שכתב האישום נגד הנאשם הוגש בטעות, לא ניתן יהיה להחזיר את הגלגל לאחור ולפצותו בגין הנזק שנגרם לו, זאת להבדיל, למשל, מקיום הליך פלילי נגד נאשם, שבסופו ניתן לפסוק לו במידת הצורך פיצויים מכוח </w:t>
      </w:r>
      <w:hyperlink r:id="rId56"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80</w:t>
        </w:r>
      </w:hyperlink>
      <w:r>
        <w:rPr>
          <w:rFonts w:ascii="FrankRuehl" w:hAnsi="FrankRuehl" w:cs="FrankRuehl" w:hint="cs"/>
          <w:sz w:val="28"/>
          <w:szCs w:val="28"/>
          <w:rtl/>
        </w:rPr>
        <w:t xml:space="preserve"> לחוק. ב"כ הנאשם הסביר שהנאשם התייצב באיחור לעבודות השירות עקב ניתוח שעבר וכי הוצגו מסמכים על כך לממונה. אשר לעבירות המתוארות בכתב האישום החדש, נטען שמדובר בארבעה חברי ילדות שהסתבכו, וכי לא  בכדי נעצרו הנאשם ושניים נוספים באיזוק "בלבד". בהקשר זה טען שבמהלך חודש אפריל השנה צפוי להתחיל הליך ההוכחות כאשר העד הראשון שזומן להעיד הוא המתלונן. בנסיבות אלו ביקש ב"כ הנאשם לדחות את מועד מתן ההחלטה למשך "מספר חודשים", בפרט כאשר התמונה הראייתית על בסיסה ניתנה ההחלטה בתיק המעצר החדש לא הייתה בהירה, כך לדבריו. בהקשר זה טען שהנאשם אינו העבריין הדומיננטי וכי עומדת לו חזקת החפות עד שייקבע מה חלקו בפרשה. עוד טען שעמדת המדינה הייתה מראש לגזור על הנאשם עונש מאסר לריצוי בדרך של עבודות שירות ולא מאסר ממש. לחלופין נטען שמאחר שהוטל עונש מאסר בעבודות שירות, לא קוזזה מתקופה זו התקופה בה היה הנאשם נתון במעצר, ומשכך, ככל שיוחלט על המשך ריצוי העונש בין כתלי הכלא, יש מקום לעשות כן עתה.</w:t>
      </w:r>
    </w:p>
    <w:p w14:paraId="173CCDB1" w14:textId="77777777" w:rsidR="00091456" w:rsidRDefault="00091456" w:rsidP="00091456">
      <w:pPr>
        <w:rPr>
          <w:rFonts w:ascii="FrankRuehl" w:hAnsi="FrankRuehl" w:cs="FrankRuehl"/>
          <w:sz w:val="28"/>
          <w:szCs w:val="28"/>
          <w:rtl/>
        </w:rPr>
      </w:pPr>
    </w:p>
    <w:p w14:paraId="12ABBEB1"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כבר עתה אדגיש כי מסיבה שאינה ברורה לא נשמעה מצד מי מהצדדים כל התייחסות לבקשת שירות המבחן להפקיע את צו המבחן.</w:t>
      </w:r>
    </w:p>
    <w:p w14:paraId="61BF5966" w14:textId="77777777" w:rsidR="00091456" w:rsidRDefault="00091456" w:rsidP="00091456">
      <w:pPr>
        <w:spacing w:line="360" w:lineRule="auto"/>
        <w:rPr>
          <w:rFonts w:ascii="FrankRuehl" w:hAnsi="FrankRuehl" w:cs="FrankRuehl"/>
          <w:sz w:val="28"/>
          <w:szCs w:val="28"/>
          <w:rtl/>
        </w:rPr>
      </w:pPr>
    </w:p>
    <w:p w14:paraId="04D59ABD" w14:textId="77777777" w:rsidR="00091456" w:rsidRPr="00116F77" w:rsidRDefault="00091456" w:rsidP="00091456">
      <w:pPr>
        <w:rPr>
          <w:rFonts w:ascii="Miriam" w:hAnsi="Miriam" w:cs="Miriam"/>
          <w:sz w:val="28"/>
          <w:szCs w:val="28"/>
          <w:rtl/>
        </w:rPr>
      </w:pPr>
      <w:r w:rsidRPr="00116F77">
        <w:rPr>
          <w:rFonts w:ascii="Miriam" w:hAnsi="Miriam" w:cs="Miriam"/>
          <w:sz w:val="28"/>
          <w:szCs w:val="28"/>
          <w:rtl/>
        </w:rPr>
        <w:t>דיון</w:t>
      </w:r>
      <w:r>
        <w:rPr>
          <w:rFonts w:ascii="Miriam" w:hAnsi="Miriam" w:cs="Miriam" w:hint="cs"/>
          <w:sz w:val="28"/>
          <w:szCs w:val="28"/>
          <w:rtl/>
        </w:rPr>
        <w:t xml:space="preserve"> </w:t>
      </w:r>
      <w:r w:rsidRPr="009520EB">
        <w:rPr>
          <w:rFonts w:ascii="Miriam" w:hAnsi="Miriam" w:cs="Miriam"/>
          <w:sz w:val="28"/>
          <w:szCs w:val="28"/>
          <w:rtl/>
        </w:rPr>
        <w:t>–</w:t>
      </w:r>
      <w:r>
        <w:rPr>
          <w:rFonts w:ascii="Miriam" w:hAnsi="Miriam" w:cs="Miriam" w:hint="cs"/>
          <w:sz w:val="28"/>
          <w:szCs w:val="28"/>
          <w:rtl/>
        </w:rPr>
        <w:t xml:space="preserve"> הפסקת ריצוי מאסר בעבודת שירות</w:t>
      </w:r>
    </w:p>
    <w:p w14:paraId="119E01BB" w14:textId="77777777" w:rsidR="00091456" w:rsidRDefault="00091456" w:rsidP="00091456">
      <w:pPr>
        <w:spacing w:line="360" w:lineRule="auto"/>
        <w:rPr>
          <w:rFonts w:ascii="FrankRuehl" w:hAnsi="FrankRuehl" w:cs="FrankRuehl"/>
          <w:sz w:val="28"/>
          <w:szCs w:val="28"/>
          <w:rtl/>
        </w:rPr>
      </w:pPr>
    </w:p>
    <w:p w14:paraId="75B517D4"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t xml:space="preserve">אין חולק על כך שהוראת החוק מכוחה הוגשה הבקשה מטעם הממונה היא </w:t>
      </w:r>
      <w:hyperlink r:id="rId57"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לחוק, שזו לשונו:</w:t>
      </w:r>
    </w:p>
    <w:p w14:paraId="3F60295C" w14:textId="77777777" w:rsidR="00091456" w:rsidRPr="002B49D2" w:rsidRDefault="00091456" w:rsidP="00091456">
      <w:pPr>
        <w:pStyle w:val="Ruller5"/>
        <w:spacing w:line="360" w:lineRule="auto"/>
        <w:rPr>
          <w:rFonts w:ascii="FrankRuehl" w:hAnsi="FrankRuehl"/>
          <w:b/>
          <w:spacing w:val="0"/>
          <w:sz w:val="28"/>
        </w:rPr>
      </w:pPr>
      <w:r w:rsidRPr="002B49D2">
        <w:rPr>
          <w:rFonts w:ascii="FrankRuehl" w:hAnsi="FrankRuehl"/>
          <w:b/>
          <w:spacing w:val="0"/>
          <w:sz w:val="28"/>
          <w:rtl/>
        </w:rPr>
        <w:t xml:space="preserve">"הוגש נגד עובד השירות כתב אישום בשל עבירה אחרת לאחר שנגזר דינו לנשיאת המאסר בעבודת שירות, רשאי השופט או המותב שגזר את הדין, ובהעדרו </w:t>
      </w:r>
      <w:r w:rsidRPr="002B49D2">
        <w:rPr>
          <w:rFonts w:ascii="FrankRuehl" w:hAnsi="FrankRuehl"/>
          <w:spacing w:val="0"/>
          <w:sz w:val="28"/>
          <w:rtl/>
        </w:rPr>
        <w:t>–</w:t>
      </w:r>
      <w:r w:rsidRPr="002B49D2">
        <w:rPr>
          <w:rFonts w:ascii="FrankRuehl" w:hAnsi="FrankRuehl"/>
          <w:b/>
          <w:spacing w:val="0"/>
          <w:sz w:val="28"/>
          <w:rtl/>
        </w:rPr>
        <w:t xml:space="preserve"> שופט או מותב אחר באותו בית משפט, לבקשת הממונה, ולאחר שנתן לנאשם אפשרות לטעון את טענותיו, להורות שעבודת</w:t>
      </w:r>
      <w:r w:rsidRPr="002B49D2">
        <w:rPr>
          <w:rFonts w:ascii="FrankRuehl" w:hAnsi="FrankRuehl" w:hint="cs"/>
          <w:b/>
          <w:spacing w:val="0"/>
          <w:sz w:val="28"/>
          <w:rtl/>
        </w:rPr>
        <w:t xml:space="preserve"> </w:t>
      </w:r>
      <w:r w:rsidRPr="002B49D2">
        <w:rPr>
          <w:rFonts w:ascii="FrankRuehl" w:hAnsi="FrankRuehl"/>
          <w:b/>
          <w:spacing w:val="0"/>
          <w:sz w:val="28"/>
          <w:rtl/>
        </w:rPr>
        <w:t xml:space="preserve">השירות לא תחל או תופסק, והנידון יישא את עונשו או את יתרת העונש בבית הסוהר, אם סבר בית המשפט על פי </w:t>
      </w:r>
      <w:r w:rsidRPr="002B49D2">
        <w:rPr>
          <w:rFonts w:ascii="Miriam" w:hAnsi="Miriam" w:cs="Miriam"/>
          <w:b/>
          <w:spacing w:val="0"/>
          <w:sz w:val="24"/>
          <w:szCs w:val="24"/>
          <w:rtl/>
        </w:rPr>
        <w:t>העובדות הנטענות בכתב האישום</w:t>
      </w:r>
      <w:r w:rsidRPr="002B49D2">
        <w:rPr>
          <w:rFonts w:ascii="FrankRuehl" w:hAnsi="FrankRuehl"/>
          <w:b/>
          <w:spacing w:val="0"/>
          <w:sz w:val="28"/>
          <w:rtl/>
        </w:rPr>
        <w:t xml:space="preserve"> כי התחלת או המשך ביצוע עבודת השירות על ידי הנאשם אינם הולמים עוד נשיאה של עונש המאסר בעבודת שירות, לנוכח העיתוי של ביצוע העבירה, מהותה, חומרתה ונסיבות ביצועה"</w:t>
      </w:r>
      <w:r w:rsidRPr="002B49D2">
        <w:rPr>
          <w:rFonts w:ascii="FrankRuehl" w:hAnsi="FrankRuehl" w:hint="cs"/>
          <w:b/>
          <w:spacing w:val="0"/>
          <w:sz w:val="28"/>
          <w:rtl/>
        </w:rPr>
        <w:t xml:space="preserve"> (ההדגשות הוספו </w:t>
      </w:r>
      <w:r w:rsidRPr="002B49D2">
        <w:rPr>
          <w:rFonts w:ascii="FrankRuehl" w:hAnsi="FrankRuehl"/>
          <w:b/>
          <w:spacing w:val="0"/>
          <w:sz w:val="28"/>
          <w:rtl/>
        </w:rPr>
        <w:t>–</w:t>
      </w:r>
      <w:r w:rsidRPr="002B49D2">
        <w:rPr>
          <w:rFonts w:ascii="FrankRuehl" w:hAnsi="FrankRuehl" w:hint="cs"/>
          <w:b/>
          <w:spacing w:val="0"/>
          <w:sz w:val="28"/>
          <w:rtl/>
        </w:rPr>
        <w:t xml:space="preserve"> ע.מ).</w:t>
      </w:r>
    </w:p>
    <w:p w14:paraId="671F8650" w14:textId="77777777" w:rsidR="00091456" w:rsidRPr="009C729A" w:rsidRDefault="00091456" w:rsidP="00091456">
      <w:pPr>
        <w:pStyle w:val="Ruller40"/>
        <w:rPr>
          <w:rtl/>
        </w:rPr>
      </w:pPr>
    </w:p>
    <w:p w14:paraId="3F708760" w14:textId="77777777" w:rsidR="00091456" w:rsidRDefault="00091456" w:rsidP="00091456">
      <w:pPr>
        <w:pStyle w:val="Ruller40"/>
        <w:rPr>
          <w:rtl/>
        </w:rPr>
      </w:pPr>
      <w:r>
        <w:rPr>
          <w:rtl/>
        </w:rPr>
        <w:tab/>
      </w:r>
      <w:r>
        <w:rPr>
          <w:rFonts w:hint="cs"/>
          <w:rtl/>
        </w:rPr>
        <w:t xml:space="preserve">מהוראות הסעיף עולה בצורה שאינה משתמעת לשתי פנים כי לבית המשפט נתונה הסמכות להורות כי עונש המאסר שהוטל במקור בעבודת שירות ירוצה בין כתלי הכלא, תוך הסתמכות על </w:t>
      </w:r>
      <w:r w:rsidRPr="009C729A">
        <w:rPr>
          <w:rFonts w:ascii="Miriam" w:hAnsi="Miriam" w:cs="Miriam"/>
          <w:b/>
          <w:spacing w:val="0"/>
          <w:sz w:val="24"/>
          <w:szCs w:val="24"/>
          <w:rtl/>
        </w:rPr>
        <w:t>העובדות הנטענות בכתב האישום</w:t>
      </w:r>
      <w:r>
        <w:rPr>
          <w:rFonts w:hint="cs"/>
          <w:rtl/>
        </w:rPr>
        <w:t xml:space="preserve"> בלבד, ככל שיימצא כי עיתוי ביצוע העבירה החדשה, מהותה, חומרתה ונסיבות ביצועה אינם הולמים עוד ריצוי עונש המאסר בעבודת שירות. דיון מעמיק בסוגיה התקיים אך לאחרונה על ידי בית המשפט העליון (השופט </w:t>
      </w:r>
      <w:r w:rsidRPr="00411C17">
        <w:rPr>
          <w:rFonts w:ascii="Miriam" w:hAnsi="Miriam" w:cs="Miriam"/>
          <w:sz w:val="24"/>
          <w:szCs w:val="24"/>
          <w:rtl/>
        </w:rPr>
        <w:t>נ' סולברג</w:t>
      </w:r>
      <w:r>
        <w:rPr>
          <w:rFonts w:hint="cs"/>
          <w:rtl/>
        </w:rPr>
        <w:t xml:space="preserve">) במסגרת </w:t>
      </w:r>
      <w:hyperlink r:id="rId58" w:history="1">
        <w:r w:rsidR="006F3A29" w:rsidRPr="006F3A29">
          <w:rPr>
            <w:color w:val="0000FF"/>
            <w:u w:val="single"/>
            <w:rtl/>
          </w:rPr>
          <w:t>ע"פ 7692/20</w:t>
        </w:r>
      </w:hyperlink>
      <w:r>
        <w:rPr>
          <w:rFonts w:hint="cs"/>
          <w:rtl/>
        </w:rPr>
        <w:t xml:space="preserve"> </w:t>
      </w:r>
      <w:r w:rsidRPr="00500D5C">
        <w:rPr>
          <w:rFonts w:ascii="Miriam" w:hAnsi="Miriam" w:cs="Miriam" w:hint="cs"/>
          <w:sz w:val="24"/>
          <w:szCs w:val="24"/>
          <w:rtl/>
        </w:rPr>
        <w:t>נתשה</w:t>
      </w:r>
      <w:r>
        <w:rPr>
          <w:rFonts w:hint="cs"/>
          <w:rtl/>
        </w:rPr>
        <w:t xml:space="preserve"> </w:t>
      </w:r>
      <w:r w:rsidRPr="00500D5C">
        <w:rPr>
          <w:rFonts w:ascii="Miriam" w:hAnsi="Miriam" w:cs="Miriam" w:hint="cs"/>
          <w:sz w:val="24"/>
          <w:szCs w:val="24"/>
          <w:rtl/>
        </w:rPr>
        <w:t>נ'</w:t>
      </w:r>
      <w:r>
        <w:rPr>
          <w:rFonts w:hint="cs"/>
          <w:rtl/>
        </w:rPr>
        <w:t xml:space="preserve"> </w:t>
      </w:r>
      <w:r w:rsidRPr="00500D5C">
        <w:rPr>
          <w:rFonts w:ascii="Miriam" w:hAnsi="Miriam" w:cs="Miriam" w:hint="cs"/>
          <w:sz w:val="24"/>
          <w:szCs w:val="24"/>
          <w:rtl/>
        </w:rPr>
        <w:t>מדינת</w:t>
      </w:r>
      <w:r>
        <w:rPr>
          <w:rFonts w:hint="cs"/>
          <w:rtl/>
        </w:rPr>
        <w:t xml:space="preserve"> </w:t>
      </w:r>
      <w:r w:rsidRPr="00500D5C">
        <w:rPr>
          <w:rFonts w:ascii="Miriam" w:hAnsi="Miriam" w:cs="Miriam" w:hint="cs"/>
          <w:sz w:val="24"/>
          <w:szCs w:val="24"/>
          <w:rtl/>
        </w:rPr>
        <w:t>ישראל</w:t>
      </w:r>
      <w:r>
        <w:rPr>
          <w:rFonts w:hint="cs"/>
          <w:rtl/>
        </w:rPr>
        <w:t xml:space="preserve"> (10.1.2021) (להלן: עניין</w:t>
      </w:r>
      <w:r w:rsidRPr="00500D5C">
        <w:rPr>
          <w:rFonts w:ascii="Miriam" w:hAnsi="Miriam" w:cs="Miriam"/>
          <w:sz w:val="24"/>
          <w:szCs w:val="24"/>
          <w:rtl/>
        </w:rPr>
        <w:t xml:space="preserve"> נתשה</w:t>
      </w:r>
      <w:r>
        <w:rPr>
          <w:rFonts w:hint="cs"/>
          <w:rtl/>
        </w:rPr>
        <w:t>), בו נקבע, בין היתר, ש"</w:t>
      </w:r>
      <w:r w:rsidRPr="00C229C4">
        <w:rPr>
          <w:rFonts w:ascii="Miriam" w:hAnsi="Miriam" w:cs="Miriam"/>
          <w:sz w:val="24"/>
          <w:szCs w:val="24"/>
          <w:rtl/>
        </w:rPr>
        <w:t>ככל שמשך הזמן שחלף מיום מתן גזר הדין ועד ליום ביצוע המעשים החדשים המיוחסים לעובדה שירות – קצר יותר, וככל שחומרתם – גדולה יותר, כך תיטה הכף לריצוי עונש המאסר מאחורי סורג ובריח, ולא בדרך של עבודות שירות</w:t>
      </w:r>
      <w:r>
        <w:rPr>
          <w:rFonts w:hint="cs"/>
          <w:rtl/>
        </w:rPr>
        <w:t>" (פסקה 9). עוד נקבע כי עבודות השירות נתפסות כ"</w:t>
      </w:r>
      <w:r w:rsidRPr="00C229C4">
        <w:rPr>
          <w:rFonts w:ascii="Miriam" w:hAnsi="Miriam" w:cs="Miriam"/>
          <w:sz w:val="24"/>
          <w:szCs w:val="24"/>
          <w:rtl/>
        </w:rPr>
        <w:t xml:space="preserve">זכות המוענקת לנאשם, בבחינת פריבילגיה, כאשר ניתנת לו האפשרות לרצות את עונשו בתנאים מקלים, תוך מתן בכורה, בעיקר, לשיקולי שיקום" </w:t>
      </w:r>
      <w:r w:rsidRPr="000B0EB5">
        <w:rPr>
          <w:rFonts w:ascii="FrankRuehl" w:hAnsi="FrankRuehl"/>
          <w:sz w:val="28"/>
          <w:rtl/>
        </w:rPr>
        <w:t>וכי היא</w:t>
      </w:r>
      <w:r w:rsidRPr="00C229C4">
        <w:rPr>
          <w:rFonts w:ascii="Miriam" w:hAnsi="Miriam" w:cs="Miriam"/>
          <w:sz w:val="24"/>
          <w:szCs w:val="24"/>
          <w:rtl/>
        </w:rPr>
        <w:t xml:space="preserve"> "ניתנת בגזר הדין, במבט שיקומי, צופה פני עתיד</w:t>
      </w:r>
      <w:r>
        <w:rPr>
          <w:rFonts w:hint="cs"/>
          <w:rtl/>
        </w:rPr>
        <w:t>" (פסקה 10). כלומר, בהעדר צפי לשיקום, או כאשר "</w:t>
      </w:r>
      <w:r w:rsidRPr="00951A32">
        <w:rPr>
          <w:rFonts w:ascii="Miriam" w:hAnsi="Miriam" w:cs="Miriam"/>
          <w:sz w:val="24"/>
          <w:szCs w:val="24"/>
          <w:rtl/>
        </w:rPr>
        <w:t>תקוות השיקום שנטעו בעובד השירות מלכתחילה  התבדו</w:t>
      </w:r>
      <w:r>
        <w:rPr>
          <w:rFonts w:hint="cs"/>
          <w:rtl/>
        </w:rPr>
        <w:t>", אין עוד הצדקה להיטיב עמו, כאשר "</w:t>
      </w:r>
      <w:r w:rsidRPr="00951A32">
        <w:rPr>
          <w:rFonts w:ascii="Miriam" w:hAnsi="Miriam" w:cs="Miriam"/>
          <w:sz w:val="24"/>
          <w:szCs w:val="24"/>
          <w:rtl/>
        </w:rPr>
        <w:t>ברי כי הגשת כתב אישום נגד עובד השירות, עשויה, בכפוף לנסיבות, להצביע על כך שטעמי השיקום שעמדו בבסיס העונש שנגזר עליו מלכתחילה – איבדו ממשקלם...</w:t>
      </w:r>
      <w:r>
        <w:rPr>
          <w:rFonts w:hint="cs"/>
          <w:rtl/>
        </w:rPr>
        <w:t>"</w:t>
      </w:r>
    </w:p>
    <w:p w14:paraId="5B063F52" w14:textId="77777777" w:rsidR="00091456" w:rsidRDefault="00091456" w:rsidP="00091456">
      <w:pPr>
        <w:rPr>
          <w:rFonts w:ascii="FrankRuehl" w:hAnsi="FrankRuehl" w:cs="FrankRuehl"/>
          <w:sz w:val="28"/>
          <w:szCs w:val="28"/>
          <w:rtl/>
        </w:rPr>
      </w:pPr>
    </w:p>
    <w:p w14:paraId="19B817A4"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t xml:space="preserve">לפני שנפנה ליישום הכללים הללו על המקרה שלפנינו, מצאתי להתייחס בקצירת האומר לטענת ב"כ הנאשם בנוגע להעדר "פסיקה משמעותית" בנושא בו עסקינן, ובפרט להחלטת השופט </w:t>
      </w:r>
      <w:r w:rsidRPr="009863DB">
        <w:rPr>
          <w:rFonts w:ascii="Miriam" w:hAnsi="Miriam" w:cs="Miriam" w:hint="cs"/>
          <w:rtl/>
        </w:rPr>
        <w:t>נ'</w:t>
      </w:r>
      <w:r>
        <w:rPr>
          <w:rFonts w:ascii="FrankRuehl" w:hAnsi="FrankRuehl" w:cs="FrankRuehl" w:hint="cs"/>
          <w:sz w:val="28"/>
          <w:szCs w:val="28"/>
          <w:rtl/>
        </w:rPr>
        <w:t xml:space="preserve"> </w:t>
      </w:r>
      <w:r w:rsidRPr="009863DB">
        <w:rPr>
          <w:rFonts w:ascii="Miriam" w:hAnsi="Miriam" w:cs="Miriam" w:hint="cs"/>
          <w:rtl/>
        </w:rPr>
        <w:t>סולברג</w:t>
      </w:r>
      <w:r>
        <w:rPr>
          <w:rFonts w:ascii="FrankRuehl" w:hAnsi="FrankRuehl" w:cs="FrankRuehl" w:hint="cs"/>
          <w:sz w:val="28"/>
          <w:szCs w:val="28"/>
          <w:rtl/>
        </w:rPr>
        <w:t xml:space="preserve"> בעניין</w:t>
      </w:r>
      <w:r w:rsidRPr="009863DB">
        <w:rPr>
          <w:rFonts w:ascii="Miriam" w:hAnsi="Miriam" w:cs="Miriam"/>
          <w:rtl/>
        </w:rPr>
        <w:t xml:space="preserve"> נתשה</w:t>
      </w:r>
      <w:r>
        <w:rPr>
          <w:rFonts w:ascii="FrankRuehl" w:hAnsi="FrankRuehl" w:cs="FrankRuehl" w:hint="cs"/>
          <w:sz w:val="28"/>
          <w:szCs w:val="28"/>
          <w:rtl/>
        </w:rPr>
        <w:t xml:space="preserve">, שלדידו של הסנגור אינה מהווה הלכה, מן הטעם שניתנה על ידי שופט שישב כ"דן יחיד" ולא על ידי מותב תלתא. טענה זו יש לדחות מכל וכל. ההחלטה בדבר הפסקת עבודות השירות היא החלטה מנהלית במהותה, בגינה רשאי בית המשפט לשלול מהנאשם את הזכות לרצות את המאסר שנגזר עליו שלא בין כתלי הכלא. החלטה זו ניתנת מכוח </w:t>
      </w:r>
      <w:hyperlink r:id="rId59"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לחוק, וכשמה כן היא </w:t>
      </w:r>
      <w:r>
        <w:rPr>
          <w:rFonts w:ascii="FrankRuehl" w:hAnsi="FrankRuehl" w:cs="FrankRuehl"/>
          <w:sz w:val="28"/>
          <w:szCs w:val="28"/>
          <w:rtl/>
        </w:rPr>
        <w:t>–</w:t>
      </w:r>
      <w:r>
        <w:rPr>
          <w:rFonts w:ascii="FrankRuehl" w:hAnsi="FrankRuehl" w:cs="FrankRuehl" w:hint="cs"/>
          <w:sz w:val="28"/>
          <w:szCs w:val="28"/>
          <w:rtl/>
        </w:rPr>
        <w:t xml:space="preserve"> החלטה ולא גזר דין חדש אותו ניתן להטיל מכוח </w:t>
      </w:r>
      <w:hyperlink r:id="rId60"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51י(א1)</w:t>
        </w:r>
      </w:hyperlink>
      <w:r>
        <w:rPr>
          <w:rFonts w:ascii="FrankRuehl" w:hAnsi="FrankRuehl" w:cs="FrankRuehl" w:hint="cs"/>
          <w:sz w:val="28"/>
          <w:szCs w:val="28"/>
          <w:rtl/>
        </w:rPr>
        <w:t xml:space="preserve"> לחוק, המקנה לבית המשפט סמכות </w:t>
      </w:r>
      <w:r w:rsidRPr="008F51B8">
        <w:rPr>
          <w:rFonts w:ascii="Miriam" w:hAnsi="Miriam" w:cs="Miriam"/>
          <w:rtl/>
        </w:rPr>
        <w:t>"לגזור על הנאשם עונש אחר"</w:t>
      </w:r>
      <w:r>
        <w:rPr>
          <w:rFonts w:ascii="FrankRuehl" w:hAnsi="FrankRuehl" w:cs="FrankRuehl" w:hint="cs"/>
          <w:sz w:val="28"/>
          <w:szCs w:val="28"/>
          <w:rtl/>
        </w:rPr>
        <w:t xml:space="preserve">. מסיבה זו נקבע מפורשות בהוראת </w:t>
      </w:r>
      <w:hyperlink r:id="rId61"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51י(ב)</w:t>
        </w:r>
      </w:hyperlink>
      <w:r>
        <w:rPr>
          <w:rFonts w:ascii="FrankRuehl" w:hAnsi="FrankRuehl" w:cs="FrankRuehl" w:hint="cs"/>
          <w:sz w:val="28"/>
          <w:szCs w:val="28"/>
          <w:rtl/>
        </w:rPr>
        <w:t xml:space="preserve"> לחוק כי בית המשפט שלערעור ידון בערעור על החלטה מכוח </w:t>
      </w:r>
      <w:hyperlink r:id="rId62"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בשבתו כ"דן יחיד", להבדיל מהשגה על גזר הדין עצמו, הנדון לפני מותב תלתא (ראו גם עניין </w:t>
      </w:r>
      <w:r w:rsidRPr="00DD7748">
        <w:rPr>
          <w:rFonts w:ascii="Miriam" w:hAnsi="Miriam" w:cs="Miriam" w:hint="cs"/>
          <w:rtl/>
        </w:rPr>
        <w:t>נתשה</w:t>
      </w:r>
      <w:r>
        <w:rPr>
          <w:rFonts w:ascii="FrankRuehl" w:hAnsi="FrankRuehl" w:cs="FrankRuehl" w:hint="cs"/>
          <w:sz w:val="28"/>
          <w:szCs w:val="28"/>
          <w:rtl/>
        </w:rPr>
        <w:t xml:space="preserve">, פסקה 11; עניין </w:t>
      </w:r>
      <w:r w:rsidRPr="00DD7748">
        <w:rPr>
          <w:rFonts w:ascii="Miriam" w:hAnsi="Miriam" w:cs="Miriam" w:hint="cs"/>
          <w:rtl/>
        </w:rPr>
        <w:t>עיסא</w:t>
      </w:r>
      <w:r>
        <w:rPr>
          <w:rFonts w:ascii="FrankRuehl" w:hAnsi="FrankRuehl" w:cs="FrankRuehl" w:hint="cs"/>
          <w:sz w:val="28"/>
          <w:szCs w:val="28"/>
          <w:rtl/>
        </w:rPr>
        <w:t>). מכאן, שבהתאם להוראות החוק ואופי ההליך, דרך המלך תהייה החלטה שניתנה על ידי שופט אחד. בהינתן כל זאת, ומשלא הוצגה על ידי הסנגור החלטה נוגדת של שופט של בית המשפט העליון, דין הטענה להידחות.</w:t>
      </w:r>
    </w:p>
    <w:p w14:paraId="466FA2CE" w14:textId="77777777" w:rsidR="00091456" w:rsidRDefault="00091456" w:rsidP="00091456">
      <w:pPr>
        <w:jc w:val="both"/>
        <w:rPr>
          <w:rFonts w:ascii="FrankRuehl" w:hAnsi="FrankRuehl" w:cs="FrankRuehl"/>
          <w:sz w:val="28"/>
          <w:szCs w:val="28"/>
          <w:rtl/>
        </w:rPr>
      </w:pPr>
    </w:p>
    <w:p w14:paraId="43C58377"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t xml:space="preserve">נפנה עתה ליישם את הכללים על המקרה שלפנינו. העבירות המיוחסות לנאשם בכתב האישום החדש הן, כאמור, חמורות ביותר, וכך גם המעשים המפורטים בפרק העובדות, אותם ביצע לכאורה עם שניים מחבריו. על אף שמעובדות כתב האישום החדש עולה, על פניו, שחלקו של נאשם 1 באותו כתב אישום משמעותי יותר, הרי שקריאה מדוקדקת של העובדות מלמדת שעל אף שלכל נאשם יוחס חלק שאינו חופף לחלקם של שני חבריו, בסופו של יום יוחסו לשלושת המעורבים, ובהם הנאשם, כלל העבירות, בבחינת מבצעים בצוותא. ובמה דברים אמורים? מעובדות כתב האישום החדש עולה שעל רקע חוב כספי שחב המתלונן לנאשם 1, קשרו הנאשמים קשר לחטוף את אותו אדם, כאשר לצורך כך נסעו ביחד לאילת, התמקמו בסמוך למסעדה, כאשר </w:t>
      </w:r>
      <w:r w:rsidRPr="001D03C3">
        <w:rPr>
          <w:rFonts w:ascii="Miriam" w:hAnsi="Miriam" w:cs="Miriam"/>
          <w:rtl/>
        </w:rPr>
        <w:t>הנאשם</w:t>
      </w:r>
      <w:r>
        <w:rPr>
          <w:rFonts w:ascii="FrankRuehl" w:hAnsi="FrankRuehl" w:cs="FrankRuehl" w:hint="cs"/>
          <w:sz w:val="28"/>
          <w:szCs w:val="28"/>
          <w:rtl/>
        </w:rPr>
        <w:t xml:space="preserve"> </w:t>
      </w:r>
      <w:r w:rsidRPr="006136AD">
        <w:rPr>
          <w:rFonts w:ascii="Miriam" w:hAnsi="Miriam" w:cs="Miriam" w:hint="cs"/>
          <w:rtl/>
        </w:rPr>
        <w:t>התמקם</w:t>
      </w:r>
      <w:r>
        <w:rPr>
          <w:rFonts w:ascii="FrankRuehl" w:hAnsi="FrankRuehl" w:cs="FrankRuehl" w:hint="cs"/>
          <w:sz w:val="28"/>
          <w:szCs w:val="28"/>
          <w:rtl/>
        </w:rPr>
        <w:t xml:space="preserve"> בסמוך לכניסה האחורית של המסעדה תוך שהוא </w:t>
      </w:r>
      <w:r w:rsidRPr="001D03C3">
        <w:rPr>
          <w:rFonts w:ascii="Miriam" w:hAnsi="Miriam" w:cs="Miriam" w:hint="cs"/>
          <w:rtl/>
        </w:rPr>
        <w:t>מסתתר</w:t>
      </w:r>
      <w:r>
        <w:rPr>
          <w:rFonts w:ascii="FrankRuehl" w:hAnsi="FrankRuehl" w:cs="FrankRuehl" w:hint="cs"/>
          <w:sz w:val="28"/>
          <w:szCs w:val="28"/>
          <w:rtl/>
        </w:rPr>
        <w:t xml:space="preserve"> </w:t>
      </w:r>
      <w:r w:rsidRPr="001D03C3">
        <w:rPr>
          <w:rFonts w:ascii="Miriam" w:hAnsi="Miriam" w:cs="Miriam" w:hint="cs"/>
          <w:rtl/>
        </w:rPr>
        <w:t>ומכסה</w:t>
      </w:r>
      <w:r>
        <w:rPr>
          <w:rFonts w:ascii="FrankRuehl" w:hAnsi="FrankRuehl" w:cs="FrankRuehl" w:hint="cs"/>
          <w:sz w:val="28"/>
          <w:szCs w:val="28"/>
          <w:rtl/>
        </w:rPr>
        <w:t xml:space="preserve"> </w:t>
      </w:r>
      <w:r w:rsidRPr="001D03C3">
        <w:rPr>
          <w:rFonts w:ascii="Miriam" w:hAnsi="Miriam" w:cs="Miriam" w:hint="cs"/>
          <w:rtl/>
        </w:rPr>
        <w:t>את</w:t>
      </w:r>
      <w:r>
        <w:rPr>
          <w:rFonts w:ascii="FrankRuehl" w:hAnsi="FrankRuehl" w:cs="FrankRuehl" w:hint="cs"/>
          <w:sz w:val="28"/>
          <w:szCs w:val="28"/>
          <w:rtl/>
        </w:rPr>
        <w:t xml:space="preserve"> </w:t>
      </w:r>
      <w:r w:rsidRPr="001D03C3">
        <w:rPr>
          <w:rFonts w:ascii="Miriam" w:hAnsi="Miriam" w:cs="Miriam" w:hint="cs"/>
          <w:rtl/>
        </w:rPr>
        <w:t>פניו</w:t>
      </w:r>
      <w:r>
        <w:rPr>
          <w:rFonts w:ascii="FrankRuehl" w:hAnsi="FrankRuehl" w:cs="FrankRuehl" w:hint="cs"/>
          <w:sz w:val="28"/>
          <w:szCs w:val="28"/>
          <w:rtl/>
        </w:rPr>
        <w:t xml:space="preserve"> </w:t>
      </w:r>
      <w:r w:rsidRPr="001D03C3">
        <w:rPr>
          <w:rFonts w:ascii="Miriam" w:hAnsi="Miriam" w:cs="Miriam" w:hint="cs"/>
          <w:rtl/>
        </w:rPr>
        <w:t>במסכה</w:t>
      </w:r>
      <w:r>
        <w:rPr>
          <w:rFonts w:ascii="FrankRuehl" w:hAnsi="FrankRuehl" w:cs="FrankRuehl" w:hint="cs"/>
          <w:sz w:val="28"/>
          <w:szCs w:val="28"/>
          <w:rtl/>
        </w:rPr>
        <w:t xml:space="preserve"> </w:t>
      </w:r>
      <w:r w:rsidRPr="001D03C3">
        <w:rPr>
          <w:rFonts w:ascii="Miriam" w:hAnsi="Miriam" w:cs="Miriam" w:hint="cs"/>
          <w:rtl/>
        </w:rPr>
        <w:t>כירורגית</w:t>
      </w:r>
      <w:r>
        <w:rPr>
          <w:rFonts w:ascii="FrankRuehl" w:hAnsi="FrankRuehl" w:cs="FrankRuehl" w:hint="cs"/>
          <w:sz w:val="28"/>
          <w:szCs w:val="28"/>
          <w:rtl/>
        </w:rPr>
        <w:t xml:space="preserve"> על מנת שלא ניתן יהיה לזהות את פניו או להבחין בו. משיצא המתלונן מהמסעדה, קפץ עליו נאשם 1, איים עליו שישתוק והזעיק למקום </w:t>
      </w:r>
      <w:r w:rsidRPr="00711E31">
        <w:rPr>
          <w:rFonts w:ascii="FrankRuehl" w:hAnsi="FrankRuehl" w:cs="Miriam" w:hint="cs"/>
          <w:rtl/>
        </w:rPr>
        <w:t>את הנאשם</w:t>
      </w:r>
      <w:r>
        <w:rPr>
          <w:rFonts w:ascii="FrankRuehl" w:hAnsi="FrankRuehl" w:cs="FrankRuehl" w:hint="cs"/>
          <w:sz w:val="28"/>
          <w:szCs w:val="28"/>
          <w:rtl/>
        </w:rPr>
        <w:t xml:space="preserve"> ואת חברו נאשם 3, שהגיעו למקום עם רכבו של נאשם 3. משביקש המתלונן לארוז בגדים לפני שיעזבו את אילת, </w:t>
      </w:r>
      <w:r w:rsidRPr="001D03C3">
        <w:rPr>
          <w:rFonts w:ascii="Miriam" w:hAnsi="Miriam" w:cs="Miriam" w:hint="cs"/>
          <w:rtl/>
        </w:rPr>
        <w:t>ליווה</w:t>
      </w:r>
      <w:r>
        <w:rPr>
          <w:rFonts w:ascii="FrankRuehl" w:hAnsi="FrankRuehl" w:cs="FrankRuehl" w:hint="cs"/>
          <w:sz w:val="28"/>
          <w:szCs w:val="28"/>
          <w:rtl/>
        </w:rPr>
        <w:t xml:space="preserve"> </w:t>
      </w:r>
      <w:r w:rsidRPr="001D03C3">
        <w:rPr>
          <w:rFonts w:ascii="Miriam" w:hAnsi="Miriam" w:cs="Miriam" w:hint="cs"/>
          <w:rtl/>
        </w:rPr>
        <w:t>אותו</w:t>
      </w:r>
      <w:r>
        <w:rPr>
          <w:rFonts w:ascii="FrankRuehl" w:hAnsi="FrankRuehl" w:cs="FrankRuehl" w:hint="cs"/>
          <w:sz w:val="28"/>
          <w:szCs w:val="28"/>
          <w:rtl/>
        </w:rPr>
        <w:t xml:space="preserve"> </w:t>
      </w:r>
      <w:r w:rsidRPr="001D03C3">
        <w:rPr>
          <w:rFonts w:ascii="Miriam" w:hAnsi="Miriam" w:cs="Miriam" w:hint="cs"/>
          <w:rtl/>
        </w:rPr>
        <w:t>הנאשם</w:t>
      </w:r>
      <w:r>
        <w:rPr>
          <w:rFonts w:ascii="FrankRuehl" w:hAnsi="FrankRuehl" w:cs="FrankRuehl" w:hint="cs"/>
          <w:sz w:val="28"/>
          <w:szCs w:val="28"/>
          <w:rtl/>
        </w:rPr>
        <w:t xml:space="preserve"> </w:t>
      </w:r>
      <w:r w:rsidRPr="001D03C3">
        <w:rPr>
          <w:rFonts w:ascii="Miriam" w:hAnsi="Miriam" w:cs="Miriam" w:hint="cs"/>
          <w:rtl/>
        </w:rPr>
        <w:t>על</w:t>
      </w:r>
      <w:r>
        <w:rPr>
          <w:rFonts w:ascii="FrankRuehl" w:hAnsi="FrankRuehl" w:cs="FrankRuehl" w:hint="cs"/>
          <w:sz w:val="28"/>
          <w:szCs w:val="28"/>
          <w:rtl/>
        </w:rPr>
        <w:t xml:space="preserve"> </w:t>
      </w:r>
      <w:r w:rsidRPr="001D03C3">
        <w:rPr>
          <w:rFonts w:ascii="Miriam" w:hAnsi="Miriam" w:cs="Miriam" w:hint="cs"/>
          <w:rtl/>
        </w:rPr>
        <w:t>מנת</w:t>
      </w:r>
      <w:r>
        <w:rPr>
          <w:rFonts w:ascii="FrankRuehl" w:hAnsi="FrankRuehl" w:cs="FrankRuehl" w:hint="cs"/>
          <w:sz w:val="28"/>
          <w:szCs w:val="28"/>
          <w:rtl/>
        </w:rPr>
        <w:t xml:space="preserve"> </w:t>
      </w:r>
      <w:r w:rsidRPr="001D03C3">
        <w:rPr>
          <w:rFonts w:ascii="Miriam" w:hAnsi="Miriam" w:cs="Miriam" w:hint="cs"/>
          <w:rtl/>
        </w:rPr>
        <w:t>לוודא</w:t>
      </w:r>
      <w:r>
        <w:rPr>
          <w:rFonts w:ascii="FrankRuehl" w:hAnsi="FrankRuehl" w:cs="FrankRuehl" w:hint="cs"/>
          <w:sz w:val="28"/>
          <w:szCs w:val="28"/>
          <w:rtl/>
        </w:rPr>
        <w:t xml:space="preserve"> </w:t>
      </w:r>
      <w:r w:rsidRPr="001D03C3">
        <w:rPr>
          <w:rFonts w:ascii="Miriam" w:hAnsi="Miriam" w:cs="Miriam" w:hint="cs"/>
          <w:rtl/>
        </w:rPr>
        <w:t>שלא</w:t>
      </w:r>
      <w:r>
        <w:rPr>
          <w:rFonts w:ascii="FrankRuehl" w:hAnsi="FrankRuehl" w:cs="FrankRuehl" w:hint="cs"/>
          <w:sz w:val="28"/>
          <w:szCs w:val="28"/>
          <w:rtl/>
        </w:rPr>
        <w:t xml:space="preserve"> </w:t>
      </w:r>
      <w:r w:rsidRPr="001D03C3">
        <w:rPr>
          <w:rFonts w:ascii="Miriam" w:hAnsi="Miriam" w:cs="Miriam" w:hint="cs"/>
          <w:rtl/>
        </w:rPr>
        <w:t>ידווח</w:t>
      </w:r>
      <w:r>
        <w:rPr>
          <w:rFonts w:ascii="FrankRuehl" w:hAnsi="FrankRuehl" w:cs="FrankRuehl" w:hint="cs"/>
          <w:sz w:val="28"/>
          <w:szCs w:val="28"/>
          <w:rtl/>
        </w:rPr>
        <w:t xml:space="preserve"> </w:t>
      </w:r>
      <w:r w:rsidRPr="001D03C3">
        <w:rPr>
          <w:rFonts w:ascii="Miriam" w:hAnsi="Miriam" w:cs="Miriam" w:hint="cs"/>
          <w:rtl/>
        </w:rPr>
        <w:t>לאחרים על כך שנחטף</w:t>
      </w:r>
      <w:r>
        <w:rPr>
          <w:rFonts w:ascii="FrankRuehl" w:hAnsi="FrankRuehl" w:cs="FrankRuehl" w:hint="cs"/>
          <w:sz w:val="28"/>
          <w:szCs w:val="28"/>
          <w:rtl/>
        </w:rPr>
        <w:t xml:space="preserve">. בהמשך עזבו הנאשמים את אילת כשהמתלונן ברכבם. במהלך הנסיעה היכה נאשם 1 את המתלונן באופן שהותיר בו חבלה, כל זאת </w:t>
      </w:r>
      <w:r w:rsidRPr="001D03C3">
        <w:rPr>
          <w:rFonts w:ascii="Miriam" w:hAnsi="Miriam" w:cs="Miriam" w:hint="cs"/>
          <w:rtl/>
        </w:rPr>
        <w:t>בנוכחות</w:t>
      </w:r>
      <w:r>
        <w:rPr>
          <w:rFonts w:ascii="FrankRuehl" w:hAnsi="FrankRuehl" w:cs="FrankRuehl" w:hint="cs"/>
          <w:sz w:val="28"/>
          <w:szCs w:val="28"/>
          <w:rtl/>
        </w:rPr>
        <w:t xml:space="preserve"> </w:t>
      </w:r>
      <w:r w:rsidRPr="001D03C3">
        <w:rPr>
          <w:rFonts w:ascii="Miriam" w:hAnsi="Miriam" w:cs="Miriam" w:hint="cs"/>
          <w:rtl/>
        </w:rPr>
        <w:t>הנאשם</w:t>
      </w:r>
      <w:r>
        <w:rPr>
          <w:rFonts w:ascii="FrankRuehl" w:hAnsi="FrankRuehl" w:cs="FrankRuehl" w:hint="cs"/>
          <w:sz w:val="28"/>
          <w:szCs w:val="28"/>
          <w:rtl/>
        </w:rPr>
        <w:t xml:space="preserve"> </w:t>
      </w:r>
      <w:r w:rsidRPr="00C53CD9">
        <w:rPr>
          <w:rFonts w:ascii="FrankRuehl" w:hAnsi="FrankRuehl" w:cs="FrankRuehl" w:hint="cs"/>
          <w:sz w:val="28"/>
          <w:szCs w:val="28"/>
          <w:rtl/>
        </w:rPr>
        <w:t>וחברו</w:t>
      </w:r>
      <w:r>
        <w:rPr>
          <w:rFonts w:ascii="FrankRuehl" w:hAnsi="FrankRuehl" w:cs="FrankRuehl" w:hint="cs"/>
          <w:sz w:val="28"/>
          <w:szCs w:val="28"/>
          <w:rtl/>
        </w:rPr>
        <w:t xml:space="preserve">. </w:t>
      </w:r>
    </w:p>
    <w:p w14:paraId="0B5142C7" w14:textId="77777777" w:rsidR="00091456" w:rsidRDefault="00091456" w:rsidP="00091456">
      <w:pPr>
        <w:jc w:val="both"/>
        <w:rPr>
          <w:rFonts w:ascii="FrankRuehl" w:hAnsi="FrankRuehl" w:cs="FrankRuehl"/>
          <w:sz w:val="28"/>
          <w:szCs w:val="28"/>
          <w:rtl/>
        </w:rPr>
      </w:pPr>
    </w:p>
    <w:p w14:paraId="477B77E7"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13.</w:t>
      </w:r>
      <w:r>
        <w:rPr>
          <w:rFonts w:ascii="FrankRuehl" w:hAnsi="FrankRuehl" w:cs="FrankRuehl" w:hint="cs"/>
          <w:sz w:val="28"/>
          <w:szCs w:val="28"/>
          <w:rtl/>
        </w:rPr>
        <w:tab/>
        <w:t xml:space="preserve">אין חולק על כך שככל שיוכחו עובדות כתב האישום החדש, מדובר באירוע עברייני, מתוכנן ואלים, אותו ביצע הנאשם לאחר שחבר לאנשים מהם היה אמור להתנתק ככל שפניו היו לשיקום, זאת על אף טענתו טרם מתן גזר הדין כי התנתק מחברה עבריינית. עוד יש לזכור שהמעשים בוצעו לכאורה בתקופה בה ריצה הנאשם את עבודות השירות ובתקופה בה עמד בתוקפו צו המבחן. ועל כך נאמר </w:t>
      </w:r>
      <w:r>
        <w:rPr>
          <w:rFonts w:ascii="FrankRuehl" w:hAnsi="FrankRuehl" w:cs="FrankRuehl"/>
          <w:sz w:val="28"/>
          <w:szCs w:val="28"/>
          <w:rtl/>
        </w:rPr>
        <w:t>–</w:t>
      </w:r>
      <w:r>
        <w:rPr>
          <w:rFonts w:ascii="FrankRuehl" w:hAnsi="FrankRuehl" w:cs="FrankRuehl" w:hint="cs"/>
          <w:sz w:val="28"/>
          <w:szCs w:val="28"/>
          <w:rtl/>
        </w:rPr>
        <w:t xml:space="preserve"> מלים לחוד (לשירות המבחן, לממונה ולבית המשפט) ומעשים לחוד. מעשי הנאשם מלמדים, לכאורה, כי הוא נטוע בעולם העברייני וכי התוחלת בניסיון לשקמו ולמנוע המשך הידרדרותו במורד העולם העברייני שונה מזו שהייתה ביום מתן גזר הדין המקורי. מהאמור אף עולה  שגזר הדין המקורי, שהקל עם הנאשם באופן יחסי, לא הרתיע אותו מלשוב לסורו.</w:t>
      </w:r>
    </w:p>
    <w:p w14:paraId="66B3A7D1" w14:textId="77777777" w:rsidR="00091456" w:rsidRDefault="00091456" w:rsidP="00091456">
      <w:pPr>
        <w:ind w:firstLine="720"/>
        <w:jc w:val="both"/>
        <w:rPr>
          <w:rFonts w:ascii="FrankRuehl" w:hAnsi="FrankRuehl" w:cs="FrankRuehl"/>
          <w:sz w:val="28"/>
          <w:szCs w:val="28"/>
          <w:rtl/>
        </w:rPr>
      </w:pPr>
    </w:p>
    <w:p w14:paraId="1539E108"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t xml:space="preserve">אחת מטענות ב"כ הנאשם הייתה שההחלטה על מעצרו של הנאשם, ובהמשך ההחלטה לעצרו באיזוק, ניתנו על בסיס מסד ראייתי שאינו איתן, ומכאן שיש להמתין ל"התפתחות במשפטו" טרם קבלת ההחלטה על הפקעת עבודות השירות. אין בידי לקבל טענה זו, משני טעמים עיקריים. </w:t>
      </w:r>
      <w:r w:rsidRPr="00ED034B">
        <w:rPr>
          <w:rFonts w:ascii="Miriam" w:hAnsi="Miriam" w:cs="Miriam" w:hint="cs"/>
          <w:rtl/>
        </w:rPr>
        <w:t>האחד</w:t>
      </w:r>
      <w:r>
        <w:rPr>
          <w:rFonts w:ascii="FrankRuehl" w:hAnsi="FrankRuehl" w:cs="FrankRuehl" w:hint="cs"/>
          <w:sz w:val="28"/>
          <w:szCs w:val="28"/>
          <w:rtl/>
        </w:rPr>
        <w:t xml:space="preserve">, אין </w:t>
      </w:r>
      <w:hyperlink r:id="rId63" w:history="1">
        <w:r w:rsidR="00CD5378" w:rsidRPr="00CD5378">
          <w:rPr>
            <w:rStyle w:val="Hyperlink"/>
            <w:rFonts w:ascii="FrankRuehl" w:hAnsi="FrankRuehl" w:cs="FrankRuehl" w:hint="eastAsia"/>
            <w:sz w:val="28"/>
            <w:szCs w:val="28"/>
            <w:rtl/>
          </w:rPr>
          <w:t>בסעיף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לחוק כל דרישה לבחון את המסד הראייתי שעומד בבסיס כתב האישום החדש, והוא מאפשר לבית המשפט להכריע בשאלה אם להפסיק את עבודות השירות על יסוד </w:t>
      </w:r>
      <w:r w:rsidRPr="0036073B">
        <w:rPr>
          <w:rFonts w:ascii="Miriam" w:hAnsi="Miriam" w:cs="Miriam"/>
          <w:rtl/>
        </w:rPr>
        <w:t xml:space="preserve">עובדות כתב האישום </w:t>
      </w:r>
      <w:r>
        <w:rPr>
          <w:rFonts w:ascii="Miriam" w:hAnsi="Miriam" w:cs="Miriam" w:hint="cs"/>
          <w:rtl/>
        </w:rPr>
        <w:t xml:space="preserve">החדש </w:t>
      </w:r>
      <w:r w:rsidRPr="0036073B">
        <w:rPr>
          <w:rFonts w:ascii="Miriam" w:hAnsi="Miriam" w:cs="Miriam"/>
          <w:rtl/>
        </w:rPr>
        <w:t>בלבד</w:t>
      </w:r>
      <w:r>
        <w:rPr>
          <w:rFonts w:ascii="FrankRuehl" w:hAnsi="FrankRuehl" w:cs="FrankRuehl" w:hint="cs"/>
          <w:sz w:val="28"/>
          <w:szCs w:val="28"/>
          <w:rtl/>
        </w:rPr>
        <w:t xml:space="preserve">. </w:t>
      </w:r>
      <w:r w:rsidRPr="00ED034B">
        <w:rPr>
          <w:rFonts w:ascii="Miriam" w:hAnsi="Miriam" w:cs="Miriam" w:hint="cs"/>
          <w:rtl/>
        </w:rPr>
        <w:t>השני</w:t>
      </w:r>
      <w:r>
        <w:rPr>
          <w:rFonts w:ascii="FrankRuehl" w:hAnsi="FrankRuehl" w:cs="FrankRuehl" w:hint="cs"/>
          <w:sz w:val="28"/>
          <w:szCs w:val="28"/>
          <w:rtl/>
        </w:rPr>
        <w:t xml:space="preserve">, הפקעת עבודות השירות אפשרית גם במקרים בהם הנאשם כלל לא נעצר במסגרת התיק החדש, כלומר במקרים בהם </w:t>
      </w:r>
      <w:r w:rsidRPr="00AE7A12">
        <w:rPr>
          <w:rFonts w:ascii="Miriam" w:hAnsi="Miriam" w:cs="Miriam"/>
          <w:rtl/>
        </w:rPr>
        <w:t xml:space="preserve">כלל לא נערך דיון בשאלת הראיות לכאורה </w:t>
      </w:r>
      <w:r>
        <w:rPr>
          <w:rFonts w:ascii="FrankRuehl" w:hAnsi="FrankRuehl" w:cs="FrankRuehl" w:hint="cs"/>
          <w:sz w:val="28"/>
          <w:szCs w:val="28"/>
          <w:rtl/>
        </w:rPr>
        <w:t xml:space="preserve">במסגרת הליך מעצר. בעניין זה נקבע כי "העדרה של דרישה ראייתית כלשהי, מושתת על ההנחה שכתב האישום הוגש על יסוד הערכת התביעה כי יש די ראיות להרשעה [עניין </w:t>
      </w:r>
      <w:r w:rsidRPr="00403CFD">
        <w:rPr>
          <w:rFonts w:ascii="Miriam" w:hAnsi="Miriam" w:cs="Miriam"/>
          <w:rtl/>
        </w:rPr>
        <w:t>נתשה</w:t>
      </w:r>
      <w:r>
        <w:rPr>
          <w:rFonts w:ascii="FrankRuehl" w:hAnsi="FrankRuehl" w:cs="FrankRuehl" w:hint="cs"/>
          <w:sz w:val="28"/>
          <w:szCs w:val="28"/>
          <w:rtl/>
        </w:rPr>
        <w:t xml:space="preserve">, פסקה 13; </w:t>
      </w:r>
      <w:hyperlink r:id="rId64" w:history="1">
        <w:r w:rsidR="006F3A29" w:rsidRPr="006F3A29">
          <w:rPr>
            <w:rFonts w:ascii="FrankRuehl" w:hAnsi="FrankRuehl" w:cs="FrankRuehl"/>
            <w:color w:val="0000FF"/>
            <w:sz w:val="28"/>
            <w:szCs w:val="28"/>
            <w:u w:val="single"/>
            <w:rtl/>
          </w:rPr>
          <w:t>רע"ב 426/06</w:t>
        </w:r>
      </w:hyperlink>
      <w:r>
        <w:rPr>
          <w:rFonts w:ascii="FrankRuehl" w:hAnsi="FrankRuehl" w:cs="FrankRuehl" w:hint="cs"/>
          <w:sz w:val="28"/>
          <w:szCs w:val="28"/>
          <w:rtl/>
        </w:rPr>
        <w:t xml:space="preserve"> </w:t>
      </w:r>
      <w:r w:rsidRPr="00403CFD">
        <w:rPr>
          <w:rFonts w:ascii="Miriam" w:hAnsi="Miriam" w:cs="Miriam" w:hint="cs"/>
          <w:rtl/>
        </w:rPr>
        <w:t>חווא</w:t>
      </w:r>
      <w:r>
        <w:rPr>
          <w:rFonts w:ascii="FrankRuehl" w:hAnsi="FrankRuehl" w:cs="FrankRuehl" w:hint="cs"/>
          <w:sz w:val="28"/>
          <w:szCs w:val="28"/>
          <w:rtl/>
        </w:rPr>
        <w:t xml:space="preserve"> </w:t>
      </w:r>
      <w:r w:rsidRPr="00403CFD">
        <w:rPr>
          <w:rFonts w:ascii="Miriam" w:hAnsi="Miriam" w:cs="Miriam" w:hint="cs"/>
          <w:rtl/>
        </w:rPr>
        <w:t>נ'</w:t>
      </w:r>
      <w:r>
        <w:rPr>
          <w:rFonts w:ascii="FrankRuehl" w:hAnsi="FrankRuehl" w:cs="FrankRuehl" w:hint="cs"/>
          <w:sz w:val="28"/>
          <w:szCs w:val="28"/>
          <w:rtl/>
        </w:rPr>
        <w:t xml:space="preserve"> </w:t>
      </w:r>
      <w:r w:rsidRPr="00403CFD">
        <w:rPr>
          <w:rFonts w:ascii="Miriam" w:hAnsi="Miriam" w:cs="Miriam" w:hint="cs"/>
          <w:rtl/>
        </w:rPr>
        <w:t>שירות</w:t>
      </w:r>
      <w:r>
        <w:rPr>
          <w:rFonts w:ascii="FrankRuehl" w:hAnsi="FrankRuehl" w:cs="FrankRuehl" w:hint="cs"/>
          <w:sz w:val="28"/>
          <w:szCs w:val="28"/>
          <w:rtl/>
        </w:rPr>
        <w:t xml:space="preserve"> </w:t>
      </w:r>
      <w:r w:rsidRPr="00403CFD">
        <w:rPr>
          <w:rFonts w:ascii="Miriam" w:hAnsi="Miriam" w:cs="Miriam" w:hint="cs"/>
          <w:rtl/>
        </w:rPr>
        <w:t>בתי</w:t>
      </w:r>
      <w:r>
        <w:rPr>
          <w:rFonts w:ascii="FrankRuehl" w:hAnsi="FrankRuehl" w:cs="FrankRuehl" w:hint="cs"/>
          <w:sz w:val="28"/>
          <w:szCs w:val="28"/>
          <w:rtl/>
        </w:rPr>
        <w:t xml:space="preserve"> </w:t>
      </w:r>
      <w:r w:rsidRPr="00B560A2">
        <w:rPr>
          <w:rFonts w:ascii="Miriam" w:hAnsi="Miriam" w:cs="Miriam" w:hint="cs"/>
          <w:rtl/>
        </w:rPr>
        <w:t>הסוהר</w:t>
      </w:r>
      <w:r>
        <w:rPr>
          <w:rFonts w:ascii="FrankRuehl" w:hAnsi="FrankRuehl" w:cs="FrankRuehl" w:hint="cs"/>
          <w:sz w:val="28"/>
          <w:szCs w:val="28"/>
          <w:rtl/>
        </w:rPr>
        <w:t>, פסקה 16 (12.3.2006)]. הנה כי כן, מצבו של הנאשם "טוב" מזה של נאשם "רגיל" שלא נעצר בעקבות עבירה שעבר במסגרת התיק החדש, בשים לב לעובדה שכתב האישום שהוגש נגדו עבר לא רק את מסננת התביעה הכללית שהחליטה להגיש נגדו כתב אישום לאחר שמצאה שיש די ראיות לעשות כן, אלא גם את מסננת ביקורתו של המותב שדן בהליך המעצר בעניינו בבית המשפט המחוזי. למותר יהיה לציין שבית משפט זה אינו מהווה ערכאת ערעור על החלטה של שופט אחר, קל וחומר כאשר מדובר בהחלטה שניתנה על ידי שופט של בית המשפט המחוזי.</w:t>
      </w:r>
    </w:p>
    <w:p w14:paraId="687ABD28" w14:textId="77777777" w:rsidR="00091456" w:rsidRDefault="00091456" w:rsidP="00091456">
      <w:pPr>
        <w:rPr>
          <w:rFonts w:ascii="FrankRuehl" w:hAnsi="FrankRuehl" w:cs="FrankRuehl"/>
          <w:sz w:val="28"/>
          <w:szCs w:val="28"/>
          <w:rtl/>
        </w:rPr>
      </w:pPr>
    </w:p>
    <w:p w14:paraId="47B78BC9"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t>מאותם טעמים ממש, מצאתי לדחות אף את בקשתו החלופית של ב"כ הנאשם לעכב את מועד ההכרעה בהליך המתנהל בפניי עד לשלב בו ניתן יהיה לבחון את "ההתפתחויות" שיחולו בהליך הפלילי החדש והשפעתן על סיכויי הרשעת הנאשם. משמעות בקשה זו היא הבעת עמדה בהליך מקביל המתנהל בפני מותב אחר, לרבות הערכת מהימנות העדים. לזאת אין לתת יד ודומה שכל מילה מעבר לכך מיותרת.</w:t>
      </w:r>
    </w:p>
    <w:p w14:paraId="677A7935" w14:textId="77777777" w:rsidR="00091456" w:rsidRDefault="00091456" w:rsidP="00091456">
      <w:pPr>
        <w:rPr>
          <w:rFonts w:ascii="FrankRuehl" w:hAnsi="FrankRuehl" w:cs="FrankRuehl"/>
          <w:sz w:val="28"/>
          <w:szCs w:val="28"/>
          <w:rtl/>
        </w:rPr>
      </w:pPr>
    </w:p>
    <w:p w14:paraId="6088C244"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 xml:space="preserve">אין בידי לקבל גם את הטענה החלופית של הנאשם, לפיה לא ניתן להטיל עליו עונש מאסר בפועל מן הטעם שמלכתחילה עתרה המאשימה להטיל עליו עונש מאסר לריצוי בדרך של עבודות שירות, שהרי </w:t>
      </w:r>
      <w:hyperlink r:id="rId65"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לחוק מאפשר להפסיק את עבודות השירות ללא כל קשר לעתירה המאשימה בשלב הטיעונים לעונש.</w:t>
      </w:r>
    </w:p>
    <w:p w14:paraId="799186A3" w14:textId="77777777" w:rsidR="00091456" w:rsidRDefault="00091456" w:rsidP="00091456">
      <w:pPr>
        <w:rPr>
          <w:rFonts w:ascii="FrankRuehl" w:hAnsi="FrankRuehl" w:cs="FrankRuehl"/>
          <w:sz w:val="28"/>
          <w:szCs w:val="28"/>
          <w:rtl/>
        </w:rPr>
      </w:pPr>
    </w:p>
    <w:p w14:paraId="5EE7168C"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17.</w:t>
      </w:r>
      <w:r>
        <w:rPr>
          <w:rFonts w:ascii="FrankRuehl" w:hAnsi="FrankRuehl" w:cs="FrankRuehl" w:hint="cs"/>
          <w:sz w:val="28"/>
          <w:szCs w:val="28"/>
          <w:rtl/>
        </w:rPr>
        <w:tab/>
        <w:t xml:space="preserve">אשר להתנהלות הנאשם אל מול הממונה עד למועד מעצרו, גם אם אניח לטובת הנאשם שהאיחור בתחילת ריצוי עבודות השירות נבע ממצבו הרפואי (ויודגש כי עניין זה לא הוכח), עדיין, אין מדובר בטעם העיקרי להפסקת עבודות השירות, אלא בנימוק משלים שהוא בבחינת "למעלה מן הצורך". בעניין זה אשוב ואפנה לחומרת המעשים המיוחסים לנאשם בכתב האישום החדש, בעקבותיו נעצר ובהמשך נעצר באזוק אלקטרוני, פחות משבעה חודשים לאחר שניתן גזר הדין, כחודשיים לאחר שאמור היה להתייצב לריצוי עבודות השירות, וכעשרים ימים לאחר שהחל בביצועם בפועל, כאמור באיחור. </w:t>
      </w:r>
      <w:r w:rsidRPr="00C453EA">
        <w:rPr>
          <w:rFonts w:ascii="FrankRuehl" w:hAnsi="FrankRuehl" w:cs="FrankRuehl" w:hint="cs"/>
          <w:sz w:val="28"/>
          <w:szCs w:val="28"/>
          <w:rtl/>
        </w:rPr>
        <w:t>התנהלות הנאשם אל מול הממונה ואל מול שירות המבחן, עובר למתן גזר הדין ולאחריו, לא הייתה "חלקה", ובחוכמה שלאחר מעשה ניתן לומר ש</w:t>
      </w:r>
      <w:r>
        <w:rPr>
          <w:rFonts w:ascii="FrankRuehl" w:hAnsi="FrankRuehl" w:cs="FrankRuehl" w:hint="cs"/>
          <w:sz w:val="28"/>
          <w:szCs w:val="28"/>
          <w:rtl/>
        </w:rPr>
        <w:t>"</w:t>
      </w:r>
      <w:r w:rsidRPr="00C453EA">
        <w:rPr>
          <w:rFonts w:ascii="FrankRuehl" w:hAnsi="FrankRuehl" w:cs="FrankRuehl" w:hint="cs"/>
          <w:sz w:val="28"/>
          <w:szCs w:val="28"/>
          <w:rtl/>
        </w:rPr>
        <w:t>הכתובת הייתה על הקיר</w:t>
      </w:r>
      <w:r>
        <w:rPr>
          <w:rFonts w:ascii="FrankRuehl" w:hAnsi="FrankRuehl" w:cs="FrankRuehl" w:hint="cs"/>
          <w:sz w:val="28"/>
          <w:szCs w:val="28"/>
          <w:rtl/>
        </w:rPr>
        <w:t>"</w:t>
      </w:r>
      <w:r w:rsidRPr="00C453EA">
        <w:rPr>
          <w:rFonts w:ascii="FrankRuehl" w:hAnsi="FrankRuehl" w:cs="FrankRuehl" w:hint="cs"/>
          <w:sz w:val="28"/>
          <w:szCs w:val="28"/>
          <w:rtl/>
        </w:rPr>
        <w:t>. בגזר הדין מצאתי לציין</w:t>
      </w:r>
      <w:r>
        <w:rPr>
          <w:rFonts w:ascii="FrankRuehl" w:hAnsi="FrankRuehl" w:cs="FrankRuehl" w:hint="cs"/>
          <w:sz w:val="28"/>
          <w:szCs w:val="28"/>
          <w:rtl/>
        </w:rPr>
        <w:t>, בין היתר,</w:t>
      </w:r>
      <w:r w:rsidRPr="00C453EA">
        <w:rPr>
          <w:rFonts w:ascii="FrankRuehl" w:hAnsi="FrankRuehl" w:cs="FrankRuehl" w:hint="cs"/>
          <w:sz w:val="28"/>
          <w:szCs w:val="28"/>
          <w:rtl/>
        </w:rPr>
        <w:t xml:space="preserve"> את הדברים הבאים:</w:t>
      </w:r>
    </w:p>
    <w:p w14:paraId="6258D219" w14:textId="77777777" w:rsidR="00091456" w:rsidRDefault="00091456" w:rsidP="00091456">
      <w:pPr>
        <w:rPr>
          <w:rFonts w:ascii="FrankRuehl" w:hAnsi="FrankRuehl" w:cs="FrankRuehl"/>
          <w:sz w:val="28"/>
          <w:szCs w:val="28"/>
          <w:rtl/>
        </w:rPr>
      </w:pPr>
    </w:p>
    <w:p w14:paraId="0480EFBD" w14:textId="77777777" w:rsidR="00091456" w:rsidRPr="002B49D2" w:rsidRDefault="00091456" w:rsidP="00091456">
      <w:pPr>
        <w:pStyle w:val="Ruller5"/>
        <w:spacing w:line="360" w:lineRule="auto"/>
        <w:rPr>
          <w:rFonts w:ascii="FrankRuehl" w:hAnsi="FrankRuehl"/>
          <w:spacing w:val="0"/>
          <w:sz w:val="28"/>
        </w:rPr>
      </w:pPr>
      <w:r w:rsidRPr="002B49D2">
        <w:rPr>
          <w:rFonts w:ascii="FrankRuehl" w:hAnsi="FrankRuehl" w:hint="cs"/>
          <w:spacing w:val="0"/>
          <w:sz w:val="28"/>
          <w:rtl/>
        </w:rPr>
        <w:t>"</w:t>
      </w:r>
      <w:r w:rsidRPr="002B49D2">
        <w:rPr>
          <w:rFonts w:ascii="FrankRuehl" w:hAnsi="FrankRuehl"/>
          <w:spacing w:val="0"/>
          <w:sz w:val="28"/>
          <w:rtl/>
        </w:rPr>
        <w:t xml:space="preserve">אכן, כפי שציין ב"כ הנאשם, המלצת שירות המבחן בתסקיר הראשון הייתה להטיל על הנאשם עונש של מאסר שירוצה בעבודות שירות, כאשר בהמשך, עם התקדמות ההליך הטיפולי, שינה שירות המבחן את המלצתו להסתפק בעונש של צו של"צ בלבד כעונש מוחשי. ואולם, אני סבור, </w:t>
      </w:r>
      <w:r w:rsidRPr="002B49D2">
        <w:rPr>
          <w:rFonts w:ascii="Miriam" w:hAnsi="Miriam" w:cs="Miriam"/>
          <w:spacing w:val="0"/>
          <w:sz w:val="24"/>
          <w:szCs w:val="24"/>
          <w:rtl/>
        </w:rPr>
        <w:t xml:space="preserve">לאור נסיבות ביצוע עבירה, ככל שהיה נגזר על הנאשם עונש לאחר קבלת התסקיר הראשון, ספק רב אם בית </w:t>
      </w:r>
      <w:r w:rsidRPr="002B49D2">
        <w:rPr>
          <w:rFonts w:ascii="Miriam" w:hAnsi="Miriam" w:cs="Miriam"/>
          <w:b/>
          <w:spacing w:val="0"/>
          <w:sz w:val="24"/>
          <w:szCs w:val="24"/>
          <w:rtl/>
        </w:rPr>
        <w:t>המשפט</w:t>
      </w:r>
      <w:r w:rsidRPr="002B49D2">
        <w:rPr>
          <w:rFonts w:ascii="Miriam" w:hAnsi="Miriam" w:cs="Miriam"/>
          <w:spacing w:val="0"/>
          <w:sz w:val="24"/>
          <w:szCs w:val="24"/>
          <w:rtl/>
        </w:rPr>
        <w:t xml:space="preserve"> היה מכבד המלצה זו ומסתפק בהטלת עונש של מאסר בעבודות שירות, זאת בשים לב לחומרת מעשיו של הנאשם ואי שיתוף הפעולה שלו עם שירות המבחן.</w:t>
      </w:r>
      <w:r w:rsidRPr="002B49D2">
        <w:rPr>
          <w:rFonts w:ascii="FrankRuehl" w:hAnsi="FrankRuehl"/>
          <w:spacing w:val="0"/>
          <w:sz w:val="28"/>
          <w:rtl/>
        </w:rPr>
        <w:t xml:space="preserve"> בעניין זה אציין שהאינטרס הציבורי ככל שהדבר נוגע לעבירות של סחר בסם מסוכן, צריך לאזן בין חומרת המעשים והצורך בהעברת מסר של הרתעה ברוח פסקי דין רבים שניתנו על-ידי בית המשפט העליון בעניין זה, לבין עניינו האישי של הנאשם והתחשבות בנסיבותיו האישיות, לגביהם נקבע ש"תהיינה נסיבותיו של העבריין חמורות וקשות ככל שתהיינה, הן נדחות מפני האינטרס הציבורי" [</w:t>
      </w:r>
      <w:hyperlink r:id="rId66" w:history="1">
        <w:r w:rsidR="006F3A29" w:rsidRPr="006F3A29">
          <w:rPr>
            <w:rFonts w:ascii="FrankRuehl" w:hAnsi="FrankRuehl"/>
            <w:color w:val="0000FF"/>
            <w:spacing w:val="0"/>
            <w:sz w:val="28"/>
            <w:u w:val="single"/>
            <w:rtl/>
          </w:rPr>
          <w:t>ע"פ 7070/03</w:t>
        </w:r>
      </w:hyperlink>
      <w:r w:rsidRPr="002B49D2">
        <w:rPr>
          <w:rFonts w:ascii="FrankRuehl" w:hAnsi="FrankRuehl"/>
          <w:spacing w:val="0"/>
          <w:sz w:val="28"/>
          <w:rtl/>
        </w:rPr>
        <w:t xml:space="preserve"> </w:t>
      </w:r>
      <w:r w:rsidRPr="002B49D2">
        <w:rPr>
          <w:rFonts w:ascii="Miriam" w:hAnsi="Miriam" w:cs="Miriam"/>
          <w:spacing w:val="0"/>
          <w:sz w:val="24"/>
          <w:szCs w:val="24"/>
          <w:rtl/>
        </w:rPr>
        <w:t xml:space="preserve">זניד נגד מדינת ישראל </w:t>
      </w:r>
      <w:r w:rsidRPr="002B49D2">
        <w:rPr>
          <w:rFonts w:ascii="FrankRuehl" w:hAnsi="FrankRuehl"/>
          <w:spacing w:val="0"/>
          <w:sz w:val="28"/>
          <w:rtl/>
        </w:rPr>
        <w:t>(3.4.2006)].</w:t>
      </w:r>
      <w:r w:rsidRPr="002B49D2">
        <w:rPr>
          <w:rFonts w:ascii="FrankRuehl" w:hAnsi="FrankRuehl" w:hint="cs"/>
          <w:spacing w:val="0"/>
          <w:sz w:val="28"/>
          <w:rtl/>
        </w:rPr>
        <w:t>"</w:t>
      </w:r>
    </w:p>
    <w:p w14:paraId="6179D34A" w14:textId="77777777" w:rsidR="00091456" w:rsidRPr="00D355F3" w:rsidRDefault="00091456" w:rsidP="00091456">
      <w:pPr>
        <w:rPr>
          <w:rFonts w:ascii="FrankRuehl" w:hAnsi="FrankRuehl" w:cs="FrankRuehl"/>
          <w:sz w:val="28"/>
          <w:szCs w:val="28"/>
          <w:rtl/>
        </w:rPr>
      </w:pPr>
    </w:p>
    <w:p w14:paraId="19ABAF7A"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18.</w:t>
      </w:r>
      <w:r>
        <w:rPr>
          <w:rFonts w:ascii="FrankRuehl" w:hAnsi="FrankRuehl" w:cs="FrankRuehl" w:hint="cs"/>
          <w:sz w:val="28"/>
          <w:szCs w:val="28"/>
          <w:rtl/>
        </w:rPr>
        <w:tab/>
        <w:t>מעבר לאמור, הובהר מפורשות בגזר הדין המקורי שמתחם הענישה ההולם את נסיבות ביצוע העבירה, נע בין מאסר שיכול וירוצה בדרך של עבודות שירות לבין מספר חודשי מאסר בפועל. הנה כי כן, כבר בשלב מתן גזר הדין היה הנאשם מודע היטב להשלכות אי שיתוף הפעולה שלו עם שירות המבחן ועם הממונה, כמו גם לרמת הענישה המקובלת ולעונש שיכול היה לקבל לולא שיתף פעולה עם שירות המבחן. עתה, משחזרנו לנקודת המוצא, לא נותר אלא ליישם את האמור בגזר הדין המקורי ולהטיל על הנאשם את העונש שהיה ראוי להטיל עליו לולא השיקום החלקי שעבר.</w:t>
      </w:r>
    </w:p>
    <w:p w14:paraId="6A779CE1"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t xml:space="preserve">גם ברמה הפרקטית, ובהינתן שהנאשם עצור באיזוק אלקטרוני, אין אפשרות מעשית להמשך ביצוע עבודות השירות. כידוע, מעמדו של עצור באיזוק אלקטרוני הוא כמעמדו של עצור, ואין מדובר במי ששוחרר בערובה. מהגדרה נורמטיבית זו נגזרות הן זכויות הנאשם והן המגבלות החלות עליו [בש"פ </w:t>
      </w:r>
      <w:hyperlink r:id="rId67" w:history="1">
        <w:r w:rsidR="004F61B1" w:rsidRPr="004F61B1">
          <w:rPr>
            <w:rFonts w:ascii="FrankRuehl" w:hAnsi="FrankRuehl" w:cs="FrankRuehl"/>
            <w:color w:val="0000FF"/>
            <w:sz w:val="28"/>
            <w:szCs w:val="28"/>
            <w:u w:val="single"/>
            <w:rtl/>
          </w:rPr>
          <w:t xml:space="preserve">77/17 </w:t>
        </w:r>
      </w:hyperlink>
      <w:r>
        <w:rPr>
          <w:rFonts w:ascii="FrankRuehl" w:hAnsi="FrankRuehl" w:cs="FrankRuehl" w:hint="cs"/>
          <w:sz w:val="28"/>
          <w:szCs w:val="28"/>
          <w:rtl/>
        </w:rPr>
        <w:t xml:space="preserve"> </w:t>
      </w:r>
      <w:r w:rsidRPr="00F42B8B">
        <w:rPr>
          <w:rFonts w:ascii="Miriam" w:hAnsi="Miriam" w:cs="Miriam"/>
          <w:rtl/>
        </w:rPr>
        <w:t>פלוני נ' מדינת ישראל</w:t>
      </w:r>
      <w:r>
        <w:rPr>
          <w:rFonts w:ascii="FrankRuehl" w:hAnsi="FrankRuehl" w:cs="FrankRuehl" w:hint="cs"/>
          <w:sz w:val="28"/>
          <w:szCs w:val="28"/>
          <w:rtl/>
        </w:rPr>
        <w:t>, פסקה 17 (11.1.2017) (להלן: עניין</w:t>
      </w:r>
      <w:r w:rsidRPr="00E838C2">
        <w:rPr>
          <w:rFonts w:ascii="Miriam" w:hAnsi="Miriam" w:cs="Miriam"/>
          <w:rtl/>
        </w:rPr>
        <w:t xml:space="preserve"> פלוני</w:t>
      </w:r>
      <w:r>
        <w:rPr>
          <w:rFonts w:ascii="FrankRuehl" w:hAnsi="FrankRuehl" w:cs="FrankRuehl" w:hint="cs"/>
          <w:sz w:val="28"/>
          <w:szCs w:val="28"/>
          <w:rtl/>
        </w:rPr>
        <w:t>)]. בקשת הנאשם לאפשר לו להמשיך ולרצות את עבודות השירות בתיק המקורי מעוררת לא מעט קשיים משפטיים ויישומיים, הכרוכים האחד בשני, ובראשם הצורך לפתוח לו "חלונות" שיאפשרו את יציאתו מהמעצר בו הוא נתון.</w:t>
      </w:r>
    </w:p>
    <w:p w14:paraId="09CA6179" w14:textId="77777777" w:rsidR="00091456" w:rsidRDefault="00091456" w:rsidP="00091456">
      <w:pPr>
        <w:rPr>
          <w:rFonts w:ascii="FrankRuehl" w:hAnsi="FrankRuehl" w:cs="FrankRuehl"/>
          <w:sz w:val="28"/>
          <w:szCs w:val="28"/>
          <w:rtl/>
        </w:rPr>
      </w:pPr>
    </w:p>
    <w:p w14:paraId="340A0A7E"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r>
      <w:hyperlink r:id="rId68"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22ד(1)(ג)</w:t>
        </w:r>
      </w:hyperlink>
      <w:r>
        <w:rPr>
          <w:rFonts w:ascii="FrankRuehl" w:hAnsi="FrankRuehl" w:cs="FrankRuehl" w:hint="cs"/>
          <w:sz w:val="28"/>
          <w:szCs w:val="28"/>
          <w:rtl/>
        </w:rPr>
        <w:t xml:space="preserve"> לחוק קובע כי חלונות פיקוח של נאשם הנתון במעצר בפיקוח אלקטרוני מוגבלות, ככלל, לצרכים חיוניים כגון טיפולים רפואיים, נפשיים ואחרים, או לצרכים שיקומיים. על אף שקיימת אפשרות נוספת ליצירת "חלון פיקוח" לצורך "תכלית חשובה אחרת, מטעמים שיירשמו", עדיין נדרש כי תכלית זו "תעלה בקנה אחד עם המגמה העולה מהתכליות שפורטו במפורש בחוק ועם תכליות המעצר בכלל" [עניין</w:t>
      </w:r>
      <w:r w:rsidRPr="00E838C2">
        <w:rPr>
          <w:rFonts w:ascii="Miriam" w:hAnsi="Miriam" w:cs="Miriam"/>
          <w:rtl/>
        </w:rPr>
        <w:t xml:space="preserve"> פלוני</w:t>
      </w:r>
      <w:r>
        <w:rPr>
          <w:rFonts w:ascii="FrankRuehl" w:hAnsi="FrankRuehl" w:cs="FrankRuehl" w:hint="cs"/>
          <w:sz w:val="28"/>
          <w:szCs w:val="28"/>
          <w:rtl/>
        </w:rPr>
        <w:t>, פסקה 14]. ברוח זו נקבע כי מעצר באיזוק אלקטרוני אינו מתיישב עם מתן היתר ליציאה לעבודה [</w:t>
      </w:r>
      <w:hyperlink r:id="rId69" w:history="1">
        <w:r w:rsidR="006F3A29" w:rsidRPr="006F3A29">
          <w:rPr>
            <w:rFonts w:ascii="FrankRuehl" w:hAnsi="FrankRuehl" w:cs="FrankRuehl"/>
            <w:color w:val="0000FF"/>
            <w:sz w:val="28"/>
            <w:szCs w:val="28"/>
            <w:u w:val="single"/>
            <w:rtl/>
          </w:rPr>
          <w:t>בש"פ 966/16</w:t>
        </w:r>
      </w:hyperlink>
      <w:r>
        <w:rPr>
          <w:rFonts w:ascii="FrankRuehl" w:hAnsi="FrankRuehl" w:cs="FrankRuehl" w:hint="cs"/>
          <w:sz w:val="28"/>
          <w:szCs w:val="28"/>
          <w:rtl/>
        </w:rPr>
        <w:t xml:space="preserve"> </w:t>
      </w:r>
      <w:r w:rsidRPr="008B7288">
        <w:rPr>
          <w:rFonts w:ascii="Miriam" w:hAnsi="Miriam" w:cs="Miriam"/>
          <w:rtl/>
        </w:rPr>
        <w:t>זידאן נ' מדינת ישראל</w:t>
      </w:r>
      <w:r>
        <w:rPr>
          <w:rFonts w:ascii="FrankRuehl" w:hAnsi="FrankRuehl" w:cs="FrankRuehl" w:hint="cs"/>
          <w:sz w:val="28"/>
          <w:szCs w:val="28"/>
          <w:rtl/>
        </w:rPr>
        <w:t>, פסקה 9 (28.2.2016)] וכי על אף שקיימת סמכות להורות כן, תופעל הסמכות במשורה ורק במקרים יוצאי דופן [</w:t>
      </w:r>
      <w:hyperlink r:id="rId70" w:history="1">
        <w:r w:rsidR="006F3A29" w:rsidRPr="006F3A29">
          <w:rPr>
            <w:rFonts w:ascii="FrankRuehl" w:hAnsi="FrankRuehl" w:cs="FrankRuehl"/>
            <w:color w:val="0000FF"/>
            <w:sz w:val="28"/>
            <w:szCs w:val="28"/>
            <w:u w:val="single"/>
            <w:rtl/>
          </w:rPr>
          <w:t>בש"פ 6815/16</w:t>
        </w:r>
      </w:hyperlink>
      <w:r>
        <w:rPr>
          <w:rFonts w:ascii="FrankRuehl" w:hAnsi="FrankRuehl" w:cs="FrankRuehl" w:hint="cs"/>
          <w:sz w:val="28"/>
          <w:szCs w:val="28"/>
          <w:rtl/>
        </w:rPr>
        <w:t xml:space="preserve"> </w:t>
      </w:r>
      <w:r w:rsidRPr="00667D3C">
        <w:rPr>
          <w:rFonts w:ascii="Miriam" w:hAnsi="Miriam" w:cs="Miriam" w:hint="cs"/>
          <w:rtl/>
        </w:rPr>
        <w:t>פלוני</w:t>
      </w:r>
      <w:r>
        <w:rPr>
          <w:rFonts w:ascii="FrankRuehl" w:hAnsi="FrankRuehl" w:cs="FrankRuehl" w:hint="cs"/>
          <w:sz w:val="28"/>
          <w:szCs w:val="28"/>
          <w:rtl/>
        </w:rPr>
        <w:t xml:space="preserve"> </w:t>
      </w:r>
      <w:r w:rsidRPr="00667D3C">
        <w:rPr>
          <w:rFonts w:ascii="Miriam" w:hAnsi="Miriam" w:cs="Miriam" w:hint="cs"/>
          <w:rtl/>
        </w:rPr>
        <w:t>נ'</w:t>
      </w:r>
      <w:r>
        <w:rPr>
          <w:rFonts w:ascii="FrankRuehl" w:hAnsi="FrankRuehl" w:cs="FrankRuehl" w:hint="cs"/>
          <w:sz w:val="28"/>
          <w:szCs w:val="28"/>
          <w:rtl/>
        </w:rPr>
        <w:t xml:space="preserve"> </w:t>
      </w:r>
      <w:r w:rsidRPr="00667D3C">
        <w:rPr>
          <w:rFonts w:ascii="Miriam" w:hAnsi="Miriam" w:cs="Miriam" w:hint="cs"/>
          <w:rtl/>
        </w:rPr>
        <w:t>מדינת</w:t>
      </w:r>
      <w:r>
        <w:rPr>
          <w:rFonts w:ascii="FrankRuehl" w:hAnsi="FrankRuehl" w:cs="FrankRuehl" w:hint="cs"/>
          <w:sz w:val="28"/>
          <w:szCs w:val="28"/>
          <w:rtl/>
        </w:rPr>
        <w:t xml:space="preserve"> </w:t>
      </w:r>
      <w:r w:rsidRPr="00667D3C">
        <w:rPr>
          <w:rFonts w:ascii="Miriam" w:hAnsi="Miriam" w:cs="Miriam" w:hint="cs"/>
          <w:rtl/>
        </w:rPr>
        <w:t>ישראל</w:t>
      </w:r>
      <w:r>
        <w:rPr>
          <w:rFonts w:ascii="FrankRuehl" w:hAnsi="FrankRuehl" w:cs="FrankRuehl" w:hint="cs"/>
          <w:sz w:val="28"/>
          <w:szCs w:val="28"/>
          <w:rtl/>
        </w:rPr>
        <w:t xml:space="preserve">, פסקה 8 (13.9.2016); עניין </w:t>
      </w:r>
      <w:r w:rsidRPr="008B7288">
        <w:rPr>
          <w:rFonts w:ascii="Miriam" w:hAnsi="Miriam" w:cs="Miriam"/>
          <w:rtl/>
        </w:rPr>
        <w:t>פלוני</w:t>
      </w:r>
      <w:r>
        <w:rPr>
          <w:rFonts w:ascii="FrankRuehl" w:hAnsi="FrankRuehl" w:cs="FrankRuehl" w:hint="cs"/>
          <w:sz w:val="28"/>
          <w:szCs w:val="28"/>
          <w:rtl/>
        </w:rPr>
        <w:t xml:space="preserve">, פסקה 14]. בהינתן הכלל לפיו פתיחת חלון לצורך יציאה לעבודה תתאפשר במקרים "יוצאי דופן" והחלטות כאמור תינתנה "במשורה", הרי שמכוח כלל של קל וחומר, החלטה לפתוח חלון לצורך יציאה לעבודת שירות, שמשמעותה יציאה למספר שעות רב במהלך היום, תינתן רק במקרים נדירים שבנדירים, ובשים לב לכלל לפיו "התאווררות אינה מתיישבת עם מעצר" [עניין </w:t>
      </w:r>
      <w:r w:rsidRPr="002264BD">
        <w:rPr>
          <w:rFonts w:ascii="Miriam" w:hAnsi="Miriam" w:cs="Miriam" w:hint="cs"/>
          <w:rtl/>
        </w:rPr>
        <w:t>פלוני</w:t>
      </w:r>
      <w:r>
        <w:rPr>
          <w:rFonts w:ascii="FrankRuehl" w:hAnsi="FrankRuehl" w:cs="FrankRuehl" w:hint="cs"/>
          <w:sz w:val="28"/>
          <w:szCs w:val="28"/>
          <w:rtl/>
        </w:rPr>
        <w:t xml:space="preserve">, פסקה 15; וראו גם </w:t>
      </w:r>
      <w:hyperlink r:id="rId71" w:history="1">
        <w:r w:rsidR="006F3A29" w:rsidRPr="006F3A29">
          <w:rPr>
            <w:rFonts w:ascii="FrankRuehl" w:hAnsi="FrankRuehl" w:cs="FrankRuehl"/>
            <w:color w:val="0000FF"/>
            <w:sz w:val="28"/>
            <w:szCs w:val="28"/>
            <w:u w:val="single"/>
            <w:rtl/>
          </w:rPr>
          <w:t>בש"פ 2296/16</w:t>
        </w:r>
      </w:hyperlink>
      <w:r>
        <w:rPr>
          <w:rFonts w:ascii="FrankRuehl" w:hAnsi="FrankRuehl" w:cs="FrankRuehl" w:hint="cs"/>
          <w:sz w:val="28"/>
          <w:szCs w:val="28"/>
          <w:rtl/>
        </w:rPr>
        <w:t xml:space="preserve"> </w:t>
      </w:r>
      <w:r w:rsidRPr="008B7288">
        <w:rPr>
          <w:rFonts w:ascii="Miriam" w:hAnsi="Miriam" w:cs="Miriam" w:hint="cs"/>
          <w:rtl/>
        </w:rPr>
        <w:t>חג'ג'</w:t>
      </w:r>
      <w:r>
        <w:rPr>
          <w:rFonts w:ascii="FrankRuehl" w:hAnsi="FrankRuehl" w:cs="FrankRuehl" w:hint="cs"/>
          <w:sz w:val="28"/>
          <w:szCs w:val="28"/>
          <w:rtl/>
        </w:rPr>
        <w:t xml:space="preserve"> </w:t>
      </w:r>
      <w:r w:rsidRPr="008B7288">
        <w:rPr>
          <w:rFonts w:ascii="Miriam" w:hAnsi="Miriam" w:cs="Miriam" w:hint="cs"/>
          <w:rtl/>
        </w:rPr>
        <w:t>נ'</w:t>
      </w:r>
      <w:r>
        <w:rPr>
          <w:rFonts w:ascii="FrankRuehl" w:hAnsi="FrankRuehl" w:cs="FrankRuehl" w:hint="cs"/>
          <w:sz w:val="28"/>
          <w:szCs w:val="28"/>
          <w:rtl/>
        </w:rPr>
        <w:t xml:space="preserve"> </w:t>
      </w:r>
      <w:r w:rsidRPr="008B7288">
        <w:rPr>
          <w:rFonts w:ascii="Miriam" w:hAnsi="Miriam" w:cs="Miriam" w:hint="cs"/>
          <w:rtl/>
        </w:rPr>
        <w:t>מדינת</w:t>
      </w:r>
      <w:r>
        <w:rPr>
          <w:rFonts w:ascii="FrankRuehl" w:hAnsi="FrankRuehl" w:cs="FrankRuehl" w:hint="cs"/>
          <w:sz w:val="28"/>
          <w:szCs w:val="28"/>
          <w:rtl/>
        </w:rPr>
        <w:t xml:space="preserve"> </w:t>
      </w:r>
      <w:r w:rsidRPr="008B7288">
        <w:rPr>
          <w:rFonts w:ascii="Miriam" w:hAnsi="Miriam" w:cs="Miriam" w:hint="cs"/>
          <w:rtl/>
        </w:rPr>
        <w:t>ישראל</w:t>
      </w:r>
      <w:r>
        <w:rPr>
          <w:rFonts w:ascii="FrankRuehl" w:hAnsi="FrankRuehl" w:cs="FrankRuehl" w:hint="cs"/>
          <w:sz w:val="28"/>
          <w:szCs w:val="28"/>
          <w:rtl/>
        </w:rPr>
        <w:t xml:space="preserve">, פסקה 16 (15.5.2016) בו קבע השופט (כתוארו אז) </w:t>
      </w:r>
      <w:r w:rsidRPr="00A605B4">
        <w:rPr>
          <w:rFonts w:ascii="Miriam" w:hAnsi="Miriam" w:cs="Miriam"/>
          <w:rtl/>
        </w:rPr>
        <w:t>ח' מלצר</w:t>
      </w:r>
      <w:r>
        <w:rPr>
          <w:rFonts w:ascii="FrankRuehl" w:hAnsi="FrankRuehl" w:cs="FrankRuehl" w:hint="cs"/>
          <w:sz w:val="28"/>
          <w:szCs w:val="28"/>
          <w:rtl/>
        </w:rPr>
        <w:t xml:space="preserve"> מפורשות כי על בית המשפט השוקל חלון פיקוח להתחשב, בין יתר השיקולים, גם ב"'אורכו' של 'חלון היציאה'"].</w:t>
      </w:r>
    </w:p>
    <w:p w14:paraId="00414BB5" w14:textId="77777777" w:rsidR="00091456" w:rsidRDefault="00091456" w:rsidP="00091456">
      <w:pPr>
        <w:rPr>
          <w:rFonts w:ascii="FrankRuehl" w:hAnsi="FrankRuehl" w:cs="FrankRuehl"/>
          <w:sz w:val="28"/>
          <w:szCs w:val="28"/>
          <w:rtl/>
        </w:rPr>
      </w:pPr>
    </w:p>
    <w:p w14:paraId="6402209D"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t xml:space="preserve">מעבר לאמור, אשוב ואזכיר שהמותב שהחליט על מעצרו של הנאשם באיזוק אלקטרוני איננו המותב הדן בבקשת הממונה. מערכת השיקולים שנשקלת, ככלל, על ידי בית המשפט טרם קבלת החלטה על עצם המעצר ועל אופיו, היא מורכבת, ומבוססת על שיקולים רבים שאינם בידיעתו של מותב זה (תסקירי מעצר; עצמת הראיות; השוואה בין נאשמים באותו כתב אישום; בחינת חלופות; התרשמות מהנאשם וכיו"ב). מהאמור עולה שגם אם הייתי נכון לשקול את בקשת הנאשם לאפשר לו להמשיך ולרצות את המאסר בעבדות שירות, וכאמור מסקנתי הפוכה בתכלית, הרי שלא ניתן היה לעשות כן ללא החלטה מפורשת של המותב הדן בהליך המעצר, קרי בית המשפט המחוזי בחיפה. </w:t>
      </w:r>
    </w:p>
    <w:p w14:paraId="40AA1A47" w14:textId="77777777" w:rsidR="00091456" w:rsidRDefault="00091456" w:rsidP="00091456">
      <w:pPr>
        <w:rPr>
          <w:rFonts w:ascii="FrankRuehl" w:hAnsi="FrankRuehl" w:cs="FrankRuehl"/>
          <w:sz w:val="28"/>
          <w:szCs w:val="28"/>
          <w:rtl/>
        </w:rPr>
      </w:pPr>
    </w:p>
    <w:p w14:paraId="58BEE597"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t xml:space="preserve">אשר לבקשה החלופית לקיזוז ימי המעצר </w:t>
      </w:r>
      <w:r>
        <w:rPr>
          <w:rFonts w:ascii="FrankRuehl" w:hAnsi="FrankRuehl" w:cs="FrankRuehl"/>
          <w:sz w:val="28"/>
          <w:szCs w:val="28"/>
          <w:rtl/>
        </w:rPr>
        <w:t>–</w:t>
      </w:r>
      <w:r>
        <w:rPr>
          <w:rFonts w:ascii="FrankRuehl" w:hAnsi="FrankRuehl" w:cs="FrankRuehl" w:hint="cs"/>
          <w:sz w:val="28"/>
          <w:szCs w:val="28"/>
          <w:rtl/>
        </w:rPr>
        <w:t xml:space="preserve"> גם כאן דומה שיש לשוב ולהזכיר כי לבית המשפט אין סמכות לגזור על הנאשם בנסיבות </w:t>
      </w:r>
      <w:hyperlink r:id="rId72"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51י(א2)</w:t>
        </w:r>
      </w:hyperlink>
      <w:r>
        <w:rPr>
          <w:rFonts w:ascii="FrankRuehl" w:hAnsi="FrankRuehl" w:cs="FrankRuehl" w:hint="cs"/>
          <w:sz w:val="28"/>
          <w:szCs w:val="28"/>
          <w:rtl/>
        </w:rPr>
        <w:t xml:space="preserve"> לחוק </w:t>
      </w:r>
      <w:r w:rsidRPr="003E6A65">
        <w:rPr>
          <w:rFonts w:ascii="Miriam" w:hAnsi="Miriam" w:cs="Miriam"/>
          <w:rtl/>
        </w:rPr>
        <w:t>עונש חדש</w:t>
      </w:r>
      <w:r>
        <w:rPr>
          <w:rFonts w:ascii="FrankRuehl" w:hAnsi="FrankRuehl" w:cs="FrankRuehl" w:hint="cs"/>
          <w:sz w:val="28"/>
          <w:szCs w:val="28"/>
          <w:rtl/>
        </w:rPr>
        <w:t>, קרי לשנות את גזר הדין באופן כלשהו. מעבר לאמור, קיזוז ימי המעצר הוא עניין שבשיקול דעת, ובנסיבות הייחודיות של ההליך שנדון בפניי אינני סבור שיש מקום לעשות כן, כפי שיובהר להלן בדיון על הפקעת צו המבחן.</w:t>
      </w:r>
    </w:p>
    <w:p w14:paraId="2E7ABCDB" w14:textId="77777777" w:rsidR="00091456" w:rsidRDefault="00091456" w:rsidP="00091456">
      <w:pPr>
        <w:rPr>
          <w:rFonts w:ascii="FrankRuehl" w:hAnsi="FrankRuehl" w:cs="FrankRuehl"/>
          <w:sz w:val="28"/>
          <w:szCs w:val="28"/>
          <w:rtl/>
        </w:rPr>
      </w:pPr>
    </w:p>
    <w:p w14:paraId="35ABDFB9"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t xml:space="preserve">סיכום ביניים </w:t>
      </w:r>
      <w:r>
        <w:rPr>
          <w:rFonts w:ascii="FrankRuehl" w:hAnsi="FrankRuehl" w:cs="FrankRuehl"/>
          <w:sz w:val="28"/>
          <w:szCs w:val="28"/>
          <w:rtl/>
        </w:rPr>
        <w:t>–</w:t>
      </w:r>
      <w:r>
        <w:rPr>
          <w:rFonts w:ascii="FrankRuehl" w:hAnsi="FrankRuehl" w:cs="FrankRuehl" w:hint="cs"/>
          <w:sz w:val="28"/>
          <w:szCs w:val="28"/>
          <w:rtl/>
        </w:rPr>
        <w:t xml:space="preserve"> מהאמור עולה שהבסיס השיקומי עליו נשען גזר הדין המקורי, ובפרט ההחלטה להשית על הנאשם עונש מאסר בעבודות שירות, קרס ולמעשה אינו קיים עוד. הנאשם לא שיתף פעולה עם שירות המבחן באופן מלא לפני מעצרו, ואף לאחר שנעצר שלל רצון להמשיך קשר עם שירות המבחן בתיק המקורי. בהעדר צפי לשיקום אין עוד כל הצדקה להמיר את המאסר בבית הסוהר בעבודות שירות. עיתוי ביצוע העבירות בכתב האישום החדש וחומרת העבירות מצביעים על כך שהמשך ביצוע עבודות השירות אינו הולם עוד את הנסיבות שנוצרו, בפרט כאשר הנאשם עצור באיזוק במסגרת התיק החדש. </w:t>
      </w:r>
    </w:p>
    <w:p w14:paraId="1DB27E99" w14:textId="77777777" w:rsidR="00091456" w:rsidRDefault="00091456" w:rsidP="00091456">
      <w:pPr>
        <w:rPr>
          <w:rFonts w:ascii="FrankRuehl" w:hAnsi="FrankRuehl" w:cs="FrankRuehl"/>
          <w:sz w:val="28"/>
          <w:szCs w:val="28"/>
          <w:rtl/>
        </w:rPr>
      </w:pPr>
    </w:p>
    <w:p w14:paraId="63AF6482" w14:textId="77777777" w:rsidR="00091456" w:rsidRDefault="00091456" w:rsidP="00091456">
      <w:pPr>
        <w:spacing w:line="360" w:lineRule="auto"/>
        <w:ind w:firstLine="720"/>
        <w:jc w:val="both"/>
        <w:rPr>
          <w:rFonts w:ascii="FrankRuehl" w:hAnsi="FrankRuehl" w:cs="FrankRuehl"/>
          <w:sz w:val="28"/>
          <w:szCs w:val="28"/>
          <w:rtl/>
        </w:rPr>
      </w:pPr>
      <w:r>
        <w:rPr>
          <w:rFonts w:ascii="FrankRuehl" w:hAnsi="FrankRuehl" w:cs="FrankRuehl" w:hint="cs"/>
          <w:sz w:val="28"/>
          <w:szCs w:val="28"/>
          <w:rtl/>
        </w:rPr>
        <w:t>לפיכך מצאתי להורות על הפסקת המאסר בעבודות שירות אותו החל הנאשם לרצות ולהורות על ריצוי יתרת הימים שנותרו בדרך של מאסר בין כתלי הכלא.</w:t>
      </w:r>
    </w:p>
    <w:p w14:paraId="5AAFC084" w14:textId="77777777" w:rsidR="00091456" w:rsidRDefault="00091456" w:rsidP="00091456">
      <w:pPr>
        <w:spacing w:line="360" w:lineRule="auto"/>
        <w:rPr>
          <w:rFonts w:ascii="FrankRuehl" w:hAnsi="FrankRuehl" w:cs="FrankRuehl"/>
          <w:sz w:val="28"/>
          <w:szCs w:val="28"/>
          <w:rtl/>
        </w:rPr>
      </w:pPr>
      <w:r>
        <w:rPr>
          <w:rFonts w:ascii="FrankRuehl" w:hAnsi="FrankRuehl" w:cs="FrankRuehl" w:hint="cs"/>
          <w:sz w:val="28"/>
          <w:szCs w:val="28"/>
          <w:rtl/>
        </w:rPr>
        <w:t xml:space="preserve"> </w:t>
      </w:r>
    </w:p>
    <w:p w14:paraId="23797A5F" w14:textId="77777777" w:rsidR="00091456" w:rsidRPr="001A73AD" w:rsidRDefault="00091456" w:rsidP="00091456">
      <w:pPr>
        <w:spacing w:line="360" w:lineRule="auto"/>
        <w:jc w:val="both"/>
        <w:rPr>
          <w:rFonts w:ascii="Miriam" w:hAnsi="Miriam" w:cs="Miriam"/>
          <w:sz w:val="28"/>
          <w:szCs w:val="28"/>
          <w:rtl/>
        </w:rPr>
      </w:pPr>
      <w:r w:rsidRPr="001A73AD">
        <w:rPr>
          <w:rFonts w:ascii="Miriam" w:hAnsi="Miriam" w:cs="Miriam"/>
          <w:sz w:val="28"/>
          <w:szCs w:val="28"/>
          <w:rtl/>
        </w:rPr>
        <w:t>דיון – הפקעת צו מבחן</w:t>
      </w:r>
    </w:p>
    <w:p w14:paraId="06585001" w14:textId="77777777" w:rsidR="00091456" w:rsidRDefault="00091456" w:rsidP="00091456">
      <w:pPr>
        <w:rPr>
          <w:rFonts w:ascii="FrankRuehl" w:hAnsi="FrankRuehl" w:cs="FrankRuehl"/>
          <w:sz w:val="28"/>
          <w:szCs w:val="28"/>
          <w:rtl/>
        </w:rPr>
      </w:pPr>
    </w:p>
    <w:p w14:paraId="0501E067"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מסיבה שאינה ברורה, לא התייחסו ב"</w:t>
      </w:r>
      <w:r w:rsidRPr="00091456">
        <w:rPr>
          <w:rFonts w:ascii="Calibri" w:hAnsi="Calibri" w:cs="FrankRuehl" w:hint="cs"/>
          <w:sz w:val="28"/>
          <w:szCs w:val="28"/>
          <w:rtl/>
        </w:rPr>
        <w:t xml:space="preserve">כ </w:t>
      </w:r>
      <w:r>
        <w:rPr>
          <w:rFonts w:ascii="FrankRuehl" w:hAnsi="FrankRuehl" w:cs="FrankRuehl" w:hint="cs"/>
          <w:sz w:val="28"/>
          <w:szCs w:val="28"/>
          <w:rtl/>
        </w:rPr>
        <w:t>הצדדים לבקשת שירות המבחן להפקעת צו המבחן, זאת על אף שלתוצאת ההליך יכול ויהיו משמעויות מרחיקות לכת עבור הנאשם, הרבה מעבר למשמעות של ביטול עבודות השירות. כפי שהובהר לעיל, בנסיבות בהן הוגש כתב אישום חדש נגד נאשם המרצה או עתיד לרצות עונש מאסר בעבודות שירות, לא ניתן להטיל עליו עונש חדש, וסמכות בית המשפט מוגבלת אך להחלטה הנוגעת להפסקת עבודות השירות. שונים הם פני הדברים כאשר מדובר בהפקעת צו מבחן, בעקבותיו מוסמך בית המשפט להטיל על נאשם עונש שונה מזה שניתן בגזר הדין, ובכלל זה עונש מאסר בפועל [</w:t>
      </w:r>
      <w:hyperlink r:id="rId73" w:history="1">
        <w:r w:rsidR="00CD5378" w:rsidRPr="00CD5378">
          <w:rPr>
            <w:rStyle w:val="Hyperlink"/>
            <w:rFonts w:ascii="FrankRuehl" w:hAnsi="FrankRuehl" w:cs="FrankRuehl" w:hint="eastAsia"/>
            <w:sz w:val="28"/>
            <w:szCs w:val="28"/>
            <w:rtl/>
          </w:rPr>
          <w:t>סעיף</w:t>
        </w:r>
        <w:r w:rsidR="00CD5378" w:rsidRPr="00CD5378">
          <w:rPr>
            <w:rStyle w:val="Hyperlink"/>
            <w:rFonts w:ascii="FrankRuehl" w:hAnsi="FrankRuehl" w:cs="FrankRuehl"/>
            <w:sz w:val="28"/>
            <w:szCs w:val="28"/>
            <w:rtl/>
          </w:rPr>
          <w:t xml:space="preserve"> 20(4)</w:t>
        </w:r>
      </w:hyperlink>
      <w:r>
        <w:rPr>
          <w:rFonts w:ascii="FrankRuehl" w:hAnsi="FrankRuehl" w:cs="FrankRuehl" w:hint="cs"/>
          <w:sz w:val="28"/>
          <w:szCs w:val="28"/>
          <w:rtl/>
        </w:rPr>
        <w:t xml:space="preserve"> ל</w:t>
      </w:r>
      <w:hyperlink r:id="rId74" w:history="1">
        <w:r w:rsidR="006F3A29" w:rsidRPr="006F3A29">
          <w:rPr>
            <w:rFonts w:ascii="FrankRuehl" w:hAnsi="FrankRuehl" w:cs="FrankRuehl"/>
            <w:color w:val="0000FF"/>
            <w:sz w:val="28"/>
            <w:szCs w:val="28"/>
            <w:u w:val="single"/>
            <w:rtl/>
          </w:rPr>
          <w:t>פקודת המבחן</w:t>
        </w:r>
      </w:hyperlink>
      <w:r>
        <w:rPr>
          <w:rFonts w:ascii="FrankRuehl" w:hAnsi="FrankRuehl" w:cs="FrankRuehl" w:hint="cs"/>
          <w:sz w:val="28"/>
          <w:szCs w:val="28"/>
          <w:rtl/>
        </w:rPr>
        <w:t>], כפי שאף הוזהר הנאשם במעמד מתן גזר הדין.</w:t>
      </w:r>
    </w:p>
    <w:p w14:paraId="340A7F13" w14:textId="77777777" w:rsidR="00091456" w:rsidRDefault="00091456" w:rsidP="00091456">
      <w:pPr>
        <w:rPr>
          <w:rFonts w:ascii="FrankRuehl" w:hAnsi="FrankRuehl" w:cs="FrankRuehl"/>
          <w:sz w:val="28"/>
          <w:szCs w:val="28"/>
          <w:rtl/>
        </w:rPr>
      </w:pPr>
    </w:p>
    <w:p w14:paraId="11B9C376" w14:textId="77777777" w:rsidR="00091456" w:rsidRPr="002C7CEB"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 xml:space="preserve">הנימוקים להפקעת צו המבחן במקרה שלפנינו רבים ומגוונים: עצם הגשת כתב האישום בתיק החדש; חומרת המעשים והעבירות שיוחסו לנאשם בכתב האישום החדש; חבירה מתוכננת של הנאשם לעבריינים נוספים, בניגוד להבטחת הנאשם לשירות המבחן ולבית המשפט כי התרחק מסביבה עבריינית. גם אם נצלול לעומקם של דברים, נגלה שהתנהלותו של הנאשם בתקופה שקדמה למעצרו אינה עולה בקנה אחד עם הליכי שיקום. כך, ציין שירות המבחן בהודעה הראשונה שהגיש, </w:t>
      </w:r>
      <w:r w:rsidRPr="00EE26B0">
        <w:rPr>
          <w:rFonts w:ascii="FrankRuehl" w:hAnsi="FrankRuehl" w:cs="FrankRuehl"/>
          <w:sz w:val="28"/>
          <w:szCs w:val="28"/>
          <w:rtl/>
        </w:rPr>
        <w:t>כי במפגש שהתקיים עם הנאשם לאחר מעצרו עלה שהוא "התקשה לבחון בביקורתיות הת</w:t>
      </w:r>
      <w:r>
        <w:rPr>
          <w:rFonts w:ascii="FrankRuehl" w:hAnsi="FrankRuehl" w:cs="FrankRuehl" w:hint="cs"/>
          <w:sz w:val="28"/>
          <w:szCs w:val="28"/>
          <w:rtl/>
        </w:rPr>
        <w:t xml:space="preserve">נהלותו בתקופה </w:t>
      </w:r>
      <w:r w:rsidRPr="00EE26B0">
        <w:rPr>
          <w:rFonts w:ascii="Miriam" w:hAnsi="Miriam" w:cs="Miriam"/>
          <w:rtl/>
        </w:rPr>
        <w:t>שקדמה למעצרו</w:t>
      </w:r>
      <w:r>
        <w:rPr>
          <w:rFonts w:ascii="FrankRuehl" w:hAnsi="FrankRuehl" w:cs="FrankRuehl" w:hint="cs"/>
          <w:sz w:val="28"/>
          <w:szCs w:val="28"/>
          <w:rtl/>
        </w:rPr>
        <w:t xml:space="preserve">", לאחר שנטען כלפיו שהוא המשיך להתרועע בחברה שולית; הנאשם התקשה להתייחס הן לנסיבות מעצרו והן לניתוק הקשר עם שירות המבחן </w:t>
      </w:r>
      <w:r w:rsidRPr="009D4CBC">
        <w:rPr>
          <w:rFonts w:ascii="Miriam" w:hAnsi="Miriam" w:cs="Miriam"/>
          <w:rtl/>
        </w:rPr>
        <w:t>בתקופה שקדמה לו</w:t>
      </w:r>
      <w:r>
        <w:rPr>
          <w:rFonts w:ascii="FrankRuehl" w:hAnsi="FrankRuehl" w:cs="FrankRuehl" w:hint="cs"/>
          <w:sz w:val="28"/>
          <w:szCs w:val="28"/>
          <w:rtl/>
        </w:rPr>
        <w:t xml:space="preserve">; </w:t>
      </w:r>
      <w:r w:rsidRPr="009D4CBC">
        <w:rPr>
          <w:rFonts w:ascii="FrankRuehl" w:hAnsi="FrankRuehl" w:cs="FrankRuehl"/>
          <w:sz w:val="28"/>
          <w:szCs w:val="28"/>
          <w:rtl/>
        </w:rPr>
        <w:t xml:space="preserve">הנאשם אף </w:t>
      </w:r>
      <w:r w:rsidRPr="006A2C5D">
        <w:rPr>
          <w:rFonts w:ascii="Miriam" w:hAnsi="Miriam" w:cs="Miriam"/>
          <w:rtl/>
        </w:rPr>
        <w:t xml:space="preserve">שלל מפורשות </w:t>
      </w:r>
      <w:r w:rsidRPr="009D4CBC">
        <w:rPr>
          <w:rFonts w:ascii="FrankRuehl" w:hAnsi="FrankRuehl" w:cs="FrankRuehl"/>
          <w:sz w:val="28"/>
          <w:szCs w:val="28"/>
          <w:rtl/>
        </w:rPr>
        <w:t>במהלך המפגש עמו לאחר שנעצר כל נזקקות טיפולית.</w:t>
      </w:r>
      <w:r>
        <w:rPr>
          <w:rFonts w:ascii="FrankRuehl" w:hAnsi="FrankRuehl" w:cs="FrankRuehl" w:hint="cs"/>
          <w:sz w:val="28"/>
          <w:szCs w:val="28"/>
          <w:rtl/>
        </w:rPr>
        <w:t xml:space="preserve"> רק לאחר שהוחלט על מעצרו באיזוק אלקטרוני המשיך הנאשם לעמוד בקשר עם שירות המבחן במסגרת צו פיקוח מעצר, אולם הדבר נעשה במסגרת פיקוח הדוקה ו"בלית ברירה" לאור השינוי לרעה שחל במצבו לאחר מעצרו, ומכאן שאין לראות ב"קשר" זה כ"חידוש קשר" עם שירות המבחן שנעשה ביוזמת הנאשם, או כהבעת רצון מצדו להמשיך בהליך שיקומי.</w:t>
      </w:r>
    </w:p>
    <w:p w14:paraId="1E8C4B41" w14:textId="77777777" w:rsidR="00091456" w:rsidRDefault="00091456" w:rsidP="00091456">
      <w:pPr>
        <w:rPr>
          <w:rFonts w:ascii="FrankRuehl" w:hAnsi="FrankRuehl" w:cs="FrankRuehl"/>
          <w:sz w:val="28"/>
          <w:szCs w:val="28"/>
          <w:rtl/>
        </w:rPr>
      </w:pPr>
    </w:p>
    <w:p w14:paraId="072FB7BC" w14:textId="77777777" w:rsidR="00091456" w:rsidRPr="002C7CEB"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t xml:space="preserve">נוכח כל האמור, הגעתי לכלל מסקנה שיש להפקיע את צו המבחן. על אף האמור, מצאתי שלא לגזור על הנאשם עונש חלופי, בדמות עונש מאסר ארוך יותר או קנס כספי נוסף, זאת לאור עמדת המאשימה שנמנעה, מסיבותיה שלה, מלעתור להטיל על הנאשם עונש חלופי, ובשים לב לעובדה שממילא עתיד הנאשם לרצות עונש מאסר בפועל חלף עבודות השירות. החלטה זו, העושה חסד עם הנאשם שמוצא עצמו "נהנה מן ההפקר", מצטרפת ליתר הנימוקים שהובאו לעיל </w:t>
      </w:r>
      <w:r w:rsidRPr="000C302B">
        <w:rPr>
          <w:rFonts w:ascii="FrankRuehl" w:hAnsi="FrankRuehl" w:cs="Miriam" w:hint="cs"/>
          <w:rtl/>
        </w:rPr>
        <w:t>שלא לנכות</w:t>
      </w:r>
      <w:r>
        <w:rPr>
          <w:rFonts w:ascii="FrankRuehl" w:hAnsi="FrankRuehl" w:cs="FrankRuehl" w:hint="cs"/>
          <w:sz w:val="28"/>
          <w:szCs w:val="28"/>
          <w:rtl/>
        </w:rPr>
        <w:t xml:space="preserve"> מתקופת המאסר את 7 הימים בהם היה נתון במעצר בתיק זה. מאידך גיסא, </w:t>
      </w:r>
      <w:r w:rsidRPr="000C302B">
        <w:rPr>
          <w:rFonts w:ascii="FrankRuehl" w:hAnsi="FrankRuehl" w:cs="Miriam" w:hint="cs"/>
          <w:rtl/>
        </w:rPr>
        <w:t>יש</w:t>
      </w:r>
      <w:r>
        <w:rPr>
          <w:rFonts w:ascii="FrankRuehl" w:hAnsi="FrankRuehl" w:cs="Miriam" w:hint="cs"/>
          <w:rtl/>
        </w:rPr>
        <w:t xml:space="preserve"> </w:t>
      </w:r>
      <w:r w:rsidRPr="000C302B">
        <w:rPr>
          <w:rFonts w:ascii="FrankRuehl" w:hAnsi="FrankRuehl" w:cs="Miriam" w:hint="cs"/>
          <w:rtl/>
        </w:rPr>
        <w:t>לנכות</w:t>
      </w:r>
      <w:r>
        <w:rPr>
          <w:rFonts w:ascii="FrankRuehl" w:hAnsi="FrankRuehl" w:cs="FrankRuehl" w:hint="cs"/>
          <w:sz w:val="28"/>
          <w:szCs w:val="28"/>
          <w:rtl/>
        </w:rPr>
        <w:t xml:space="preserve"> מתקופת המאסר שנקבעה בגזר הדין את 20 ימי המאסר אותן ריצה הנאשם בעבודות שירות.</w:t>
      </w:r>
    </w:p>
    <w:p w14:paraId="4CA866D6" w14:textId="77777777" w:rsidR="00091456" w:rsidRDefault="00091456" w:rsidP="00091456">
      <w:pPr>
        <w:spacing w:line="360" w:lineRule="auto"/>
        <w:jc w:val="both"/>
        <w:rPr>
          <w:rFonts w:ascii="Miriam" w:hAnsi="Miriam" w:cs="Miriam"/>
          <w:sz w:val="28"/>
          <w:szCs w:val="28"/>
          <w:rtl/>
        </w:rPr>
      </w:pPr>
    </w:p>
    <w:p w14:paraId="737DFAC7" w14:textId="77777777" w:rsidR="00091456" w:rsidRPr="00172589" w:rsidRDefault="00091456" w:rsidP="00091456">
      <w:pPr>
        <w:spacing w:line="360" w:lineRule="auto"/>
        <w:jc w:val="both"/>
        <w:rPr>
          <w:rFonts w:ascii="Miriam" w:hAnsi="Miriam" w:cs="Miriam"/>
          <w:sz w:val="28"/>
          <w:szCs w:val="28"/>
          <w:rtl/>
        </w:rPr>
      </w:pPr>
      <w:r>
        <w:rPr>
          <w:rFonts w:ascii="Miriam" w:hAnsi="Miriam" w:cs="Miriam" w:hint="cs"/>
          <w:sz w:val="28"/>
          <w:szCs w:val="28"/>
          <w:rtl/>
        </w:rPr>
        <w:t>סוף דבר</w:t>
      </w:r>
    </w:p>
    <w:p w14:paraId="430A98BB" w14:textId="77777777" w:rsidR="00091456" w:rsidRDefault="00091456" w:rsidP="00091456">
      <w:pPr>
        <w:rPr>
          <w:rFonts w:cs="FrankRuehl"/>
          <w:sz w:val="28"/>
          <w:szCs w:val="28"/>
          <w:rtl/>
        </w:rPr>
      </w:pPr>
    </w:p>
    <w:p w14:paraId="08922244" w14:textId="77777777" w:rsidR="00091456" w:rsidRDefault="00091456" w:rsidP="00091456">
      <w:pPr>
        <w:spacing w:line="360" w:lineRule="auto"/>
        <w:jc w:val="both"/>
        <w:rPr>
          <w:rFonts w:cs="FrankRuehl"/>
          <w:sz w:val="28"/>
          <w:szCs w:val="28"/>
          <w:rtl/>
        </w:rPr>
      </w:pPr>
      <w:r>
        <w:rPr>
          <w:rFonts w:cs="FrankRuehl" w:hint="cs"/>
          <w:sz w:val="28"/>
          <w:szCs w:val="28"/>
          <w:rtl/>
        </w:rPr>
        <w:t>27.</w:t>
      </w:r>
      <w:r>
        <w:rPr>
          <w:rFonts w:cs="FrankRuehl" w:hint="cs"/>
          <w:sz w:val="28"/>
          <w:szCs w:val="28"/>
          <w:rtl/>
        </w:rPr>
        <w:tab/>
        <w:t xml:space="preserve">הנאשם ירצה עונש מאסר בפועל למשך 3 חודשים. מתקופה זו ינוכו 20 הימים שריצה בעבודות שירות. </w:t>
      </w:r>
    </w:p>
    <w:p w14:paraId="6939467E" w14:textId="77777777" w:rsidR="00091456" w:rsidRDefault="00091456" w:rsidP="00091456">
      <w:pPr>
        <w:rPr>
          <w:rFonts w:cs="FrankRuehl"/>
          <w:sz w:val="28"/>
          <w:szCs w:val="28"/>
          <w:rtl/>
        </w:rPr>
      </w:pPr>
    </w:p>
    <w:p w14:paraId="55524E07" w14:textId="77777777" w:rsidR="00091456" w:rsidRPr="00307942" w:rsidRDefault="00091456" w:rsidP="00091456">
      <w:pPr>
        <w:spacing w:line="360" w:lineRule="auto"/>
        <w:ind w:firstLine="720"/>
        <w:jc w:val="both"/>
        <w:rPr>
          <w:rFonts w:cs="FrankRuehl"/>
          <w:sz w:val="28"/>
          <w:szCs w:val="28"/>
          <w:rtl/>
        </w:rPr>
      </w:pPr>
      <w:r>
        <w:rPr>
          <w:rFonts w:cs="FrankRuehl"/>
          <w:sz w:val="28"/>
          <w:szCs w:val="28"/>
          <w:rtl/>
        </w:rPr>
        <w:t>הנאשם יתייצב לריצוי עונשו במתקן כליאה "</w:t>
      </w:r>
      <w:r>
        <w:rPr>
          <w:rFonts w:cs="FrankRuehl" w:hint="cs"/>
          <w:sz w:val="28"/>
          <w:szCs w:val="28"/>
          <w:rtl/>
        </w:rPr>
        <w:t>הדרים</w:t>
      </w:r>
      <w:r>
        <w:rPr>
          <w:rFonts w:cs="FrankRuehl"/>
          <w:sz w:val="28"/>
          <w:szCs w:val="28"/>
          <w:rtl/>
        </w:rPr>
        <w:t>"</w:t>
      </w:r>
      <w:r>
        <w:rPr>
          <w:rFonts w:cs="FrankRuehl" w:hint="cs"/>
          <w:sz w:val="28"/>
          <w:szCs w:val="28"/>
          <w:rtl/>
        </w:rPr>
        <w:t xml:space="preserve"> ברמלה</w:t>
      </w:r>
      <w:r>
        <w:rPr>
          <w:rFonts w:cs="FrankRuehl"/>
          <w:sz w:val="28"/>
          <w:szCs w:val="28"/>
          <w:rtl/>
        </w:rPr>
        <w:t xml:space="preserve">, ביום  </w:t>
      </w:r>
      <w:r>
        <w:rPr>
          <w:rFonts w:cs="FrankRuehl" w:hint="cs"/>
          <w:sz w:val="28"/>
          <w:szCs w:val="28"/>
          <w:rtl/>
        </w:rPr>
        <w:t xml:space="preserve">25.4.2021 </w:t>
      </w:r>
      <w:r>
        <w:rPr>
          <w:rFonts w:cs="FrankRuehl"/>
          <w:sz w:val="28"/>
          <w:szCs w:val="28"/>
          <w:rtl/>
        </w:rPr>
        <w:t xml:space="preserve">עד השעה </w:t>
      </w:r>
      <w:r>
        <w:rPr>
          <w:rFonts w:cs="FrankRuehl" w:hint="cs"/>
          <w:sz w:val="28"/>
          <w:szCs w:val="28"/>
          <w:rtl/>
        </w:rPr>
        <w:t>09</w:t>
      </w:r>
      <w:r>
        <w:rPr>
          <w:rFonts w:cs="FrankRuehl"/>
          <w:sz w:val="28"/>
          <w:szCs w:val="28"/>
          <w:rtl/>
        </w:rPr>
        <w:t>:00, או על פי החלטת שב"ס, כשברשותו תעודת זהות או דרכון ועותק מגזר הדין.</w:t>
      </w:r>
      <w:r>
        <w:rPr>
          <w:rFonts w:cs="FrankRuehl" w:hint="cs"/>
          <w:sz w:val="28"/>
          <w:szCs w:val="28"/>
          <w:rtl/>
        </w:rPr>
        <w:t xml:space="preserve"> מובהרת לנאשם האפשרות </w:t>
      </w:r>
      <w:r>
        <w:rPr>
          <w:rFonts w:cs="FrankRuehl"/>
          <w:sz w:val="28"/>
          <w:szCs w:val="28"/>
          <w:rtl/>
        </w:rPr>
        <w:t>לתאם את כניסתו למאסר, כולל האפשרות למיון מוקדם, עם ענף אבחון ומיון של שב"ס, טלפונים 08-9787377, 08-9787336</w:t>
      </w:r>
      <w:r>
        <w:rPr>
          <w:rFonts w:cs="FrankRuehl" w:hint="cs"/>
          <w:sz w:val="28"/>
          <w:szCs w:val="28"/>
          <w:rtl/>
        </w:rPr>
        <w:t xml:space="preserve">; פקס 08-9193314; </w:t>
      </w:r>
      <w:r w:rsidRPr="000D7B69">
        <w:rPr>
          <w:rFonts w:cs="FrankRuehl" w:hint="cs"/>
          <w:sz w:val="28"/>
          <w:szCs w:val="28"/>
          <w:rtl/>
        </w:rPr>
        <w:t xml:space="preserve">דואר אלקטרוני </w:t>
      </w:r>
      <w:hyperlink r:id="rId75" w:history="1">
        <w:r w:rsidRPr="000D7B69">
          <w:rPr>
            <w:rStyle w:val="Hyperlink"/>
            <w:rFonts w:cs="FrankRuehl"/>
            <w:sz w:val="28"/>
            <w:szCs w:val="28"/>
          </w:rPr>
          <w:t>MaasarN@ips.gov.il</w:t>
        </w:r>
      </w:hyperlink>
      <w:r>
        <w:rPr>
          <w:rFonts w:cs="FrankRuehl" w:hint="cs"/>
          <w:sz w:val="28"/>
          <w:szCs w:val="28"/>
          <w:rtl/>
        </w:rPr>
        <w:t>.</w:t>
      </w:r>
    </w:p>
    <w:p w14:paraId="51883EDB" w14:textId="77777777" w:rsidR="00091456" w:rsidRPr="002C7CEB" w:rsidRDefault="00091456" w:rsidP="00091456">
      <w:pPr>
        <w:rPr>
          <w:rFonts w:ascii="FrankRuehl" w:hAnsi="FrankRuehl" w:cs="FrankRuehl"/>
          <w:sz w:val="28"/>
          <w:szCs w:val="28"/>
          <w:rtl/>
        </w:rPr>
      </w:pPr>
    </w:p>
    <w:p w14:paraId="72E02901"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אין שינוי ביתר רכיבי גזר הדין.</w:t>
      </w:r>
    </w:p>
    <w:p w14:paraId="1C91F637" w14:textId="77777777" w:rsidR="00091456" w:rsidRDefault="00091456" w:rsidP="00091456">
      <w:pPr>
        <w:rPr>
          <w:rFonts w:ascii="FrankRuehl" w:hAnsi="FrankRuehl" w:cs="FrankRuehl"/>
          <w:sz w:val="28"/>
          <w:szCs w:val="28"/>
          <w:rtl/>
        </w:rPr>
      </w:pPr>
    </w:p>
    <w:p w14:paraId="269F505B" w14:textId="77777777" w:rsidR="00091456" w:rsidRDefault="00091456" w:rsidP="00091456">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t>המזכירות תעביר העתק ההחלטה לממונה על עבודות השירות ולשירות המבחן.</w:t>
      </w:r>
    </w:p>
    <w:p w14:paraId="48DA8BA0" w14:textId="77777777" w:rsidR="00091456" w:rsidRPr="006F3A29" w:rsidRDefault="006F3A29" w:rsidP="00091456">
      <w:pPr>
        <w:rPr>
          <w:color w:val="FFFFFF"/>
          <w:sz w:val="2"/>
          <w:szCs w:val="2"/>
          <w:rtl/>
        </w:rPr>
      </w:pPr>
      <w:r w:rsidRPr="006F3A29">
        <w:rPr>
          <w:color w:val="FFFFFF"/>
          <w:sz w:val="2"/>
          <w:szCs w:val="2"/>
          <w:rtl/>
        </w:rPr>
        <w:t>5129371</w:t>
      </w:r>
    </w:p>
    <w:p w14:paraId="032B476E" w14:textId="77777777" w:rsidR="00091456" w:rsidRPr="006F3A29" w:rsidRDefault="006F3A29" w:rsidP="00091456">
      <w:pPr>
        <w:rPr>
          <w:color w:val="FFFFFF"/>
          <w:sz w:val="2"/>
          <w:szCs w:val="2"/>
          <w:rtl/>
        </w:rPr>
      </w:pPr>
      <w:r w:rsidRPr="006F3A29">
        <w:rPr>
          <w:color w:val="FFFFFF"/>
          <w:sz w:val="2"/>
          <w:szCs w:val="2"/>
          <w:rtl/>
        </w:rPr>
        <w:t>54678313</w:t>
      </w:r>
    </w:p>
    <w:p w14:paraId="2E5FF352" w14:textId="77777777" w:rsidR="00091456" w:rsidRDefault="006F3A29" w:rsidP="00091456">
      <w:pPr>
        <w:rPr>
          <w:rFonts w:cs="FrankRuehl"/>
          <w:sz w:val="28"/>
          <w:szCs w:val="28"/>
          <w:rtl/>
        </w:rPr>
      </w:pPr>
      <w:bookmarkStart w:id="8" w:name="Nitan"/>
      <w:r>
        <w:rPr>
          <w:rFonts w:ascii="Arial" w:hAnsi="Arial"/>
          <w:rtl/>
        </w:rPr>
        <w:t xml:space="preserve">ניתן היום,  כ"ו ניסן תשפ"א, 08 אפריל 2021, בנוכחות הצדדים. </w:t>
      </w:r>
      <w:bookmarkEnd w:id="8"/>
    </w:p>
    <w:p w14:paraId="320658A6" w14:textId="77777777" w:rsidR="00091456" w:rsidRDefault="00091456" w:rsidP="006F3A2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883AA34" w14:textId="77777777" w:rsidR="00091456" w:rsidRDefault="00091456" w:rsidP="00091456">
      <w:pPr>
        <w:jc w:val="center"/>
        <w:rPr>
          <w:rFonts w:ascii="Arial" w:hAnsi="Arial" w:cs="FrankRuehl"/>
          <w:sz w:val="28"/>
          <w:szCs w:val="28"/>
          <w:rtl/>
        </w:rPr>
      </w:pPr>
    </w:p>
    <w:p w14:paraId="2E2554D3" w14:textId="77777777" w:rsidR="00091456" w:rsidRPr="00CD5378" w:rsidRDefault="00CD5378" w:rsidP="00091456">
      <w:pPr>
        <w:rPr>
          <w:rFonts w:cs="FrankRuehl"/>
          <w:color w:val="FFFFFF"/>
          <w:sz w:val="2"/>
          <w:szCs w:val="2"/>
          <w:rtl/>
        </w:rPr>
      </w:pPr>
      <w:r w:rsidRPr="00CD5378">
        <w:rPr>
          <w:rFonts w:cs="FrankRuehl"/>
          <w:color w:val="FFFFFF"/>
          <w:sz w:val="2"/>
          <w:szCs w:val="2"/>
          <w:rtl/>
        </w:rPr>
        <w:t>5129371</w:t>
      </w:r>
    </w:p>
    <w:p w14:paraId="6933E483" w14:textId="77777777" w:rsidR="00FB60A7" w:rsidRPr="00CD5378" w:rsidRDefault="00CD5378" w:rsidP="006F3A29">
      <w:pPr>
        <w:keepNext/>
        <w:rPr>
          <w:rFonts w:ascii="David" w:hAnsi="David" w:hint="cs"/>
          <w:color w:val="FFFFFF"/>
          <w:sz w:val="2"/>
          <w:szCs w:val="2"/>
          <w:rtl/>
        </w:rPr>
      </w:pPr>
      <w:r w:rsidRPr="00CD5378">
        <w:rPr>
          <w:rFonts w:ascii="David" w:hAnsi="David"/>
          <w:color w:val="FFFFFF"/>
          <w:sz w:val="2"/>
          <w:szCs w:val="2"/>
          <w:rtl/>
        </w:rPr>
        <w:t>54678313</w:t>
      </w:r>
    </w:p>
    <w:p w14:paraId="06D268D5" w14:textId="77777777" w:rsidR="006F3A29" w:rsidRDefault="006F3A29" w:rsidP="006F3A29">
      <w:pPr>
        <w:rPr>
          <w:rtl/>
        </w:rPr>
      </w:pPr>
    </w:p>
    <w:p w14:paraId="510C74CA" w14:textId="77777777" w:rsidR="006F3A29" w:rsidRDefault="006F3A29" w:rsidP="006F3A29">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65E9592D" w14:textId="77777777" w:rsidR="00CD5378" w:rsidRPr="00CD5378" w:rsidRDefault="00CD5378" w:rsidP="00CD5378">
      <w:pPr>
        <w:keepNext/>
        <w:rPr>
          <w:rFonts w:ascii="David" w:hAnsi="David" w:hint="cs"/>
          <w:color w:val="000000"/>
          <w:sz w:val="22"/>
          <w:szCs w:val="22"/>
          <w:rtl/>
        </w:rPr>
      </w:pPr>
    </w:p>
    <w:p w14:paraId="440EED7D" w14:textId="77777777" w:rsidR="00CD5378" w:rsidRPr="00CD5378" w:rsidRDefault="00CD5378" w:rsidP="00CD5378">
      <w:pPr>
        <w:keepNext/>
        <w:rPr>
          <w:rFonts w:ascii="David" w:hAnsi="David"/>
          <w:color w:val="000000"/>
          <w:sz w:val="22"/>
          <w:szCs w:val="22"/>
          <w:rtl/>
        </w:rPr>
      </w:pPr>
      <w:r w:rsidRPr="00CD5378">
        <w:rPr>
          <w:rFonts w:ascii="David" w:hAnsi="David"/>
          <w:color w:val="000000"/>
          <w:sz w:val="22"/>
          <w:szCs w:val="22"/>
          <w:rtl/>
        </w:rPr>
        <w:t>עמית מיכלס 54678313-/</w:t>
      </w:r>
    </w:p>
    <w:p w14:paraId="0BB99B98" w14:textId="77777777" w:rsidR="006F3A29" w:rsidRPr="006F3A29" w:rsidRDefault="00CD5378" w:rsidP="00CD5378">
      <w:pPr>
        <w:rPr>
          <w:rFonts w:hint="cs"/>
          <w:color w:val="0000FF"/>
          <w:u w:val="single"/>
        </w:rPr>
      </w:pPr>
      <w:r w:rsidRPr="00CD5378">
        <w:rPr>
          <w:color w:val="000000"/>
          <w:u w:val="single"/>
          <w:rtl/>
        </w:rPr>
        <w:t>נוסח מסמך זה כפוף לשינויי ניסוח ועריכה</w:t>
      </w:r>
    </w:p>
    <w:sectPr w:rsidR="006F3A29" w:rsidRPr="006F3A29" w:rsidSect="00CD5378">
      <w:headerReference w:type="even" r:id="rId77"/>
      <w:headerReference w:type="default" r:id="rId78"/>
      <w:footerReference w:type="even" r:id="rId79"/>
      <w:footerReference w:type="default" r:id="rId80"/>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A2608" w14:textId="77777777" w:rsidR="00376EA9" w:rsidRDefault="00376EA9" w:rsidP="00E758DC">
      <w:r>
        <w:separator/>
      </w:r>
    </w:p>
  </w:endnote>
  <w:endnote w:type="continuationSeparator" w:id="0">
    <w:p w14:paraId="1ABBD718" w14:textId="77777777" w:rsidR="00376EA9" w:rsidRDefault="00376EA9" w:rsidP="00E7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AABCF" w14:textId="77777777" w:rsidR="00CD5378" w:rsidRDefault="00CD5378" w:rsidP="00CD53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AE0CF4" w14:textId="77777777" w:rsidR="00F71DBF" w:rsidRPr="00CD5378" w:rsidRDefault="00CD5378" w:rsidP="00CD5378">
    <w:pPr>
      <w:pStyle w:val="a5"/>
      <w:pBdr>
        <w:top w:val="single" w:sz="4" w:space="1" w:color="auto"/>
        <w:between w:val="single" w:sz="4" w:space="0" w:color="auto"/>
      </w:pBdr>
      <w:spacing w:after="60"/>
      <w:jc w:val="center"/>
      <w:rPr>
        <w:rFonts w:ascii="FrankRuehl" w:hAnsi="FrankRuehl" w:cs="FrankRuehl"/>
        <w:color w:val="000000"/>
      </w:rPr>
    </w:pPr>
    <w:r w:rsidRPr="00CD53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0B4F7" w14:textId="77777777" w:rsidR="00CD5378" w:rsidRDefault="00CD5378" w:rsidP="00CD53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0513">
      <w:rPr>
        <w:rFonts w:ascii="FrankRuehl" w:hAnsi="FrankRuehl" w:cs="FrankRuehl"/>
        <w:noProof/>
        <w:rtl/>
      </w:rPr>
      <w:t>1</w:t>
    </w:r>
    <w:r>
      <w:rPr>
        <w:rFonts w:ascii="FrankRuehl" w:hAnsi="FrankRuehl" w:cs="FrankRuehl"/>
        <w:rtl/>
      </w:rPr>
      <w:fldChar w:fldCharType="end"/>
    </w:r>
  </w:p>
  <w:p w14:paraId="169B5A26" w14:textId="77777777" w:rsidR="00F71DBF" w:rsidRPr="00CD5378" w:rsidRDefault="00CD5378" w:rsidP="00CD5378">
    <w:pPr>
      <w:pStyle w:val="a5"/>
      <w:pBdr>
        <w:top w:val="single" w:sz="4" w:space="1" w:color="auto"/>
        <w:between w:val="single" w:sz="4" w:space="0" w:color="auto"/>
      </w:pBdr>
      <w:spacing w:after="60"/>
      <w:jc w:val="center"/>
      <w:rPr>
        <w:rFonts w:ascii="FrankRuehl" w:hAnsi="FrankRuehl" w:cs="FrankRuehl"/>
        <w:color w:val="000000"/>
      </w:rPr>
    </w:pPr>
    <w:r w:rsidRPr="00CD5378">
      <w:rPr>
        <w:rFonts w:ascii="FrankRuehl" w:hAnsi="FrankRuehl" w:cs="FrankRuehl"/>
        <w:color w:val="000000"/>
      </w:rPr>
      <w:pict w14:anchorId="1DD2B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69E5A" w14:textId="77777777" w:rsidR="00376EA9" w:rsidRDefault="00376EA9" w:rsidP="00E758DC">
      <w:r>
        <w:separator/>
      </w:r>
    </w:p>
  </w:footnote>
  <w:footnote w:type="continuationSeparator" w:id="0">
    <w:p w14:paraId="5D95D611" w14:textId="77777777" w:rsidR="00376EA9" w:rsidRDefault="00376EA9" w:rsidP="00E75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A3A51" w14:textId="77777777" w:rsidR="006F3A29" w:rsidRPr="00CD5378" w:rsidRDefault="00CD5378" w:rsidP="00CD53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37295-10-18</w:t>
    </w:r>
    <w:r>
      <w:rPr>
        <w:rFonts w:ascii="David" w:hAnsi="David"/>
        <w:color w:val="000000"/>
        <w:sz w:val="22"/>
        <w:szCs w:val="22"/>
        <w:rtl/>
      </w:rPr>
      <w:tab/>
      <w:t xml:space="preserve"> מדינת ישראל נ' יורי פופוב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9077" w14:textId="77777777" w:rsidR="006F3A29" w:rsidRPr="00CD5378" w:rsidRDefault="00CD5378" w:rsidP="00CD53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37295-10-18</w:t>
    </w:r>
    <w:r>
      <w:rPr>
        <w:rFonts w:ascii="David" w:hAnsi="David"/>
        <w:color w:val="000000"/>
        <w:sz w:val="22"/>
        <w:szCs w:val="22"/>
        <w:rtl/>
      </w:rPr>
      <w:tab/>
      <w:t xml:space="preserve"> מדינת ישראל נ' יורי פופוב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1456"/>
    <w:rsid w:val="00091456"/>
    <w:rsid w:val="001B5A3B"/>
    <w:rsid w:val="001C6720"/>
    <w:rsid w:val="002B7FCA"/>
    <w:rsid w:val="00376EA9"/>
    <w:rsid w:val="004F61B1"/>
    <w:rsid w:val="006F3A29"/>
    <w:rsid w:val="007E4579"/>
    <w:rsid w:val="009B06CF"/>
    <w:rsid w:val="00CD5378"/>
    <w:rsid w:val="00D374BB"/>
    <w:rsid w:val="00D76746"/>
    <w:rsid w:val="00E758DC"/>
    <w:rsid w:val="00EF4EB7"/>
    <w:rsid w:val="00F71DBF"/>
    <w:rsid w:val="00F90513"/>
    <w:rsid w:val="00FB6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2171DA"/>
  <w15:chartTrackingRefBased/>
  <w15:docId w15:val="{E973C9D3-17AC-45E2-BAFD-DFF49B41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45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1456"/>
    <w:pPr>
      <w:tabs>
        <w:tab w:val="center" w:pos="4153"/>
        <w:tab w:val="right" w:pos="8306"/>
      </w:tabs>
    </w:pPr>
  </w:style>
  <w:style w:type="character" w:customStyle="1" w:styleId="a4">
    <w:name w:val="כותרת עליונה תו"/>
    <w:link w:val="a3"/>
    <w:rsid w:val="00091456"/>
    <w:rPr>
      <w:rFonts w:ascii="Times New Roman" w:eastAsia="Times New Roman" w:hAnsi="Times New Roman" w:cs="David"/>
      <w:sz w:val="24"/>
      <w:szCs w:val="24"/>
    </w:rPr>
  </w:style>
  <w:style w:type="paragraph" w:styleId="a5">
    <w:name w:val="footer"/>
    <w:basedOn w:val="a"/>
    <w:link w:val="a6"/>
    <w:rsid w:val="00091456"/>
    <w:pPr>
      <w:tabs>
        <w:tab w:val="center" w:pos="4153"/>
        <w:tab w:val="right" w:pos="8306"/>
      </w:tabs>
    </w:pPr>
  </w:style>
  <w:style w:type="character" w:customStyle="1" w:styleId="a6">
    <w:name w:val="כותרת תחתונה תו"/>
    <w:link w:val="a5"/>
    <w:rsid w:val="00091456"/>
    <w:rPr>
      <w:rFonts w:ascii="Times New Roman" w:eastAsia="Times New Roman" w:hAnsi="Times New Roman" w:cs="David"/>
      <w:sz w:val="24"/>
      <w:szCs w:val="24"/>
    </w:rPr>
  </w:style>
  <w:style w:type="table" w:styleId="a7">
    <w:name w:val="Table Grid"/>
    <w:basedOn w:val="a1"/>
    <w:rsid w:val="0009145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1456"/>
  </w:style>
  <w:style w:type="character" w:customStyle="1" w:styleId="Ruller4">
    <w:name w:val="Ruller4 תו"/>
    <w:link w:val="Ruller40"/>
    <w:locked/>
    <w:rsid w:val="00091456"/>
    <w:rPr>
      <w:rFonts w:ascii="Arial TUR" w:hAnsi="Arial TUR" w:cs="FrankRuehl"/>
      <w:spacing w:val="10"/>
      <w:szCs w:val="28"/>
    </w:rPr>
  </w:style>
  <w:style w:type="paragraph" w:customStyle="1" w:styleId="Ruller40">
    <w:name w:val="Ruller4"/>
    <w:basedOn w:val="a"/>
    <w:link w:val="Ruller4"/>
    <w:rsid w:val="0009145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5">
    <w:name w:val="Ruller5"/>
    <w:basedOn w:val="a"/>
    <w:rsid w:val="00091456"/>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rsid w:val="00091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80" TargetMode="External"/><Relationship Id="rId21" Type="http://schemas.openxmlformats.org/officeDocument/2006/relationships/hyperlink" Target="http://www.nevo.co.il/law/70301/22d.1.c" TargetMode="External"/><Relationship Id="rId42" Type="http://schemas.openxmlformats.org/officeDocument/2006/relationships/hyperlink" Target="http://www.nevo.co.il/law/71553/25"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51j.a2" TargetMode="External"/><Relationship Id="rId68" Type="http://schemas.openxmlformats.org/officeDocument/2006/relationships/hyperlink" Target="http://www.nevo.co.il/law/70301/22d.1.c" TargetMode="External"/><Relationship Id="rId16" Type="http://schemas.openxmlformats.org/officeDocument/2006/relationships/hyperlink" Target="http://www.nevo.co.il/law/71553/25" TargetMode="External"/><Relationship Id="rId11" Type="http://schemas.openxmlformats.org/officeDocument/2006/relationships/hyperlink" Target="http://www.nevo.co.il/law/70301/51j.a2"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51j.a2" TargetMode="External"/><Relationship Id="rId53" Type="http://schemas.openxmlformats.org/officeDocument/2006/relationships/hyperlink" Target="http://www.nevo.co.il/law/4216/19a" TargetMode="External"/><Relationship Id="rId58" Type="http://schemas.openxmlformats.org/officeDocument/2006/relationships/hyperlink" Target="http://www.nevo.co.il/case/27140645" TargetMode="External"/><Relationship Id="rId74" Type="http://schemas.openxmlformats.org/officeDocument/2006/relationships/hyperlink" Target="http://www.nevo.co.il/law/71553" TargetMode="External"/><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0301/51j.b" TargetMode="External"/><Relationship Id="rId82" Type="http://schemas.openxmlformats.org/officeDocument/2006/relationships/theme" Target="theme/theme1.xml"/><Relationship Id="rId19" Type="http://schemas.openxmlformats.org/officeDocument/2006/relationships/hyperlink" Target="http://www.nevo.co.il/law/4216/19a" TargetMode="External"/><Relationship Id="rId14" Type="http://schemas.openxmlformats.org/officeDocument/2006/relationships/hyperlink" Target="http://www.nevo.co.il/law/71553"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1553"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31" TargetMode="External"/><Relationship Id="rId43" Type="http://schemas.openxmlformats.org/officeDocument/2006/relationships/hyperlink" Target="http://www.nevo.co.il/law/4216" TargetMode="External"/><Relationship Id="rId48" Type="http://schemas.openxmlformats.org/officeDocument/2006/relationships/hyperlink" Target="http://www.nevo.co.il/law/71553/25" TargetMode="External"/><Relationship Id="rId56" Type="http://schemas.openxmlformats.org/officeDocument/2006/relationships/hyperlink" Target="http://www.nevo.co.il/law/70301/80" TargetMode="External"/><Relationship Id="rId64" Type="http://schemas.openxmlformats.org/officeDocument/2006/relationships/hyperlink" Target="http://www.nevo.co.il/case/5701291" TargetMode="External"/><Relationship Id="rId69" Type="http://schemas.openxmlformats.org/officeDocument/2006/relationships/hyperlink" Target="http://www.nevo.co.il/case/20942135" TargetMode="External"/><Relationship Id="rId77" Type="http://schemas.openxmlformats.org/officeDocument/2006/relationships/header" Target="header1.xml"/><Relationship Id="rId8" Type="http://schemas.openxmlformats.org/officeDocument/2006/relationships/hyperlink" Target="http://www.nevo.co.il/law/70301/22d.1.c" TargetMode="External"/><Relationship Id="rId51" Type="http://schemas.openxmlformats.org/officeDocument/2006/relationships/hyperlink" Target="http://www.nevo.co.il/law/71553" TargetMode="External"/><Relationship Id="rId72" Type="http://schemas.openxmlformats.org/officeDocument/2006/relationships/hyperlink" Target="http://www.nevo.co.il/law/70301/51j.a2" TargetMode="External"/><Relationship Id="rId80"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51j.b"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51j.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51j.b" TargetMode="External"/><Relationship Id="rId46" Type="http://schemas.openxmlformats.org/officeDocument/2006/relationships/hyperlink" Target="http://www.nevo.co.il/law/70301/51j.a2" TargetMode="External"/><Relationship Id="rId59" Type="http://schemas.openxmlformats.org/officeDocument/2006/relationships/hyperlink" Target="http://www.nevo.co.il/law/70301/51j.a2" TargetMode="External"/><Relationship Id="rId67" Type="http://schemas.openxmlformats.org/officeDocument/2006/relationships/hyperlink" Target="http://www.nevo.co.il/case/22303333"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1553/20.4" TargetMode="External"/><Relationship Id="rId54" Type="http://schemas.openxmlformats.org/officeDocument/2006/relationships/hyperlink" Target="http://www.nevo.co.il/law/4216" TargetMode="External"/><Relationship Id="rId62" Type="http://schemas.openxmlformats.org/officeDocument/2006/relationships/hyperlink" Target="http://www.nevo.co.il/law/70301/51j.a2" TargetMode="External"/><Relationship Id="rId70" Type="http://schemas.openxmlformats.org/officeDocument/2006/relationships/hyperlink" Target="http://www.nevo.co.il/case/21479345" TargetMode="External"/><Relationship Id="rId75" Type="http://schemas.openxmlformats.org/officeDocument/2006/relationships/hyperlink" Target="mailto:MaasarN@ips.gov.il" TargetMode="External"/><Relationship Id="rId1" Type="http://schemas.openxmlformats.org/officeDocument/2006/relationships/styles" Target="styles.xml"/><Relationship Id="rId6" Type="http://schemas.openxmlformats.org/officeDocument/2006/relationships/hyperlink" Target="http://www.nevo.co.il/case/25056497" TargetMode="External"/><Relationship Id="rId15" Type="http://schemas.openxmlformats.org/officeDocument/2006/relationships/hyperlink" Target="http://www.nevo.co.il/law/71553/20.4" TargetMode="External"/><Relationship Id="rId23" Type="http://schemas.openxmlformats.org/officeDocument/2006/relationships/hyperlink" Target="http://www.nevo.co.il/law/70301/51j.a1" TargetMode="External"/><Relationship Id="rId28" Type="http://schemas.openxmlformats.org/officeDocument/2006/relationships/hyperlink" Target="http://www.nevo.co.il/law/71553/20.4" TargetMode="External"/><Relationship Id="rId36" Type="http://schemas.openxmlformats.org/officeDocument/2006/relationships/hyperlink" Target="http://www.nevo.co.il/law/70301/51j.a1" TargetMode="External"/><Relationship Id="rId49" Type="http://schemas.openxmlformats.org/officeDocument/2006/relationships/hyperlink" Target="http://www.nevo.co.il/law/71553" TargetMode="External"/><Relationship Id="rId57" Type="http://schemas.openxmlformats.org/officeDocument/2006/relationships/hyperlink" Target="http://www.nevo.co.il/law/70301/51j.a2" TargetMode="External"/><Relationship Id="rId10" Type="http://schemas.openxmlformats.org/officeDocument/2006/relationships/hyperlink" Target="http://www.nevo.co.il/law/70301/51j.a1"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13" TargetMode="External"/><Relationship Id="rId52" Type="http://schemas.openxmlformats.org/officeDocument/2006/relationships/hyperlink" Target="http://www.nevo.co.il/law/4216/13" TargetMode="External"/><Relationship Id="rId60" Type="http://schemas.openxmlformats.org/officeDocument/2006/relationships/hyperlink" Target="http://www.nevo.co.il/law/70301/51j.a1" TargetMode="External"/><Relationship Id="rId65" Type="http://schemas.openxmlformats.org/officeDocument/2006/relationships/hyperlink" Target="http://www.nevo.co.il/law/70301/51j.a2" TargetMode="External"/><Relationship Id="rId73" Type="http://schemas.openxmlformats.org/officeDocument/2006/relationships/hyperlink" Target="http://www.nevo.co.il/law/71553/20.4"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1" TargetMode="External"/><Relationship Id="rId13" Type="http://schemas.openxmlformats.org/officeDocument/2006/relationships/hyperlink" Target="http://www.nevo.co.il/law/70301/80" TargetMode="External"/><Relationship Id="rId18" Type="http://schemas.openxmlformats.org/officeDocument/2006/relationships/hyperlink" Target="http://www.nevo.co.il/law/4216/13" TargetMode="External"/><Relationship Id="rId39" Type="http://schemas.openxmlformats.org/officeDocument/2006/relationships/hyperlink" Target="http://www.nevo.co.il/law/70301/80" TargetMode="External"/><Relationship Id="rId34" Type="http://schemas.openxmlformats.org/officeDocument/2006/relationships/hyperlink" Target="http://www.nevo.co.il/law/70301/22d.1.c" TargetMode="External"/><Relationship Id="rId50" Type="http://schemas.openxmlformats.org/officeDocument/2006/relationships/hyperlink" Target="http://www.nevo.co.il/law/71553/20.4" TargetMode="External"/><Relationship Id="rId55" Type="http://schemas.openxmlformats.org/officeDocument/2006/relationships/hyperlink" Target="http://www.nevo.co.il/law/70301/31"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1063559" TargetMode="External"/><Relationship Id="rId2" Type="http://schemas.openxmlformats.org/officeDocument/2006/relationships/settings" Target="settings.xml"/><Relationship Id="rId29" Type="http://schemas.openxmlformats.org/officeDocument/2006/relationships/hyperlink" Target="http://www.nevo.co.il/law/71553/25" TargetMode="External"/><Relationship Id="rId24" Type="http://schemas.openxmlformats.org/officeDocument/2006/relationships/hyperlink" Target="http://www.nevo.co.il/law/70301/51j.a2" TargetMode="External"/><Relationship Id="rId40" Type="http://schemas.openxmlformats.org/officeDocument/2006/relationships/hyperlink" Target="http://www.nevo.co.il/law/71553" TargetMode="External"/><Relationship Id="rId45" Type="http://schemas.openxmlformats.org/officeDocument/2006/relationships/hyperlink" Target="http://www.nevo.co.il/law/4216/19a" TargetMode="External"/><Relationship Id="rId66" Type="http://schemas.openxmlformats.org/officeDocument/2006/relationships/hyperlink" Target="http://www.nevo.co.il/case/609459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4112</Words>
  <Characters>20562</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24625</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196725</vt:i4>
      </vt:variant>
      <vt:variant>
        <vt:i4>207</vt:i4>
      </vt:variant>
      <vt:variant>
        <vt:i4>0</vt:i4>
      </vt:variant>
      <vt:variant>
        <vt:i4>5</vt:i4>
      </vt:variant>
      <vt:variant>
        <vt:lpwstr>mailto:MaasarN@ips.gov.il</vt:lpwstr>
      </vt:variant>
      <vt:variant>
        <vt:lpwstr/>
      </vt:variant>
      <vt:variant>
        <vt:i4>8257634</vt:i4>
      </vt:variant>
      <vt:variant>
        <vt:i4>204</vt:i4>
      </vt:variant>
      <vt:variant>
        <vt:i4>0</vt:i4>
      </vt:variant>
      <vt:variant>
        <vt:i4>5</vt:i4>
      </vt:variant>
      <vt:variant>
        <vt:lpwstr>http://www.nevo.co.il/law/71553</vt:lpwstr>
      </vt:variant>
      <vt:variant>
        <vt:lpwstr/>
      </vt:variant>
      <vt:variant>
        <vt:i4>5570637</vt:i4>
      </vt:variant>
      <vt:variant>
        <vt:i4>201</vt:i4>
      </vt:variant>
      <vt:variant>
        <vt:i4>0</vt:i4>
      </vt:variant>
      <vt:variant>
        <vt:i4>5</vt:i4>
      </vt:variant>
      <vt:variant>
        <vt:lpwstr>http://www.nevo.co.il/law/71553/20.4</vt:lpwstr>
      </vt:variant>
      <vt:variant>
        <vt:lpwstr/>
      </vt:variant>
      <vt:variant>
        <vt:i4>7864427</vt:i4>
      </vt:variant>
      <vt:variant>
        <vt:i4>198</vt:i4>
      </vt:variant>
      <vt:variant>
        <vt:i4>0</vt:i4>
      </vt:variant>
      <vt:variant>
        <vt:i4>5</vt:i4>
      </vt:variant>
      <vt:variant>
        <vt:lpwstr>http://www.nevo.co.il/law/70301/51j.a2</vt:lpwstr>
      </vt:variant>
      <vt:variant>
        <vt:lpwstr/>
      </vt:variant>
      <vt:variant>
        <vt:i4>3407990</vt:i4>
      </vt:variant>
      <vt:variant>
        <vt:i4>195</vt:i4>
      </vt:variant>
      <vt:variant>
        <vt:i4>0</vt:i4>
      </vt:variant>
      <vt:variant>
        <vt:i4>5</vt:i4>
      </vt:variant>
      <vt:variant>
        <vt:lpwstr>http://www.nevo.co.il/case/21063559</vt:lpwstr>
      </vt:variant>
      <vt:variant>
        <vt:lpwstr/>
      </vt:variant>
      <vt:variant>
        <vt:i4>3866737</vt:i4>
      </vt:variant>
      <vt:variant>
        <vt:i4>192</vt:i4>
      </vt:variant>
      <vt:variant>
        <vt:i4>0</vt:i4>
      </vt:variant>
      <vt:variant>
        <vt:i4>5</vt:i4>
      </vt:variant>
      <vt:variant>
        <vt:lpwstr>http://www.nevo.co.il/case/21479345</vt:lpwstr>
      </vt:variant>
      <vt:variant>
        <vt:lpwstr/>
      </vt:variant>
      <vt:variant>
        <vt:i4>3801201</vt:i4>
      </vt:variant>
      <vt:variant>
        <vt:i4>189</vt:i4>
      </vt:variant>
      <vt:variant>
        <vt:i4>0</vt:i4>
      </vt:variant>
      <vt:variant>
        <vt:i4>5</vt:i4>
      </vt:variant>
      <vt:variant>
        <vt:lpwstr>http://www.nevo.co.il/case/20942135</vt:lpwstr>
      </vt:variant>
      <vt:variant>
        <vt:lpwstr/>
      </vt:variant>
      <vt:variant>
        <vt:i4>6750258</vt:i4>
      </vt:variant>
      <vt:variant>
        <vt:i4>186</vt:i4>
      </vt:variant>
      <vt:variant>
        <vt:i4>0</vt:i4>
      </vt:variant>
      <vt:variant>
        <vt:i4>5</vt:i4>
      </vt:variant>
      <vt:variant>
        <vt:lpwstr>http://www.nevo.co.il/law/70301/22d.1.c</vt:lpwstr>
      </vt:variant>
      <vt:variant>
        <vt:lpwstr/>
      </vt:variant>
      <vt:variant>
        <vt:i4>3211381</vt:i4>
      </vt:variant>
      <vt:variant>
        <vt:i4>183</vt:i4>
      </vt:variant>
      <vt:variant>
        <vt:i4>0</vt:i4>
      </vt:variant>
      <vt:variant>
        <vt:i4>5</vt:i4>
      </vt:variant>
      <vt:variant>
        <vt:lpwstr>http://www.nevo.co.il/case/22303333</vt:lpwstr>
      </vt:variant>
      <vt:variant>
        <vt:lpwstr/>
      </vt:variant>
      <vt:variant>
        <vt:i4>3997817</vt:i4>
      </vt:variant>
      <vt:variant>
        <vt:i4>180</vt:i4>
      </vt:variant>
      <vt:variant>
        <vt:i4>0</vt:i4>
      </vt:variant>
      <vt:variant>
        <vt:i4>5</vt:i4>
      </vt:variant>
      <vt:variant>
        <vt:lpwstr>http://www.nevo.co.il/case/6094597</vt:lpwstr>
      </vt:variant>
      <vt:variant>
        <vt:lpwstr/>
      </vt:variant>
      <vt:variant>
        <vt:i4>7864427</vt:i4>
      </vt:variant>
      <vt:variant>
        <vt:i4>177</vt:i4>
      </vt:variant>
      <vt:variant>
        <vt:i4>0</vt:i4>
      </vt:variant>
      <vt:variant>
        <vt:i4>5</vt:i4>
      </vt:variant>
      <vt:variant>
        <vt:lpwstr>http://www.nevo.co.il/law/70301/51j.a2</vt:lpwstr>
      </vt:variant>
      <vt:variant>
        <vt:lpwstr/>
      </vt:variant>
      <vt:variant>
        <vt:i4>3539067</vt:i4>
      </vt:variant>
      <vt:variant>
        <vt:i4>174</vt:i4>
      </vt:variant>
      <vt:variant>
        <vt:i4>0</vt:i4>
      </vt:variant>
      <vt:variant>
        <vt:i4>5</vt:i4>
      </vt:variant>
      <vt:variant>
        <vt:lpwstr>http://www.nevo.co.il/case/5701291</vt:lpwstr>
      </vt:variant>
      <vt:variant>
        <vt:lpwstr/>
      </vt:variant>
      <vt:variant>
        <vt:i4>7864427</vt:i4>
      </vt:variant>
      <vt:variant>
        <vt:i4>171</vt:i4>
      </vt:variant>
      <vt:variant>
        <vt:i4>0</vt:i4>
      </vt:variant>
      <vt:variant>
        <vt:i4>5</vt:i4>
      </vt:variant>
      <vt:variant>
        <vt:lpwstr>http://www.nevo.co.il/law/70301/51j.a2</vt:lpwstr>
      </vt:variant>
      <vt:variant>
        <vt:lpwstr/>
      </vt:variant>
      <vt:variant>
        <vt:i4>7864427</vt:i4>
      </vt:variant>
      <vt:variant>
        <vt:i4>168</vt:i4>
      </vt:variant>
      <vt:variant>
        <vt:i4>0</vt:i4>
      </vt:variant>
      <vt:variant>
        <vt:i4>5</vt:i4>
      </vt:variant>
      <vt:variant>
        <vt:lpwstr>http://www.nevo.co.il/law/70301/51j.a2</vt:lpwstr>
      </vt:variant>
      <vt:variant>
        <vt:lpwstr/>
      </vt:variant>
      <vt:variant>
        <vt:i4>4849674</vt:i4>
      </vt:variant>
      <vt:variant>
        <vt:i4>165</vt:i4>
      </vt:variant>
      <vt:variant>
        <vt:i4>0</vt:i4>
      </vt:variant>
      <vt:variant>
        <vt:i4>5</vt:i4>
      </vt:variant>
      <vt:variant>
        <vt:lpwstr>http://www.nevo.co.il/law/70301/51j.b</vt:lpwstr>
      </vt:variant>
      <vt:variant>
        <vt:lpwstr/>
      </vt:variant>
      <vt:variant>
        <vt:i4>8061035</vt:i4>
      </vt:variant>
      <vt:variant>
        <vt:i4>162</vt:i4>
      </vt:variant>
      <vt:variant>
        <vt:i4>0</vt:i4>
      </vt:variant>
      <vt:variant>
        <vt:i4>5</vt:i4>
      </vt:variant>
      <vt:variant>
        <vt:lpwstr>http://www.nevo.co.il/law/70301/51j.a1</vt:lpwstr>
      </vt:variant>
      <vt:variant>
        <vt:lpwstr/>
      </vt:variant>
      <vt:variant>
        <vt:i4>7864427</vt:i4>
      </vt:variant>
      <vt:variant>
        <vt:i4>159</vt:i4>
      </vt:variant>
      <vt:variant>
        <vt:i4>0</vt:i4>
      </vt:variant>
      <vt:variant>
        <vt:i4>5</vt:i4>
      </vt:variant>
      <vt:variant>
        <vt:lpwstr>http://www.nevo.co.il/law/70301/51j.a2</vt:lpwstr>
      </vt:variant>
      <vt:variant>
        <vt:lpwstr/>
      </vt:variant>
      <vt:variant>
        <vt:i4>3604593</vt:i4>
      </vt:variant>
      <vt:variant>
        <vt:i4>156</vt:i4>
      </vt:variant>
      <vt:variant>
        <vt:i4>0</vt:i4>
      </vt:variant>
      <vt:variant>
        <vt:i4>5</vt:i4>
      </vt:variant>
      <vt:variant>
        <vt:lpwstr>http://www.nevo.co.il/case/27140645</vt:lpwstr>
      </vt:variant>
      <vt:variant>
        <vt:lpwstr/>
      </vt:variant>
      <vt:variant>
        <vt:i4>7864427</vt:i4>
      </vt:variant>
      <vt:variant>
        <vt:i4>153</vt:i4>
      </vt:variant>
      <vt:variant>
        <vt:i4>0</vt:i4>
      </vt:variant>
      <vt:variant>
        <vt:i4>5</vt:i4>
      </vt:variant>
      <vt:variant>
        <vt:lpwstr>http://www.nevo.co.il/law/70301/51j.a2</vt:lpwstr>
      </vt:variant>
      <vt:variant>
        <vt:lpwstr/>
      </vt:variant>
      <vt:variant>
        <vt:i4>6619245</vt:i4>
      </vt:variant>
      <vt:variant>
        <vt:i4>150</vt:i4>
      </vt:variant>
      <vt:variant>
        <vt:i4>0</vt:i4>
      </vt:variant>
      <vt:variant>
        <vt:i4>5</vt:i4>
      </vt:variant>
      <vt:variant>
        <vt:lpwstr>http://www.nevo.co.il/law/70301/80</vt:lpwstr>
      </vt:variant>
      <vt:variant>
        <vt:lpwstr/>
      </vt:variant>
      <vt:variant>
        <vt:i4>6553702</vt:i4>
      </vt:variant>
      <vt:variant>
        <vt:i4>147</vt:i4>
      </vt:variant>
      <vt:variant>
        <vt:i4>0</vt:i4>
      </vt:variant>
      <vt:variant>
        <vt:i4>5</vt:i4>
      </vt:variant>
      <vt:variant>
        <vt:lpwstr>http://www.nevo.co.il/law/70301/31</vt:lpwstr>
      </vt:variant>
      <vt:variant>
        <vt:lpwstr/>
      </vt:variant>
      <vt:variant>
        <vt:i4>8257637</vt:i4>
      </vt:variant>
      <vt:variant>
        <vt:i4>144</vt:i4>
      </vt:variant>
      <vt:variant>
        <vt:i4>0</vt:i4>
      </vt:variant>
      <vt:variant>
        <vt:i4>5</vt:i4>
      </vt:variant>
      <vt:variant>
        <vt:lpwstr>http://www.nevo.co.il/law/4216</vt:lpwstr>
      </vt:variant>
      <vt:variant>
        <vt:lpwstr/>
      </vt:variant>
      <vt:variant>
        <vt:i4>3014771</vt:i4>
      </vt:variant>
      <vt:variant>
        <vt:i4>141</vt:i4>
      </vt:variant>
      <vt:variant>
        <vt:i4>0</vt:i4>
      </vt:variant>
      <vt:variant>
        <vt:i4>5</vt:i4>
      </vt:variant>
      <vt:variant>
        <vt:lpwstr>http://www.nevo.co.il/law/4216/19a</vt:lpwstr>
      </vt:variant>
      <vt:variant>
        <vt:lpwstr/>
      </vt:variant>
      <vt:variant>
        <vt:i4>5177418</vt:i4>
      </vt:variant>
      <vt:variant>
        <vt:i4>138</vt:i4>
      </vt:variant>
      <vt:variant>
        <vt:i4>0</vt:i4>
      </vt:variant>
      <vt:variant>
        <vt:i4>5</vt:i4>
      </vt:variant>
      <vt:variant>
        <vt:lpwstr>http://www.nevo.co.il/law/4216/13</vt:lpwstr>
      </vt:variant>
      <vt:variant>
        <vt:lpwstr/>
      </vt:variant>
      <vt:variant>
        <vt:i4>8257634</vt:i4>
      </vt:variant>
      <vt:variant>
        <vt:i4>135</vt:i4>
      </vt:variant>
      <vt:variant>
        <vt:i4>0</vt:i4>
      </vt:variant>
      <vt:variant>
        <vt:i4>5</vt:i4>
      </vt:variant>
      <vt:variant>
        <vt:lpwstr>http://www.nevo.co.il/law/71553</vt:lpwstr>
      </vt:variant>
      <vt:variant>
        <vt:lpwstr/>
      </vt:variant>
      <vt:variant>
        <vt:i4>5570637</vt:i4>
      </vt:variant>
      <vt:variant>
        <vt:i4>132</vt:i4>
      </vt:variant>
      <vt:variant>
        <vt:i4>0</vt:i4>
      </vt:variant>
      <vt:variant>
        <vt:i4>5</vt:i4>
      </vt:variant>
      <vt:variant>
        <vt:lpwstr>http://www.nevo.co.il/law/71553/20.4</vt:lpwstr>
      </vt:variant>
      <vt:variant>
        <vt:lpwstr/>
      </vt:variant>
      <vt:variant>
        <vt:i4>8257634</vt:i4>
      </vt:variant>
      <vt:variant>
        <vt:i4>129</vt:i4>
      </vt:variant>
      <vt:variant>
        <vt:i4>0</vt:i4>
      </vt:variant>
      <vt:variant>
        <vt:i4>5</vt:i4>
      </vt:variant>
      <vt:variant>
        <vt:lpwstr>http://www.nevo.co.il/law/71553</vt:lpwstr>
      </vt:variant>
      <vt:variant>
        <vt:lpwstr/>
      </vt:variant>
      <vt:variant>
        <vt:i4>6553699</vt:i4>
      </vt:variant>
      <vt:variant>
        <vt:i4>126</vt:i4>
      </vt:variant>
      <vt:variant>
        <vt:i4>0</vt:i4>
      </vt:variant>
      <vt:variant>
        <vt:i4>5</vt:i4>
      </vt:variant>
      <vt:variant>
        <vt:lpwstr>http://www.nevo.co.il/law/71553/25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7864427</vt:i4>
      </vt:variant>
      <vt:variant>
        <vt:i4>120</vt:i4>
      </vt:variant>
      <vt:variant>
        <vt:i4>0</vt:i4>
      </vt:variant>
      <vt:variant>
        <vt:i4>5</vt:i4>
      </vt:variant>
      <vt:variant>
        <vt:lpwstr>http://www.nevo.co.il/law/70301/51j.a2</vt:lpwstr>
      </vt:variant>
      <vt:variant>
        <vt:lpwstr/>
      </vt:variant>
      <vt:variant>
        <vt:i4>3014771</vt:i4>
      </vt:variant>
      <vt:variant>
        <vt:i4>117</vt:i4>
      </vt:variant>
      <vt:variant>
        <vt:i4>0</vt:i4>
      </vt:variant>
      <vt:variant>
        <vt:i4>5</vt:i4>
      </vt:variant>
      <vt:variant>
        <vt:lpwstr>http://www.nevo.co.il/law/4216/19a</vt:lpwstr>
      </vt:variant>
      <vt:variant>
        <vt:lpwstr/>
      </vt:variant>
      <vt:variant>
        <vt:i4>5177418</vt:i4>
      </vt:variant>
      <vt:variant>
        <vt:i4>114</vt:i4>
      </vt:variant>
      <vt:variant>
        <vt:i4>0</vt:i4>
      </vt:variant>
      <vt:variant>
        <vt:i4>5</vt:i4>
      </vt:variant>
      <vt:variant>
        <vt:lpwstr>http://www.nevo.co.il/law/4216/13</vt:lpwstr>
      </vt:variant>
      <vt:variant>
        <vt:lpwstr/>
      </vt:variant>
      <vt:variant>
        <vt:i4>8257637</vt:i4>
      </vt:variant>
      <vt:variant>
        <vt:i4>111</vt:i4>
      </vt:variant>
      <vt:variant>
        <vt:i4>0</vt:i4>
      </vt:variant>
      <vt:variant>
        <vt:i4>5</vt:i4>
      </vt:variant>
      <vt:variant>
        <vt:lpwstr>http://www.nevo.co.il/law/4216</vt:lpwstr>
      </vt:variant>
      <vt:variant>
        <vt:lpwstr/>
      </vt:variant>
      <vt:variant>
        <vt:i4>6553699</vt:i4>
      </vt:variant>
      <vt:variant>
        <vt:i4>108</vt:i4>
      </vt:variant>
      <vt:variant>
        <vt:i4>0</vt:i4>
      </vt:variant>
      <vt:variant>
        <vt:i4>5</vt:i4>
      </vt:variant>
      <vt:variant>
        <vt:lpwstr>http://www.nevo.co.il/law/71553/25</vt:lpwstr>
      </vt:variant>
      <vt:variant>
        <vt:lpwstr/>
      </vt:variant>
      <vt:variant>
        <vt:i4>5570637</vt:i4>
      </vt:variant>
      <vt:variant>
        <vt:i4>105</vt:i4>
      </vt:variant>
      <vt:variant>
        <vt:i4>0</vt:i4>
      </vt:variant>
      <vt:variant>
        <vt:i4>5</vt:i4>
      </vt:variant>
      <vt:variant>
        <vt:lpwstr>http://www.nevo.co.il/law/71553/20.4</vt:lpwstr>
      </vt:variant>
      <vt:variant>
        <vt:lpwstr/>
      </vt:variant>
      <vt:variant>
        <vt:i4>8257634</vt:i4>
      </vt:variant>
      <vt:variant>
        <vt:i4>102</vt:i4>
      </vt:variant>
      <vt:variant>
        <vt:i4>0</vt:i4>
      </vt:variant>
      <vt:variant>
        <vt:i4>5</vt:i4>
      </vt:variant>
      <vt:variant>
        <vt:lpwstr>http://www.nevo.co.il/law/71553</vt:lpwstr>
      </vt:variant>
      <vt:variant>
        <vt:lpwstr/>
      </vt:variant>
      <vt:variant>
        <vt:i4>6619245</vt:i4>
      </vt:variant>
      <vt:variant>
        <vt:i4>99</vt:i4>
      </vt:variant>
      <vt:variant>
        <vt:i4>0</vt:i4>
      </vt:variant>
      <vt:variant>
        <vt:i4>5</vt:i4>
      </vt:variant>
      <vt:variant>
        <vt:lpwstr>http://www.nevo.co.il/law/70301/80</vt:lpwstr>
      </vt:variant>
      <vt:variant>
        <vt:lpwstr/>
      </vt:variant>
      <vt:variant>
        <vt:i4>4849674</vt:i4>
      </vt:variant>
      <vt:variant>
        <vt:i4>96</vt:i4>
      </vt:variant>
      <vt:variant>
        <vt:i4>0</vt:i4>
      </vt:variant>
      <vt:variant>
        <vt:i4>5</vt:i4>
      </vt:variant>
      <vt:variant>
        <vt:lpwstr>http://www.nevo.co.il/law/70301/51j.b</vt:lpwstr>
      </vt:variant>
      <vt:variant>
        <vt:lpwstr/>
      </vt:variant>
      <vt:variant>
        <vt:i4>7864427</vt:i4>
      </vt:variant>
      <vt:variant>
        <vt:i4>93</vt:i4>
      </vt:variant>
      <vt:variant>
        <vt:i4>0</vt:i4>
      </vt:variant>
      <vt:variant>
        <vt:i4>5</vt:i4>
      </vt:variant>
      <vt:variant>
        <vt:lpwstr>http://www.nevo.co.il/law/70301/51j.a2</vt:lpwstr>
      </vt:variant>
      <vt:variant>
        <vt:lpwstr/>
      </vt:variant>
      <vt:variant>
        <vt:i4>8061035</vt:i4>
      </vt:variant>
      <vt:variant>
        <vt:i4>90</vt:i4>
      </vt:variant>
      <vt:variant>
        <vt:i4>0</vt:i4>
      </vt:variant>
      <vt:variant>
        <vt:i4>5</vt:i4>
      </vt:variant>
      <vt:variant>
        <vt:lpwstr>http://www.nevo.co.il/law/70301/51j.a1</vt:lpwstr>
      </vt:variant>
      <vt:variant>
        <vt:lpwstr/>
      </vt:variant>
      <vt:variant>
        <vt:i4>6553702</vt:i4>
      </vt:variant>
      <vt:variant>
        <vt:i4>87</vt:i4>
      </vt:variant>
      <vt:variant>
        <vt:i4>0</vt:i4>
      </vt:variant>
      <vt:variant>
        <vt:i4>5</vt:i4>
      </vt:variant>
      <vt:variant>
        <vt:lpwstr>http://www.nevo.co.il/law/70301/31</vt:lpwstr>
      </vt:variant>
      <vt:variant>
        <vt:lpwstr/>
      </vt:variant>
      <vt:variant>
        <vt:i4>6750258</vt:i4>
      </vt:variant>
      <vt:variant>
        <vt:i4>84</vt:i4>
      </vt:variant>
      <vt:variant>
        <vt:i4>0</vt:i4>
      </vt:variant>
      <vt:variant>
        <vt:i4>5</vt:i4>
      </vt:variant>
      <vt:variant>
        <vt:lpwstr>http://www.nevo.co.il/law/70301/22d.1.c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3014771</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8257637</vt:i4>
      </vt:variant>
      <vt:variant>
        <vt:i4>72</vt:i4>
      </vt:variant>
      <vt:variant>
        <vt:i4>0</vt:i4>
      </vt:variant>
      <vt:variant>
        <vt:i4>5</vt:i4>
      </vt:variant>
      <vt:variant>
        <vt:lpwstr>http://www.nevo.co.il/law/4216</vt:lpwstr>
      </vt:variant>
      <vt:variant>
        <vt:lpwstr/>
      </vt:variant>
      <vt:variant>
        <vt:i4>6553699</vt:i4>
      </vt:variant>
      <vt:variant>
        <vt:i4>69</vt:i4>
      </vt:variant>
      <vt:variant>
        <vt:i4>0</vt:i4>
      </vt:variant>
      <vt:variant>
        <vt:i4>5</vt:i4>
      </vt:variant>
      <vt:variant>
        <vt:lpwstr>http://www.nevo.co.il/law/71553/25</vt:lpwstr>
      </vt:variant>
      <vt:variant>
        <vt:lpwstr/>
      </vt:variant>
      <vt:variant>
        <vt:i4>5570637</vt:i4>
      </vt:variant>
      <vt:variant>
        <vt:i4>66</vt:i4>
      </vt:variant>
      <vt:variant>
        <vt:i4>0</vt:i4>
      </vt:variant>
      <vt:variant>
        <vt:i4>5</vt:i4>
      </vt:variant>
      <vt:variant>
        <vt:lpwstr>http://www.nevo.co.il/law/71553/20.4</vt:lpwstr>
      </vt:variant>
      <vt:variant>
        <vt:lpwstr/>
      </vt:variant>
      <vt:variant>
        <vt:i4>8257634</vt:i4>
      </vt:variant>
      <vt:variant>
        <vt:i4>63</vt:i4>
      </vt:variant>
      <vt:variant>
        <vt:i4>0</vt:i4>
      </vt:variant>
      <vt:variant>
        <vt:i4>5</vt:i4>
      </vt:variant>
      <vt:variant>
        <vt:lpwstr>http://www.nevo.co.il/law/71553</vt:lpwstr>
      </vt:variant>
      <vt:variant>
        <vt:lpwstr/>
      </vt:variant>
      <vt:variant>
        <vt:i4>6619245</vt:i4>
      </vt:variant>
      <vt:variant>
        <vt:i4>60</vt:i4>
      </vt:variant>
      <vt:variant>
        <vt:i4>0</vt:i4>
      </vt:variant>
      <vt:variant>
        <vt:i4>5</vt:i4>
      </vt:variant>
      <vt:variant>
        <vt:lpwstr>http://www.nevo.co.il/law/70301/80</vt:lpwstr>
      </vt:variant>
      <vt:variant>
        <vt:lpwstr/>
      </vt:variant>
      <vt:variant>
        <vt:i4>4849674</vt:i4>
      </vt:variant>
      <vt:variant>
        <vt:i4>57</vt:i4>
      </vt:variant>
      <vt:variant>
        <vt:i4>0</vt:i4>
      </vt:variant>
      <vt:variant>
        <vt:i4>5</vt:i4>
      </vt:variant>
      <vt:variant>
        <vt:lpwstr>http://www.nevo.co.il/law/70301/51j.b</vt:lpwstr>
      </vt:variant>
      <vt:variant>
        <vt:lpwstr/>
      </vt:variant>
      <vt:variant>
        <vt:i4>7864427</vt:i4>
      </vt:variant>
      <vt:variant>
        <vt:i4>54</vt:i4>
      </vt:variant>
      <vt:variant>
        <vt:i4>0</vt:i4>
      </vt:variant>
      <vt:variant>
        <vt:i4>5</vt:i4>
      </vt:variant>
      <vt:variant>
        <vt:lpwstr>http://www.nevo.co.il/law/70301/51j.a2</vt:lpwstr>
      </vt:variant>
      <vt:variant>
        <vt:lpwstr/>
      </vt:variant>
      <vt:variant>
        <vt:i4>8061035</vt:i4>
      </vt:variant>
      <vt:variant>
        <vt:i4>51</vt:i4>
      </vt:variant>
      <vt:variant>
        <vt:i4>0</vt:i4>
      </vt:variant>
      <vt:variant>
        <vt:i4>5</vt:i4>
      </vt:variant>
      <vt:variant>
        <vt:lpwstr>http://www.nevo.co.il/law/70301/51j.a1</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6750258</vt:i4>
      </vt:variant>
      <vt:variant>
        <vt:i4>45</vt:i4>
      </vt:variant>
      <vt:variant>
        <vt:i4>0</vt:i4>
      </vt:variant>
      <vt:variant>
        <vt:i4>5</vt:i4>
      </vt:variant>
      <vt:variant>
        <vt:lpwstr>http://www.nevo.co.il/law/70301/22d.1.c</vt:lpwstr>
      </vt:variant>
      <vt:variant>
        <vt:lpwstr/>
      </vt:variant>
      <vt:variant>
        <vt:i4>7995492</vt:i4>
      </vt:variant>
      <vt:variant>
        <vt:i4>42</vt:i4>
      </vt:variant>
      <vt:variant>
        <vt:i4>0</vt:i4>
      </vt:variant>
      <vt:variant>
        <vt:i4>5</vt:i4>
      </vt:variant>
      <vt:variant>
        <vt:lpwstr>http://www.nevo.co.il/law/70301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6553699</vt:i4>
      </vt:variant>
      <vt:variant>
        <vt:i4>30</vt:i4>
      </vt:variant>
      <vt:variant>
        <vt:i4>0</vt:i4>
      </vt:variant>
      <vt:variant>
        <vt:i4>5</vt:i4>
      </vt:variant>
      <vt:variant>
        <vt:lpwstr>http://www.nevo.co.il/law/71553/25</vt:lpwstr>
      </vt:variant>
      <vt:variant>
        <vt:lpwstr/>
      </vt:variant>
      <vt:variant>
        <vt:i4>5570637</vt:i4>
      </vt:variant>
      <vt:variant>
        <vt:i4>27</vt:i4>
      </vt:variant>
      <vt:variant>
        <vt:i4>0</vt:i4>
      </vt:variant>
      <vt:variant>
        <vt:i4>5</vt:i4>
      </vt:variant>
      <vt:variant>
        <vt:lpwstr>http://www.nevo.co.il/law/71553/20.4</vt:lpwstr>
      </vt:variant>
      <vt:variant>
        <vt:lpwstr/>
      </vt:variant>
      <vt:variant>
        <vt:i4>8257634</vt:i4>
      </vt:variant>
      <vt:variant>
        <vt:i4>24</vt:i4>
      </vt:variant>
      <vt:variant>
        <vt:i4>0</vt:i4>
      </vt:variant>
      <vt:variant>
        <vt:i4>5</vt:i4>
      </vt:variant>
      <vt:variant>
        <vt:lpwstr>http://www.nevo.co.il/law/71553</vt:lpwstr>
      </vt:variant>
      <vt:variant>
        <vt:lpwstr/>
      </vt:variant>
      <vt:variant>
        <vt:i4>6619245</vt:i4>
      </vt:variant>
      <vt:variant>
        <vt:i4>21</vt:i4>
      </vt:variant>
      <vt:variant>
        <vt:i4>0</vt:i4>
      </vt:variant>
      <vt:variant>
        <vt:i4>5</vt:i4>
      </vt:variant>
      <vt:variant>
        <vt:lpwstr>http://www.nevo.co.il/law/70301/80</vt:lpwstr>
      </vt:variant>
      <vt:variant>
        <vt:lpwstr/>
      </vt:variant>
      <vt:variant>
        <vt:i4>4849674</vt:i4>
      </vt:variant>
      <vt:variant>
        <vt:i4>18</vt:i4>
      </vt:variant>
      <vt:variant>
        <vt:i4>0</vt:i4>
      </vt:variant>
      <vt:variant>
        <vt:i4>5</vt:i4>
      </vt:variant>
      <vt:variant>
        <vt:lpwstr>http://www.nevo.co.il/law/70301/51j.b</vt:lpwstr>
      </vt:variant>
      <vt:variant>
        <vt:lpwstr/>
      </vt:variant>
      <vt:variant>
        <vt:i4>7864427</vt:i4>
      </vt:variant>
      <vt:variant>
        <vt:i4>15</vt:i4>
      </vt:variant>
      <vt:variant>
        <vt:i4>0</vt:i4>
      </vt:variant>
      <vt:variant>
        <vt:i4>5</vt:i4>
      </vt:variant>
      <vt:variant>
        <vt:lpwstr>http://www.nevo.co.il/law/70301/51j.a2</vt:lpwstr>
      </vt:variant>
      <vt:variant>
        <vt:lpwstr/>
      </vt:variant>
      <vt:variant>
        <vt:i4>8061035</vt:i4>
      </vt:variant>
      <vt:variant>
        <vt:i4>12</vt:i4>
      </vt:variant>
      <vt:variant>
        <vt:i4>0</vt:i4>
      </vt:variant>
      <vt:variant>
        <vt:i4>5</vt:i4>
      </vt:variant>
      <vt:variant>
        <vt:lpwstr>http://www.nevo.co.il/law/70301/51j.a1</vt:lpwstr>
      </vt:variant>
      <vt:variant>
        <vt:lpwstr/>
      </vt:variant>
      <vt:variant>
        <vt:i4>6553702</vt:i4>
      </vt:variant>
      <vt:variant>
        <vt:i4>9</vt:i4>
      </vt:variant>
      <vt:variant>
        <vt:i4>0</vt:i4>
      </vt:variant>
      <vt:variant>
        <vt:i4>5</vt:i4>
      </vt:variant>
      <vt:variant>
        <vt:lpwstr>http://www.nevo.co.il/law/70301/31</vt:lpwstr>
      </vt:variant>
      <vt:variant>
        <vt:lpwstr/>
      </vt:variant>
      <vt:variant>
        <vt:i4>6750258</vt:i4>
      </vt:variant>
      <vt:variant>
        <vt:i4>6</vt:i4>
      </vt:variant>
      <vt:variant>
        <vt:i4>0</vt:i4>
      </vt:variant>
      <vt:variant>
        <vt:i4>5</vt:i4>
      </vt:variant>
      <vt:variant>
        <vt:lpwstr>http://www.nevo.co.il/law/70301/22d.1.c</vt:lpwstr>
      </vt:variant>
      <vt:variant>
        <vt:lpwstr/>
      </vt:variant>
      <vt:variant>
        <vt:i4>7995492</vt:i4>
      </vt:variant>
      <vt:variant>
        <vt:i4>3</vt:i4>
      </vt:variant>
      <vt:variant>
        <vt:i4>0</vt:i4>
      </vt:variant>
      <vt:variant>
        <vt:i4>5</vt:i4>
      </vt:variant>
      <vt:variant>
        <vt:lpwstr>http://www.nevo.co.il/law/70301</vt:lpwstr>
      </vt:variant>
      <vt:variant>
        <vt:lpwstr/>
      </vt:variant>
      <vt:variant>
        <vt:i4>3997808</vt:i4>
      </vt:variant>
      <vt:variant>
        <vt:i4>0</vt:i4>
      </vt:variant>
      <vt:variant>
        <vt:i4>0</vt:i4>
      </vt:variant>
      <vt:variant>
        <vt:i4>5</vt:i4>
      </vt:variant>
      <vt:variant>
        <vt:lpwstr>http://www.nevo.co.il/case/25056497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37295</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יורי פופוב</vt:lpwstr>
  </property>
  <property fmtid="{D5CDD505-2E9C-101B-9397-08002B2CF9AE}" pid="10" name="LAWYER">
    <vt:lpwstr>יסמין נוי;רז הורוביץ;אלי מסטרמן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20210408</vt:lpwstr>
  </property>
  <property fmtid="{D5CDD505-2E9C-101B-9397-08002B2CF9AE}" pid="14" name="TYPE_N_DATE">
    <vt:lpwstr>38020210408</vt:lpwstr>
  </property>
  <property fmtid="{D5CDD505-2E9C-101B-9397-08002B2CF9AE}" pid="15" name="WORDNUMPAGES">
    <vt:lpwstr>11</vt:lpwstr>
  </property>
  <property fmtid="{D5CDD505-2E9C-101B-9397-08002B2CF9AE}" pid="16" name="TYPE_ABS_DATE">
    <vt:lpwstr>380020210408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25056497;27140645;5701291;6094597;22303333;20942135;21479345;21063559</vt:lpwstr>
  </property>
  <property fmtid="{D5CDD505-2E9C-101B-9397-08002B2CF9AE}" pid="36" name="LAWLISTTMP1">
    <vt:lpwstr>70301/022d.1.c;031;051j.a1;051j.a2:7;051j.b;080</vt:lpwstr>
  </property>
  <property fmtid="{D5CDD505-2E9C-101B-9397-08002B2CF9AE}" pid="37" name="LAWLISTTMP2">
    <vt:lpwstr>71553/020.4:2;025</vt:lpwstr>
  </property>
  <property fmtid="{D5CDD505-2E9C-101B-9397-08002B2CF9AE}" pid="38" name="LAWLISTTMP3">
    <vt:lpwstr>4216/013;019a</vt:lpwstr>
  </property>
</Properties>
</file>