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28"/>
        <w:gridCol w:w="1868"/>
        <w:gridCol w:w="6637"/>
        <w:gridCol w:w="18"/>
      </w:tblGrid>
      <w:tr w:rsidR="00C20537" w:rsidRPr="006B0CC5" w14:paraId="1E266A0B" w14:textId="77777777" w:rsidTr="0048772B">
        <w:trPr>
          <w:gridBefore w:val="1"/>
          <w:gridAfter w:val="1"/>
          <w:wBefore w:w="28" w:type="dxa"/>
          <w:wAfter w:w="18" w:type="dxa"/>
          <w:trHeight w:hRule="exact" w:val="284"/>
          <w:jc w:val="center"/>
        </w:trPr>
        <w:tc>
          <w:tcPr>
            <w:tcW w:w="8505" w:type="dxa"/>
            <w:gridSpan w:val="2"/>
          </w:tcPr>
          <w:p w14:paraId="03D504D1" w14:textId="77777777" w:rsidR="00C20537" w:rsidRPr="006B0CC5" w:rsidRDefault="00C20537" w:rsidP="001968FD">
            <w:pPr>
              <w:pStyle w:val="a3"/>
              <w:jc w:val="center"/>
              <w:rPr>
                <w:rFonts w:ascii="Tahoma" w:hAnsi="Tahoma" w:cs="Tahoma"/>
                <w:noProof w:val="0"/>
                <w:color w:val="000080"/>
                <w:rtl/>
              </w:rPr>
            </w:pPr>
            <w:bookmarkStart w:id="0" w:name="LastJudge"/>
            <w:r w:rsidRPr="006B0CC5">
              <w:rPr>
                <w:rFonts w:ascii="Tahoma" w:hAnsi="Tahoma" w:cs="Tahoma"/>
                <w:b/>
                <w:bCs/>
                <w:noProof w:val="0"/>
                <w:color w:val="000080"/>
                <w:rtl/>
              </w:rPr>
              <w:t>בית משפט השלום בקריית גת</w:t>
            </w:r>
          </w:p>
        </w:tc>
      </w:tr>
      <w:tr w:rsidR="00C20537" w:rsidRPr="006B0CC5" w14:paraId="32211E29" w14:textId="77777777" w:rsidTr="0048772B">
        <w:trPr>
          <w:gridBefore w:val="1"/>
          <w:gridAfter w:val="1"/>
          <w:wBefore w:w="28" w:type="dxa"/>
          <w:wAfter w:w="18" w:type="dxa"/>
          <w:trHeight w:val="337"/>
          <w:jc w:val="center"/>
        </w:trPr>
        <w:tc>
          <w:tcPr>
            <w:tcW w:w="8505" w:type="dxa"/>
            <w:gridSpan w:val="2"/>
            <w:vAlign w:val="bottom"/>
          </w:tcPr>
          <w:p w14:paraId="42BEF09A" w14:textId="77777777" w:rsidR="00C20537" w:rsidRPr="006B0CC5" w:rsidRDefault="00C20537" w:rsidP="001968FD">
            <w:pPr>
              <w:rPr>
                <w:b/>
                <w:bCs/>
                <w:noProof w:val="0"/>
                <w:sz w:val="26"/>
                <w:szCs w:val="26"/>
                <w:rtl/>
              </w:rPr>
            </w:pPr>
            <w:r w:rsidRPr="006B0CC5">
              <w:rPr>
                <w:b/>
                <w:bCs/>
                <w:noProof w:val="0"/>
                <w:sz w:val="26"/>
                <w:szCs w:val="26"/>
                <w:rtl/>
              </w:rPr>
              <w:t>ת"פ 40055-10-18 מדינת ישראל נ' פארס(עציר)</w:t>
            </w:r>
          </w:p>
        </w:tc>
      </w:tr>
      <w:tr w:rsidR="00C20537" w:rsidRPr="006B0CC5" w14:paraId="771DB3B6" w14:textId="77777777" w:rsidTr="0048772B">
        <w:tblPrEx>
          <w:jc w:val="left"/>
          <w:tblInd w:w="-28" w:type="dxa"/>
          <w:tblLook w:val="01E0" w:firstRow="1" w:lastRow="1" w:firstColumn="1" w:lastColumn="1" w:noHBand="0" w:noVBand="0"/>
        </w:tblPrEx>
        <w:tc>
          <w:tcPr>
            <w:tcW w:w="8551" w:type="dxa"/>
            <w:gridSpan w:val="4"/>
            <w:shd w:val="clear" w:color="auto" w:fill="auto"/>
          </w:tcPr>
          <w:p w14:paraId="3B8ED90C" w14:textId="77777777" w:rsidR="00C20537" w:rsidRPr="006B0CC5" w:rsidRDefault="00C20537" w:rsidP="00C20537">
            <w:pPr>
              <w:widowControl w:val="0"/>
              <w:rPr>
                <w:rFonts w:ascii="David" w:hAnsi="David"/>
                <w:b/>
                <w:bCs/>
                <w:noProof w:val="0"/>
                <w:sz w:val="28"/>
                <w:szCs w:val="28"/>
                <w:rtl/>
              </w:rPr>
            </w:pPr>
            <w:r w:rsidRPr="006B0CC5">
              <w:rPr>
                <w:rFonts w:ascii="David" w:hAnsi="David" w:hint="cs"/>
                <w:b/>
                <w:bCs/>
                <w:sz w:val="26"/>
                <w:szCs w:val="26"/>
                <w:rtl/>
              </w:rPr>
              <w:t>לפני כב' השופטת זהר דולב להמן</w:t>
            </w:r>
          </w:p>
          <w:p w14:paraId="72296624" w14:textId="77777777" w:rsidR="00C20537" w:rsidRPr="006B0CC5" w:rsidRDefault="00C20537" w:rsidP="00C20537">
            <w:pPr>
              <w:widowControl w:val="0"/>
              <w:rPr>
                <w:rFonts w:ascii="David" w:hAnsi="David"/>
                <w:b/>
                <w:bCs/>
                <w:noProof w:val="0"/>
                <w:sz w:val="22"/>
                <w:szCs w:val="22"/>
              </w:rPr>
            </w:pPr>
          </w:p>
          <w:p w14:paraId="3940698A" w14:textId="77777777" w:rsidR="00C20537" w:rsidRPr="006B0CC5" w:rsidRDefault="00C20537" w:rsidP="00C20537">
            <w:pPr>
              <w:widowControl w:val="0"/>
              <w:rPr>
                <w:rFonts w:ascii="David" w:hAnsi="David"/>
                <w:b/>
                <w:bCs/>
                <w:sz w:val="2"/>
                <w:szCs w:val="2"/>
                <w:rtl/>
              </w:rPr>
            </w:pPr>
          </w:p>
        </w:tc>
      </w:tr>
      <w:tr w:rsidR="00C20537" w:rsidRPr="006B0CC5" w14:paraId="2D1338D9" w14:textId="77777777" w:rsidTr="0048772B">
        <w:tblPrEx>
          <w:jc w:val="left"/>
          <w:tblInd w:w="-28" w:type="dxa"/>
          <w:tblLook w:val="01E0" w:firstRow="1" w:lastRow="1" w:firstColumn="1" w:lastColumn="1" w:noHBand="0" w:noVBand="0"/>
        </w:tblPrEx>
        <w:tc>
          <w:tcPr>
            <w:tcW w:w="1896" w:type="dxa"/>
            <w:gridSpan w:val="2"/>
            <w:shd w:val="clear" w:color="auto" w:fill="auto"/>
          </w:tcPr>
          <w:p w14:paraId="4984527D" w14:textId="77777777" w:rsidR="00C20537" w:rsidRPr="006B0CC5" w:rsidRDefault="00C20537" w:rsidP="00C20537">
            <w:pPr>
              <w:widowControl w:val="0"/>
              <w:rPr>
                <w:b/>
                <w:bCs/>
                <w:sz w:val="28"/>
                <w:szCs w:val="28"/>
                <w:rtl/>
              </w:rPr>
            </w:pPr>
            <w:bookmarkStart w:id="1" w:name="FirstAppellant"/>
            <w:bookmarkStart w:id="2" w:name="FirstLawyer"/>
            <w:r w:rsidRPr="006B0CC5">
              <w:rPr>
                <w:b/>
                <w:bCs/>
                <w:sz w:val="28"/>
                <w:szCs w:val="28"/>
                <w:rtl/>
              </w:rPr>
              <w:t xml:space="preserve"> </w:t>
            </w:r>
            <w:r w:rsidRPr="006B0CC5">
              <w:rPr>
                <w:rFonts w:hint="cs"/>
                <w:b/>
                <w:bCs/>
                <w:sz w:val="26"/>
                <w:szCs w:val="26"/>
                <w:rtl/>
              </w:rPr>
              <w:t>המאשימה</w:t>
            </w:r>
          </w:p>
        </w:tc>
        <w:tc>
          <w:tcPr>
            <w:tcW w:w="6655" w:type="dxa"/>
            <w:gridSpan w:val="2"/>
            <w:shd w:val="clear" w:color="auto" w:fill="auto"/>
          </w:tcPr>
          <w:p w14:paraId="745D6B89" w14:textId="77777777" w:rsidR="00C20537" w:rsidRPr="006B0CC5" w:rsidRDefault="00C20537" w:rsidP="00C20537">
            <w:pPr>
              <w:widowControl w:val="0"/>
              <w:rPr>
                <w:rFonts w:ascii="David" w:hAnsi="David"/>
                <w:rtl/>
              </w:rPr>
            </w:pPr>
            <w:r w:rsidRPr="006B0CC5">
              <w:rPr>
                <w:rFonts w:hint="cs"/>
                <w:b/>
                <w:bCs/>
                <w:sz w:val="28"/>
                <w:szCs w:val="28"/>
                <w:rtl/>
              </w:rPr>
              <w:t xml:space="preserve"> </w:t>
            </w:r>
            <w:r w:rsidRPr="006B0CC5">
              <w:rPr>
                <w:rFonts w:hint="cs"/>
                <w:b/>
                <w:bCs/>
                <w:sz w:val="26"/>
                <w:szCs w:val="26"/>
                <w:rtl/>
              </w:rPr>
              <w:t>מדינת ישראל</w:t>
            </w:r>
            <w:r w:rsidRPr="006B0CC5">
              <w:rPr>
                <w:rFonts w:ascii="David" w:hAnsi="David" w:hint="cs"/>
                <w:b/>
                <w:bCs/>
                <w:sz w:val="26"/>
                <w:szCs w:val="26"/>
                <w:rtl/>
              </w:rPr>
              <w:t xml:space="preserve"> </w:t>
            </w:r>
          </w:p>
          <w:p w14:paraId="3EF356B6" w14:textId="77777777" w:rsidR="00C20537" w:rsidRPr="006B0CC5" w:rsidRDefault="00C20537" w:rsidP="00C20537">
            <w:pPr>
              <w:widowControl w:val="0"/>
              <w:rPr>
                <w:b/>
                <w:bCs/>
                <w:sz w:val="28"/>
                <w:szCs w:val="28"/>
                <w:rtl/>
              </w:rPr>
            </w:pPr>
            <w:r w:rsidRPr="006B0CC5">
              <w:rPr>
                <w:rFonts w:ascii="David" w:hAnsi="David" w:hint="cs"/>
                <w:rtl/>
              </w:rPr>
              <w:t xml:space="preserve"> ע"י ב"כ עוה"ד הילה מלול</w:t>
            </w:r>
            <w:r w:rsidRPr="006B0CC5">
              <w:rPr>
                <w:rFonts w:ascii="David" w:hAnsi="David" w:hint="cs"/>
                <w:sz w:val="22"/>
                <w:szCs w:val="22"/>
                <w:rtl/>
              </w:rPr>
              <w:t xml:space="preserve"> </w:t>
            </w:r>
            <w:r w:rsidRPr="006B0CC5">
              <w:rPr>
                <w:rFonts w:hint="cs"/>
                <w:rtl/>
              </w:rPr>
              <w:t>ועו"ד לאה פישר</w:t>
            </w:r>
          </w:p>
          <w:p w14:paraId="18526C58" w14:textId="77777777" w:rsidR="00C20537" w:rsidRPr="006B0CC5" w:rsidRDefault="00C20537" w:rsidP="00C20537">
            <w:pPr>
              <w:widowControl w:val="0"/>
              <w:rPr>
                <w:b/>
                <w:bCs/>
                <w:sz w:val="28"/>
                <w:szCs w:val="28"/>
                <w:rtl/>
              </w:rPr>
            </w:pPr>
          </w:p>
        </w:tc>
      </w:tr>
      <w:bookmarkEnd w:id="1"/>
      <w:bookmarkEnd w:id="2"/>
      <w:tr w:rsidR="00C20537" w:rsidRPr="006B0CC5" w14:paraId="49221D90" w14:textId="77777777" w:rsidTr="0048772B">
        <w:tblPrEx>
          <w:jc w:val="left"/>
          <w:tblInd w:w="-28" w:type="dxa"/>
          <w:tblLook w:val="01E0" w:firstRow="1" w:lastRow="1" w:firstColumn="1" w:lastColumn="1" w:noHBand="0" w:noVBand="0"/>
        </w:tblPrEx>
        <w:tc>
          <w:tcPr>
            <w:tcW w:w="8551" w:type="dxa"/>
            <w:gridSpan w:val="4"/>
            <w:shd w:val="clear" w:color="auto" w:fill="auto"/>
          </w:tcPr>
          <w:p w14:paraId="55789E3E" w14:textId="77777777" w:rsidR="00C20537" w:rsidRPr="006B0CC5" w:rsidRDefault="00C20537" w:rsidP="00C20537">
            <w:pPr>
              <w:widowControl w:val="0"/>
              <w:jc w:val="center"/>
              <w:rPr>
                <w:rFonts w:ascii="Arial" w:hAnsi="Arial"/>
                <w:b/>
                <w:bCs/>
                <w:sz w:val="28"/>
                <w:szCs w:val="28"/>
                <w:rtl/>
              </w:rPr>
            </w:pPr>
            <w:r w:rsidRPr="006B0CC5">
              <w:rPr>
                <w:rFonts w:ascii="Arial" w:hAnsi="Arial" w:hint="cs"/>
                <w:b/>
                <w:bCs/>
                <w:sz w:val="28"/>
                <w:szCs w:val="28"/>
                <w:rtl/>
              </w:rPr>
              <w:t>נ ג ד</w:t>
            </w:r>
          </w:p>
          <w:p w14:paraId="0F5BA052" w14:textId="77777777" w:rsidR="00C20537" w:rsidRPr="006B0CC5" w:rsidRDefault="00C20537" w:rsidP="00C20537">
            <w:pPr>
              <w:widowControl w:val="0"/>
              <w:jc w:val="center"/>
              <w:rPr>
                <w:rFonts w:ascii="Arial" w:hAnsi="Arial"/>
                <w:b/>
                <w:bCs/>
                <w:sz w:val="28"/>
                <w:szCs w:val="28"/>
                <w:rtl/>
              </w:rPr>
            </w:pPr>
          </w:p>
        </w:tc>
      </w:tr>
      <w:tr w:rsidR="00C20537" w:rsidRPr="006B0CC5" w14:paraId="53F7ECB0" w14:textId="77777777" w:rsidTr="0048772B">
        <w:tblPrEx>
          <w:jc w:val="left"/>
          <w:tblInd w:w="-28" w:type="dxa"/>
          <w:tblLook w:val="01E0" w:firstRow="1" w:lastRow="1" w:firstColumn="1" w:lastColumn="1" w:noHBand="0" w:noVBand="0"/>
        </w:tblPrEx>
        <w:trPr>
          <w:trHeight w:val="459"/>
        </w:trPr>
        <w:tc>
          <w:tcPr>
            <w:tcW w:w="1896" w:type="dxa"/>
            <w:gridSpan w:val="2"/>
            <w:shd w:val="clear" w:color="auto" w:fill="auto"/>
          </w:tcPr>
          <w:p w14:paraId="3CD50ADC" w14:textId="77777777" w:rsidR="00C20537" w:rsidRPr="006B0CC5" w:rsidRDefault="00C20537" w:rsidP="00C20537">
            <w:pPr>
              <w:widowControl w:val="0"/>
              <w:rPr>
                <w:b/>
                <w:bCs/>
                <w:sz w:val="28"/>
                <w:szCs w:val="28"/>
              </w:rPr>
            </w:pPr>
            <w:r w:rsidRPr="006B0CC5">
              <w:rPr>
                <w:b/>
                <w:bCs/>
                <w:sz w:val="28"/>
                <w:szCs w:val="28"/>
                <w:rtl/>
              </w:rPr>
              <w:t xml:space="preserve"> </w:t>
            </w:r>
            <w:r w:rsidRPr="006B0CC5">
              <w:rPr>
                <w:rFonts w:hint="cs"/>
                <w:b/>
                <w:bCs/>
                <w:sz w:val="26"/>
                <w:szCs w:val="26"/>
                <w:rtl/>
              </w:rPr>
              <w:t>הנאשם</w:t>
            </w:r>
          </w:p>
        </w:tc>
        <w:tc>
          <w:tcPr>
            <w:tcW w:w="6655" w:type="dxa"/>
            <w:gridSpan w:val="2"/>
            <w:shd w:val="clear" w:color="auto" w:fill="auto"/>
          </w:tcPr>
          <w:p w14:paraId="540E62D4" w14:textId="77777777" w:rsidR="00C20537" w:rsidRPr="006B0CC5" w:rsidRDefault="00C20537" w:rsidP="00C20537">
            <w:pPr>
              <w:widowControl w:val="0"/>
              <w:rPr>
                <w:rFonts w:cs="Times New Roman"/>
                <w:szCs w:val="26"/>
                <w:rtl/>
              </w:rPr>
            </w:pPr>
            <w:r w:rsidRPr="006B0CC5">
              <w:rPr>
                <w:b/>
                <w:bCs/>
                <w:sz w:val="28"/>
                <w:szCs w:val="28"/>
                <w:rtl/>
              </w:rPr>
              <w:t xml:space="preserve"> </w:t>
            </w:r>
            <w:r w:rsidRPr="006B0CC5">
              <w:rPr>
                <w:rFonts w:ascii="David" w:hAnsi="David" w:hint="cs"/>
                <w:b/>
                <w:bCs/>
                <w:sz w:val="26"/>
                <w:szCs w:val="26"/>
                <w:rtl/>
              </w:rPr>
              <w:t>אליאס פארס</w:t>
            </w:r>
          </w:p>
          <w:p w14:paraId="46F22EBD" w14:textId="77777777" w:rsidR="00C20537" w:rsidRPr="006B0CC5" w:rsidRDefault="00C20537" w:rsidP="00C20537">
            <w:pPr>
              <w:widowControl w:val="0"/>
              <w:rPr>
                <w:rFonts w:ascii="David" w:hAnsi="David"/>
                <w:szCs w:val="26"/>
              </w:rPr>
            </w:pPr>
            <w:r w:rsidRPr="006B0CC5">
              <w:rPr>
                <w:rtl/>
              </w:rPr>
              <w:t xml:space="preserve"> </w:t>
            </w:r>
            <w:r w:rsidRPr="006B0CC5">
              <w:rPr>
                <w:rFonts w:hint="cs"/>
                <w:rtl/>
              </w:rPr>
              <w:t xml:space="preserve">ע"י ב"כ עוה"ד  </w:t>
            </w:r>
            <w:r w:rsidRPr="006B0CC5">
              <w:rPr>
                <w:rFonts w:ascii="David" w:hAnsi="David" w:hint="cs"/>
                <w:sz w:val="22"/>
                <w:rtl/>
              </w:rPr>
              <w:t xml:space="preserve">דורון שטרן </w:t>
            </w:r>
          </w:p>
        </w:tc>
      </w:tr>
    </w:tbl>
    <w:p w14:paraId="69400895" w14:textId="77777777" w:rsidR="00C20537" w:rsidRPr="006B0CC5" w:rsidRDefault="00C20537" w:rsidP="00C20537">
      <w:pPr>
        <w:widowControl w:val="0"/>
      </w:pPr>
    </w:p>
    <w:p w14:paraId="58962481" w14:textId="77777777" w:rsidR="0048772B" w:rsidRPr="0048772B" w:rsidRDefault="0048772B" w:rsidP="0048772B">
      <w:pPr>
        <w:widowControl w:val="0"/>
        <w:spacing w:before="120" w:after="120" w:line="240" w:lineRule="exact"/>
        <w:ind w:left="283" w:hanging="283"/>
        <w:jc w:val="both"/>
        <w:rPr>
          <w:rFonts w:ascii="FrankRuehl" w:hAnsi="FrankRuehl" w:cs="FrankRuehl"/>
          <w:rtl/>
        </w:rPr>
      </w:pPr>
    </w:p>
    <w:p w14:paraId="130343AE" w14:textId="77777777" w:rsidR="001D63D6" w:rsidRPr="001D63D6" w:rsidRDefault="001D63D6" w:rsidP="001D63D6">
      <w:pPr>
        <w:widowControl w:val="0"/>
        <w:spacing w:before="120" w:after="120" w:line="240" w:lineRule="exact"/>
        <w:ind w:left="283" w:hanging="283"/>
        <w:jc w:val="both"/>
        <w:rPr>
          <w:rFonts w:ascii="FrankRuehl" w:hAnsi="FrankRuehl" w:cs="FrankRuehl"/>
          <w:rtl/>
        </w:rPr>
      </w:pPr>
    </w:p>
    <w:p w14:paraId="7F482361" w14:textId="77777777" w:rsidR="00BB040A" w:rsidRDefault="00BB040A" w:rsidP="00BB040A">
      <w:pPr>
        <w:widowControl w:val="0"/>
        <w:spacing w:line="360" w:lineRule="auto"/>
        <w:jc w:val="both"/>
        <w:rPr>
          <w:rFonts w:ascii="David" w:hAnsi="David"/>
          <w:sz w:val="26"/>
          <w:szCs w:val="26"/>
          <w:rtl/>
        </w:rPr>
      </w:pPr>
      <w:bookmarkStart w:id="3" w:name="LawTable"/>
      <w:bookmarkEnd w:id="3"/>
    </w:p>
    <w:p w14:paraId="0D8230C9" w14:textId="77777777" w:rsidR="00BB040A" w:rsidRPr="00BB040A" w:rsidRDefault="00BB040A" w:rsidP="00BB040A">
      <w:pPr>
        <w:widowControl w:val="0"/>
        <w:spacing w:before="120" w:after="120" w:line="240" w:lineRule="exact"/>
        <w:ind w:left="283" w:hanging="283"/>
        <w:jc w:val="both"/>
        <w:rPr>
          <w:rFonts w:ascii="FrankRuehl" w:hAnsi="FrankRuehl" w:cs="FrankRuehl"/>
          <w:rtl/>
        </w:rPr>
      </w:pPr>
    </w:p>
    <w:p w14:paraId="56963BE7" w14:textId="77777777" w:rsidR="00BB040A" w:rsidRPr="00BB040A" w:rsidRDefault="00BB040A" w:rsidP="00BB040A">
      <w:pPr>
        <w:widowControl w:val="0"/>
        <w:spacing w:before="120" w:after="120" w:line="240" w:lineRule="exact"/>
        <w:ind w:left="283" w:hanging="283"/>
        <w:jc w:val="both"/>
        <w:rPr>
          <w:rFonts w:ascii="FrankRuehl" w:hAnsi="FrankRuehl" w:cs="FrankRuehl"/>
          <w:rtl/>
        </w:rPr>
      </w:pPr>
    </w:p>
    <w:p w14:paraId="5C84DF30" w14:textId="77777777" w:rsidR="00BB040A" w:rsidRPr="00BB040A" w:rsidRDefault="00BB040A" w:rsidP="00BB040A">
      <w:pPr>
        <w:widowControl w:val="0"/>
        <w:spacing w:before="120" w:after="120" w:line="240" w:lineRule="exact"/>
        <w:ind w:left="283" w:hanging="283"/>
        <w:jc w:val="both"/>
        <w:rPr>
          <w:rFonts w:ascii="FrankRuehl" w:hAnsi="FrankRuehl" w:cs="FrankRuehl"/>
          <w:rtl/>
        </w:rPr>
      </w:pPr>
      <w:r w:rsidRPr="00BB040A">
        <w:rPr>
          <w:rFonts w:ascii="FrankRuehl" w:hAnsi="FrankRuehl" w:cs="FrankRuehl"/>
          <w:rtl/>
        </w:rPr>
        <w:t xml:space="preserve">חקיקה שאוזכרה: </w:t>
      </w:r>
    </w:p>
    <w:p w14:paraId="70731F35" w14:textId="77777777" w:rsidR="00BB040A" w:rsidRPr="00BB040A" w:rsidRDefault="00BB040A" w:rsidP="00BB040A">
      <w:pPr>
        <w:widowControl w:val="0"/>
        <w:spacing w:before="120" w:after="120" w:line="240" w:lineRule="exact"/>
        <w:ind w:left="283" w:hanging="283"/>
        <w:jc w:val="both"/>
        <w:rPr>
          <w:rFonts w:ascii="FrankRuehl" w:hAnsi="FrankRuehl" w:cs="FrankRuehl"/>
          <w:rtl/>
        </w:rPr>
      </w:pPr>
      <w:hyperlink r:id="rId7" w:history="1">
        <w:r w:rsidRPr="00BB040A">
          <w:rPr>
            <w:rFonts w:ascii="FrankRuehl" w:hAnsi="FrankRuehl" w:cs="FrankRuehl"/>
            <w:color w:val="0000FF"/>
            <w:rtl/>
          </w:rPr>
          <w:t>פקודת הסמים המסוכנים [נוסח חדש], תשל"ג-1973</w:t>
        </w:r>
      </w:hyperlink>
      <w:r w:rsidRPr="00BB040A">
        <w:rPr>
          <w:rFonts w:ascii="FrankRuehl" w:hAnsi="FrankRuehl" w:cs="FrankRuehl"/>
          <w:rtl/>
        </w:rPr>
        <w:t xml:space="preserve">: סע'  </w:t>
      </w:r>
      <w:hyperlink r:id="rId8" w:history="1">
        <w:r w:rsidRPr="00BB040A">
          <w:rPr>
            <w:rFonts w:ascii="FrankRuehl" w:hAnsi="FrankRuehl" w:cs="FrankRuehl"/>
            <w:color w:val="0000FF"/>
            <w:rtl/>
          </w:rPr>
          <w:t>7(א)</w:t>
        </w:r>
      </w:hyperlink>
      <w:r w:rsidRPr="00BB040A">
        <w:rPr>
          <w:rFonts w:ascii="FrankRuehl" w:hAnsi="FrankRuehl" w:cs="FrankRuehl"/>
          <w:rtl/>
        </w:rPr>
        <w:t xml:space="preserve">, </w:t>
      </w:r>
      <w:hyperlink r:id="rId9" w:history="1">
        <w:r w:rsidRPr="00BB040A">
          <w:rPr>
            <w:rFonts w:ascii="FrankRuehl" w:hAnsi="FrankRuehl" w:cs="FrankRuehl"/>
            <w:color w:val="0000FF"/>
            <w:rtl/>
          </w:rPr>
          <w:t>7(ג)</w:t>
        </w:r>
      </w:hyperlink>
      <w:r w:rsidRPr="00BB040A">
        <w:rPr>
          <w:rFonts w:ascii="FrankRuehl" w:hAnsi="FrankRuehl" w:cs="FrankRuehl"/>
          <w:rtl/>
        </w:rPr>
        <w:t xml:space="preserve">, </w:t>
      </w:r>
      <w:hyperlink r:id="rId10" w:history="1">
        <w:r w:rsidRPr="00BB040A">
          <w:rPr>
            <w:rFonts w:ascii="FrankRuehl" w:hAnsi="FrankRuehl" w:cs="FrankRuehl"/>
            <w:color w:val="0000FF"/>
            <w:rtl/>
          </w:rPr>
          <w:t>37א</w:t>
        </w:r>
      </w:hyperlink>
    </w:p>
    <w:p w14:paraId="0B812E3E" w14:textId="77777777" w:rsidR="00BB040A" w:rsidRPr="00BB040A" w:rsidRDefault="00BB040A" w:rsidP="00BB040A">
      <w:pPr>
        <w:widowControl w:val="0"/>
        <w:spacing w:before="120" w:after="120" w:line="240" w:lineRule="exact"/>
        <w:ind w:left="283" w:hanging="283"/>
        <w:jc w:val="both"/>
        <w:rPr>
          <w:rFonts w:ascii="FrankRuehl" w:hAnsi="FrankRuehl" w:cs="FrankRuehl"/>
          <w:rtl/>
        </w:rPr>
      </w:pPr>
      <w:hyperlink r:id="rId11" w:history="1">
        <w:r w:rsidRPr="00BB040A">
          <w:rPr>
            <w:rFonts w:ascii="FrankRuehl" w:hAnsi="FrankRuehl" w:cs="FrankRuehl"/>
            <w:color w:val="0000FF"/>
            <w:rtl/>
          </w:rPr>
          <w:t>חוק העונשין, תשל"ז-1977</w:t>
        </w:r>
      </w:hyperlink>
      <w:r w:rsidRPr="00BB040A">
        <w:rPr>
          <w:rFonts w:ascii="FrankRuehl" w:hAnsi="FrankRuehl" w:cs="FrankRuehl"/>
          <w:rtl/>
        </w:rPr>
        <w:t xml:space="preserve">: סע'  </w:t>
      </w:r>
      <w:hyperlink r:id="rId12" w:history="1">
        <w:r w:rsidRPr="00BB040A">
          <w:rPr>
            <w:rFonts w:ascii="FrankRuehl" w:hAnsi="FrankRuehl" w:cs="FrankRuehl"/>
            <w:color w:val="0000FF"/>
            <w:rtl/>
          </w:rPr>
          <w:t>40ג(א)</w:t>
        </w:r>
      </w:hyperlink>
      <w:r w:rsidRPr="00BB040A">
        <w:rPr>
          <w:rFonts w:ascii="FrankRuehl" w:hAnsi="FrankRuehl" w:cs="FrankRuehl"/>
          <w:rtl/>
        </w:rPr>
        <w:t xml:space="preserve">, </w:t>
      </w:r>
      <w:hyperlink r:id="rId13" w:history="1">
        <w:r w:rsidRPr="00BB040A">
          <w:rPr>
            <w:rFonts w:ascii="FrankRuehl" w:hAnsi="FrankRuehl" w:cs="FrankRuehl"/>
            <w:color w:val="0000FF"/>
            <w:rtl/>
          </w:rPr>
          <w:t>40ג(ב)</w:t>
        </w:r>
      </w:hyperlink>
      <w:r w:rsidRPr="00BB040A">
        <w:rPr>
          <w:rFonts w:ascii="FrankRuehl" w:hAnsi="FrankRuehl" w:cs="FrankRuehl"/>
          <w:rtl/>
        </w:rPr>
        <w:t xml:space="preserve">, </w:t>
      </w:r>
      <w:hyperlink r:id="rId14" w:history="1">
        <w:r w:rsidRPr="00BB040A">
          <w:rPr>
            <w:rFonts w:ascii="FrankRuehl" w:hAnsi="FrankRuehl" w:cs="FrankRuehl"/>
            <w:color w:val="0000FF"/>
            <w:rtl/>
          </w:rPr>
          <w:t>40ו</w:t>
        </w:r>
      </w:hyperlink>
      <w:r w:rsidRPr="00BB040A">
        <w:rPr>
          <w:rFonts w:ascii="FrankRuehl" w:hAnsi="FrankRuehl" w:cs="FrankRuehl"/>
          <w:rtl/>
        </w:rPr>
        <w:t xml:space="preserve">, </w:t>
      </w:r>
      <w:hyperlink r:id="rId15" w:history="1">
        <w:r w:rsidRPr="00BB040A">
          <w:rPr>
            <w:rFonts w:ascii="FrankRuehl" w:hAnsi="FrankRuehl" w:cs="FrankRuehl"/>
            <w:color w:val="0000FF"/>
            <w:rtl/>
          </w:rPr>
          <w:t>40ה</w:t>
        </w:r>
      </w:hyperlink>
      <w:r w:rsidRPr="00BB040A">
        <w:rPr>
          <w:rFonts w:ascii="FrankRuehl" w:hAnsi="FrankRuehl" w:cs="FrankRuehl"/>
          <w:rtl/>
        </w:rPr>
        <w:t xml:space="preserve">, </w:t>
      </w:r>
      <w:hyperlink r:id="rId16" w:history="1">
        <w:r w:rsidRPr="00BB040A">
          <w:rPr>
            <w:rFonts w:ascii="FrankRuehl" w:hAnsi="FrankRuehl" w:cs="FrankRuehl"/>
            <w:color w:val="0000FF"/>
            <w:rtl/>
          </w:rPr>
          <w:t>40ז</w:t>
        </w:r>
      </w:hyperlink>
      <w:r w:rsidRPr="00BB040A">
        <w:rPr>
          <w:rFonts w:ascii="FrankRuehl" w:hAnsi="FrankRuehl" w:cs="FrankRuehl"/>
          <w:rtl/>
        </w:rPr>
        <w:t xml:space="preserve">, </w:t>
      </w:r>
      <w:hyperlink r:id="rId17" w:history="1">
        <w:r w:rsidRPr="00BB040A">
          <w:rPr>
            <w:rFonts w:ascii="FrankRuehl" w:hAnsi="FrankRuehl" w:cs="FrankRuehl"/>
            <w:color w:val="0000FF"/>
            <w:rtl/>
          </w:rPr>
          <w:t>40ח</w:t>
        </w:r>
      </w:hyperlink>
      <w:r w:rsidRPr="00BB040A">
        <w:rPr>
          <w:rFonts w:ascii="FrankRuehl" w:hAnsi="FrankRuehl" w:cs="FrankRuehl"/>
          <w:rtl/>
        </w:rPr>
        <w:t xml:space="preserve">, </w:t>
      </w:r>
      <w:hyperlink r:id="rId18" w:history="1">
        <w:r w:rsidRPr="00BB040A">
          <w:rPr>
            <w:rFonts w:ascii="FrankRuehl" w:hAnsi="FrankRuehl" w:cs="FrankRuehl"/>
            <w:color w:val="0000FF"/>
            <w:rtl/>
          </w:rPr>
          <w:t>45</w:t>
        </w:r>
      </w:hyperlink>
      <w:r w:rsidRPr="00BB040A">
        <w:rPr>
          <w:rFonts w:ascii="FrankRuehl" w:hAnsi="FrankRuehl" w:cs="FrankRuehl"/>
          <w:rtl/>
        </w:rPr>
        <w:t xml:space="preserve">, </w:t>
      </w:r>
      <w:hyperlink r:id="rId19" w:history="1">
        <w:r w:rsidRPr="00BB040A">
          <w:rPr>
            <w:rFonts w:ascii="FrankRuehl" w:hAnsi="FrankRuehl" w:cs="FrankRuehl"/>
            <w:color w:val="0000FF"/>
            <w:rtl/>
          </w:rPr>
          <w:t>40יא</w:t>
        </w:r>
      </w:hyperlink>
      <w:r w:rsidRPr="00BB040A">
        <w:rPr>
          <w:rFonts w:ascii="FrankRuehl" w:hAnsi="FrankRuehl" w:cs="FrankRuehl"/>
          <w:rtl/>
        </w:rPr>
        <w:t xml:space="preserve">, </w:t>
      </w:r>
      <w:hyperlink r:id="rId20" w:history="1">
        <w:r w:rsidRPr="00BB040A">
          <w:rPr>
            <w:rFonts w:ascii="FrankRuehl" w:hAnsi="FrankRuehl" w:cs="FrankRuehl"/>
            <w:color w:val="0000FF"/>
            <w:rtl/>
          </w:rPr>
          <w:t>40יט</w:t>
        </w:r>
      </w:hyperlink>
    </w:p>
    <w:p w14:paraId="75D7A8E8" w14:textId="77777777" w:rsidR="00BB040A" w:rsidRPr="00BB040A" w:rsidRDefault="00BB040A" w:rsidP="00BB040A">
      <w:pPr>
        <w:widowControl w:val="0"/>
        <w:spacing w:line="360" w:lineRule="auto"/>
        <w:jc w:val="both"/>
        <w:rPr>
          <w:rFonts w:ascii="David" w:hAnsi="David"/>
          <w:sz w:val="26"/>
          <w:szCs w:val="26"/>
          <w:rtl/>
        </w:rPr>
      </w:pPr>
      <w:bookmarkStart w:id="4" w:name="LawTable_End"/>
      <w:bookmarkEnd w:id="4"/>
    </w:p>
    <w:p w14:paraId="6D77C8CF" w14:textId="77777777" w:rsidR="00C20537" w:rsidRPr="001D63D6" w:rsidRDefault="00C20537" w:rsidP="001D63D6">
      <w:pPr>
        <w:widowControl w:val="0"/>
        <w:spacing w:line="360" w:lineRule="auto"/>
        <w:jc w:val="both"/>
        <w:rPr>
          <w:rFonts w:ascii="David" w:hAnsi="David"/>
          <w:sz w:val="26"/>
          <w:szCs w:val="26"/>
          <w:rtl/>
        </w:rPr>
      </w:pPr>
    </w:p>
    <w:tbl>
      <w:tblPr>
        <w:bidiVisual/>
        <w:tblW w:w="8508" w:type="dxa"/>
        <w:jc w:val="center"/>
        <w:tblLook w:val="01E0" w:firstRow="1" w:lastRow="1" w:firstColumn="1" w:lastColumn="1" w:noHBand="0" w:noVBand="0"/>
      </w:tblPr>
      <w:tblGrid>
        <w:gridCol w:w="8508"/>
      </w:tblGrid>
      <w:tr w:rsidR="00C20537" w14:paraId="266D73BE" w14:textId="77777777" w:rsidTr="00C20537">
        <w:trPr>
          <w:trHeight w:val="737"/>
          <w:jc w:val="center"/>
        </w:trPr>
        <w:tc>
          <w:tcPr>
            <w:tcW w:w="8508" w:type="dxa"/>
            <w:shd w:val="clear" w:color="auto" w:fill="auto"/>
            <w:vAlign w:val="center"/>
          </w:tcPr>
          <w:p w14:paraId="275FA935" w14:textId="77777777" w:rsidR="006B0CC5" w:rsidRPr="006B0CC5" w:rsidRDefault="006B0CC5" w:rsidP="006B0CC5">
            <w:pPr>
              <w:widowControl w:val="0"/>
              <w:bidi w:val="0"/>
              <w:jc w:val="center"/>
              <w:rPr>
                <w:rFonts w:ascii="Arial" w:hAnsi="Arial"/>
                <w:b/>
                <w:bCs/>
                <w:noProof w:val="0"/>
                <w:sz w:val="32"/>
                <w:szCs w:val="32"/>
                <w:u w:val="single"/>
                <w:rtl/>
              </w:rPr>
            </w:pPr>
            <w:bookmarkStart w:id="5" w:name="PsakDin" w:colFirst="0" w:colLast="0"/>
            <w:bookmarkEnd w:id="0"/>
            <w:r w:rsidRPr="006B0CC5">
              <w:rPr>
                <w:rFonts w:ascii="Arial" w:hAnsi="Arial"/>
                <w:b/>
                <w:bCs/>
                <w:noProof w:val="0"/>
                <w:sz w:val="32"/>
                <w:szCs w:val="32"/>
                <w:u w:val="single"/>
                <w:rtl/>
              </w:rPr>
              <w:t>גזר דין</w:t>
            </w:r>
          </w:p>
          <w:p w14:paraId="1BEB2169" w14:textId="77777777" w:rsidR="00C20537" w:rsidRPr="006B0CC5" w:rsidRDefault="00C20537" w:rsidP="006B0CC5">
            <w:pPr>
              <w:widowControl w:val="0"/>
              <w:bidi w:val="0"/>
              <w:jc w:val="center"/>
              <w:rPr>
                <w:rFonts w:ascii="Arial" w:hAnsi="Arial"/>
                <w:b/>
                <w:bCs/>
                <w:noProof w:val="0"/>
                <w:sz w:val="32"/>
                <w:szCs w:val="32"/>
                <w:u w:val="single"/>
              </w:rPr>
            </w:pPr>
          </w:p>
        </w:tc>
      </w:tr>
    </w:tbl>
    <w:bookmarkEnd w:id="5"/>
    <w:p w14:paraId="4FFDF526" w14:textId="77777777" w:rsidR="00C20537" w:rsidRDefault="00C20537" w:rsidP="00C20537">
      <w:pPr>
        <w:widowControl w:val="0"/>
        <w:spacing w:line="360" w:lineRule="auto"/>
        <w:jc w:val="both"/>
        <w:rPr>
          <w:rFonts w:ascii="David" w:hAnsi="David"/>
          <w:b/>
          <w:bCs/>
          <w:noProof w:val="0"/>
          <w:sz w:val="26"/>
          <w:szCs w:val="26"/>
        </w:rPr>
      </w:pPr>
      <w:r>
        <w:rPr>
          <w:rFonts w:ascii="David" w:hAnsi="David"/>
          <w:b/>
          <w:bCs/>
          <w:sz w:val="26"/>
          <w:szCs w:val="26"/>
          <w:rtl/>
        </w:rPr>
        <w:t>כתב האישום</w:t>
      </w:r>
      <w:r>
        <w:rPr>
          <w:rFonts w:ascii="David" w:hAnsi="David" w:hint="cs"/>
          <w:b/>
          <w:bCs/>
          <w:sz w:val="26"/>
          <w:szCs w:val="26"/>
          <w:rtl/>
        </w:rPr>
        <w:t>,</w:t>
      </w:r>
      <w:r>
        <w:rPr>
          <w:rFonts w:ascii="David" w:hAnsi="David"/>
          <w:b/>
          <w:bCs/>
          <w:sz w:val="26"/>
          <w:szCs w:val="26"/>
          <w:rtl/>
        </w:rPr>
        <w:t xml:space="preserve"> הכרעת הדין</w:t>
      </w:r>
      <w:r>
        <w:rPr>
          <w:rFonts w:ascii="David" w:hAnsi="David" w:hint="cs"/>
          <w:b/>
          <w:bCs/>
          <w:sz w:val="26"/>
          <w:szCs w:val="26"/>
          <w:rtl/>
        </w:rPr>
        <w:t xml:space="preserve"> והסדר הטיעון</w:t>
      </w:r>
    </w:p>
    <w:p w14:paraId="5CB28453" w14:textId="77777777" w:rsidR="00C20537" w:rsidRPr="00ED2EAA" w:rsidRDefault="00C20537" w:rsidP="00C20537">
      <w:pPr>
        <w:widowControl w:val="0"/>
        <w:numPr>
          <w:ilvl w:val="0"/>
          <w:numId w:val="1"/>
        </w:numPr>
        <w:snapToGrid w:val="0"/>
        <w:spacing w:line="360" w:lineRule="auto"/>
        <w:ind w:left="357" w:hanging="357"/>
        <w:jc w:val="both"/>
        <w:rPr>
          <w:sz w:val="20"/>
          <w:rtl/>
          <w:lang w:eastAsia="he-IL"/>
        </w:rPr>
      </w:pPr>
      <w:bookmarkStart w:id="6" w:name="ABSTRACT_START"/>
      <w:bookmarkEnd w:id="6"/>
      <w:r w:rsidRPr="00ED2EAA">
        <w:rPr>
          <w:sz w:val="20"/>
          <w:rtl/>
          <w:lang w:eastAsia="he-IL"/>
        </w:rPr>
        <w:t xml:space="preserve">הנאשם הורשע </w:t>
      </w:r>
      <w:r w:rsidRPr="00ED2EAA">
        <w:rPr>
          <w:rFonts w:hint="cs"/>
          <w:sz w:val="20"/>
          <w:rtl/>
          <w:lang w:eastAsia="he-IL"/>
        </w:rPr>
        <w:t xml:space="preserve">בהתאם להודאתו </w:t>
      </w:r>
      <w:r w:rsidRPr="00ED2EAA">
        <w:rPr>
          <w:sz w:val="20"/>
          <w:rtl/>
          <w:lang w:eastAsia="he-IL"/>
        </w:rPr>
        <w:t>ב</w:t>
      </w:r>
      <w:r>
        <w:rPr>
          <w:rFonts w:hint="cs"/>
          <w:sz w:val="20"/>
          <w:rtl/>
          <w:lang w:eastAsia="he-IL"/>
        </w:rPr>
        <w:t>-</w:t>
      </w:r>
      <w:r w:rsidRPr="00ED2EAA">
        <w:rPr>
          <w:b/>
          <w:bCs/>
          <w:sz w:val="20"/>
          <w:rtl/>
          <w:lang w:eastAsia="he-IL"/>
        </w:rPr>
        <w:t>החזקת סמים שלא לצריכה עצמית</w:t>
      </w:r>
      <w:r w:rsidRPr="00ED2EAA">
        <w:rPr>
          <w:sz w:val="20"/>
          <w:rtl/>
          <w:lang w:eastAsia="he-IL"/>
        </w:rPr>
        <w:t xml:space="preserve">, בהתאם </w:t>
      </w:r>
      <w:hyperlink r:id="rId21" w:history="1">
        <w:r w:rsidR="0048772B" w:rsidRPr="0048772B">
          <w:rPr>
            <w:rStyle w:val="Hyperlink"/>
            <w:sz w:val="20"/>
            <w:rtl/>
            <w:lang w:eastAsia="he-IL"/>
          </w:rPr>
          <w:t>לסעיפים 7(א)</w:t>
        </w:r>
      </w:hyperlink>
      <w:r w:rsidRPr="00ED2EAA">
        <w:rPr>
          <w:sz w:val="20"/>
          <w:rtl/>
          <w:lang w:eastAsia="he-IL"/>
        </w:rPr>
        <w:t xml:space="preserve"> ו-</w:t>
      </w:r>
      <w:hyperlink r:id="rId22" w:history="1">
        <w:r w:rsidR="0048772B" w:rsidRPr="0048772B">
          <w:rPr>
            <w:rStyle w:val="Hyperlink"/>
            <w:sz w:val="20"/>
            <w:rtl/>
            <w:lang w:eastAsia="he-IL"/>
          </w:rPr>
          <w:t>7(ג)</w:t>
        </w:r>
      </w:hyperlink>
      <w:r w:rsidRPr="00ED2EAA">
        <w:rPr>
          <w:sz w:val="20"/>
          <w:rtl/>
          <w:lang w:eastAsia="he-IL"/>
        </w:rPr>
        <w:t xml:space="preserve"> סיפא ל-</w:t>
      </w:r>
      <w:hyperlink r:id="rId23" w:history="1">
        <w:r w:rsidR="006B0CC5" w:rsidRPr="006B0CC5">
          <w:rPr>
            <w:rFonts w:ascii="Miriam" w:hAnsi="Miriam" w:cs="Miriam"/>
            <w:b/>
            <w:bCs/>
            <w:color w:val="0000FF"/>
            <w:sz w:val="18"/>
            <w:szCs w:val="22"/>
            <w:u w:val="single"/>
            <w:rtl/>
            <w:lang w:eastAsia="he-IL"/>
          </w:rPr>
          <w:t>פקודת הסמים המסוכנים</w:t>
        </w:r>
      </w:hyperlink>
      <w:r w:rsidRPr="00ED2EAA">
        <w:rPr>
          <w:sz w:val="20"/>
          <w:rtl/>
          <w:lang w:eastAsia="he-IL"/>
        </w:rPr>
        <w:t xml:space="preserve">, התשל"ג-1973 (להלן: </w:t>
      </w:r>
      <w:r w:rsidRPr="00ED2EAA">
        <w:rPr>
          <w:rFonts w:ascii="Miriam" w:hAnsi="Miriam" w:cs="Miriam"/>
          <w:b/>
          <w:bCs/>
          <w:sz w:val="18"/>
          <w:szCs w:val="22"/>
          <w:rtl/>
          <w:lang w:eastAsia="he-IL"/>
        </w:rPr>
        <w:t>פקודת הסמים</w:t>
      </w:r>
      <w:r w:rsidRPr="00ED2EAA">
        <w:rPr>
          <w:sz w:val="20"/>
          <w:rtl/>
          <w:lang w:eastAsia="he-IL"/>
        </w:rPr>
        <w:t xml:space="preserve">). </w:t>
      </w:r>
      <w:r w:rsidRPr="00ED2EAA">
        <w:rPr>
          <w:rFonts w:hint="cs"/>
          <w:sz w:val="20"/>
          <w:rtl/>
          <w:lang w:eastAsia="he-IL"/>
        </w:rPr>
        <w:t xml:space="preserve">על פי עובדות כתב האישום </w:t>
      </w:r>
      <w:r>
        <w:rPr>
          <w:rFonts w:hint="cs"/>
          <w:sz w:val="20"/>
          <w:rtl/>
          <w:lang w:eastAsia="he-IL"/>
        </w:rPr>
        <w:t xml:space="preserve">בהן הודה והורשע, </w:t>
      </w:r>
      <w:r>
        <w:rPr>
          <w:rFonts w:ascii="David" w:hAnsi="David" w:hint="cs"/>
          <w:rtl/>
        </w:rPr>
        <w:t xml:space="preserve">ב-8.2.18, סמוך ל-8:00, החזיק הנאשם שתי "פלטות" במשקל </w:t>
      </w:r>
      <w:r w:rsidRPr="00ED2EAA">
        <w:rPr>
          <w:rFonts w:ascii="David" w:hAnsi="David"/>
          <w:rtl/>
        </w:rPr>
        <w:t>1</w:t>
      </w:r>
      <w:r>
        <w:rPr>
          <w:rFonts w:ascii="David" w:hAnsi="David" w:hint="cs"/>
          <w:rtl/>
        </w:rPr>
        <w:t>9</w:t>
      </w:r>
      <w:r w:rsidRPr="00ED2EAA">
        <w:rPr>
          <w:rFonts w:ascii="David" w:hAnsi="David"/>
          <w:rtl/>
        </w:rPr>
        <w:t>1.</w:t>
      </w:r>
      <w:r>
        <w:rPr>
          <w:rFonts w:ascii="David" w:hAnsi="David" w:hint="cs"/>
          <w:rtl/>
        </w:rPr>
        <w:t>1</w:t>
      </w:r>
      <w:r w:rsidRPr="00ED2EAA">
        <w:rPr>
          <w:rFonts w:ascii="David" w:hAnsi="David"/>
          <w:rtl/>
        </w:rPr>
        <w:t xml:space="preserve"> גרם חשיש, שלא לצריכתו העצמית</w:t>
      </w:r>
      <w:r w:rsidRPr="00ED2EAA">
        <w:rPr>
          <w:sz w:val="20"/>
          <w:rtl/>
          <w:lang w:eastAsia="he-IL"/>
        </w:rPr>
        <w:t xml:space="preserve">. </w:t>
      </w:r>
    </w:p>
    <w:p w14:paraId="478B55F8" w14:textId="77777777" w:rsidR="00C20537" w:rsidRDefault="00C20537" w:rsidP="00C20537">
      <w:pPr>
        <w:widowControl w:val="0"/>
        <w:snapToGrid w:val="0"/>
        <w:jc w:val="both"/>
        <w:rPr>
          <w:rFonts w:ascii="David" w:hAnsi="David"/>
          <w:b/>
          <w:bCs/>
          <w:sz w:val="26"/>
          <w:szCs w:val="26"/>
          <w:rtl/>
        </w:rPr>
      </w:pPr>
    </w:p>
    <w:p w14:paraId="476DE190" w14:textId="77777777" w:rsidR="00C20537" w:rsidRDefault="00C20537" w:rsidP="00C20537">
      <w:pPr>
        <w:widowControl w:val="0"/>
        <w:snapToGrid w:val="0"/>
        <w:spacing w:line="360" w:lineRule="auto"/>
        <w:jc w:val="both"/>
        <w:rPr>
          <w:rFonts w:ascii="David" w:hAnsi="David"/>
          <w:b/>
          <w:bCs/>
          <w:noProof w:val="0"/>
          <w:sz w:val="26"/>
          <w:szCs w:val="26"/>
        </w:rPr>
      </w:pPr>
      <w:bookmarkStart w:id="7" w:name="ABSTRACT_END"/>
      <w:bookmarkEnd w:id="7"/>
      <w:r>
        <w:rPr>
          <w:rFonts w:ascii="David" w:hAnsi="David"/>
          <w:b/>
          <w:bCs/>
          <w:sz w:val="26"/>
          <w:szCs w:val="26"/>
          <w:rtl/>
        </w:rPr>
        <w:t>קביעת מתחם העונש ההולם</w:t>
      </w:r>
    </w:p>
    <w:p w14:paraId="5D731C50" w14:textId="77777777" w:rsidR="00C20537" w:rsidRDefault="00C20537" w:rsidP="00C20537">
      <w:pPr>
        <w:widowControl w:val="0"/>
        <w:numPr>
          <w:ilvl w:val="0"/>
          <w:numId w:val="1"/>
        </w:numPr>
        <w:snapToGrid w:val="0"/>
        <w:spacing w:line="360" w:lineRule="auto"/>
        <w:ind w:left="357" w:hanging="357"/>
        <w:jc w:val="both"/>
        <w:rPr>
          <w:sz w:val="20"/>
          <w:lang w:eastAsia="he-IL"/>
        </w:rPr>
      </w:pPr>
      <w:r>
        <w:rPr>
          <w:sz w:val="20"/>
          <w:rtl/>
          <w:lang w:eastAsia="he-IL"/>
        </w:rPr>
        <w:t xml:space="preserve">בקביעת מתחם העונש ההולם, בהתאם </w:t>
      </w:r>
      <w:hyperlink r:id="rId24" w:history="1">
        <w:r w:rsidR="0048772B" w:rsidRPr="0048772B">
          <w:rPr>
            <w:rStyle w:val="Hyperlink"/>
            <w:sz w:val="20"/>
            <w:rtl/>
            <w:lang w:eastAsia="he-IL"/>
          </w:rPr>
          <w:t>לסעיף 40ג(א)</w:t>
        </w:r>
      </w:hyperlink>
      <w:r>
        <w:rPr>
          <w:sz w:val="20"/>
          <w:rtl/>
          <w:lang w:eastAsia="he-IL"/>
        </w:rPr>
        <w:t xml:space="preserve"> ל-</w:t>
      </w:r>
      <w:hyperlink r:id="rId25" w:history="1">
        <w:r w:rsidR="006B0CC5" w:rsidRPr="006B0CC5">
          <w:rPr>
            <w:rFonts w:ascii="Miriam" w:hAnsi="Miriam" w:cs="Miriam"/>
            <w:b/>
            <w:bCs/>
            <w:color w:val="0000FF"/>
            <w:sz w:val="18"/>
            <w:szCs w:val="22"/>
            <w:u w:val="single"/>
            <w:rtl/>
            <w:lang w:eastAsia="he-IL"/>
          </w:rPr>
          <w:t>חוק העונשין</w:t>
        </w:r>
      </w:hyperlink>
      <w:r>
        <w:rPr>
          <w:sz w:val="20"/>
          <w:rtl/>
          <w:lang w:eastAsia="he-IL"/>
        </w:rPr>
        <w:t xml:space="preserve">, התשל"ז-1977 (להלן: </w:t>
      </w:r>
      <w:r>
        <w:rPr>
          <w:rFonts w:ascii="Miriam" w:hAnsi="Miriam" w:cs="Miriam"/>
          <w:b/>
          <w:bCs/>
          <w:sz w:val="18"/>
          <w:szCs w:val="22"/>
          <w:rtl/>
          <w:lang w:eastAsia="he-IL"/>
        </w:rPr>
        <w:t>חוק העונשין</w:t>
      </w:r>
      <w:r>
        <w:rPr>
          <w:sz w:val="20"/>
          <w:rtl/>
          <w:lang w:eastAsia="he-IL"/>
        </w:rPr>
        <w:t xml:space="preserve">), התחשבתי בקריטריונים הבאים: </w:t>
      </w:r>
    </w:p>
    <w:p w14:paraId="24122273" w14:textId="77777777" w:rsidR="00C20537" w:rsidRPr="008E275C" w:rsidRDefault="00C20537" w:rsidP="00C20537">
      <w:pPr>
        <w:widowControl w:val="0"/>
        <w:snapToGrid w:val="0"/>
        <w:ind w:left="357"/>
        <w:jc w:val="both"/>
        <w:rPr>
          <w:sz w:val="16"/>
          <w:szCs w:val="20"/>
          <w:lang w:eastAsia="he-IL"/>
        </w:rPr>
      </w:pPr>
    </w:p>
    <w:p w14:paraId="66C05324" w14:textId="77777777" w:rsidR="00C20537" w:rsidRDefault="00C20537" w:rsidP="00C20537">
      <w:pPr>
        <w:widowControl w:val="0"/>
        <w:numPr>
          <w:ilvl w:val="1"/>
          <w:numId w:val="1"/>
        </w:numPr>
        <w:snapToGrid w:val="0"/>
        <w:spacing w:line="360" w:lineRule="auto"/>
        <w:ind w:left="714" w:hanging="357"/>
        <w:jc w:val="both"/>
        <w:rPr>
          <w:sz w:val="20"/>
          <w:lang w:eastAsia="he-IL"/>
        </w:rPr>
      </w:pPr>
      <w:r>
        <w:rPr>
          <w:rFonts w:hint="cs"/>
          <w:rtl/>
        </w:rPr>
        <w:t xml:space="preserve">מקובלת עלי טענת ב"כ המאשימה, כי </w:t>
      </w:r>
      <w:r>
        <w:rPr>
          <w:b/>
          <w:bCs/>
          <w:rtl/>
        </w:rPr>
        <w:t xml:space="preserve">הערכים החברתיים שנפגעו מביצוע העבירה </w:t>
      </w:r>
      <w:r>
        <w:rPr>
          <w:rFonts w:ascii="David" w:hAnsi="David"/>
          <w:rtl/>
        </w:rPr>
        <w:t xml:space="preserve">הם </w:t>
      </w:r>
      <w:r>
        <w:rPr>
          <w:rFonts w:ascii="Arial" w:hAnsi="Arial"/>
          <w:sz w:val="20"/>
          <w:rtl/>
          <w:lang w:eastAsia="he-IL"/>
        </w:rPr>
        <w:t>הגנה על שלום הציבור ובריאותו מפני הנזקים הישירים והעקיפים שנגרמים עקב השימוש בסמים</w:t>
      </w:r>
      <w:r>
        <w:rPr>
          <w:rFonts w:ascii="David" w:hAnsi="David"/>
          <w:rtl/>
        </w:rPr>
        <w:t>, כמו גם השמירה על הסדר הציבורי</w:t>
      </w:r>
      <w:r>
        <w:rPr>
          <w:rFonts w:ascii="Arial" w:hAnsi="Arial"/>
          <w:sz w:val="20"/>
          <w:rtl/>
          <w:lang w:eastAsia="he-IL"/>
        </w:rPr>
        <w:t xml:space="preserve">. </w:t>
      </w:r>
      <w:r>
        <w:rPr>
          <w:rFonts w:ascii="David" w:hAnsi="David"/>
          <w:rtl/>
        </w:rPr>
        <w:t xml:space="preserve">עבירות הסמים מחוללות פשיעה, אגב הפצת הסם וצריכתו, כאשר </w:t>
      </w:r>
      <w:r>
        <w:rPr>
          <w:sz w:val="20"/>
          <w:rtl/>
          <w:lang w:eastAsia="he-IL"/>
        </w:rPr>
        <w:t>מעבר לנזקים הישירים הנגרמים למשתמשי הסם, נגע הסמים מלווה ואף יוצר עבירות נוספות, ובכלל זה עבירות רכוש,</w:t>
      </w:r>
      <w:r>
        <w:rPr>
          <w:b/>
          <w:bCs/>
          <w:sz w:val="20"/>
          <w:rtl/>
          <w:lang w:eastAsia="he-IL"/>
        </w:rPr>
        <w:t xml:space="preserve"> </w:t>
      </w:r>
      <w:r>
        <w:rPr>
          <w:sz w:val="20"/>
          <w:rtl/>
          <w:lang w:eastAsia="he-IL"/>
        </w:rPr>
        <w:t xml:space="preserve">בשל הצורך להשיג אותה מנת סם, ולעיתים אף עבירות אלימות, שמבוצעות כתוצאה מהשימוש בסמים, או במהלך ביצוע עבירות הרכוש. </w:t>
      </w:r>
    </w:p>
    <w:p w14:paraId="7B428336" w14:textId="77777777" w:rsidR="00C20537" w:rsidRPr="008E275C" w:rsidRDefault="00C20537" w:rsidP="00C20537">
      <w:pPr>
        <w:widowControl w:val="0"/>
        <w:snapToGrid w:val="0"/>
        <w:ind w:left="714"/>
        <w:jc w:val="both"/>
        <w:rPr>
          <w:sz w:val="16"/>
          <w:szCs w:val="20"/>
          <w:lang w:eastAsia="he-IL"/>
        </w:rPr>
      </w:pPr>
    </w:p>
    <w:p w14:paraId="41B0A77A" w14:textId="77777777" w:rsidR="00C20537" w:rsidRDefault="00C20537" w:rsidP="00C20537">
      <w:pPr>
        <w:widowControl w:val="0"/>
        <w:numPr>
          <w:ilvl w:val="1"/>
          <w:numId w:val="1"/>
        </w:numPr>
        <w:snapToGrid w:val="0"/>
        <w:spacing w:line="360" w:lineRule="auto"/>
        <w:ind w:left="714" w:hanging="357"/>
        <w:jc w:val="both"/>
        <w:rPr>
          <w:rFonts w:ascii="David" w:hAnsi="David"/>
        </w:rPr>
      </w:pPr>
      <w:r w:rsidRPr="001A6280">
        <w:rPr>
          <w:b/>
          <w:bCs/>
          <w:rtl/>
        </w:rPr>
        <w:t xml:space="preserve">מידת הפגיעה בערכים החברתיים </w:t>
      </w:r>
      <w:r w:rsidRPr="001A6280">
        <w:rPr>
          <w:rFonts w:ascii="David" w:hAnsi="David"/>
          <w:rtl/>
        </w:rPr>
        <w:t>לא מבוטלת</w:t>
      </w:r>
      <w:r w:rsidRPr="001A6280">
        <w:rPr>
          <w:rFonts w:ascii="David" w:hAnsi="David" w:hint="cs"/>
          <w:rtl/>
        </w:rPr>
        <w:t xml:space="preserve">. </w:t>
      </w:r>
      <w:r>
        <w:rPr>
          <w:rtl/>
        </w:rPr>
        <w:t>בית המשפט העליון עמד לא אחת על עצמת הפגיעה של עבירות הסמים בערכים המוגנים ועל תפקיד בית המשפט במאבק בנגע הסמים, כמו הצורך להכות בכל אחת ואחת מחוליות הפצת הסם, לרבות בהחזקתו שלא לצריכה עצמית</w:t>
      </w:r>
      <w:r>
        <w:rPr>
          <w:rFonts w:hint="cs"/>
          <w:rtl/>
        </w:rPr>
        <w:t xml:space="preserve"> [ראו </w:t>
      </w:r>
      <w:r>
        <w:rPr>
          <w:rtl/>
        </w:rPr>
        <w:t xml:space="preserve">סעיף 5 </w:t>
      </w:r>
      <w:r w:rsidRPr="001A6280">
        <w:rPr>
          <w:sz w:val="20"/>
          <w:rtl/>
          <w:lang w:eastAsia="he-IL"/>
        </w:rPr>
        <w:t>ב</w:t>
      </w:r>
      <w:hyperlink r:id="rId26" w:history="1">
        <w:r w:rsidR="006B0CC5" w:rsidRPr="006B0CC5">
          <w:rPr>
            <w:color w:val="0000FF"/>
            <w:sz w:val="20"/>
            <w:u w:val="single"/>
            <w:rtl/>
            <w:lang w:eastAsia="he-IL"/>
          </w:rPr>
          <w:t>ע"פ 3172/13</w:t>
        </w:r>
      </w:hyperlink>
      <w:r w:rsidRPr="001A6280">
        <w:rPr>
          <w:sz w:val="20"/>
          <w:rtl/>
          <w:lang w:eastAsia="he-IL"/>
        </w:rPr>
        <w:t xml:space="preserve"> </w:t>
      </w:r>
      <w:r w:rsidRPr="001A6280">
        <w:rPr>
          <w:rFonts w:cs="Miriam"/>
          <w:b/>
          <w:bCs/>
          <w:sz w:val="18"/>
          <w:szCs w:val="22"/>
          <w:rtl/>
          <w:lang w:eastAsia="he-IL"/>
        </w:rPr>
        <w:t>סואעד נ' מדינת ישראל</w:t>
      </w:r>
      <w:r w:rsidRPr="001A6280">
        <w:rPr>
          <w:sz w:val="18"/>
          <w:szCs w:val="22"/>
          <w:rtl/>
          <w:lang w:eastAsia="he-IL"/>
        </w:rPr>
        <w:t xml:space="preserve"> </w:t>
      </w:r>
      <w:r w:rsidRPr="001A6280">
        <w:rPr>
          <w:sz w:val="20"/>
          <w:rtl/>
          <w:lang w:eastAsia="he-IL"/>
        </w:rPr>
        <w:t>(7.1.14)</w:t>
      </w:r>
      <w:r>
        <w:rPr>
          <w:rFonts w:hint="cs"/>
          <w:sz w:val="20"/>
          <w:rtl/>
          <w:lang w:eastAsia="he-IL"/>
        </w:rPr>
        <w:t>]</w:t>
      </w:r>
      <w:r>
        <w:rPr>
          <w:rFonts w:ascii="David" w:hAnsi="David" w:hint="cs"/>
          <w:rtl/>
        </w:rPr>
        <w:t>.</w:t>
      </w:r>
    </w:p>
    <w:p w14:paraId="3115CCB6" w14:textId="77777777" w:rsidR="00C20537" w:rsidRPr="008E275C" w:rsidRDefault="00C20537" w:rsidP="00C20537">
      <w:pPr>
        <w:pStyle w:val="a9"/>
        <w:widowControl w:val="0"/>
        <w:rPr>
          <w:rFonts w:ascii="David" w:hAnsi="David"/>
          <w:sz w:val="20"/>
          <w:szCs w:val="20"/>
          <w:rtl/>
        </w:rPr>
      </w:pPr>
    </w:p>
    <w:p w14:paraId="2C5B3058" w14:textId="77777777" w:rsidR="00C20537" w:rsidRDefault="00C20537" w:rsidP="00C20537">
      <w:pPr>
        <w:widowControl w:val="0"/>
        <w:snapToGrid w:val="0"/>
        <w:spacing w:line="360" w:lineRule="auto"/>
        <w:ind w:left="714"/>
        <w:jc w:val="both"/>
        <w:rPr>
          <w:rFonts w:ascii="Arial" w:hAnsi="Arial"/>
          <w:sz w:val="20"/>
          <w:rtl/>
          <w:lang w:eastAsia="he-IL"/>
        </w:rPr>
      </w:pPr>
      <w:r>
        <w:rPr>
          <w:rFonts w:ascii="David" w:hAnsi="David" w:hint="cs"/>
          <w:rtl/>
        </w:rPr>
        <w:t xml:space="preserve">מחד גיסא, </w:t>
      </w:r>
      <w:r>
        <w:rPr>
          <w:rFonts w:ascii="David" w:hAnsi="David"/>
          <w:rtl/>
        </w:rPr>
        <w:t>לא מדובר בפגיעה מהחמורות, בהתחשב בכמות הסם וסוגו</w:t>
      </w:r>
      <w:r>
        <w:rPr>
          <w:rFonts w:ascii="David" w:hAnsi="David" w:hint="cs"/>
          <w:rtl/>
        </w:rPr>
        <w:t xml:space="preserve">, שכן חשיש </w:t>
      </w:r>
      <w:r>
        <w:rPr>
          <w:rFonts w:ascii="David" w:hAnsi="David"/>
          <w:rtl/>
        </w:rPr>
        <w:t>לא נמנה על הסמים הקטלניים שב-</w:t>
      </w:r>
      <w:r>
        <w:rPr>
          <w:rFonts w:ascii="David" w:hAnsi="David" w:cs="Miriam"/>
          <w:b/>
          <w:bCs/>
          <w:sz w:val="22"/>
          <w:szCs w:val="22"/>
          <w:rtl/>
        </w:rPr>
        <w:t>פקודת הסמים</w:t>
      </w:r>
      <w:r>
        <w:rPr>
          <w:rFonts w:ascii="David" w:hAnsi="David" w:hint="cs"/>
          <w:rtl/>
        </w:rPr>
        <w:t xml:space="preserve">, </w:t>
      </w:r>
      <w:r>
        <w:rPr>
          <w:rFonts w:hint="cs"/>
          <w:sz w:val="20"/>
          <w:rtl/>
          <w:lang w:eastAsia="he-IL"/>
        </w:rPr>
        <w:t>כפי ש</w:t>
      </w:r>
      <w:r>
        <w:rPr>
          <w:rtl/>
        </w:rPr>
        <w:t>קבע</w:t>
      </w:r>
      <w:r>
        <w:rPr>
          <w:rFonts w:hint="cs"/>
          <w:rtl/>
        </w:rPr>
        <w:t>ה</w:t>
      </w:r>
      <w:r>
        <w:rPr>
          <w:rtl/>
        </w:rPr>
        <w:t xml:space="preserve"> כב' הש' ארבל </w:t>
      </w:r>
      <w:r>
        <w:rPr>
          <w:rFonts w:hint="cs"/>
          <w:rtl/>
        </w:rPr>
        <w:t>ב-</w:t>
      </w:r>
      <w:hyperlink r:id="rId27" w:history="1">
        <w:r w:rsidR="006B0CC5" w:rsidRPr="006B0CC5">
          <w:rPr>
            <w:color w:val="0000FF"/>
            <w:u w:val="single"/>
            <w:rtl/>
          </w:rPr>
          <w:t>ע"פ 2000/06</w:t>
        </w:r>
      </w:hyperlink>
      <w:r>
        <w:rPr>
          <w:rtl/>
        </w:rPr>
        <w:t xml:space="preserve"> </w:t>
      </w:r>
      <w:r>
        <w:rPr>
          <w:rFonts w:cs="Miriam"/>
          <w:b/>
          <w:bCs/>
          <w:sz w:val="18"/>
          <w:szCs w:val="22"/>
          <w:rtl/>
        </w:rPr>
        <w:t>מדינת ישראל נ' ויצמן ואח'</w:t>
      </w:r>
      <w:r>
        <w:rPr>
          <w:rtl/>
        </w:rPr>
        <w:t xml:space="preserve"> (20.7.06) (להלן: </w:t>
      </w:r>
      <w:r>
        <w:rPr>
          <w:rFonts w:cs="Miriam"/>
          <w:b/>
          <w:bCs/>
          <w:sz w:val="18"/>
          <w:szCs w:val="22"/>
          <w:rtl/>
        </w:rPr>
        <w:t>פס"ד ויצמן</w:t>
      </w:r>
      <w:r>
        <w:rPr>
          <w:rFonts w:hint="cs"/>
          <w:rtl/>
        </w:rPr>
        <w:t>)</w:t>
      </w:r>
      <w:r>
        <w:rPr>
          <w:rtl/>
        </w:rPr>
        <w:t xml:space="preserve"> </w:t>
      </w:r>
      <w:r>
        <w:rPr>
          <w:rFonts w:ascii="Arial" w:hAnsi="Arial" w:hint="cs"/>
          <w:sz w:val="20"/>
          <w:rtl/>
          <w:lang w:eastAsia="he-IL"/>
        </w:rPr>
        <w:t xml:space="preserve">ביחס לקנבוס </w:t>
      </w:r>
      <w:r>
        <w:rPr>
          <w:rFonts w:ascii="Arial" w:hAnsi="Arial"/>
          <w:sz w:val="20"/>
          <w:rtl/>
          <w:lang w:eastAsia="he-IL"/>
        </w:rPr>
        <w:t>"</w:t>
      </w:r>
      <w:r>
        <w:rPr>
          <w:rFonts w:ascii="Arial" w:hAnsi="Arial"/>
          <w:b/>
          <w:bCs/>
          <w:sz w:val="20"/>
          <w:rtl/>
          <w:lang w:eastAsia="he-IL"/>
        </w:rPr>
        <w:t xml:space="preserve">אכן, הסם לגביו נעברו העבירות בהן הורשעו המשיבים נחשב סם </w:t>
      </w:r>
      <w:r>
        <w:rPr>
          <w:rFonts w:ascii="Arial" w:hAnsi="Arial"/>
          <w:sz w:val="20"/>
          <w:rtl/>
          <w:lang w:eastAsia="he-IL"/>
        </w:rPr>
        <w:t>'</w:t>
      </w:r>
      <w:r>
        <w:rPr>
          <w:rFonts w:ascii="Arial" w:hAnsi="Arial"/>
          <w:b/>
          <w:bCs/>
          <w:sz w:val="20"/>
          <w:rtl/>
          <w:lang w:eastAsia="he-IL"/>
        </w:rPr>
        <w:t>קל</w:t>
      </w:r>
      <w:r>
        <w:rPr>
          <w:rFonts w:ascii="Arial" w:hAnsi="Arial"/>
          <w:sz w:val="20"/>
          <w:rtl/>
          <w:lang w:eastAsia="he-IL"/>
        </w:rPr>
        <w:t>'.</w:t>
      </w:r>
      <w:r>
        <w:rPr>
          <w:rFonts w:ascii="Arial" w:hAnsi="Arial" w:hint="cs"/>
          <w:sz w:val="20"/>
          <w:rtl/>
          <w:lang w:eastAsia="he-IL"/>
        </w:rPr>
        <w:t xml:space="preserve">". </w:t>
      </w:r>
    </w:p>
    <w:p w14:paraId="415A6BB9" w14:textId="77777777" w:rsidR="00C20537" w:rsidRPr="008E275C" w:rsidRDefault="00C20537" w:rsidP="00C20537">
      <w:pPr>
        <w:widowControl w:val="0"/>
        <w:snapToGrid w:val="0"/>
        <w:ind w:left="714"/>
        <w:jc w:val="both"/>
        <w:rPr>
          <w:rFonts w:ascii="Arial" w:hAnsi="Arial"/>
          <w:sz w:val="16"/>
          <w:szCs w:val="20"/>
          <w:rtl/>
          <w:lang w:eastAsia="he-IL"/>
        </w:rPr>
      </w:pPr>
    </w:p>
    <w:p w14:paraId="44E3642F" w14:textId="77777777" w:rsidR="00C20537" w:rsidRDefault="00C20537" w:rsidP="00C20537">
      <w:pPr>
        <w:widowControl w:val="0"/>
        <w:snapToGrid w:val="0"/>
        <w:spacing w:line="360" w:lineRule="auto"/>
        <w:ind w:left="714"/>
        <w:jc w:val="both"/>
        <w:rPr>
          <w:rFonts w:ascii="David" w:hAnsi="David"/>
          <w:rtl/>
        </w:rPr>
      </w:pPr>
      <w:r>
        <w:rPr>
          <w:rFonts w:ascii="Arial" w:hAnsi="Arial" w:hint="cs"/>
          <w:sz w:val="20"/>
          <w:rtl/>
          <w:lang w:eastAsia="he-IL"/>
        </w:rPr>
        <w:t>מאידך גיסא, נפסק שאין להקל ראש גם בפגיעתם של סמים הנחשבים כ-"</w:t>
      </w:r>
      <w:r w:rsidRPr="00D87C87">
        <w:rPr>
          <w:rFonts w:ascii="Arial" w:hAnsi="Arial" w:hint="cs"/>
          <w:b/>
          <w:bCs/>
          <w:sz w:val="20"/>
          <w:rtl/>
          <w:lang w:eastAsia="he-IL"/>
        </w:rPr>
        <w:t>סמים</w:t>
      </w:r>
      <w:r>
        <w:rPr>
          <w:rFonts w:ascii="Arial" w:hAnsi="Arial" w:hint="cs"/>
          <w:sz w:val="20"/>
          <w:rtl/>
          <w:lang w:eastAsia="he-IL"/>
        </w:rPr>
        <w:t xml:space="preserve"> </w:t>
      </w:r>
      <w:r w:rsidRPr="00D87C87">
        <w:rPr>
          <w:rFonts w:ascii="Arial" w:hAnsi="Arial" w:hint="cs"/>
          <w:b/>
          <w:bCs/>
          <w:sz w:val="20"/>
          <w:rtl/>
          <w:lang w:eastAsia="he-IL"/>
        </w:rPr>
        <w:t>קלים</w:t>
      </w:r>
      <w:r>
        <w:rPr>
          <w:rFonts w:ascii="Arial" w:hAnsi="Arial" w:hint="cs"/>
          <w:sz w:val="20"/>
          <w:rtl/>
          <w:lang w:eastAsia="he-IL"/>
        </w:rPr>
        <w:t xml:space="preserve">". כך </w:t>
      </w:r>
      <w:r>
        <w:rPr>
          <w:rFonts w:ascii="David" w:hAnsi="David" w:hint="cs"/>
          <w:rtl/>
        </w:rPr>
        <w:t>ב</w:t>
      </w:r>
      <w:hyperlink r:id="rId28" w:history="1">
        <w:r w:rsidR="006B0CC5" w:rsidRPr="006B0CC5">
          <w:rPr>
            <w:rFonts w:ascii="David" w:hAnsi="David"/>
            <w:color w:val="0000FF"/>
            <w:u w:val="single"/>
            <w:rtl/>
          </w:rPr>
          <w:t>עפ"ג (מחוזי-ב"ש) 69749-03-22</w:t>
        </w:r>
      </w:hyperlink>
      <w:r>
        <w:rPr>
          <w:rFonts w:ascii="David" w:hAnsi="David" w:hint="cs"/>
          <w:rtl/>
        </w:rPr>
        <w:t xml:space="preserve"> </w:t>
      </w:r>
      <w:r w:rsidRPr="003F04F2">
        <w:rPr>
          <w:rFonts w:ascii="Miriam" w:hAnsi="Miriam" w:cs="Miriam" w:hint="cs"/>
          <w:b/>
          <w:bCs/>
          <w:sz w:val="18"/>
          <w:szCs w:val="22"/>
          <w:rtl/>
          <w:lang w:eastAsia="he-IL"/>
        </w:rPr>
        <w:t xml:space="preserve">רובינוב נ' מדינת ישראל </w:t>
      </w:r>
      <w:r>
        <w:rPr>
          <w:rFonts w:ascii="David" w:hAnsi="David" w:hint="cs"/>
          <w:rtl/>
        </w:rPr>
        <w:t xml:space="preserve">(07.09.22) נקבע ביחס לחשיש </w:t>
      </w:r>
      <w:r>
        <w:rPr>
          <w:rFonts w:ascii="David" w:hAnsi="David"/>
          <w:rtl/>
        </w:rPr>
        <w:t>–</w:t>
      </w:r>
      <w:r>
        <w:rPr>
          <w:rFonts w:ascii="David" w:hAnsi="David" w:hint="cs"/>
          <w:rtl/>
        </w:rPr>
        <w:t xml:space="preserve"> </w:t>
      </w:r>
    </w:p>
    <w:p w14:paraId="62873FF4" w14:textId="77777777" w:rsidR="00C20537" w:rsidRDefault="00C20537" w:rsidP="00C20537">
      <w:pPr>
        <w:widowControl w:val="0"/>
        <w:snapToGrid w:val="0"/>
        <w:ind w:left="1440" w:right="1560"/>
        <w:jc w:val="both"/>
        <w:rPr>
          <w:rFonts w:ascii="David" w:hAnsi="David"/>
          <w:rtl/>
        </w:rPr>
      </w:pPr>
      <w:r>
        <w:rPr>
          <w:rFonts w:ascii="David" w:hAnsi="David" w:hint="cs"/>
          <w:rtl/>
        </w:rPr>
        <w:t>"</w:t>
      </w:r>
      <w:r w:rsidRPr="003F04F2">
        <w:rPr>
          <w:rFonts w:ascii="David" w:hAnsi="David" w:hint="cs"/>
          <w:b/>
          <w:bCs/>
          <w:rtl/>
        </w:rPr>
        <w:t>בשורת פסקי דין נפסק כי הלכה בדבר החומרה ובדבר הענישה המחמירה והמרתיעה אשר יש להטיל בעבירות סמים, תקפה, שרירה וקיימת גם ביחס לסם מסוכן מסוג זה</w:t>
      </w:r>
      <w:r w:rsidRPr="003F04F2">
        <w:rPr>
          <w:rFonts w:ascii="David" w:hAnsi="David" w:hint="cs"/>
          <w:rtl/>
        </w:rPr>
        <w:t>"</w:t>
      </w:r>
      <w:r>
        <w:rPr>
          <w:rFonts w:ascii="David" w:hAnsi="David" w:hint="cs"/>
          <w:rtl/>
        </w:rPr>
        <w:t xml:space="preserve"> </w:t>
      </w:r>
    </w:p>
    <w:p w14:paraId="79AD6E85" w14:textId="77777777" w:rsidR="00C20537" w:rsidRDefault="00C20537" w:rsidP="00C20537">
      <w:pPr>
        <w:widowControl w:val="0"/>
        <w:spacing w:line="360" w:lineRule="auto"/>
        <w:ind w:left="720"/>
        <w:jc w:val="both"/>
        <w:rPr>
          <w:rtl/>
        </w:rPr>
      </w:pPr>
    </w:p>
    <w:p w14:paraId="0D75E053" w14:textId="77777777" w:rsidR="00C20537" w:rsidRDefault="00C20537" w:rsidP="00C20537">
      <w:pPr>
        <w:widowControl w:val="0"/>
        <w:numPr>
          <w:ilvl w:val="1"/>
          <w:numId w:val="1"/>
        </w:numPr>
        <w:snapToGrid w:val="0"/>
        <w:spacing w:line="360" w:lineRule="auto"/>
        <w:ind w:left="714" w:hanging="357"/>
        <w:jc w:val="both"/>
        <w:rPr>
          <w:sz w:val="20"/>
          <w:lang w:eastAsia="he-IL"/>
        </w:rPr>
      </w:pPr>
      <w:r>
        <w:rPr>
          <w:sz w:val="20"/>
          <w:rtl/>
          <w:lang w:eastAsia="he-IL"/>
        </w:rPr>
        <w:t xml:space="preserve">בחינת </w:t>
      </w:r>
      <w:r>
        <w:rPr>
          <w:b/>
          <w:bCs/>
          <w:sz w:val="20"/>
          <w:rtl/>
          <w:lang w:eastAsia="he-IL"/>
        </w:rPr>
        <w:t>מדיניות הענישה הנהוגה בפסיקה</w:t>
      </w:r>
      <w:r>
        <w:rPr>
          <w:sz w:val="20"/>
          <w:rtl/>
          <w:lang w:eastAsia="he-IL"/>
        </w:rPr>
        <w:t xml:space="preserve"> </w:t>
      </w:r>
      <w:r>
        <w:rPr>
          <w:rFonts w:ascii="David" w:hAnsi="David"/>
          <w:rtl/>
        </w:rPr>
        <w:t xml:space="preserve">מלמדת על קשת רחבה של ענישה, החל ממאסר מותנה וכלה במאסר מאחורי סורג ובריח, לתקופות שאורכן תלוי בסוג הסם, כמותו ונסיבות החזקתו. </w:t>
      </w:r>
      <w:r>
        <w:rPr>
          <w:sz w:val="20"/>
          <w:rtl/>
          <w:lang w:eastAsia="he-IL"/>
        </w:rPr>
        <w:t xml:space="preserve">כל מקרה </w:t>
      </w:r>
      <w:r>
        <w:rPr>
          <w:rFonts w:hint="cs"/>
          <w:sz w:val="20"/>
          <w:rtl/>
          <w:lang w:eastAsia="he-IL"/>
        </w:rPr>
        <w:t>ל</w:t>
      </w:r>
      <w:r>
        <w:rPr>
          <w:sz w:val="20"/>
          <w:rtl/>
          <w:lang w:eastAsia="he-IL"/>
        </w:rPr>
        <w:t xml:space="preserve">נסיבותיו, </w:t>
      </w:r>
      <w:r>
        <w:rPr>
          <w:rFonts w:ascii="David" w:hAnsi="David"/>
          <w:rtl/>
        </w:rPr>
        <w:t>ויש לאבחן המקרים השונים למקרה שלפניי, אם כי יש גזרי-דין מהם ניתן לגזור אמת-מידה עונשית הולמת למקרה שלפני</w:t>
      </w:r>
      <w:r>
        <w:rPr>
          <w:sz w:val="20"/>
          <w:rtl/>
          <w:lang w:eastAsia="he-IL"/>
        </w:rPr>
        <w:t xml:space="preserve">י – </w:t>
      </w:r>
    </w:p>
    <w:p w14:paraId="7E2B9B4D" w14:textId="77777777" w:rsidR="00C20537" w:rsidRPr="008E275C" w:rsidRDefault="00C20537" w:rsidP="00C20537">
      <w:pPr>
        <w:widowControl w:val="0"/>
        <w:snapToGrid w:val="0"/>
        <w:ind w:left="714"/>
        <w:jc w:val="both"/>
        <w:rPr>
          <w:sz w:val="16"/>
          <w:szCs w:val="20"/>
          <w:lang w:eastAsia="he-IL"/>
        </w:rPr>
      </w:pPr>
    </w:p>
    <w:p w14:paraId="69F1E04A" w14:textId="77777777" w:rsidR="00C20537" w:rsidRDefault="006B0CC5" w:rsidP="00C20537">
      <w:pPr>
        <w:widowControl w:val="0"/>
        <w:numPr>
          <w:ilvl w:val="2"/>
          <w:numId w:val="1"/>
        </w:numPr>
        <w:snapToGrid w:val="0"/>
        <w:spacing w:line="360" w:lineRule="auto"/>
        <w:ind w:left="1275" w:hanging="555"/>
        <w:jc w:val="both"/>
        <w:rPr>
          <w:sz w:val="20"/>
          <w:lang w:eastAsia="he-IL"/>
        </w:rPr>
      </w:pPr>
      <w:hyperlink r:id="rId29" w:history="1">
        <w:r w:rsidRPr="006B0CC5">
          <w:rPr>
            <w:color w:val="0000FF"/>
            <w:sz w:val="20"/>
            <w:u w:val="single"/>
            <w:rtl/>
            <w:lang w:eastAsia="he-IL"/>
          </w:rPr>
          <w:t>רע"פ 322/15</w:t>
        </w:r>
      </w:hyperlink>
      <w:r w:rsidR="00C20537" w:rsidRPr="005669E5">
        <w:rPr>
          <w:sz w:val="20"/>
          <w:rtl/>
          <w:lang w:eastAsia="he-IL"/>
        </w:rPr>
        <w:t xml:space="preserve"> </w:t>
      </w:r>
      <w:r w:rsidR="00C20537" w:rsidRPr="005669E5">
        <w:rPr>
          <w:rFonts w:ascii="Miriam" w:hAnsi="Miriam" w:cs="Miriam"/>
          <w:b/>
          <w:bCs/>
          <w:sz w:val="18"/>
          <w:szCs w:val="22"/>
          <w:rtl/>
          <w:lang w:eastAsia="he-IL"/>
        </w:rPr>
        <w:t>ג'אנח נ' מדינת ישראל</w:t>
      </w:r>
      <w:r w:rsidR="00C20537" w:rsidRPr="005669E5">
        <w:rPr>
          <w:sz w:val="20"/>
          <w:rtl/>
          <w:lang w:eastAsia="he-IL"/>
        </w:rPr>
        <w:t xml:space="preserve"> (22.1.15) –</w:t>
      </w:r>
      <w:r w:rsidR="00C20537" w:rsidRPr="005669E5">
        <w:rPr>
          <w:rFonts w:hint="cs"/>
          <w:sz w:val="20"/>
          <w:rtl/>
          <w:lang w:eastAsia="he-IL"/>
        </w:rPr>
        <w:t xml:space="preserve"> </w:t>
      </w:r>
      <w:r w:rsidR="00C20537" w:rsidRPr="005669E5">
        <w:rPr>
          <w:sz w:val="20"/>
          <w:rtl/>
          <w:lang w:eastAsia="he-IL"/>
        </w:rPr>
        <w:t>נדחו ערעור ובקשת רשות ערעור של מי שבעניינו נקבע מתחם 7–18 חודשים בגין החזקת כ-400 גרם חשיש בביתו, מחולק למספר פלטות (נקבע גם מתחם 6-12 חודשים בהחזקת סכין ובסך הכל מתחם 9-24</w:t>
      </w:r>
      <w:r w:rsidR="00C20537">
        <w:rPr>
          <w:sz w:val="20"/>
          <w:rtl/>
          <w:lang w:eastAsia="he-IL"/>
        </w:rPr>
        <w:t xml:space="preserve"> חודשים בגין שני התיקים שאוחדו)</w:t>
      </w:r>
      <w:r w:rsidR="00C20537">
        <w:rPr>
          <w:rFonts w:hint="cs"/>
          <w:sz w:val="20"/>
          <w:rtl/>
          <w:lang w:eastAsia="he-IL"/>
        </w:rPr>
        <w:t>.</w:t>
      </w:r>
    </w:p>
    <w:p w14:paraId="7F3678E1" w14:textId="77777777" w:rsidR="00C20537" w:rsidRPr="008E275C" w:rsidRDefault="00C20537" w:rsidP="00C20537">
      <w:pPr>
        <w:widowControl w:val="0"/>
        <w:snapToGrid w:val="0"/>
        <w:ind w:left="1275"/>
        <w:jc w:val="both"/>
        <w:rPr>
          <w:sz w:val="16"/>
          <w:szCs w:val="20"/>
          <w:lang w:eastAsia="he-IL"/>
        </w:rPr>
      </w:pPr>
    </w:p>
    <w:p w14:paraId="67C8558F" w14:textId="77777777" w:rsidR="00C20537" w:rsidRPr="005669E5" w:rsidRDefault="006B0CC5" w:rsidP="00C20537">
      <w:pPr>
        <w:widowControl w:val="0"/>
        <w:numPr>
          <w:ilvl w:val="2"/>
          <w:numId w:val="1"/>
        </w:numPr>
        <w:snapToGrid w:val="0"/>
        <w:spacing w:line="360" w:lineRule="auto"/>
        <w:ind w:left="1275" w:hanging="555"/>
        <w:jc w:val="both"/>
        <w:rPr>
          <w:sz w:val="20"/>
          <w:lang w:eastAsia="he-IL"/>
        </w:rPr>
      </w:pPr>
      <w:hyperlink r:id="rId30" w:history="1">
        <w:r w:rsidRPr="006B0CC5">
          <w:rPr>
            <w:color w:val="0000FF"/>
            <w:sz w:val="20"/>
            <w:u w:val="single"/>
            <w:rtl/>
            <w:lang w:eastAsia="he-IL"/>
          </w:rPr>
          <w:t>רע"פ 1271/13</w:t>
        </w:r>
      </w:hyperlink>
      <w:r w:rsidR="00C20537">
        <w:rPr>
          <w:rFonts w:hint="cs"/>
          <w:sz w:val="20"/>
          <w:rtl/>
          <w:lang w:eastAsia="he-IL"/>
        </w:rPr>
        <w:t xml:space="preserve"> </w:t>
      </w:r>
      <w:r w:rsidR="00C20537" w:rsidRPr="005669E5">
        <w:rPr>
          <w:rFonts w:ascii="Miriam" w:hAnsi="Miriam" w:cs="Miriam" w:hint="cs"/>
          <w:b/>
          <w:bCs/>
          <w:sz w:val="18"/>
          <w:szCs w:val="22"/>
          <w:rtl/>
          <w:lang w:eastAsia="he-IL"/>
        </w:rPr>
        <w:t>סויסה</w:t>
      </w:r>
      <w:r w:rsidR="00C20537">
        <w:rPr>
          <w:rFonts w:ascii="Miriam" w:hAnsi="Miriam" w:cs="Miriam" w:hint="cs"/>
          <w:b/>
          <w:bCs/>
          <w:sz w:val="18"/>
          <w:szCs w:val="22"/>
          <w:rtl/>
          <w:lang w:eastAsia="he-IL"/>
        </w:rPr>
        <w:t xml:space="preserve"> נ' מדינת ישראל</w:t>
      </w:r>
      <w:r w:rsidR="00C20537">
        <w:rPr>
          <w:rFonts w:hint="cs"/>
          <w:sz w:val="20"/>
          <w:rtl/>
          <w:lang w:eastAsia="he-IL"/>
        </w:rPr>
        <w:t xml:space="preserve"> (7.3.13), אליו הפנתה ב"כ המאשימה </w:t>
      </w:r>
      <w:r w:rsidR="00C20537">
        <w:rPr>
          <w:sz w:val="20"/>
          <w:rtl/>
          <w:lang w:eastAsia="he-IL"/>
        </w:rPr>
        <w:t>–</w:t>
      </w:r>
      <w:r w:rsidR="00C20537">
        <w:rPr>
          <w:rFonts w:hint="cs"/>
          <w:sz w:val="20"/>
          <w:rtl/>
          <w:lang w:eastAsia="he-IL"/>
        </w:rPr>
        <w:t xml:space="preserve"> נדחתה בקשת רשות ערעור על פסק דין במסגרתו התקבל ערעור המדינה ועונשו הוחמר ל-10 חודשי מאסר בפועל (שכללו הפעלת מאסר מותנה חודשיים במצטבר) וכן פסילת רישיון נהיגה לשנה, כשיתר רכיבי גזר הדין נותרו על כנם. להשלמת התמונה אציין כי בביהמ"ש השלום הושתו 6 חודשי מאסר לריצוי בעבודות שירות (שכללו הפעלת המאסר המותנה כולו בחופף). עניינו של תיק זה שונה מענייננו, שכן מדובר במי שהורשע במכירת פלטת חשיש במשקל של כ-100 גרם ו-2 אצבעות חשיש במשקל כ-20 גרם. הסמים נמכרו לשוטר סמוי אשר פעל כסוכן. במסגרת גזר הדין נדחתה טענה שמדובר בסוכן מדיח, אולם נשקלו לקולא עברו הלא מכביד, הודאתו, כמות הסם, מעצר הבית בו שהה, התרשמות שירות המבחן והיותו צעיר שבונה את חייו. </w:t>
      </w:r>
    </w:p>
    <w:p w14:paraId="0B8738AD" w14:textId="77777777" w:rsidR="00C20537" w:rsidRPr="008E275C" w:rsidRDefault="00C20537" w:rsidP="00C20537">
      <w:pPr>
        <w:widowControl w:val="0"/>
        <w:snapToGrid w:val="0"/>
        <w:ind w:left="1275"/>
        <w:jc w:val="both"/>
        <w:rPr>
          <w:rFonts w:ascii="David" w:hAnsi="David"/>
          <w:sz w:val="20"/>
          <w:lang w:eastAsia="he-IL"/>
        </w:rPr>
      </w:pPr>
    </w:p>
    <w:p w14:paraId="5D9603A3" w14:textId="77777777" w:rsidR="00C20537" w:rsidRPr="008C7057" w:rsidRDefault="006B0CC5" w:rsidP="00C20537">
      <w:pPr>
        <w:widowControl w:val="0"/>
        <w:numPr>
          <w:ilvl w:val="2"/>
          <w:numId w:val="1"/>
        </w:numPr>
        <w:snapToGrid w:val="0"/>
        <w:spacing w:line="360" w:lineRule="auto"/>
        <w:ind w:left="1275" w:hanging="555"/>
        <w:jc w:val="both"/>
        <w:rPr>
          <w:sz w:val="20"/>
          <w:lang w:eastAsia="he-IL"/>
        </w:rPr>
      </w:pPr>
      <w:hyperlink r:id="rId31" w:history="1">
        <w:r w:rsidRPr="006B0CC5">
          <w:rPr>
            <w:color w:val="0000FF"/>
            <w:sz w:val="20"/>
            <w:u w:val="single"/>
            <w:rtl/>
            <w:lang w:eastAsia="he-IL"/>
          </w:rPr>
          <w:t>עפ"ג (מחוזי-מרכז) 25018-07-22</w:t>
        </w:r>
      </w:hyperlink>
      <w:r w:rsidR="00C20537" w:rsidRPr="008C7057">
        <w:rPr>
          <w:rFonts w:hint="cs"/>
          <w:sz w:val="20"/>
          <w:rtl/>
          <w:lang w:eastAsia="he-IL"/>
        </w:rPr>
        <w:t xml:space="preserve"> </w:t>
      </w:r>
      <w:r w:rsidR="00C20537" w:rsidRPr="008C7057">
        <w:rPr>
          <w:rFonts w:ascii="Miriam" w:hAnsi="Miriam" w:cs="Miriam" w:hint="cs"/>
          <w:b/>
          <w:bCs/>
          <w:sz w:val="18"/>
          <w:szCs w:val="22"/>
          <w:rtl/>
          <w:lang w:eastAsia="he-IL"/>
        </w:rPr>
        <w:t xml:space="preserve">מדינת ישראל נ' בלקר </w:t>
      </w:r>
      <w:r w:rsidR="00C20537" w:rsidRPr="008C7057">
        <w:rPr>
          <w:rFonts w:hint="cs"/>
          <w:sz w:val="20"/>
          <w:rtl/>
          <w:lang w:eastAsia="he-IL"/>
        </w:rPr>
        <w:t>(5.2.23) התקבל ערעור על גזר הדין ב-</w:t>
      </w:r>
      <w:hyperlink r:id="rId32" w:history="1">
        <w:r w:rsidRPr="006B0CC5">
          <w:rPr>
            <w:color w:val="0000FF"/>
            <w:sz w:val="20"/>
            <w:u w:val="single"/>
            <w:rtl/>
            <w:lang w:eastAsia="he-IL"/>
          </w:rPr>
          <w:t>ת"פ (שלום-רחובות) 43978-02-21</w:t>
        </w:r>
      </w:hyperlink>
      <w:r w:rsidR="00C20537" w:rsidRPr="008C7057">
        <w:rPr>
          <w:rFonts w:hint="cs"/>
          <w:sz w:val="20"/>
          <w:rtl/>
          <w:lang w:eastAsia="he-IL"/>
        </w:rPr>
        <w:t xml:space="preserve"> </w:t>
      </w:r>
      <w:r w:rsidR="00C20537" w:rsidRPr="008C7057">
        <w:rPr>
          <w:rFonts w:ascii="Miriam" w:hAnsi="Miriam" w:cs="Miriam" w:hint="cs"/>
          <w:b/>
          <w:bCs/>
          <w:sz w:val="22"/>
          <w:szCs w:val="22"/>
          <w:rtl/>
          <w:lang w:eastAsia="he-IL"/>
        </w:rPr>
        <w:t>מדינת ישראל נ' בלקר</w:t>
      </w:r>
      <w:r w:rsidR="00C20537" w:rsidRPr="008C7057">
        <w:rPr>
          <w:rFonts w:hint="cs"/>
          <w:sz w:val="20"/>
          <w:rtl/>
          <w:lang w:eastAsia="he-IL"/>
        </w:rPr>
        <w:t xml:space="preserve"> (01.06.22), אליו הפנה ב"כ הנאשם </w:t>
      </w:r>
      <w:r w:rsidR="00C20537" w:rsidRPr="008C7057">
        <w:rPr>
          <w:sz w:val="20"/>
          <w:rtl/>
          <w:lang w:eastAsia="he-IL"/>
        </w:rPr>
        <w:t>–</w:t>
      </w:r>
      <w:r w:rsidR="00C20537" w:rsidRPr="008C7057">
        <w:rPr>
          <w:rFonts w:hint="cs"/>
          <w:sz w:val="20"/>
          <w:rtl/>
          <w:lang w:eastAsia="he-IL"/>
        </w:rPr>
        <w:t xml:space="preserve"> בגין החזקת 653.10 גרם קנאביס ו-2 משקלים דיגיטליים נקבע כי ראוי שהמתחם יתחיל במספר חודשי מאסר אשר ניתן לרצותם בעבודות שירות </w:t>
      </w:r>
      <w:r w:rsidR="00C20537" w:rsidRPr="008C7057">
        <w:rPr>
          <w:rFonts w:hint="cs"/>
          <w:sz w:val="20"/>
          <w:rtl/>
          <w:lang w:eastAsia="he-IL"/>
        </w:rPr>
        <w:lastRenderedPageBreak/>
        <w:t>(חלף מתחם שתחילתו במאסר מותנה עד שנת מאסר בפועל). על צעיר, נשוי ואב ל-4 ילדים קטינים, נעדר עבר פלילי, שהודה בהזדמנות הראשונה בכתב האישום ללא הסדר טיעון, האירוע הוא חריג לאורחות חייו, הבין הפסול במעשיו וחומרתם</w:t>
      </w:r>
      <w:r w:rsidR="00C20537">
        <w:rPr>
          <w:rFonts w:hint="cs"/>
          <w:sz w:val="20"/>
          <w:rtl/>
          <w:lang w:eastAsia="he-IL"/>
        </w:rPr>
        <w:t xml:space="preserve"> </w:t>
      </w:r>
      <w:r w:rsidR="00C20537" w:rsidRPr="008C7057">
        <w:rPr>
          <w:sz w:val="20"/>
          <w:rtl/>
          <w:lang w:eastAsia="he-IL"/>
        </w:rPr>
        <w:t>–</w:t>
      </w:r>
      <w:r w:rsidR="00C20537" w:rsidRPr="008C7057">
        <w:rPr>
          <w:rFonts w:hint="cs"/>
          <w:sz w:val="20"/>
          <w:rtl/>
          <w:lang w:eastAsia="he-IL"/>
        </w:rPr>
        <w:t xml:space="preserve"> הושתו </w:t>
      </w:r>
      <w:r w:rsidR="00C20537">
        <w:rPr>
          <w:rFonts w:hint="cs"/>
          <w:sz w:val="20"/>
          <w:rtl/>
          <w:lang w:eastAsia="he-IL"/>
        </w:rPr>
        <w:t xml:space="preserve">חודשיים מאסר לריצוי בעבודות שירות, בנוסף לעונשים שהושתו בבית משפט השלום, אשר כללו </w:t>
      </w:r>
      <w:r w:rsidR="00C20537" w:rsidRPr="008C7057">
        <w:rPr>
          <w:rFonts w:hint="cs"/>
          <w:sz w:val="20"/>
          <w:rtl/>
          <w:lang w:eastAsia="he-IL"/>
        </w:rPr>
        <w:t>מאסר מותנה, 6,000 ₪ קנס, התחייבות ופסילה מותנית.</w:t>
      </w:r>
    </w:p>
    <w:p w14:paraId="5F16664B" w14:textId="77777777" w:rsidR="00C20537" w:rsidRPr="008E275C" w:rsidRDefault="00C20537" w:rsidP="00C20537">
      <w:pPr>
        <w:pStyle w:val="a9"/>
        <w:widowControl w:val="0"/>
        <w:rPr>
          <w:sz w:val="16"/>
          <w:szCs w:val="20"/>
          <w:rtl/>
          <w:lang w:eastAsia="he-IL"/>
        </w:rPr>
      </w:pPr>
    </w:p>
    <w:p w14:paraId="795F4287" w14:textId="77777777" w:rsidR="00C20537" w:rsidRDefault="006B0CC5" w:rsidP="00C20537">
      <w:pPr>
        <w:widowControl w:val="0"/>
        <w:numPr>
          <w:ilvl w:val="2"/>
          <w:numId w:val="1"/>
        </w:numPr>
        <w:snapToGrid w:val="0"/>
        <w:spacing w:line="360" w:lineRule="auto"/>
        <w:ind w:left="1275" w:hanging="555"/>
        <w:jc w:val="both"/>
        <w:rPr>
          <w:sz w:val="20"/>
          <w:lang w:eastAsia="he-IL"/>
        </w:rPr>
      </w:pPr>
      <w:hyperlink r:id="rId33" w:history="1">
        <w:r w:rsidRPr="006B0CC5">
          <w:rPr>
            <w:color w:val="0000FF"/>
            <w:sz w:val="20"/>
            <w:u w:val="single"/>
            <w:rtl/>
            <w:lang w:eastAsia="he-IL"/>
          </w:rPr>
          <w:t>עפ"ג (מחוזי-ב"ש) 51992-08-21</w:t>
        </w:r>
      </w:hyperlink>
      <w:r w:rsidR="00C20537">
        <w:rPr>
          <w:rFonts w:hint="cs"/>
          <w:sz w:val="20"/>
          <w:rtl/>
          <w:lang w:eastAsia="he-IL"/>
        </w:rPr>
        <w:t xml:space="preserve"> </w:t>
      </w:r>
      <w:r w:rsidR="00C20537" w:rsidRPr="002475F1">
        <w:rPr>
          <w:rFonts w:ascii="Miriam" w:hAnsi="Miriam" w:cs="Miriam" w:hint="cs"/>
          <w:b/>
          <w:bCs/>
          <w:sz w:val="18"/>
          <w:szCs w:val="22"/>
          <w:rtl/>
          <w:lang w:eastAsia="he-IL"/>
        </w:rPr>
        <w:t>עמר נ' מדינת ישראל</w:t>
      </w:r>
      <w:r w:rsidR="00C20537">
        <w:rPr>
          <w:rFonts w:hint="cs"/>
          <w:sz w:val="20"/>
          <w:rtl/>
          <w:lang w:eastAsia="he-IL"/>
        </w:rPr>
        <w:t xml:space="preserve"> (12.1.22), המערער חזר בו מערעור על גזר הדין ב-</w:t>
      </w:r>
      <w:hyperlink r:id="rId34" w:history="1">
        <w:r w:rsidRPr="006B0CC5">
          <w:rPr>
            <w:color w:val="0000FF"/>
            <w:sz w:val="20"/>
            <w:u w:val="single"/>
            <w:rtl/>
            <w:lang w:eastAsia="he-IL"/>
          </w:rPr>
          <w:t>ת"פ (שלום-ק"ג) 22428-11-18</w:t>
        </w:r>
      </w:hyperlink>
      <w:r w:rsidR="00C20537">
        <w:rPr>
          <w:rFonts w:hint="cs"/>
          <w:sz w:val="20"/>
          <w:rtl/>
          <w:lang w:eastAsia="he-IL"/>
        </w:rPr>
        <w:t xml:space="preserve"> </w:t>
      </w:r>
      <w:r w:rsidR="00C20537" w:rsidRPr="005357C2">
        <w:rPr>
          <w:rFonts w:ascii="Miriam" w:hAnsi="Miriam" w:cs="Miriam" w:hint="cs"/>
          <w:b/>
          <w:bCs/>
          <w:sz w:val="22"/>
          <w:szCs w:val="22"/>
          <w:rtl/>
          <w:lang w:eastAsia="he-IL"/>
        </w:rPr>
        <w:t>מדינת ישראל נ' עמר</w:t>
      </w:r>
      <w:r w:rsidR="00C20537">
        <w:rPr>
          <w:rFonts w:hint="cs"/>
          <w:sz w:val="20"/>
          <w:rtl/>
          <w:lang w:eastAsia="he-IL"/>
        </w:rPr>
        <w:t xml:space="preserve"> (14.7.21) אליו הפנתה ב"כ המאשימה </w:t>
      </w:r>
      <w:r w:rsidR="00C20537">
        <w:rPr>
          <w:sz w:val="20"/>
          <w:rtl/>
          <w:lang w:eastAsia="he-IL"/>
        </w:rPr>
        <w:t>–</w:t>
      </w:r>
      <w:r w:rsidR="00C20537">
        <w:rPr>
          <w:rFonts w:hint="cs"/>
          <w:sz w:val="20"/>
          <w:rtl/>
          <w:lang w:eastAsia="he-IL"/>
        </w:rPr>
        <w:t xml:space="preserve"> בגין החזקת 200.6 גרם קנאבוס נקבע מתחם הנע ממספר חודשי מאסר שניתן לרצותם בעבודות שירות עד 12 חודשי מאסר בפועל. הנאשם צרף תיק בו הורשע באיומים ונקבע מתחם הנע ממאסר מותנה עד מספר חודשי מאסר בפועל. על הנאשם שלחובתו עבר מכביד בעבירות רכוש ואלימות, אשר הודה והביע רצון לעבור הליך טיפולי, אך לא שיתף פעולה עם שירות המבחן </w:t>
      </w:r>
      <w:r w:rsidR="00C20537">
        <w:rPr>
          <w:sz w:val="20"/>
          <w:rtl/>
          <w:lang w:eastAsia="he-IL"/>
        </w:rPr>
        <w:t>–</w:t>
      </w:r>
      <w:r w:rsidR="00C20537">
        <w:rPr>
          <w:rFonts w:hint="cs"/>
          <w:sz w:val="20"/>
          <w:rtl/>
          <w:lang w:eastAsia="he-IL"/>
        </w:rPr>
        <w:t xml:space="preserve"> הושתו 7 חודשי מאסר לריצוי בעבודות שירות, מאסרים מותנים, 3,000 ₪ קנס, התחייבות ופסילה מותנית. </w:t>
      </w:r>
    </w:p>
    <w:p w14:paraId="56883BD7" w14:textId="77777777" w:rsidR="00C20537" w:rsidRPr="008E275C" w:rsidRDefault="00C20537" w:rsidP="00C20537">
      <w:pPr>
        <w:pStyle w:val="a9"/>
        <w:widowControl w:val="0"/>
        <w:rPr>
          <w:sz w:val="16"/>
          <w:szCs w:val="20"/>
          <w:rtl/>
          <w:lang w:eastAsia="he-IL"/>
        </w:rPr>
      </w:pPr>
    </w:p>
    <w:p w14:paraId="436C7841" w14:textId="77777777" w:rsidR="00C20537" w:rsidRPr="002475F1" w:rsidRDefault="006B0CC5" w:rsidP="00C20537">
      <w:pPr>
        <w:widowControl w:val="0"/>
        <w:numPr>
          <w:ilvl w:val="2"/>
          <w:numId w:val="1"/>
        </w:numPr>
        <w:snapToGrid w:val="0"/>
        <w:spacing w:line="360" w:lineRule="auto"/>
        <w:ind w:left="1275" w:hanging="555"/>
        <w:jc w:val="both"/>
        <w:rPr>
          <w:sz w:val="20"/>
          <w:lang w:eastAsia="he-IL"/>
        </w:rPr>
      </w:pPr>
      <w:hyperlink r:id="rId35" w:history="1">
        <w:r w:rsidRPr="006B0CC5">
          <w:rPr>
            <w:color w:val="0000FF"/>
            <w:sz w:val="20"/>
            <w:u w:val="single"/>
            <w:rtl/>
            <w:lang w:eastAsia="he-IL"/>
          </w:rPr>
          <w:t>עפ"ג (מחוזי-ב"ש) 69749-03-22</w:t>
        </w:r>
      </w:hyperlink>
      <w:r w:rsidR="00C20537">
        <w:rPr>
          <w:rFonts w:hint="cs"/>
          <w:sz w:val="20"/>
          <w:rtl/>
          <w:lang w:eastAsia="he-IL"/>
        </w:rPr>
        <w:t xml:space="preserve"> </w:t>
      </w:r>
      <w:r w:rsidR="00C20537" w:rsidRPr="00B812AF">
        <w:rPr>
          <w:rFonts w:ascii="Miriam" w:hAnsi="Miriam" w:cs="Miriam" w:hint="cs"/>
          <w:b/>
          <w:bCs/>
          <w:sz w:val="18"/>
          <w:szCs w:val="22"/>
          <w:rtl/>
          <w:lang w:eastAsia="he-IL"/>
        </w:rPr>
        <w:t>רובינוב נ' מדינת ישראל</w:t>
      </w:r>
      <w:r w:rsidR="00C20537">
        <w:rPr>
          <w:rFonts w:hint="cs"/>
          <w:sz w:val="20"/>
          <w:rtl/>
          <w:lang w:eastAsia="he-IL"/>
        </w:rPr>
        <w:t xml:space="preserve"> (7.9.22) (לעיל ולהלן: </w:t>
      </w:r>
      <w:r w:rsidR="00C20537" w:rsidRPr="002C41B6">
        <w:rPr>
          <w:rFonts w:ascii="Miriam" w:hAnsi="Miriam" w:cs="Miriam" w:hint="cs"/>
          <w:b/>
          <w:bCs/>
          <w:sz w:val="18"/>
          <w:szCs w:val="22"/>
          <w:rtl/>
          <w:lang w:eastAsia="he-IL"/>
        </w:rPr>
        <w:t>פס"ד רובינוב</w:t>
      </w:r>
      <w:r w:rsidR="00C20537">
        <w:rPr>
          <w:rFonts w:hint="cs"/>
          <w:sz w:val="20"/>
          <w:rtl/>
          <w:lang w:eastAsia="he-IL"/>
        </w:rPr>
        <w:t xml:space="preserve">) </w:t>
      </w:r>
      <w:r w:rsidR="00C20537">
        <w:rPr>
          <w:sz w:val="20"/>
          <w:rtl/>
          <w:lang w:eastAsia="he-IL"/>
        </w:rPr>
        <w:t>–</w:t>
      </w:r>
      <w:r w:rsidR="00C20537">
        <w:rPr>
          <w:rFonts w:hint="cs"/>
          <w:sz w:val="20"/>
          <w:rtl/>
          <w:lang w:eastAsia="he-IL"/>
        </w:rPr>
        <w:t xml:space="preserve"> נדחה ערעור על גזר דין בו הושתו 6 חודשי מאסר בעבודות שירות, 3,000 ₪ קנס, מאסר מותנה, התחייבות ופסילה מותנית על מי שהורשע, לאחר ניהול הוכחות, בהחזקת 101.5 גרם חשיש. נקבע מתחם 4</w:t>
      </w:r>
      <w:r w:rsidR="00C20537">
        <w:rPr>
          <w:sz w:val="20"/>
          <w:rtl/>
          <w:lang w:eastAsia="he-IL"/>
        </w:rPr>
        <w:t>–</w:t>
      </w:r>
      <w:r w:rsidR="00C20537">
        <w:rPr>
          <w:rFonts w:hint="cs"/>
          <w:sz w:val="20"/>
          <w:rtl/>
          <w:lang w:eastAsia="he-IL"/>
        </w:rPr>
        <w:t>12 חודשי מאסר בפועל לצד ענישה נלווית. בדחיית הערעור נקבע כי "</w:t>
      </w:r>
      <w:r w:rsidR="00C20537">
        <w:rPr>
          <w:rFonts w:hint="cs"/>
          <w:b/>
          <w:bCs/>
          <w:sz w:val="20"/>
          <w:rtl/>
          <w:lang w:eastAsia="he-IL"/>
        </w:rPr>
        <w:t>אי קבלת אחריות הינה נתון רלוונטי בקביעת הענישה</w:t>
      </w:r>
      <w:r w:rsidR="00C20537">
        <w:rPr>
          <w:rFonts w:hint="cs"/>
          <w:sz w:val="20"/>
          <w:rtl/>
          <w:lang w:eastAsia="he-IL"/>
        </w:rPr>
        <w:t xml:space="preserve">". </w:t>
      </w:r>
    </w:p>
    <w:p w14:paraId="334E2497" w14:textId="77777777" w:rsidR="00C20537" w:rsidRPr="008E275C" w:rsidRDefault="00C20537" w:rsidP="00C20537">
      <w:pPr>
        <w:pStyle w:val="a9"/>
        <w:widowControl w:val="0"/>
        <w:rPr>
          <w:sz w:val="16"/>
          <w:szCs w:val="20"/>
          <w:rtl/>
          <w:lang w:eastAsia="he-IL"/>
        </w:rPr>
      </w:pPr>
    </w:p>
    <w:p w14:paraId="57DE7990" w14:textId="77777777" w:rsidR="00C20537" w:rsidRPr="00B96933" w:rsidRDefault="006B0CC5" w:rsidP="00C20537">
      <w:pPr>
        <w:widowControl w:val="0"/>
        <w:numPr>
          <w:ilvl w:val="2"/>
          <w:numId w:val="1"/>
        </w:numPr>
        <w:snapToGrid w:val="0"/>
        <w:spacing w:line="360" w:lineRule="auto"/>
        <w:ind w:left="1275" w:hanging="555"/>
        <w:jc w:val="both"/>
        <w:rPr>
          <w:sz w:val="20"/>
          <w:lang w:eastAsia="he-IL"/>
        </w:rPr>
      </w:pPr>
      <w:hyperlink r:id="rId36" w:history="1">
        <w:r w:rsidRPr="006B0CC5">
          <w:rPr>
            <w:color w:val="0000FF"/>
            <w:sz w:val="20"/>
            <w:u w:val="single"/>
            <w:rtl/>
            <w:lang w:eastAsia="he-IL"/>
          </w:rPr>
          <w:t>עפ"ג (מחוזי-מרכז) 59254-02-15</w:t>
        </w:r>
      </w:hyperlink>
      <w:r w:rsidR="00C20537">
        <w:rPr>
          <w:rFonts w:hint="cs"/>
          <w:sz w:val="20"/>
          <w:rtl/>
          <w:lang w:eastAsia="he-IL"/>
        </w:rPr>
        <w:t xml:space="preserve"> </w:t>
      </w:r>
      <w:r w:rsidR="00C20537" w:rsidRPr="000234A3">
        <w:rPr>
          <w:rFonts w:ascii="Miriam" w:hAnsi="Miriam" w:cs="Miriam" w:hint="cs"/>
          <w:b/>
          <w:bCs/>
          <w:sz w:val="22"/>
          <w:szCs w:val="22"/>
          <w:rtl/>
          <w:lang w:eastAsia="he-IL"/>
        </w:rPr>
        <w:t>אבו לבן ואח' נ' מדינת ישראל</w:t>
      </w:r>
      <w:r w:rsidR="00C20537">
        <w:rPr>
          <w:rFonts w:hint="cs"/>
          <w:sz w:val="20"/>
          <w:rtl/>
          <w:lang w:eastAsia="he-IL"/>
        </w:rPr>
        <w:t xml:space="preserve"> (9.6.15) נדחה ערעור על פסק הדין ב-</w:t>
      </w:r>
      <w:hyperlink r:id="rId37" w:history="1">
        <w:r w:rsidRPr="006B0CC5">
          <w:rPr>
            <w:color w:val="0000FF"/>
            <w:sz w:val="20"/>
            <w:u w:val="single"/>
            <w:rtl/>
            <w:lang w:eastAsia="he-IL"/>
          </w:rPr>
          <w:t>ת"פ (שלום-רמ') 33125-01-14</w:t>
        </w:r>
      </w:hyperlink>
      <w:r w:rsidR="00C20537">
        <w:rPr>
          <w:rFonts w:hint="cs"/>
          <w:sz w:val="20"/>
          <w:rtl/>
          <w:lang w:eastAsia="he-IL"/>
        </w:rPr>
        <w:t xml:space="preserve"> </w:t>
      </w:r>
      <w:r w:rsidR="00C20537" w:rsidRPr="000234A3">
        <w:rPr>
          <w:rFonts w:ascii="Miriam" w:hAnsi="Miriam" w:cs="Miriam" w:hint="cs"/>
          <w:b/>
          <w:bCs/>
          <w:sz w:val="22"/>
          <w:szCs w:val="22"/>
          <w:rtl/>
          <w:lang w:eastAsia="he-IL"/>
        </w:rPr>
        <w:t>מדינת ישראל נ' אבו לבן ואח'</w:t>
      </w:r>
      <w:r w:rsidR="00C20537">
        <w:rPr>
          <w:rFonts w:ascii="Miriam" w:hAnsi="Miriam" w:cs="Miriam" w:hint="cs"/>
          <w:b/>
          <w:bCs/>
          <w:sz w:val="22"/>
          <w:szCs w:val="22"/>
          <w:rtl/>
          <w:lang w:eastAsia="he-IL"/>
        </w:rPr>
        <w:t xml:space="preserve"> </w:t>
      </w:r>
      <w:r w:rsidR="00C20537">
        <w:rPr>
          <w:rFonts w:hint="cs"/>
          <w:sz w:val="20"/>
          <w:rtl/>
          <w:lang w:eastAsia="he-IL"/>
        </w:rPr>
        <w:t xml:space="preserve">(15.1.15), אליו הפנתה ב"כ המאשימה </w:t>
      </w:r>
      <w:r w:rsidR="00C20537">
        <w:rPr>
          <w:sz w:val="20"/>
          <w:rtl/>
          <w:lang w:eastAsia="he-IL"/>
        </w:rPr>
        <w:t>–</w:t>
      </w:r>
      <w:r w:rsidR="00C20537">
        <w:rPr>
          <w:rFonts w:hint="cs"/>
          <w:sz w:val="20"/>
          <w:rtl/>
          <w:lang w:eastAsia="he-IL"/>
        </w:rPr>
        <w:t xml:space="preserve"> נקבע כי המתחם בגין החזקת כ-100 גרם חשיש ובגין סחר בכ-100 גרם חשיש הוא מתחם זהה וכי מדובר במתחם 4</w:t>
      </w:r>
      <w:r w:rsidR="00C20537">
        <w:rPr>
          <w:sz w:val="20"/>
          <w:rtl/>
          <w:lang w:eastAsia="he-IL"/>
        </w:rPr>
        <w:t>–</w:t>
      </w:r>
      <w:r w:rsidR="00C20537">
        <w:rPr>
          <w:rFonts w:hint="cs"/>
          <w:sz w:val="20"/>
          <w:rtl/>
          <w:lang w:eastAsia="he-IL"/>
        </w:rPr>
        <w:t>14 חודשי מאסר בפועל לצד ענישה נלווית. על כל אחד מהנאשמים הושתו 8 חודשי מאסר בפועל בניכוי ימי מעצרם, מאסרים מותנים, 2,000 ₪ קנס, 5 חודשי פסילה מותנית.</w:t>
      </w:r>
    </w:p>
    <w:p w14:paraId="0CEA78CF" w14:textId="77777777" w:rsidR="00C20537" w:rsidRPr="008E275C" w:rsidRDefault="00C20537" w:rsidP="00C20537">
      <w:pPr>
        <w:widowControl w:val="0"/>
        <w:snapToGrid w:val="0"/>
        <w:ind w:left="1275"/>
        <w:jc w:val="both"/>
        <w:rPr>
          <w:sz w:val="16"/>
          <w:szCs w:val="20"/>
          <w:rtl/>
          <w:lang w:eastAsia="he-IL"/>
        </w:rPr>
      </w:pPr>
    </w:p>
    <w:p w14:paraId="1A295B78" w14:textId="77777777" w:rsidR="00C20537" w:rsidRPr="005669E5" w:rsidRDefault="006B0CC5" w:rsidP="00C20537">
      <w:pPr>
        <w:widowControl w:val="0"/>
        <w:numPr>
          <w:ilvl w:val="2"/>
          <w:numId w:val="1"/>
        </w:numPr>
        <w:snapToGrid w:val="0"/>
        <w:spacing w:line="360" w:lineRule="auto"/>
        <w:ind w:left="1275" w:hanging="555"/>
        <w:jc w:val="both"/>
        <w:rPr>
          <w:sz w:val="20"/>
          <w:lang w:eastAsia="he-IL"/>
        </w:rPr>
      </w:pPr>
      <w:hyperlink r:id="rId38" w:history="1">
        <w:r w:rsidRPr="006B0CC5">
          <w:rPr>
            <w:color w:val="0000FF"/>
            <w:sz w:val="20"/>
            <w:u w:val="single"/>
            <w:rtl/>
            <w:lang w:eastAsia="he-IL"/>
          </w:rPr>
          <w:t>עפ"ג (מחוזי-ב"ש) 41634-10-14</w:t>
        </w:r>
      </w:hyperlink>
      <w:r w:rsidR="00C20537" w:rsidRPr="005669E5">
        <w:rPr>
          <w:sz w:val="20"/>
          <w:rtl/>
          <w:lang w:eastAsia="he-IL"/>
        </w:rPr>
        <w:t xml:space="preserve"> </w:t>
      </w:r>
      <w:r w:rsidR="00C20537" w:rsidRPr="005669E5">
        <w:rPr>
          <w:rFonts w:ascii="Miriam" w:hAnsi="Miriam" w:cs="Miriam"/>
          <w:b/>
          <w:bCs/>
          <w:sz w:val="22"/>
          <w:szCs w:val="22"/>
          <w:rtl/>
          <w:lang w:eastAsia="he-IL"/>
        </w:rPr>
        <w:t>לסרי ומזלומיאן נ' מדינת ישראל</w:t>
      </w:r>
      <w:r w:rsidR="00C20537" w:rsidRPr="005669E5">
        <w:rPr>
          <w:sz w:val="20"/>
          <w:rtl/>
          <w:lang w:eastAsia="he-IL"/>
        </w:rPr>
        <w:t xml:space="preserve"> (22.3.15) – נדחה ערעור על עונשו של מי שהורשע בהחזקת 220 גרם קנבוס ונדון ל-5 חודשי מאסר לריצוי בעבודות שירות, הגם ששירות המבחן המליץ להימנע מהרשע</w:t>
      </w:r>
      <w:r w:rsidR="00C20537">
        <w:rPr>
          <w:rFonts w:hint="cs"/>
          <w:sz w:val="20"/>
          <w:rtl/>
          <w:lang w:eastAsia="he-IL"/>
        </w:rPr>
        <w:t xml:space="preserve">ה. שני המערערים </w:t>
      </w:r>
      <w:r w:rsidR="00C20537" w:rsidRPr="005669E5">
        <w:rPr>
          <w:sz w:val="20"/>
          <w:rtl/>
          <w:lang w:eastAsia="he-IL"/>
        </w:rPr>
        <w:t>נורמטיביים, נעדרי עבר פלילי, שהורתעו מההליך</w:t>
      </w:r>
      <w:r w:rsidR="00C20537">
        <w:rPr>
          <w:rFonts w:hint="cs"/>
          <w:sz w:val="20"/>
          <w:rtl/>
          <w:lang w:eastAsia="he-IL"/>
        </w:rPr>
        <w:t xml:space="preserve"> ואחד מהם היה סטונדט לראיית חשבון.</w:t>
      </w:r>
      <w:r w:rsidR="00C20537" w:rsidRPr="005669E5">
        <w:rPr>
          <w:sz w:val="20"/>
          <w:rtl/>
          <w:lang w:eastAsia="he-IL"/>
        </w:rPr>
        <w:t xml:space="preserve"> </w:t>
      </w:r>
      <w:r w:rsidR="00C20537">
        <w:rPr>
          <w:rFonts w:hint="cs"/>
          <w:sz w:val="20"/>
          <w:rtl/>
          <w:lang w:eastAsia="he-IL"/>
        </w:rPr>
        <w:t>בתי המשפט התחשבו ב</w:t>
      </w:r>
      <w:r w:rsidR="00C20537" w:rsidRPr="005669E5">
        <w:rPr>
          <w:sz w:val="20"/>
          <w:rtl/>
          <w:lang w:eastAsia="he-IL"/>
        </w:rPr>
        <w:t>נתוניהם האישיים, לרבות תרומתם בשירות הצבאי והעבודה שעבדו</w:t>
      </w:r>
      <w:r w:rsidR="00C20537">
        <w:rPr>
          <w:rFonts w:hint="cs"/>
          <w:sz w:val="20"/>
          <w:rtl/>
          <w:lang w:eastAsia="he-IL"/>
        </w:rPr>
        <w:t xml:space="preserve"> בה</w:t>
      </w:r>
      <w:r w:rsidR="00C20537" w:rsidRPr="005669E5">
        <w:rPr>
          <w:sz w:val="20"/>
          <w:rtl/>
          <w:lang w:eastAsia="he-IL"/>
        </w:rPr>
        <w:t xml:space="preserve">. כב' הש' עדן קבע, תוך התייחסות לפסיקה - </w:t>
      </w:r>
    </w:p>
    <w:p w14:paraId="3FA6BBE6" w14:textId="77777777" w:rsidR="00C20537" w:rsidRDefault="00C20537" w:rsidP="00C20537">
      <w:pPr>
        <w:widowControl w:val="0"/>
        <w:snapToGrid w:val="0"/>
        <w:ind w:left="1995" w:right="993"/>
        <w:jc w:val="both"/>
        <w:rPr>
          <w:rFonts w:ascii="Arial" w:hAnsi="Arial"/>
          <w:b/>
          <w:bCs/>
          <w:sz w:val="20"/>
          <w:lang w:eastAsia="he-IL"/>
        </w:rPr>
      </w:pPr>
      <w:r>
        <w:rPr>
          <w:rFonts w:ascii="Arial" w:hAnsi="Arial"/>
          <w:sz w:val="20"/>
          <w:rtl/>
          <w:lang w:eastAsia="he-IL"/>
        </w:rPr>
        <w:t>"</w:t>
      </w:r>
      <w:r>
        <w:rPr>
          <w:rFonts w:ascii="Arial" w:hAnsi="Arial"/>
          <w:b/>
          <w:bCs/>
          <w:sz w:val="20"/>
          <w:rtl/>
          <w:lang w:eastAsia="he-IL"/>
        </w:rPr>
        <w:t xml:space="preserve">אשר לענישה הכוללת חמישה חודשי מאסר על דרך עבודות שירות, אין מדובר בענישה מחמירה אשר יש בה כדי להביא להתערבות ערכאת הערעור. </w:t>
      </w:r>
    </w:p>
    <w:p w14:paraId="7A832DF5" w14:textId="77777777" w:rsidR="00C20537" w:rsidRDefault="00C20537" w:rsidP="00C20537">
      <w:pPr>
        <w:widowControl w:val="0"/>
        <w:snapToGrid w:val="0"/>
        <w:ind w:left="1995" w:right="993"/>
        <w:jc w:val="both"/>
        <w:rPr>
          <w:rFonts w:ascii="Arial" w:hAnsi="Arial"/>
          <w:b/>
          <w:bCs/>
          <w:sz w:val="20"/>
          <w:lang w:eastAsia="he-IL"/>
        </w:rPr>
      </w:pPr>
      <w:r>
        <w:rPr>
          <w:rFonts w:ascii="Arial" w:hAnsi="Arial"/>
          <w:b/>
          <w:bCs/>
          <w:sz w:val="20"/>
          <w:rtl/>
          <w:lang w:eastAsia="he-IL"/>
        </w:rPr>
        <w:t>נסיבותיהם של המערערים הובאו במסגרת שיקולי בית המשפט, אשר איפשר את ריצוי המאסר על דרך עבודות שירות. יש בענישה כדי להביא לידי ביטוי את שיקולי השיקום, כמו גם את העדר עבר פלילי וגילם הצעיר של המערערים</w:t>
      </w:r>
      <w:r>
        <w:rPr>
          <w:rFonts w:ascii="Arial" w:hAnsi="Arial"/>
          <w:sz w:val="20"/>
          <w:rtl/>
          <w:lang w:eastAsia="he-IL"/>
        </w:rPr>
        <w:t>...</w:t>
      </w:r>
    </w:p>
    <w:p w14:paraId="1587142E" w14:textId="77777777" w:rsidR="00C20537" w:rsidRDefault="00C20537" w:rsidP="00C20537">
      <w:pPr>
        <w:widowControl w:val="0"/>
        <w:snapToGrid w:val="0"/>
        <w:ind w:left="1995" w:right="993"/>
        <w:jc w:val="both"/>
        <w:rPr>
          <w:rFonts w:ascii="Arial" w:hAnsi="Arial"/>
          <w:b/>
          <w:bCs/>
          <w:sz w:val="20"/>
          <w:rtl/>
          <w:lang w:eastAsia="he-IL"/>
        </w:rPr>
      </w:pPr>
      <w:r>
        <w:rPr>
          <w:rFonts w:ascii="Arial" w:hAnsi="Arial"/>
          <w:b/>
          <w:bCs/>
          <w:sz w:val="20"/>
          <w:rtl/>
          <w:lang w:eastAsia="he-IL"/>
        </w:rPr>
        <w:t>בענישה המתונה, בנסיבות ביצוע העבירות, אשר הוטלה ע"י בית המשפט קמא, אין כל חריגה לחומרה"</w:t>
      </w:r>
      <w:r>
        <w:rPr>
          <w:rFonts w:hint="cs"/>
          <w:sz w:val="20"/>
          <w:rtl/>
          <w:lang w:eastAsia="he-IL"/>
        </w:rPr>
        <w:t>.</w:t>
      </w:r>
    </w:p>
    <w:p w14:paraId="7A1DEC11" w14:textId="77777777" w:rsidR="00C20537" w:rsidRPr="008E275C" w:rsidRDefault="00C20537" w:rsidP="00C20537">
      <w:pPr>
        <w:widowControl w:val="0"/>
        <w:snapToGrid w:val="0"/>
        <w:spacing w:line="360" w:lineRule="auto"/>
        <w:ind w:left="1995" w:right="993"/>
        <w:jc w:val="both"/>
        <w:rPr>
          <w:rFonts w:ascii="David" w:hAnsi="David"/>
          <w:b/>
          <w:bCs/>
          <w:sz w:val="20"/>
          <w:lang w:eastAsia="he-IL"/>
        </w:rPr>
      </w:pPr>
    </w:p>
    <w:p w14:paraId="68F653B1" w14:textId="77777777" w:rsidR="00C20537" w:rsidRPr="005669E5" w:rsidRDefault="006B0CC5" w:rsidP="00C20537">
      <w:pPr>
        <w:widowControl w:val="0"/>
        <w:numPr>
          <w:ilvl w:val="2"/>
          <w:numId w:val="1"/>
        </w:numPr>
        <w:snapToGrid w:val="0"/>
        <w:spacing w:line="360" w:lineRule="auto"/>
        <w:ind w:left="1275" w:hanging="555"/>
        <w:jc w:val="both"/>
        <w:rPr>
          <w:sz w:val="20"/>
          <w:lang w:eastAsia="he-IL"/>
        </w:rPr>
      </w:pPr>
      <w:hyperlink r:id="rId39" w:history="1">
        <w:r w:rsidRPr="006B0CC5">
          <w:rPr>
            <w:color w:val="0000FF"/>
            <w:sz w:val="20"/>
            <w:u w:val="single"/>
            <w:rtl/>
            <w:lang w:eastAsia="he-IL"/>
          </w:rPr>
          <w:t>עפ"ג (מחוזי-י-ם) 47347-08-11</w:t>
        </w:r>
      </w:hyperlink>
      <w:r w:rsidR="00C20537">
        <w:rPr>
          <w:sz w:val="20"/>
          <w:rtl/>
          <w:lang w:eastAsia="he-IL"/>
        </w:rPr>
        <w:t xml:space="preserve"> </w:t>
      </w:r>
      <w:r w:rsidR="00C20537">
        <w:rPr>
          <w:rFonts w:ascii="Miriam" w:hAnsi="Miriam" w:cs="Miriam"/>
          <w:b/>
          <w:bCs/>
          <w:sz w:val="22"/>
          <w:szCs w:val="22"/>
          <w:rtl/>
          <w:lang w:eastAsia="he-IL"/>
        </w:rPr>
        <w:t>בירגאוז נ' מדינת ישראל</w:t>
      </w:r>
      <w:r w:rsidR="00C20537">
        <w:rPr>
          <w:sz w:val="20"/>
          <w:rtl/>
          <w:lang w:eastAsia="he-IL"/>
        </w:rPr>
        <w:t xml:space="preserve"> (30.4.12) – </w:t>
      </w:r>
      <w:r w:rsidR="00C20537" w:rsidRPr="005669E5">
        <w:rPr>
          <w:sz w:val="20"/>
          <w:rtl/>
          <w:lang w:eastAsia="he-IL"/>
        </w:rPr>
        <w:t>התקבל ערעור הנאשם ועונשו הופחת ל-8 חודשי מאסר לריצוי בפועל, חלף 14 חודשי המאסר שהושתו עליו בבית משפט השלום. כן נקבע כי חודש המאסר המותנה שהופעל ירוצה בחופף ולא במצטבר, בנוסף למאסר המותנה שהושת. מדובר היה במי שהחזיק בדירת נאשם נוסף 97 גרם סם מסוכן מסוג חשיש. בית המשפט המחוזי קבע כי יש להקל בעונש, בין היתר בהינתן כי "</w:t>
      </w:r>
      <w:r w:rsidR="00C20537" w:rsidRPr="005669E5">
        <w:rPr>
          <w:b/>
          <w:bCs/>
          <w:sz w:val="20"/>
          <w:rtl/>
          <w:lang w:eastAsia="he-IL"/>
        </w:rPr>
        <w:t>חרף תנאי פתיחה קשים</w:t>
      </w:r>
      <w:r w:rsidR="00C20537" w:rsidRPr="00506463">
        <w:rPr>
          <w:sz w:val="20"/>
          <w:rtl/>
          <w:lang w:eastAsia="he-IL"/>
        </w:rPr>
        <w:t>, ...,</w:t>
      </w:r>
      <w:r w:rsidR="00C20537" w:rsidRPr="005669E5">
        <w:rPr>
          <w:b/>
          <w:bCs/>
          <w:sz w:val="20"/>
          <w:rtl/>
          <w:lang w:eastAsia="he-IL"/>
        </w:rPr>
        <w:t xml:space="preserve"> מצליח המערער לשמור על רצף תעסוקתי והוא רואה בתפקודו התעסוקתי ערך חשוב ביותר עבורו. עובדה זו יש לזקוף לזכותו. מאז שביצע את העבירה נשוא הדיון, מזה כארבע שנים, לא הסתבך בעבירות נוספות</w:t>
      </w:r>
      <w:r w:rsidR="00C20537">
        <w:rPr>
          <w:sz w:val="20"/>
          <w:rtl/>
          <w:lang w:eastAsia="he-IL"/>
        </w:rPr>
        <w:t>"</w:t>
      </w:r>
    </w:p>
    <w:p w14:paraId="4CF58F88" w14:textId="77777777" w:rsidR="00C20537" w:rsidRPr="008E275C" w:rsidRDefault="00C20537" w:rsidP="00C20537">
      <w:pPr>
        <w:widowControl w:val="0"/>
        <w:snapToGrid w:val="0"/>
        <w:ind w:left="1275"/>
        <w:jc w:val="both"/>
        <w:rPr>
          <w:rFonts w:ascii="David" w:hAnsi="David"/>
          <w:sz w:val="16"/>
          <w:szCs w:val="20"/>
          <w:lang w:eastAsia="he-IL"/>
        </w:rPr>
      </w:pPr>
    </w:p>
    <w:p w14:paraId="03903345" w14:textId="77777777" w:rsidR="00C20537" w:rsidRDefault="006B0CC5" w:rsidP="00C20537">
      <w:pPr>
        <w:widowControl w:val="0"/>
        <w:numPr>
          <w:ilvl w:val="2"/>
          <w:numId w:val="1"/>
        </w:numPr>
        <w:snapToGrid w:val="0"/>
        <w:spacing w:line="360" w:lineRule="auto"/>
        <w:ind w:left="1275" w:hanging="555"/>
        <w:jc w:val="both"/>
        <w:rPr>
          <w:sz w:val="20"/>
          <w:lang w:eastAsia="he-IL"/>
        </w:rPr>
      </w:pPr>
      <w:hyperlink r:id="rId40" w:history="1">
        <w:r w:rsidRPr="006B0CC5">
          <w:rPr>
            <w:color w:val="0000FF"/>
            <w:sz w:val="20"/>
            <w:u w:val="single"/>
            <w:rtl/>
            <w:lang w:eastAsia="he-IL"/>
          </w:rPr>
          <w:t>ת"פ (שלום-ת"א) 60328-07-20</w:t>
        </w:r>
      </w:hyperlink>
      <w:r w:rsidR="00C20537">
        <w:rPr>
          <w:rFonts w:hint="cs"/>
          <w:sz w:val="20"/>
          <w:rtl/>
          <w:lang w:eastAsia="he-IL"/>
        </w:rPr>
        <w:t xml:space="preserve"> </w:t>
      </w:r>
      <w:r w:rsidR="00C20537" w:rsidRPr="001F1730">
        <w:rPr>
          <w:rFonts w:ascii="Miriam" w:hAnsi="Miriam" w:cs="Miriam" w:hint="cs"/>
          <w:b/>
          <w:bCs/>
          <w:sz w:val="22"/>
          <w:szCs w:val="22"/>
          <w:rtl/>
          <w:lang w:eastAsia="he-IL"/>
        </w:rPr>
        <w:t>מדינת ישראל נ' סייג</w:t>
      </w:r>
      <w:r w:rsidR="00C20537">
        <w:rPr>
          <w:rFonts w:hint="cs"/>
          <w:sz w:val="20"/>
          <w:rtl/>
          <w:lang w:eastAsia="he-IL"/>
        </w:rPr>
        <w:t xml:space="preserve"> (20.10.21), </w:t>
      </w:r>
      <w:r w:rsidR="00C20537">
        <w:rPr>
          <w:sz w:val="20"/>
          <w:rtl/>
          <w:lang w:eastAsia="he-IL"/>
        </w:rPr>
        <w:t>אליו הפנה ב"כ הנאשם</w:t>
      </w:r>
      <w:r w:rsidR="00C20537">
        <w:rPr>
          <w:rFonts w:hint="cs"/>
          <w:sz w:val="20"/>
          <w:rtl/>
          <w:lang w:eastAsia="he-IL"/>
        </w:rPr>
        <w:t xml:space="preserve"> </w:t>
      </w:r>
      <w:r w:rsidR="00C20537">
        <w:rPr>
          <w:sz w:val="20"/>
          <w:rtl/>
          <w:lang w:eastAsia="he-IL"/>
        </w:rPr>
        <w:t>–</w:t>
      </w:r>
      <w:r w:rsidR="00C20537">
        <w:rPr>
          <w:rFonts w:hint="cs"/>
          <w:sz w:val="20"/>
          <w:rtl/>
          <w:lang w:eastAsia="he-IL"/>
        </w:rPr>
        <w:t xml:space="preserve"> בגין החזקת 255 גרם קנאבוס מחולק ל-43 אריזות נקבע מתחם הנע מענישה צופה פני עתיד עד מספר חודשי מאסר שיכול שירוצו בעבודות שירות. על מי שהודה, חסך זמן שיפוטי, קיבל רישיון להחזקת קנבוס ואשר לחובתו רישום ללא הרשעה בהחזקת סכין - הושתו מאסר מותנה, 5,000 ₪ קנס, התחייבות ופסילה מותנית.  </w:t>
      </w:r>
    </w:p>
    <w:p w14:paraId="4E0B8FE5" w14:textId="77777777" w:rsidR="00C20537" w:rsidRPr="008E275C" w:rsidRDefault="00C20537" w:rsidP="00C20537">
      <w:pPr>
        <w:widowControl w:val="0"/>
        <w:rPr>
          <w:sz w:val="16"/>
          <w:szCs w:val="20"/>
          <w:rtl/>
          <w:lang w:eastAsia="he-IL"/>
        </w:rPr>
      </w:pPr>
    </w:p>
    <w:p w14:paraId="2C9C1604" w14:textId="77777777" w:rsidR="00C20537" w:rsidRDefault="006B0CC5" w:rsidP="00C20537">
      <w:pPr>
        <w:widowControl w:val="0"/>
        <w:numPr>
          <w:ilvl w:val="2"/>
          <w:numId w:val="1"/>
        </w:numPr>
        <w:snapToGrid w:val="0"/>
        <w:spacing w:line="360" w:lineRule="auto"/>
        <w:ind w:left="1275" w:hanging="555"/>
        <w:jc w:val="both"/>
        <w:rPr>
          <w:sz w:val="20"/>
          <w:lang w:eastAsia="he-IL"/>
        </w:rPr>
      </w:pPr>
      <w:hyperlink r:id="rId41" w:history="1">
        <w:r w:rsidRPr="006B0CC5">
          <w:rPr>
            <w:color w:val="0000FF"/>
            <w:u w:val="single"/>
            <w:rtl/>
          </w:rPr>
          <w:t>ת"פ (שלום-ב"ש) 44373-01-17</w:t>
        </w:r>
      </w:hyperlink>
      <w:r w:rsidR="00C20537">
        <w:rPr>
          <w:rtl/>
        </w:rPr>
        <w:t xml:space="preserve"> </w:t>
      </w:r>
      <w:r w:rsidR="00C20537">
        <w:rPr>
          <w:rFonts w:cs="Miriam"/>
          <w:b/>
          <w:bCs/>
          <w:sz w:val="18"/>
          <w:szCs w:val="22"/>
          <w:rtl/>
          <w:lang w:eastAsia="he-IL"/>
        </w:rPr>
        <w:t>מדינת ישראל נ' אשורוב</w:t>
      </w:r>
      <w:r w:rsidR="00C20537">
        <w:rPr>
          <w:rtl/>
        </w:rPr>
        <w:t xml:space="preserve"> (6.4.17) (להלן: </w:t>
      </w:r>
      <w:r w:rsidR="00C20537">
        <w:rPr>
          <w:rFonts w:ascii="Miriam" w:hAnsi="Miriam" w:cs="Miriam"/>
          <w:b/>
          <w:bCs/>
          <w:sz w:val="22"/>
          <w:szCs w:val="22"/>
          <w:rtl/>
          <w:lang w:eastAsia="he-IL"/>
        </w:rPr>
        <w:t>ענין אשורוב</w:t>
      </w:r>
      <w:r w:rsidR="00C20537">
        <w:rPr>
          <w:rtl/>
        </w:rPr>
        <w:t>) –</w:t>
      </w:r>
      <w:r w:rsidR="00C20537">
        <w:rPr>
          <w:rFonts w:hint="cs"/>
          <w:sz w:val="20"/>
          <w:rtl/>
          <w:lang w:eastAsia="he-IL"/>
        </w:rPr>
        <w:t xml:space="preserve"> </w:t>
      </w:r>
      <w:r w:rsidR="00C20537">
        <w:rPr>
          <w:rtl/>
        </w:rPr>
        <w:t>בגין החזקת 88 גרם חשיש בביתו קבע כב' הש' בן טולילה מתחם הנע ממספר חודשי מאסר, שיכול שירוצו בעבודות שירות עד 12 חודשים מאסר בפועל</w:t>
      </w:r>
      <w:r w:rsidR="00C20537">
        <w:rPr>
          <w:rFonts w:hint="cs"/>
          <w:rtl/>
        </w:rPr>
        <w:t>.</w:t>
      </w:r>
      <w:r w:rsidR="00C20537">
        <w:rPr>
          <w:rtl/>
        </w:rPr>
        <w:t xml:space="preserve"> על נאשם שלחובתו רישום ללא הרשעה והרשעה בעבירות רכוש ואלימות</w:t>
      </w:r>
      <w:r w:rsidR="00C20537">
        <w:rPr>
          <w:rFonts w:hint="cs"/>
          <w:rtl/>
        </w:rPr>
        <w:t>,</w:t>
      </w:r>
      <w:r w:rsidR="00C20537">
        <w:rPr>
          <w:rtl/>
        </w:rPr>
        <w:t xml:space="preserve"> ואשר לא שיתף פעולה עם שירות המבחן – </w:t>
      </w:r>
      <w:r w:rsidR="00C20537">
        <w:rPr>
          <w:rFonts w:hint="cs"/>
          <w:rtl/>
        </w:rPr>
        <w:t xml:space="preserve">הושתו </w:t>
      </w:r>
      <w:r w:rsidR="00C20537">
        <w:rPr>
          <w:rtl/>
        </w:rPr>
        <w:t>7 חודשי מאסר בפועל וענישה נלווית</w:t>
      </w:r>
      <w:r w:rsidR="00C20537">
        <w:rPr>
          <w:rFonts w:hint="cs"/>
          <w:sz w:val="20"/>
          <w:rtl/>
          <w:lang w:eastAsia="he-IL"/>
        </w:rPr>
        <w:t>.</w:t>
      </w:r>
    </w:p>
    <w:p w14:paraId="7B05586A" w14:textId="77777777" w:rsidR="00C20537" w:rsidRPr="00FD2913" w:rsidRDefault="00C20537" w:rsidP="00C20537">
      <w:pPr>
        <w:widowControl w:val="0"/>
        <w:snapToGrid w:val="0"/>
        <w:spacing w:line="360" w:lineRule="auto"/>
        <w:ind w:left="1275"/>
        <w:jc w:val="both"/>
        <w:rPr>
          <w:sz w:val="20"/>
          <w:lang w:eastAsia="he-IL"/>
        </w:rPr>
      </w:pPr>
    </w:p>
    <w:p w14:paraId="171DC6DB" w14:textId="77777777" w:rsidR="00C20537" w:rsidRDefault="00C20537" w:rsidP="00C20537">
      <w:pPr>
        <w:widowControl w:val="0"/>
        <w:numPr>
          <w:ilvl w:val="1"/>
          <w:numId w:val="1"/>
        </w:numPr>
        <w:snapToGrid w:val="0"/>
        <w:spacing w:line="360" w:lineRule="auto"/>
        <w:ind w:left="714" w:hanging="357"/>
        <w:jc w:val="both"/>
        <w:rPr>
          <w:sz w:val="20"/>
          <w:lang w:eastAsia="he-IL"/>
        </w:rPr>
      </w:pPr>
      <w:r>
        <w:rPr>
          <w:sz w:val="20"/>
          <w:rtl/>
          <w:lang w:eastAsia="he-IL"/>
        </w:rPr>
        <w:t>במסגרת קביעת מתחם העונש ההולם, נתתי דעתי גם ל-</w:t>
      </w:r>
      <w:r>
        <w:rPr>
          <w:b/>
          <w:bCs/>
          <w:sz w:val="20"/>
          <w:rtl/>
          <w:lang w:eastAsia="he-IL"/>
        </w:rPr>
        <w:t>נסיבות הקשורות בביצוע העבירות</w:t>
      </w:r>
      <w:r>
        <w:rPr>
          <w:sz w:val="20"/>
          <w:rtl/>
          <w:lang w:eastAsia="he-IL"/>
        </w:rPr>
        <w:t xml:space="preserve">, כאמור </w:t>
      </w:r>
      <w:hyperlink r:id="rId42" w:history="1">
        <w:r w:rsidR="0048772B" w:rsidRPr="0048772B">
          <w:rPr>
            <w:rStyle w:val="Hyperlink"/>
            <w:sz w:val="20"/>
            <w:rtl/>
            <w:lang w:eastAsia="he-IL"/>
          </w:rPr>
          <w:t>בסעיף 40יט</w:t>
        </w:r>
      </w:hyperlink>
      <w:r>
        <w:rPr>
          <w:sz w:val="20"/>
          <w:rtl/>
          <w:lang w:eastAsia="he-IL"/>
        </w:rPr>
        <w:t xml:space="preserve"> ל</w:t>
      </w:r>
      <w:hyperlink r:id="rId43" w:history="1">
        <w:r w:rsidR="006B0CC5" w:rsidRPr="006B0CC5">
          <w:rPr>
            <w:rFonts w:ascii="Miriam" w:hAnsi="Miriam" w:cs="Miriam"/>
            <w:b/>
            <w:bCs/>
            <w:color w:val="0000FF"/>
            <w:sz w:val="18"/>
            <w:szCs w:val="22"/>
            <w:u w:val="single"/>
            <w:rtl/>
            <w:lang w:eastAsia="he-IL"/>
          </w:rPr>
          <w:t>חוק העונשין</w:t>
        </w:r>
      </w:hyperlink>
      <w:r>
        <w:rPr>
          <w:sz w:val="20"/>
          <w:rtl/>
          <w:lang w:eastAsia="he-IL"/>
        </w:rPr>
        <w:t xml:space="preserve"> ובכלל זה – </w:t>
      </w:r>
    </w:p>
    <w:p w14:paraId="6C628C35" w14:textId="77777777" w:rsidR="00C20537" w:rsidRPr="008E275C" w:rsidRDefault="00C20537" w:rsidP="00C20537">
      <w:pPr>
        <w:widowControl w:val="0"/>
        <w:snapToGrid w:val="0"/>
        <w:ind w:left="714"/>
        <w:jc w:val="both"/>
        <w:rPr>
          <w:sz w:val="16"/>
          <w:szCs w:val="20"/>
          <w:lang w:eastAsia="he-IL"/>
        </w:rPr>
      </w:pPr>
    </w:p>
    <w:p w14:paraId="1BA9C67E" w14:textId="77777777" w:rsidR="00C20537" w:rsidRDefault="00C20537" w:rsidP="00C20537">
      <w:pPr>
        <w:widowControl w:val="0"/>
        <w:numPr>
          <w:ilvl w:val="2"/>
          <w:numId w:val="1"/>
        </w:numPr>
        <w:snapToGrid w:val="0"/>
        <w:spacing w:line="360" w:lineRule="auto"/>
        <w:ind w:left="1134" w:hanging="414"/>
        <w:jc w:val="both"/>
        <w:rPr>
          <w:sz w:val="20"/>
          <w:lang w:eastAsia="he-IL"/>
        </w:rPr>
      </w:pPr>
      <w:r>
        <w:rPr>
          <w:sz w:val="20"/>
          <w:rtl/>
          <w:lang w:eastAsia="he-IL"/>
        </w:rPr>
        <w:t xml:space="preserve">עבירת החזקת הסמים, מעצם טיבה וטבעה ברי כי </w:t>
      </w:r>
      <w:r>
        <w:rPr>
          <w:sz w:val="20"/>
          <w:u w:val="single"/>
          <w:rtl/>
          <w:lang w:eastAsia="he-IL"/>
        </w:rPr>
        <w:t>קדם לה תכנון</w:t>
      </w:r>
      <w:r>
        <w:rPr>
          <w:sz w:val="20"/>
          <w:rtl/>
          <w:lang w:eastAsia="he-IL"/>
        </w:rPr>
        <w:t>;</w:t>
      </w:r>
    </w:p>
    <w:p w14:paraId="5B307F5A" w14:textId="77777777" w:rsidR="00C20537" w:rsidRPr="008E275C" w:rsidRDefault="00C20537" w:rsidP="00C20537">
      <w:pPr>
        <w:widowControl w:val="0"/>
        <w:snapToGrid w:val="0"/>
        <w:ind w:left="1134"/>
        <w:jc w:val="both"/>
        <w:rPr>
          <w:rFonts w:ascii="David" w:hAnsi="David"/>
          <w:sz w:val="16"/>
          <w:szCs w:val="20"/>
          <w:lang w:eastAsia="he-IL"/>
        </w:rPr>
      </w:pPr>
    </w:p>
    <w:p w14:paraId="6E9286A5" w14:textId="77777777" w:rsidR="00C20537" w:rsidRDefault="00C20537" w:rsidP="00C20537">
      <w:pPr>
        <w:widowControl w:val="0"/>
        <w:numPr>
          <w:ilvl w:val="2"/>
          <w:numId w:val="1"/>
        </w:numPr>
        <w:snapToGrid w:val="0"/>
        <w:spacing w:line="360" w:lineRule="auto"/>
        <w:ind w:left="1134" w:hanging="414"/>
        <w:jc w:val="both"/>
        <w:rPr>
          <w:sz w:val="20"/>
          <w:lang w:eastAsia="he-IL"/>
        </w:rPr>
      </w:pPr>
      <w:r>
        <w:rPr>
          <w:sz w:val="20"/>
          <w:rtl/>
          <w:lang w:eastAsia="he-IL"/>
        </w:rPr>
        <w:t xml:space="preserve">הנאשם הוא </w:t>
      </w:r>
      <w:r>
        <w:rPr>
          <w:sz w:val="20"/>
          <w:u w:val="single"/>
          <w:rtl/>
          <w:lang w:eastAsia="he-IL"/>
        </w:rPr>
        <w:t>המבצע היחיד ומשכך העיקרי</w:t>
      </w:r>
      <w:r>
        <w:rPr>
          <w:sz w:val="20"/>
          <w:rtl/>
          <w:lang w:eastAsia="he-IL"/>
        </w:rPr>
        <w:t>;</w:t>
      </w:r>
    </w:p>
    <w:p w14:paraId="064457D0" w14:textId="77777777" w:rsidR="00C20537" w:rsidRPr="008E275C" w:rsidRDefault="00C20537" w:rsidP="00C20537">
      <w:pPr>
        <w:pStyle w:val="a9"/>
        <w:widowControl w:val="0"/>
        <w:rPr>
          <w:sz w:val="16"/>
          <w:szCs w:val="20"/>
          <w:rtl/>
          <w:lang w:eastAsia="he-IL"/>
        </w:rPr>
      </w:pPr>
    </w:p>
    <w:p w14:paraId="06E98163" w14:textId="77777777" w:rsidR="00C20537" w:rsidRPr="007B7BF8" w:rsidRDefault="00C20537" w:rsidP="00C20537">
      <w:pPr>
        <w:widowControl w:val="0"/>
        <w:numPr>
          <w:ilvl w:val="2"/>
          <w:numId w:val="1"/>
        </w:numPr>
        <w:snapToGrid w:val="0"/>
        <w:spacing w:line="360" w:lineRule="auto"/>
        <w:ind w:left="1134" w:hanging="414"/>
        <w:jc w:val="both"/>
        <w:rPr>
          <w:sz w:val="18"/>
          <w:szCs w:val="22"/>
          <w:lang w:eastAsia="he-IL"/>
        </w:rPr>
      </w:pPr>
      <w:r w:rsidRPr="007B7BF8">
        <w:rPr>
          <w:rFonts w:hint="cs"/>
          <w:sz w:val="20"/>
          <w:rtl/>
          <w:lang w:eastAsia="he-IL"/>
        </w:rPr>
        <w:t>אמנם מדובר בסם שלא נמנע על הסמים הקטלניים שב-</w:t>
      </w:r>
      <w:r w:rsidRPr="007B7BF8">
        <w:rPr>
          <w:rFonts w:ascii="Miriam" w:hAnsi="Miriam" w:cs="Miriam"/>
          <w:b/>
          <w:bCs/>
          <w:sz w:val="18"/>
          <w:szCs w:val="22"/>
          <w:rtl/>
          <w:lang w:eastAsia="he-IL"/>
        </w:rPr>
        <w:t xml:space="preserve">פקודת הסמים </w:t>
      </w:r>
      <w:r w:rsidRPr="007B7BF8">
        <w:rPr>
          <w:sz w:val="20"/>
          <w:rtl/>
          <w:lang w:eastAsia="he-IL"/>
        </w:rPr>
        <w:t>–</w:t>
      </w:r>
      <w:r w:rsidRPr="007B7BF8">
        <w:rPr>
          <w:rFonts w:hint="cs"/>
          <w:sz w:val="20"/>
          <w:rtl/>
          <w:lang w:eastAsia="he-IL"/>
        </w:rPr>
        <w:t xml:space="preserve"> אולם אין להקל ראש ב</w:t>
      </w:r>
      <w:r w:rsidRPr="007B7BF8">
        <w:rPr>
          <w:rFonts w:hint="cs"/>
          <w:sz w:val="20"/>
          <w:u w:val="single"/>
          <w:rtl/>
          <w:lang w:eastAsia="he-IL"/>
        </w:rPr>
        <w:t xml:space="preserve">נזק שנגרם בשל החזקת </w:t>
      </w:r>
      <w:r w:rsidRPr="007B7BF8">
        <w:rPr>
          <w:sz w:val="20"/>
          <w:u w:val="single"/>
          <w:rtl/>
          <w:lang w:eastAsia="he-IL"/>
        </w:rPr>
        <w:t>חשיש</w:t>
      </w:r>
      <w:r w:rsidRPr="007B7BF8">
        <w:rPr>
          <w:rFonts w:hint="cs"/>
          <w:sz w:val="20"/>
          <w:rtl/>
          <w:lang w:eastAsia="he-IL"/>
        </w:rPr>
        <w:t>. כך נקבע ב-</w:t>
      </w:r>
      <w:r w:rsidRPr="007B7BF8">
        <w:rPr>
          <w:rFonts w:ascii="Miriam" w:hAnsi="Miriam" w:cs="Miriam" w:hint="cs"/>
          <w:b/>
          <w:bCs/>
          <w:sz w:val="18"/>
          <w:szCs w:val="22"/>
          <w:rtl/>
          <w:lang w:eastAsia="he-IL"/>
        </w:rPr>
        <w:t>פס"ד רובינוב</w:t>
      </w:r>
      <w:r w:rsidRPr="007B7BF8">
        <w:rPr>
          <w:rFonts w:hint="cs"/>
          <w:sz w:val="20"/>
          <w:rtl/>
          <w:lang w:eastAsia="he-IL"/>
        </w:rPr>
        <w:t xml:space="preserve"> כי החזקת חשיש שלא לצריכה עצמית "</w:t>
      </w:r>
      <w:r w:rsidRPr="007B7BF8">
        <w:rPr>
          <w:rFonts w:hint="cs"/>
          <w:b/>
          <w:bCs/>
          <w:sz w:val="20"/>
          <w:rtl/>
          <w:lang w:eastAsia="he-IL"/>
        </w:rPr>
        <w:t>הינה עבירה חמורה אשר צריכה למענה עונשי הולם אשר כולל ענישה מוחשית</w:t>
      </w:r>
      <w:r w:rsidRPr="007B7BF8">
        <w:rPr>
          <w:rFonts w:hint="cs"/>
          <w:sz w:val="20"/>
          <w:rtl/>
          <w:lang w:eastAsia="he-IL"/>
        </w:rPr>
        <w:t>".</w:t>
      </w:r>
      <w:r w:rsidRPr="007B7BF8">
        <w:rPr>
          <w:sz w:val="20"/>
          <w:rtl/>
          <w:lang w:eastAsia="he-IL"/>
        </w:rPr>
        <w:t xml:space="preserve"> כב' הש' בן טולילה </w:t>
      </w:r>
      <w:r w:rsidRPr="007B7BF8">
        <w:rPr>
          <w:rFonts w:hint="cs"/>
          <w:sz w:val="20"/>
          <w:rtl/>
          <w:lang w:eastAsia="he-IL"/>
        </w:rPr>
        <w:t xml:space="preserve">קבע </w:t>
      </w:r>
      <w:r w:rsidRPr="007B7BF8">
        <w:rPr>
          <w:sz w:val="20"/>
          <w:rtl/>
          <w:lang w:eastAsia="he-IL"/>
        </w:rPr>
        <w:t>ב-</w:t>
      </w:r>
      <w:r w:rsidRPr="007B7BF8">
        <w:rPr>
          <w:rFonts w:ascii="Miriam" w:hAnsi="Miriam" w:cs="Miriam"/>
          <w:b/>
          <w:bCs/>
          <w:sz w:val="22"/>
          <w:szCs w:val="22"/>
          <w:rtl/>
          <w:lang w:eastAsia="he-IL"/>
        </w:rPr>
        <w:t>ענין אשורוב</w:t>
      </w:r>
      <w:r>
        <w:rPr>
          <w:rtl/>
        </w:rPr>
        <w:t xml:space="preserve"> </w:t>
      </w:r>
      <w:r>
        <w:rPr>
          <w:rFonts w:hint="cs"/>
          <w:rtl/>
        </w:rPr>
        <w:t xml:space="preserve">כי </w:t>
      </w:r>
      <w:r>
        <w:rPr>
          <w:rtl/>
        </w:rPr>
        <w:t>"</w:t>
      </w:r>
      <w:r w:rsidRPr="007B7BF8">
        <w:rPr>
          <w:b/>
          <w:bCs/>
          <w:rtl/>
        </w:rPr>
        <w:t>אין להקל ראש בנזק הגלום באותם סמים אשר מהווים לא אחת צוהר עבור צעירים לעולם אפל זה</w:t>
      </w:r>
      <w:r>
        <w:rPr>
          <w:rtl/>
        </w:rPr>
        <w:t>"</w:t>
      </w:r>
      <w:r>
        <w:rPr>
          <w:rFonts w:hint="cs"/>
          <w:rtl/>
        </w:rPr>
        <w:t xml:space="preserve">. בהקשר זה אציין כי </w:t>
      </w:r>
      <w:r w:rsidRPr="007B7BF8">
        <w:rPr>
          <w:sz w:val="20"/>
          <w:u w:val="single"/>
          <w:rtl/>
          <w:lang w:eastAsia="he-IL"/>
        </w:rPr>
        <w:t>כמות הסם</w:t>
      </w:r>
      <w:r w:rsidRPr="007B7BF8">
        <w:rPr>
          <w:sz w:val="20"/>
          <w:rtl/>
          <w:lang w:eastAsia="he-IL"/>
        </w:rPr>
        <w:t xml:space="preserve"> לא נמצאת ברף הגבוה של עבירות החזקת סם, א</w:t>
      </w:r>
      <w:r w:rsidRPr="007B7BF8">
        <w:rPr>
          <w:rFonts w:hint="cs"/>
          <w:sz w:val="20"/>
          <w:rtl/>
          <w:lang w:eastAsia="he-IL"/>
        </w:rPr>
        <w:t>ך אין להקל ראש בכך ש</w:t>
      </w:r>
      <w:r w:rsidRPr="007B7BF8">
        <w:rPr>
          <w:sz w:val="20"/>
          <w:rtl/>
          <w:lang w:eastAsia="he-IL"/>
        </w:rPr>
        <w:t>מדובר ב</w:t>
      </w:r>
      <w:r w:rsidRPr="007B7BF8">
        <w:rPr>
          <w:rFonts w:hint="cs"/>
          <w:sz w:val="20"/>
          <w:rtl/>
          <w:lang w:eastAsia="he-IL"/>
        </w:rPr>
        <w:t>-2 פלטות במשקל 191.1 גרם</w:t>
      </w:r>
      <w:r w:rsidRPr="007B7BF8">
        <w:rPr>
          <w:sz w:val="20"/>
          <w:rtl/>
          <w:lang w:eastAsia="he-IL"/>
        </w:rPr>
        <w:t>. כפי שקבע כב' הש' בן טולילה ב-</w:t>
      </w:r>
      <w:r w:rsidRPr="007B7BF8">
        <w:rPr>
          <w:rFonts w:ascii="Miriam" w:hAnsi="Miriam" w:cs="Miriam"/>
          <w:b/>
          <w:bCs/>
          <w:sz w:val="22"/>
          <w:szCs w:val="22"/>
          <w:rtl/>
          <w:lang w:eastAsia="he-IL"/>
        </w:rPr>
        <w:t>ענין אשורוב</w:t>
      </w:r>
      <w:r>
        <w:rPr>
          <w:rtl/>
        </w:rPr>
        <w:t xml:space="preserve"> - </w:t>
      </w:r>
      <w:r w:rsidRPr="007B7BF8">
        <w:rPr>
          <w:sz w:val="18"/>
          <w:szCs w:val="22"/>
          <w:rtl/>
          <w:lang w:eastAsia="he-IL"/>
        </w:rPr>
        <w:t>"</w:t>
      </w:r>
      <w:r w:rsidRPr="007B7BF8">
        <w:rPr>
          <w:rFonts w:ascii="Calibri" w:eastAsia="Calibri" w:hAnsi="Calibri"/>
          <w:b/>
          <w:bCs/>
          <w:rtl/>
          <w:lang w:eastAsia="he-IL"/>
        </w:rPr>
        <w:t>ברי כי ככל שכמות הסם גדלה כך גם עונשו של הנאשם חמור יותר יחד עם זאת אין לדבר על יחס ליניארי ישיר וקשיח בין כמות הסם לעונש</w:t>
      </w:r>
      <w:r w:rsidRPr="007B7BF8">
        <w:rPr>
          <w:rFonts w:ascii="Calibri" w:eastAsia="Calibri" w:hAnsi="Calibri"/>
          <w:rtl/>
          <w:lang w:eastAsia="he-IL"/>
        </w:rPr>
        <w:t>";</w:t>
      </w:r>
    </w:p>
    <w:p w14:paraId="471556A1" w14:textId="77777777" w:rsidR="00C20537" w:rsidRPr="008E275C" w:rsidRDefault="00C20537" w:rsidP="00C20537">
      <w:pPr>
        <w:pStyle w:val="a9"/>
        <w:widowControl w:val="0"/>
        <w:rPr>
          <w:sz w:val="16"/>
          <w:szCs w:val="20"/>
          <w:rtl/>
          <w:lang w:eastAsia="he-IL"/>
        </w:rPr>
      </w:pPr>
    </w:p>
    <w:p w14:paraId="18A94A03" w14:textId="77777777" w:rsidR="00C20537" w:rsidRDefault="00C20537" w:rsidP="00C20537">
      <w:pPr>
        <w:widowControl w:val="0"/>
        <w:numPr>
          <w:ilvl w:val="2"/>
          <w:numId w:val="1"/>
        </w:numPr>
        <w:tabs>
          <w:tab w:val="left" w:pos="1134"/>
        </w:tabs>
        <w:spacing w:line="360" w:lineRule="auto"/>
        <w:ind w:left="1134" w:hanging="414"/>
        <w:jc w:val="both"/>
      </w:pPr>
      <w:r>
        <w:rPr>
          <w:rtl/>
        </w:rPr>
        <w:t xml:space="preserve">בהינתן כי הסם המסוכן נתפס </w:t>
      </w:r>
      <w:r>
        <w:rPr>
          <w:u w:val="single"/>
          <w:rtl/>
        </w:rPr>
        <w:t>לא נגרם נזק מביצוע העבירה - אולם הנזק שהיה עלול להיגרם מהחזקת הסם הוא רב</w:t>
      </w:r>
      <w:r>
        <w:rPr>
          <w:rtl/>
        </w:rPr>
        <w:t>, בין היתר בהינתן סוג הסם, כמותו ונסיבות החזקתו, כאשר נפסק לא אחת כי עבירת החזקת סמים שלא לצריכה עצמית היא "אחותה" של עבירת הסחר בסמים</w:t>
      </w:r>
      <w:r>
        <w:rPr>
          <w:rFonts w:hint="cs"/>
          <w:rtl/>
        </w:rPr>
        <w:t xml:space="preserve"> [ראו והשוו: </w:t>
      </w:r>
      <w:r w:rsidRPr="001F7BB0">
        <w:rPr>
          <w:rFonts w:ascii="Miriam" w:hAnsi="Miriam" w:cs="Miriam" w:hint="cs"/>
          <w:b/>
          <w:bCs/>
          <w:sz w:val="18"/>
          <w:szCs w:val="22"/>
          <w:rtl/>
          <w:lang w:eastAsia="he-IL"/>
        </w:rPr>
        <w:t>פס"ד רובינוב</w:t>
      </w:r>
      <w:r>
        <w:rPr>
          <w:rFonts w:hint="cs"/>
          <w:rtl/>
        </w:rPr>
        <w:t xml:space="preserve"> ו-</w:t>
      </w:r>
      <w:r w:rsidRPr="001F7BB0">
        <w:rPr>
          <w:rFonts w:ascii="Miriam" w:hAnsi="Miriam" w:cs="Miriam" w:hint="cs"/>
          <w:b/>
          <w:bCs/>
          <w:sz w:val="18"/>
          <w:szCs w:val="22"/>
          <w:rtl/>
          <w:lang w:eastAsia="he-IL"/>
        </w:rPr>
        <w:t>פס"ד ויצמן</w:t>
      </w:r>
      <w:r>
        <w:rPr>
          <w:rFonts w:hint="cs"/>
          <w:rtl/>
        </w:rPr>
        <w:t>]</w:t>
      </w:r>
      <w:r>
        <w:rPr>
          <w:rtl/>
        </w:rPr>
        <w:t>;</w:t>
      </w:r>
      <w:r>
        <w:rPr>
          <w:rFonts w:hint="cs"/>
          <w:rtl/>
        </w:rPr>
        <w:t xml:space="preserve"> </w:t>
      </w:r>
      <w:r>
        <w:rPr>
          <w:rtl/>
        </w:rPr>
        <w:t xml:space="preserve"> </w:t>
      </w:r>
    </w:p>
    <w:p w14:paraId="318921AB" w14:textId="77777777" w:rsidR="00C20537" w:rsidRPr="008E275C" w:rsidRDefault="00C20537" w:rsidP="00C20537">
      <w:pPr>
        <w:pStyle w:val="a9"/>
        <w:widowControl w:val="0"/>
        <w:rPr>
          <w:sz w:val="20"/>
          <w:szCs w:val="20"/>
          <w:rtl/>
        </w:rPr>
      </w:pPr>
    </w:p>
    <w:p w14:paraId="74DD6905" w14:textId="77777777" w:rsidR="00C20537" w:rsidRDefault="00C20537" w:rsidP="00C20537">
      <w:pPr>
        <w:widowControl w:val="0"/>
        <w:numPr>
          <w:ilvl w:val="2"/>
          <w:numId w:val="1"/>
        </w:numPr>
        <w:tabs>
          <w:tab w:val="left" w:pos="1134"/>
        </w:tabs>
        <w:spacing w:line="360" w:lineRule="auto"/>
        <w:ind w:left="1134" w:hanging="414"/>
        <w:jc w:val="both"/>
      </w:pPr>
      <w:r>
        <w:rPr>
          <w:u w:val="single"/>
          <w:rtl/>
        </w:rPr>
        <w:t>הסיבות שהביאו הנאשם לבצע העבירה</w:t>
      </w:r>
      <w:r>
        <w:rPr>
          <w:rtl/>
        </w:rPr>
        <w:t xml:space="preserve"> הן </w:t>
      </w:r>
      <w:r>
        <w:rPr>
          <w:rFonts w:hint="cs"/>
          <w:rtl/>
        </w:rPr>
        <w:t>כנטען</w:t>
      </w:r>
      <w:r>
        <w:rPr>
          <w:rtl/>
        </w:rPr>
        <w:t xml:space="preserve"> </w:t>
      </w:r>
      <w:r>
        <w:rPr>
          <w:rFonts w:hint="cs"/>
          <w:rtl/>
        </w:rPr>
        <w:t>ב</w:t>
      </w:r>
      <w:r>
        <w:rPr>
          <w:rtl/>
        </w:rPr>
        <w:t xml:space="preserve">דברי הנאשם </w:t>
      </w:r>
      <w:r>
        <w:rPr>
          <w:rFonts w:hint="cs"/>
          <w:rtl/>
        </w:rPr>
        <w:t xml:space="preserve">לעונש </w:t>
      </w:r>
      <w:r>
        <w:rPr>
          <w:rtl/>
        </w:rPr>
        <w:t>ו</w:t>
      </w:r>
      <w:r>
        <w:rPr>
          <w:rFonts w:hint="cs"/>
          <w:rtl/>
        </w:rPr>
        <w:t>ב</w:t>
      </w:r>
      <w:r>
        <w:rPr>
          <w:rtl/>
        </w:rPr>
        <w:t>טיעוני בא כוחו לעונש</w:t>
      </w:r>
      <w:r>
        <w:rPr>
          <w:rFonts w:hint="cs"/>
          <w:rtl/>
        </w:rPr>
        <w:t xml:space="preserve"> הן הכאבים מהם סבל בשל תאונת דרכים שעבר (ראו: </w:t>
      </w:r>
      <w:r w:rsidRPr="00F614B3">
        <w:rPr>
          <w:rFonts w:ascii="Miriam" w:hAnsi="Miriam" w:cs="Miriam" w:hint="cs"/>
          <w:b/>
          <w:bCs/>
          <w:sz w:val="18"/>
          <w:szCs w:val="22"/>
          <w:rtl/>
          <w:lang w:eastAsia="he-IL"/>
        </w:rPr>
        <w:t>ה/1</w:t>
      </w:r>
      <w:r>
        <w:rPr>
          <w:rFonts w:hint="cs"/>
          <w:rtl/>
        </w:rPr>
        <w:t xml:space="preserve"> עד</w:t>
      </w:r>
      <w:r w:rsidRPr="00F614B3">
        <w:rPr>
          <w:rFonts w:ascii="Miriam" w:hAnsi="Miriam" w:cs="Miriam" w:hint="cs"/>
          <w:b/>
          <w:bCs/>
          <w:sz w:val="18"/>
          <w:szCs w:val="22"/>
          <w:rtl/>
          <w:lang w:eastAsia="he-IL"/>
        </w:rPr>
        <w:t xml:space="preserve"> ה/4</w:t>
      </w:r>
      <w:r>
        <w:rPr>
          <w:rFonts w:hint="cs"/>
          <w:rtl/>
        </w:rPr>
        <w:t xml:space="preserve">), כאשר כיום יש לנאשם רישיון להחזקת קנאבוס רפואי (ראו </w:t>
      </w:r>
      <w:r w:rsidRPr="00F614B3">
        <w:rPr>
          <w:rFonts w:ascii="Miriam" w:hAnsi="Miriam" w:cs="Miriam" w:hint="cs"/>
          <w:b/>
          <w:bCs/>
          <w:sz w:val="18"/>
          <w:szCs w:val="22"/>
          <w:rtl/>
          <w:lang w:eastAsia="he-IL"/>
        </w:rPr>
        <w:t>ה/5</w:t>
      </w:r>
      <w:r>
        <w:rPr>
          <w:rFonts w:hint="cs"/>
          <w:rtl/>
        </w:rPr>
        <w:t>)</w:t>
      </w:r>
      <w:r>
        <w:rPr>
          <w:rtl/>
        </w:rPr>
        <w:t>.</w:t>
      </w:r>
      <w:r>
        <w:rPr>
          <w:rFonts w:hint="cs"/>
          <w:rtl/>
        </w:rPr>
        <w:t xml:space="preserve"> </w:t>
      </w:r>
      <w:r>
        <w:rPr>
          <w:rtl/>
        </w:rPr>
        <w:t xml:space="preserve"> </w:t>
      </w:r>
    </w:p>
    <w:p w14:paraId="6D12E517" w14:textId="77777777" w:rsidR="00C20537" w:rsidRPr="00F614B3" w:rsidRDefault="00C20537" w:rsidP="00C20537">
      <w:pPr>
        <w:widowControl w:val="0"/>
        <w:spacing w:line="360" w:lineRule="auto"/>
        <w:jc w:val="both"/>
        <w:rPr>
          <w:rFonts w:ascii="David" w:hAnsi="David"/>
          <w:bCs/>
          <w:sz w:val="26"/>
          <w:szCs w:val="26"/>
          <w:rtl/>
        </w:rPr>
      </w:pPr>
    </w:p>
    <w:p w14:paraId="08EBA25D" w14:textId="77777777" w:rsidR="00C20537" w:rsidRPr="000666B7" w:rsidRDefault="00C20537" w:rsidP="00C20537">
      <w:pPr>
        <w:widowControl w:val="0"/>
        <w:spacing w:line="360" w:lineRule="auto"/>
        <w:jc w:val="both"/>
        <w:rPr>
          <w:rFonts w:ascii="David" w:hAnsi="David"/>
          <w:bCs/>
          <w:sz w:val="26"/>
          <w:szCs w:val="26"/>
          <w:rtl/>
        </w:rPr>
      </w:pPr>
      <w:r w:rsidRPr="000666B7">
        <w:rPr>
          <w:rFonts w:ascii="David" w:hAnsi="David"/>
          <w:bCs/>
          <w:sz w:val="26"/>
          <w:szCs w:val="26"/>
          <w:rtl/>
        </w:rPr>
        <w:t>מתחם העונש ההולם</w:t>
      </w:r>
    </w:p>
    <w:p w14:paraId="52C078C4" w14:textId="77777777" w:rsidR="00C20537" w:rsidRDefault="00C20537" w:rsidP="00C20537">
      <w:pPr>
        <w:widowControl w:val="0"/>
        <w:numPr>
          <w:ilvl w:val="0"/>
          <w:numId w:val="1"/>
        </w:numPr>
        <w:snapToGrid w:val="0"/>
        <w:spacing w:line="360" w:lineRule="auto"/>
        <w:ind w:left="357" w:hanging="357"/>
        <w:jc w:val="both"/>
        <w:rPr>
          <w:b/>
          <w:sz w:val="20"/>
          <w:lang w:eastAsia="he-IL"/>
        </w:rPr>
      </w:pPr>
      <w:r>
        <w:rPr>
          <w:sz w:val="20"/>
          <w:rtl/>
          <w:lang w:eastAsia="he-IL"/>
        </w:rPr>
        <w:t xml:space="preserve">הנאשם הורשע בעבירה אחת המהווה אירוע אחד, ומשכך אני קובעת מתחם עונש הולם </w:t>
      </w:r>
      <w:r>
        <w:rPr>
          <w:rtl/>
        </w:rPr>
        <w:t xml:space="preserve">כמתחם </w:t>
      </w:r>
      <w:r w:rsidRPr="00065645">
        <w:rPr>
          <w:rFonts w:hint="cs"/>
          <w:b/>
          <w:bCs/>
          <w:rtl/>
        </w:rPr>
        <w:t>4</w:t>
      </w:r>
      <w:r w:rsidRPr="00065645">
        <w:rPr>
          <w:b/>
          <w:bCs/>
          <w:rtl/>
        </w:rPr>
        <w:t>–</w:t>
      </w:r>
      <w:r>
        <w:rPr>
          <w:rFonts w:hint="cs"/>
          <w:b/>
          <w:bCs/>
          <w:rtl/>
        </w:rPr>
        <w:t xml:space="preserve">12 </w:t>
      </w:r>
      <w:r>
        <w:rPr>
          <w:b/>
          <w:bCs/>
          <w:rtl/>
        </w:rPr>
        <w:t>חודשי מאסר בפועל, לצד ענישה נלווית, הכוללת מאסרים מותנים, פסילה בפועל ועל תנאי, ועונשים כלכליים, הכוללים קנס והתחייבות</w:t>
      </w:r>
      <w:r>
        <w:rPr>
          <w:rtl/>
        </w:rPr>
        <w:t>.</w:t>
      </w:r>
      <w:r>
        <w:rPr>
          <w:b/>
          <w:sz w:val="20"/>
          <w:rtl/>
          <w:lang w:eastAsia="he-IL"/>
        </w:rPr>
        <w:t xml:space="preserve"> מתחם הקנס יקבע בנפרד כמפורט להלן. </w:t>
      </w:r>
    </w:p>
    <w:p w14:paraId="3CE5CCC6" w14:textId="77777777" w:rsidR="00C20537" w:rsidRPr="00065645" w:rsidRDefault="00C20537" w:rsidP="00C20537">
      <w:pPr>
        <w:widowControl w:val="0"/>
        <w:snapToGrid w:val="0"/>
        <w:spacing w:line="360" w:lineRule="auto"/>
        <w:ind w:left="357"/>
        <w:jc w:val="both"/>
        <w:rPr>
          <w:b/>
          <w:sz w:val="20"/>
          <w:lang w:eastAsia="he-IL"/>
        </w:rPr>
      </w:pPr>
    </w:p>
    <w:p w14:paraId="56ED8C0A" w14:textId="77777777" w:rsidR="00C20537" w:rsidRPr="00F064CE" w:rsidRDefault="00C20537" w:rsidP="00C20537">
      <w:pPr>
        <w:widowControl w:val="0"/>
        <w:numPr>
          <w:ilvl w:val="0"/>
          <w:numId w:val="1"/>
        </w:numPr>
        <w:snapToGrid w:val="0"/>
        <w:spacing w:line="360" w:lineRule="auto"/>
        <w:ind w:left="357" w:hanging="357"/>
        <w:jc w:val="both"/>
        <w:rPr>
          <w:b/>
          <w:sz w:val="20"/>
          <w:lang w:eastAsia="he-IL"/>
        </w:rPr>
      </w:pPr>
      <w:r>
        <w:rPr>
          <w:sz w:val="20"/>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לצד זאת, בהתאם </w:t>
      </w:r>
      <w:hyperlink r:id="rId44" w:history="1">
        <w:r w:rsidR="0048772B" w:rsidRPr="0048772B">
          <w:rPr>
            <w:rStyle w:val="Hyperlink"/>
            <w:sz w:val="20"/>
            <w:rtl/>
            <w:lang w:eastAsia="he-IL"/>
          </w:rPr>
          <w:t>לסעיף 40ח</w:t>
        </w:r>
      </w:hyperlink>
      <w:r>
        <w:rPr>
          <w:sz w:val="20"/>
          <w:rtl/>
          <w:lang w:eastAsia="he-IL"/>
        </w:rPr>
        <w:t xml:space="preserve"> ל</w:t>
      </w:r>
      <w:r>
        <w:rPr>
          <w:rFonts w:hint="cs"/>
          <w:sz w:val="20"/>
          <w:rtl/>
          <w:lang w:eastAsia="he-IL"/>
        </w:rPr>
        <w:t>-</w:t>
      </w:r>
      <w:hyperlink r:id="rId45" w:history="1">
        <w:r w:rsidR="006B0CC5" w:rsidRPr="006B0CC5">
          <w:rPr>
            <w:rFonts w:ascii="Miriam" w:hAnsi="Miriam" w:cs="Miriam"/>
            <w:b/>
            <w:bCs/>
            <w:color w:val="0000FF"/>
            <w:sz w:val="22"/>
            <w:szCs w:val="22"/>
            <w:u w:val="single"/>
            <w:rtl/>
            <w:lang w:eastAsia="he-IL"/>
          </w:rPr>
          <w:t>חוק העונשין</w:t>
        </w:r>
      </w:hyperlink>
      <w:r>
        <w:rPr>
          <w:sz w:val="20"/>
          <w:rtl/>
          <w:lang w:eastAsia="he-IL"/>
        </w:rPr>
        <w:t xml:space="preserve">, התחשבתי במצבו הכלכלי הנטען של הנאשם, שכן כשמדובר בקנס אין דין פלוני כאלמוני. משכך, </w:t>
      </w:r>
      <w:r>
        <w:rPr>
          <w:b/>
          <w:bCs/>
          <w:sz w:val="20"/>
          <w:rtl/>
          <w:lang w:eastAsia="he-IL"/>
        </w:rPr>
        <w:t xml:space="preserve">מתחם הקנס </w:t>
      </w:r>
      <w:r>
        <w:rPr>
          <w:rFonts w:hint="cs"/>
          <w:b/>
          <w:bCs/>
          <w:sz w:val="20"/>
          <w:rtl/>
          <w:lang w:eastAsia="he-IL"/>
        </w:rPr>
        <w:t>הוא 1,5</w:t>
      </w:r>
      <w:r>
        <w:rPr>
          <w:b/>
          <w:bCs/>
          <w:sz w:val="20"/>
          <w:rtl/>
          <w:lang w:eastAsia="he-IL"/>
        </w:rPr>
        <w:t>00 ₪</w:t>
      </w:r>
      <w:r>
        <w:rPr>
          <w:rFonts w:hint="cs"/>
          <w:b/>
          <w:bCs/>
          <w:sz w:val="20"/>
          <w:rtl/>
          <w:lang w:eastAsia="he-IL"/>
        </w:rPr>
        <w:t>-</w:t>
      </w:r>
      <w:r>
        <w:rPr>
          <w:b/>
          <w:bCs/>
          <w:sz w:val="20"/>
          <w:rtl/>
          <w:lang w:eastAsia="he-IL"/>
        </w:rPr>
        <w:t>20,000 ₪</w:t>
      </w:r>
      <w:r>
        <w:rPr>
          <w:sz w:val="20"/>
          <w:rtl/>
          <w:lang w:eastAsia="he-IL"/>
        </w:rPr>
        <w:t xml:space="preserve">. </w:t>
      </w:r>
    </w:p>
    <w:p w14:paraId="722239BD" w14:textId="77777777" w:rsidR="00C20537" w:rsidRPr="00065645" w:rsidRDefault="00C20537" w:rsidP="00C20537">
      <w:pPr>
        <w:pStyle w:val="a9"/>
        <w:widowControl w:val="0"/>
        <w:spacing w:line="360" w:lineRule="auto"/>
        <w:rPr>
          <w:b/>
          <w:sz w:val="20"/>
          <w:rtl/>
          <w:lang w:eastAsia="he-IL"/>
        </w:rPr>
      </w:pPr>
    </w:p>
    <w:p w14:paraId="260E0D42" w14:textId="77777777" w:rsidR="00C20537" w:rsidRDefault="00C20537" w:rsidP="00C20537">
      <w:pPr>
        <w:widowControl w:val="0"/>
        <w:numPr>
          <w:ilvl w:val="0"/>
          <w:numId w:val="1"/>
        </w:numPr>
        <w:snapToGrid w:val="0"/>
        <w:spacing w:line="360" w:lineRule="auto"/>
        <w:ind w:left="357" w:hanging="357"/>
        <w:jc w:val="both"/>
        <w:rPr>
          <w:b/>
          <w:sz w:val="20"/>
          <w:lang w:eastAsia="he-IL"/>
        </w:rPr>
      </w:pPr>
      <w:r>
        <w:rPr>
          <w:sz w:val="20"/>
          <w:rtl/>
          <w:lang w:eastAsia="he-IL"/>
        </w:rPr>
        <w:t xml:space="preserve">כפי שנקבע בפסיקה ובהתאם להוראות </w:t>
      </w:r>
      <w:hyperlink r:id="rId46" w:history="1">
        <w:r w:rsidR="0048772B" w:rsidRPr="0048772B">
          <w:rPr>
            <w:rStyle w:val="Hyperlink"/>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הקשורות בסם מסוכן יש חשיבות לפסילה, כאשר </w:t>
      </w:r>
      <w:r>
        <w:rPr>
          <w:b/>
          <w:bCs/>
          <w:sz w:val="20"/>
          <w:rtl/>
          <w:lang w:eastAsia="he-IL"/>
        </w:rPr>
        <w:t>מתחם הפסילה נע בין פסילה מותנית לבין שנת פסילה בפועל</w:t>
      </w:r>
      <w:r>
        <w:rPr>
          <w:sz w:val="20"/>
          <w:rtl/>
          <w:lang w:eastAsia="he-IL"/>
        </w:rPr>
        <w:t>.</w:t>
      </w:r>
    </w:p>
    <w:p w14:paraId="041F71B9" w14:textId="77777777" w:rsidR="00C20537" w:rsidRDefault="00C20537" w:rsidP="00C20537">
      <w:pPr>
        <w:widowControl w:val="0"/>
        <w:spacing w:line="360" w:lineRule="auto"/>
        <w:jc w:val="both"/>
        <w:rPr>
          <w:rFonts w:ascii="David" w:hAnsi="David"/>
          <w:bCs/>
          <w:sz w:val="26"/>
          <w:szCs w:val="26"/>
          <w:rtl/>
        </w:rPr>
      </w:pPr>
    </w:p>
    <w:p w14:paraId="455A8A64" w14:textId="77777777" w:rsidR="00C20537" w:rsidRPr="00F064CE" w:rsidRDefault="00C20537" w:rsidP="00C20537">
      <w:pPr>
        <w:widowControl w:val="0"/>
        <w:spacing w:line="360" w:lineRule="auto"/>
        <w:jc w:val="both"/>
        <w:rPr>
          <w:rFonts w:ascii="David" w:hAnsi="David"/>
          <w:bCs/>
          <w:sz w:val="26"/>
          <w:szCs w:val="26"/>
        </w:rPr>
      </w:pPr>
      <w:r w:rsidRPr="00F064CE">
        <w:rPr>
          <w:rFonts w:ascii="David" w:hAnsi="David"/>
          <w:bCs/>
          <w:sz w:val="26"/>
          <w:szCs w:val="26"/>
          <w:rtl/>
        </w:rPr>
        <w:t>גזירת העונש המתאים לנאשם במסגרת המתחם</w:t>
      </w:r>
    </w:p>
    <w:p w14:paraId="3D7C0368" w14:textId="77777777" w:rsidR="00C20537" w:rsidRDefault="00C20537" w:rsidP="00C20537">
      <w:pPr>
        <w:widowControl w:val="0"/>
        <w:numPr>
          <w:ilvl w:val="0"/>
          <w:numId w:val="1"/>
        </w:numPr>
        <w:snapToGrid w:val="0"/>
        <w:spacing w:line="360" w:lineRule="auto"/>
        <w:ind w:left="357" w:hanging="357"/>
        <w:jc w:val="both"/>
        <w:rPr>
          <w:sz w:val="20"/>
          <w:lang w:eastAsia="he-IL"/>
        </w:rPr>
      </w:pPr>
      <w:r>
        <w:rPr>
          <w:sz w:val="20"/>
          <w:rtl/>
          <w:lang w:eastAsia="he-IL"/>
        </w:rPr>
        <w:t xml:space="preserve">בגזירת העונש המתאים לנאשם התחשבתי, בהתאם </w:t>
      </w:r>
      <w:hyperlink r:id="rId47" w:history="1">
        <w:r w:rsidR="0048772B" w:rsidRPr="0048772B">
          <w:rPr>
            <w:rStyle w:val="Hyperlink"/>
            <w:sz w:val="20"/>
            <w:rtl/>
            <w:lang w:eastAsia="he-IL"/>
          </w:rPr>
          <w:t>לסעיף 40ג(ב)</w:t>
        </w:r>
      </w:hyperlink>
      <w:r>
        <w:rPr>
          <w:sz w:val="20"/>
          <w:rtl/>
          <w:lang w:eastAsia="he-IL"/>
        </w:rPr>
        <w:t xml:space="preserve"> ל</w:t>
      </w:r>
      <w:r>
        <w:rPr>
          <w:rFonts w:hint="cs"/>
          <w:sz w:val="20"/>
          <w:rtl/>
          <w:lang w:eastAsia="he-IL"/>
        </w:rPr>
        <w:t>-</w:t>
      </w:r>
      <w:hyperlink r:id="rId48" w:history="1">
        <w:r w:rsidR="006B0CC5" w:rsidRPr="006B0CC5">
          <w:rPr>
            <w:rFonts w:ascii="Miriam" w:hAnsi="Miriam" w:cs="Miriam"/>
            <w:b/>
            <w:bCs/>
            <w:color w:val="0000FF"/>
            <w:sz w:val="18"/>
            <w:szCs w:val="22"/>
            <w:u w:val="single"/>
            <w:rtl/>
            <w:lang w:eastAsia="he-IL"/>
          </w:rPr>
          <w:t>חוק העונשין</w:t>
        </w:r>
      </w:hyperlink>
      <w:r>
        <w:rPr>
          <w:rFonts w:ascii="Miriam" w:hAnsi="Miriam" w:cs="Miriam"/>
          <w:b/>
          <w:bCs/>
          <w:sz w:val="18"/>
          <w:szCs w:val="22"/>
          <w:rtl/>
          <w:lang w:eastAsia="he-IL"/>
        </w:rPr>
        <w:t xml:space="preserve">, </w:t>
      </w:r>
      <w:r>
        <w:rPr>
          <w:sz w:val="20"/>
          <w:rtl/>
          <w:lang w:eastAsia="he-IL"/>
        </w:rPr>
        <w:t xml:space="preserve">בנסיבות שאינן קשורות בביצוע העבירה כאמור </w:t>
      </w:r>
      <w:hyperlink r:id="rId49" w:history="1">
        <w:r w:rsidR="0048772B" w:rsidRPr="0048772B">
          <w:rPr>
            <w:rStyle w:val="Hyperlink"/>
            <w:sz w:val="20"/>
            <w:rtl/>
            <w:lang w:eastAsia="he-IL"/>
          </w:rPr>
          <w:t>בסעיף 40יא</w:t>
        </w:r>
      </w:hyperlink>
      <w:r>
        <w:rPr>
          <w:sz w:val="20"/>
          <w:rtl/>
          <w:lang w:eastAsia="he-IL"/>
        </w:rPr>
        <w:t xml:space="preserve"> ל</w:t>
      </w:r>
      <w:r>
        <w:rPr>
          <w:rFonts w:hint="cs"/>
          <w:sz w:val="20"/>
          <w:rtl/>
          <w:lang w:eastAsia="he-IL"/>
        </w:rPr>
        <w:t>-</w:t>
      </w:r>
      <w:r>
        <w:rPr>
          <w:rFonts w:ascii="Miriam" w:hAnsi="Miriam" w:cs="Miriam"/>
          <w:b/>
          <w:bCs/>
          <w:sz w:val="18"/>
          <w:szCs w:val="22"/>
          <w:rtl/>
          <w:lang w:eastAsia="he-IL"/>
        </w:rPr>
        <w:t>חוק העונשין</w:t>
      </w:r>
      <w:r>
        <w:rPr>
          <w:sz w:val="20"/>
          <w:rtl/>
          <w:lang w:eastAsia="he-IL"/>
        </w:rPr>
        <w:t xml:space="preserve"> – </w:t>
      </w:r>
    </w:p>
    <w:p w14:paraId="599B87E5" w14:textId="77777777" w:rsidR="00C20537" w:rsidRPr="00065645" w:rsidRDefault="00C20537" w:rsidP="00C20537">
      <w:pPr>
        <w:widowControl w:val="0"/>
        <w:snapToGrid w:val="0"/>
        <w:ind w:left="357"/>
        <w:jc w:val="both"/>
        <w:rPr>
          <w:sz w:val="20"/>
          <w:lang w:eastAsia="he-IL"/>
        </w:rPr>
      </w:pPr>
    </w:p>
    <w:p w14:paraId="3EB9313C" w14:textId="77777777" w:rsidR="00C20537" w:rsidRPr="00BC6D2B" w:rsidRDefault="00C20537" w:rsidP="00C20537">
      <w:pPr>
        <w:pStyle w:val="a9"/>
        <w:widowControl w:val="0"/>
        <w:numPr>
          <w:ilvl w:val="2"/>
          <w:numId w:val="1"/>
        </w:numPr>
        <w:tabs>
          <w:tab w:val="left" w:pos="850"/>
        </w:tabs>
        <w:spacing w:line="360" w:lineRule="auto"/>
        <w:ind w:left="845" w:hanging="488"/>
        <w:jc w:val="both"/>
        <w:rPr>
          <w:rFonts w:ascii="David" w:hAnsi="David"/>
          <w:color w:val="000000"/>
        </w:rPr>
      </w:pPr>
      <w:r w:rsidRPr="00BC6D2B">
        <w:rPr>
          <w:rFonts w:ascii="David" w:hAnsi="David" w:hint="cs"/>
          <w:color w:val="000000"/>
          <w:u w:val="single"/>
          <w:rtl/>
        </w:rPr>
        <w:t>נסיבות חייו של הנאשם</w:t>
      </w:r>
      <w:r w:rsidRPr="00BC6D2B">
        <w:rPr>
          <w:rFonts w:ascii="David" w:hAnsi="David" w:hint="cs"/>
          <w:color w:val="000000"/>
          <w:rtl/>
        </w:rPr>
        <w:t xml:space="preserve"> </w:t>
      </w:r>
      <w:r w:rsidRPr="00BC6D2B">
        <w:rPr>
          <w:rFonts w:ascii="David" w:hAnsi="David"/>
          <w:color w:val="000000"/>
          <w:rtl/>
        </w:rPr>
        <w:t xml:space="preserve">– </w:t>
      </w:r>
      <w:r w:rsidRPr="00BC6D2B">
        <w:rPr>
          <w:sz w:val="20"/>
          <w:rtl/>
          <w:lang w:eastAsia="he-IL"/>
        </w:rPr>
        <w:t xml:space="preserve">הנאשם </w:t>
      </w:r>
      <w:r w:rsidRPr="00BC6D2B">
        <w:rPr>
          <w:rFonts w:hint="cs"/>
          <w:sz w:val="20"/>
          <w:rtl/>
          <w:lang w:eastAsia="he-IL"/>
        </w:rPr>
        <w:t xml:space="preserve">רווק, </w:t>
      </w:r>
      <w:r w:rsidRPr="00BC6D2B">
        <w:rPr>
          <w:sz w:val="20"/>
          <w:rtl/>
          <w:lang w:eastAsia="he-IL"/>
        </w:rPr>
        <w:t xml:space="preserve">כבן </w:t>
      </w:r>
      <w:r w:rsidRPr="00BC6D2B">
        <w:rPr>
          <w:rFonts w:hint="cs"/>
          <w:sz w:val="20"/>
          <w:rtl/>
          <w:lang w:eastAsia="he-IL"/>
        </w:rPr>
        <w:t>25 (היה כבן 20 בעת ביצוע העבירה)</w:t>
      </w:r>
      <w:r w:rsidRPr="00BC6D2B">
        <w:rPr>
          <w:sz w:val="20"/>
          <w:rtl/>
          <w:lang w:eastAsia="he-IL"/>
        </w:rPr>
        <w:t xml:space="preserve">. </w:t>
      </w:r>
      <w:r w:rsidRPr="00BC6D2B">
        <w:rPr>
          <w:rFonts w:hint="cs"/>
          <w:sz w:val="20"/>
          <w:rtl/>
          <w:lang w:eastAsia="he-IL"/>
        </w:rPr>
        <w:t>הנאשם עבר תאונת דרכים קשה במסגרתה נשברו עצמות אגן וחוליה בעמוד שדרה תחתון. לנאשם בעיות רפואיות מורכבות נוספות לכאבי הגב מהם סובל</w:t>
      </w:r>
      <w:r>
        <w:rPr>
          <w:rFonts w:hint="cs"/>
          <w:sz w:val="20"/>
          <w:rtl/>
          <w:lang w:eastAsia="he-IL"/>
        </w:rPr>
        <w:t xml:space="preserve">, </w:t>
      </w:r>
      <w:r w:rsidRPr="00BC6D2B">
        <w:rPr>
          <w:rFonts w:hint="cs"/>
          <w:sz w:val="20"/>
          <w:rtl/>
          <w:lang w:eastAsia="he-IL"/>
        </w:rPr>
        <w:t>כמפורט ב</w:t>
      </w:r>
      <w:r>
        <w:rPr>
          <w:rFonts w:hint="cs"/>
          <w:sz w:val="20"/>
          <w:rtl/>
          <w:lang w:eastAsia="he-IL"/>
        </w:rPr>
        <w:t>תיעוד</w:t>
      </w:r>
      <w:r w:rsidRPr="00BC6D2B">
        <w:rPr>
          <w:rFonts w:hint="cs"/>
          <w:sz w:val="20"/>
          <w:rtl/>
          <w:lang w:eastAsia="he-IL"/>
        </w:rPr>
        <w:t xml:space="preserve"> הרפואי</w:t>
      </w:r>
      <w:r>
        <w:rPr>
          <w:rFonts w:hint="cs"/>
          <w:sz w:val="20"/>
          <w:rtl/>
          <w:lang w:eastAsia="he-IL"/>
        </w:rPr>
        <w:t xml:space="preserve"> </w:t>
      </w:r>
      <w:r w:rsidRPr="007B7BF8">
        <w:rPr>
          <w:rFonts w:ascii="Miriam" w:hAnsi="Miriam" w:cs="Miriam"/>
          <w:b/>
          <w:bCs/>
          <w:sz w:val="18"/>
          <w:szCs w:val="22"/>
          <w:rtl/>
          <w:lang w:eastAsia="he-IL"/>
        </w:rPr>
        <w:t>ה/1</w:t>
      </w:r>
      <w:r>
        <w:rPr>
          <w:rFonts w:hint="cs"/>
          <w:sz w:val="20"/>
          <w:rtl/>
          <w:lang w:eastAsia="he-IL"/>
        </w:rPr>
        <w:t xml:space="preserve"> עד </w:t>
      </w:r>
      <w:r w:rsidRPr="007B7BF8">
        <w:rPr>
          <w:rFonts w:ascii="Miriam" w:hAnsi="Miriam" w:cs="Miriam" w:hint="cs"/>
          <w:b/>
          <w:bCs/>
          <w:sz w:val="18"/>
          <w:szCs w:val="22"/>
          <w:rtl/>
          <w:lang w:eastAsia="he-IL"/>
        </w:rPr>
        <w:t>ה/4</w:t>
      </w:r>
      <w:r w:rsidRPr="00BC6D2B">
        <w:rPr>
          <w:rFonts w:hint="cs"/>
          <w:sz w:val="20"/>
          <w:rtl/>
          <w:lang w:eastAsia="he-IL"/>
        </w:rPr>
        <w:t xml:space="preserve"> </w:t>
      </w:r>
      <w:r>
        <w:rPr>
          <w:rFonts w:hint="cs"/>
          <w:sz w:val="20"/>
          <w:rtl/>
          <w:lang w:eastAsia="he-IL"/>
        </w:rPr>
        <w:t>(</w:t>
      </w:r>
      <w:r w:rsidRPr="00BC6D2B">
        <w:rPr>
          <w:rFonts w:hint="cs"/>
          <w:sz w:val="20"/>
          <w:rtl/>
          <w:lang w:eastAsia="he-IL"/>
        </w:rPr>
        <w:t>מפאת צנעת הפרט לא אפרט</w:t>
      </w:r>
      <w:r>
        <w:rPr>
          <w:rFonts w:hint="cs"/>
          <w:sz w:val="20"/>
          <w:rtl/>
          <w:lang w:eastAsia="he-IL"/>
        </w:rPr>
        <w:t>ן כאן)</w:t>
      </w:r>
      <w:r w:rsidRPr="00BC6D2B">
        <w:rPr>
          <w:rFonts w:hint="cs"/>
          <w:sz w:val="20"/>
          <w:rtl/>
          <w:lang w:eastAsia="he-IL"/>
        </w:rPr>
        <w:t xml:space="preserve">. מצב </w:t>
      </w:r>
      <w:r>
        <w:rPr>
          <w:rFonts w:hint="cs"/>
          <w:sz w:val="20"/>
          <w:rtl/>
          <w:lang w:eastAsia="he-IL"/>
        </w:rPr>
        <w:t xml:space="preserve">רפואי </w:t>
      </w:r>
      <w:r w:rsidRPr="00BC6D2B">
        <w:rPr>
          <w:rFonts w:hint="cs"/>
          <w:sz w:val="20"/>
          <w:rtl/>
          <w:lang w:eastAsia="he-IL"/>
        </w:rPr>
        <w:t xml:space="preserve">זה </w:t>
      </w:r>
      <w:r>
        <w:rPr>
          <w:rFonts w:hint="cs"/>
          <w:sz w:val="20"/>
          <w:rtl/>
          <w:lang w:eastAsia="he-IL"/>
        </w:rPr>
        <w:t>מל</w:t>
      </w:r>
      <w:r w:rsidRPr="00BC6D2B">
        <w:rPr>
          <w:rFonts w:hint="cs"/>
          <w:sz w:val="20"/>
          <w:rtl/>
          <w:lang w:eastAsia="he-IL"/>
        </w:rPr>
        <w:t xml:space="preserve">מד כי מאסרו של הנאשם קשה יותר משל נאשמים אחרים.   </w:t>
      </w:r>
    </w:p>
    <w:p w14:paraId="61A2AADA" w14:textId="77777777" w:rsidR="00C20537" w:rsidRDefault="00C20537" w:rsidP="00C20537">
      <w:pPr>
        <w:pStyle w:val="a9"/>
        <w:widowControl w:val="0"/>
        <w:tabs>
          <w:tab w:val="left" w:pos="850"/>
        </w:tabs>
        <w:ind w:left="845"/>
        <w:jc w:val="both"/>
        <w:rPr>
          <w:rFonts w:ascii="David" w:hAnsi="David"/>
          <w:color w:val="000000"/>
        </w:rPr>
      </w:pPr>
    </w:p>
    <w:p w14:paraId="38816827" w14:textId="77777777" w:rsidR="00C20537" w:rsidRDefault="00C20537" w:rsidP="00C20537">
      <w:pPr>
        <w:pStyle w:val="a9"/>
        <w:widowControl w:val="0"/>
        <w:numPr>
          <w:ilvl w:val="2"/>
          <w:numId w:val="1"/>
        </w:numPr>
        <w:tabs>
          <w:tab w:val="left" w:pos="850"/>
        </w:tabs>
        <w:spacing w:line="360" w:lineRule="auto"/>
        <w:ind w:left="845" w:hanging="488"/>
        <w:jc w:val="both"/>
        <w:rPr>
          <w:rFonts w:ascii="David" w:hAnsi="David"/>
          <w:color w:val="000000"/>
        </w:rPr>
      </w:pPr>
      <w:r w:rsidRPr="00604190">
        <w:rPr>
          <w:rFonts w:ascii="David" w:hAnsi="David"/>
          <w:color w:val="000000"/>
          <w:u w:val="single"/>
          <w:rtl/>
        </w:rPr>
        <w:t>נטילת האחריות של הנאשם על מעשיו, וחזרתו למוטב או מאמציו לחזור למוטב</w:t>
      </w:r>
      <w:r w:rsidRPr="00604190">
        <w:rPr>
          <w:rFonts w:ascii="David" w:hAnsi="David"/>
          <w:color w:val="000000"/>
          <w:rtl/>
        </w:rPr>
        <w:t xml:space="preserve"> –</w:t>
      </w:r>
      <w:r w:rsidRPr="00604190">
        <w:rPr>
          <w:rFonts w:ascii="David" w:hAnsi="David" w:hint="cs"/>
          <w:color w:val="000000"/>
          <w:rtl/>
        </w:rPr>
        <w:t xml:space="preserve"> הנאשם הודה בכתב האישום ככתבו וכלשונו מבלי שנעשה בו תיקון כלשהו ושלא במסגרת הסדר טיעון. נפסק לא אחת כי הודאה בכתב האישום, ודאי כשמדובר בהודאה שלא במסגרת הסדר טיעון, יש בה כדי ללמד על חרטה ועל הבנת הפסול שבמעשים</w:t>
      </w:r>
      <w:r>
        <w:rPr>
          <w:rFonts w:ascii="David" w:hAnsi="David" w:hint="cs"/>
          <w:color w:val="000000"/>
          <w:rtl/>
        </w:rPr>
        <w:t xml:space="preserve">, </w:t>
      </w:r>
      <w:r w:rsidRPr="00604190">
        <w:rPr>
          <w:rFonts w:ascii="David" w:hAnsi="David" w:hint="cs"/>
          <w:color w:val="000000"/>
          <w:rtl/>
        </w:rPr>
        <w:t>מעבר לחיסכון בזמן שיפוטי</w:t>
      </w:r>
      <w:r>
        <w:rPr>
          <w:rFonts w:ascii="David" w:hAnsi="David" w:hint="cs"/>
          <w:color w:val="000000"/>
          <w:rtl/>
        </w:rPr>
        <w:t>. אלו מצדיקים הקלה בעונש</w:t>
      </w:r>
      <w:r w:rsidRPr="00604190">
        <w:rPr>
          <w:rFonts w:ascii="David" w:hAnsi="David" w:hint="cs"/>
          <w:color w:val="000000"/>
          <w:rtl/>
        </w:rPr>
        <w:t>.</w:t>
      </w:r>
      <w:r>
        <w:rPr>
          <w:rFonts w:ascii="David" w:hAnsi="David" w:hint="cs"/>
          <w:color w:val="000000"/>
          <w:rtl/>
        </w:rPr>
        <w:t xml:space="preserve"> כך נקבע בסעיף 46 לפסק דינו של כב' הש' אינפלד ב-</w:t>
      </w:r>
      <w:hyperlink r:id="rId50" w:history="1">
        <w:r w:rsidR="006B0CC5" w:rsidRPr="006B0CC5">
          <w:rPr>
            <w:rFonts w:ascii="David" w:hAnsi="David"/>
            <w:color w:val="0000FF"/>
            <w:u w:val="single"/>
            <w:rtl/>
          </w:rPr>
          <w:t>ת"פ (מחוזי-ב"ש) 14940-02-12</w:t>
        </w:r>
      </w:hyperlink>
      <w:r>
        <w:rPr>
          <w:rFonts w:ascii="David" w:hAnsi="David" w:hint="cs"/>
          <w:color w:val="000000"/>
          <w:rtl/>
        </w:rPr>
        <w:t xml:space="preserve"> </w:t>
      </w:r>
      <w:r w:rsidRPr="00C27B4B">
        <w:rPr>
          <w:rFonts w:ascii="Miriam" w:hAnsi="Miriam" w:cs="Miriam" w:hint="cs"/>
          <w:b/>
          <w:bCs/>
          <w:noProof/>
          <w:sz w:val="18"/>
          <w:szCs w:val="22"/>
          <w:rtl/>
          <w:lang w:eastAsia="he-IL"/>
        </w:rPr>
        <w:t>מדינת ישראל נ' סדגי</w:t>
      </w:r>
      <w:r>
        <w:rPr>
          <w:rFonts w:ascii="David" w:hAnsi="David" w:hint="cs"/>
          <w:color w:val="000000"/>
          <w:rtl/>
        </w:rPr>
        <w:t xml:space="preserve"> (3.9.13) בשינויים המחויבים </w:t>
      </w:r>
      <w:r>
        <w:rPr>
          <w:rFonts w:ascii="David" w:hAnsi="David"/>
          <w:color w:val="000000"/>
          <w:rtl/>
        </w:rPr>
        <w:t>–</w:t>
      </w:r>
      <w:r>
        <w:rPr>
          <w:rFonts w:ascii="David" w:hAnsi="David" w:hint="cs"/>
          <w:color w:val="000000"/>
          <w:rtl/>
        </w:rPr>
        <w:t xml:space="preserve"> </w:t>
      </w:r>
    </w:p>
    <w:p w14:paraId="57857CC7" w14:textId="77777777" w:rsidR="00C20537" w:rsidRPr="00065645" w:rsidRDefault="00C20537" w:rsidP="00C20537">
      <w:pPr>
        <w:pStyle w:val="a9"/>
        <w:widowControl w:val="0"/>
        <w:rPr>
          <w:rFonts w:ascii="David" w:hAnsi="David"/>
          <w:color w:val="000000"/>
          <w:rtl/>
        </w:rPr>
      </w:pPr>
    </w:p>
    <w:p w14:paraId="3710CB9D" w14:textId="77777777" w:rsidR="00C20537" w:rsidRPr="00C27B4B" w:rsidRDefault="00C20537" w:rsidP="00C20537">
      <w:pPr>
        <w:pStyle w:val="a9"/>
        <w:widowControl w:val="0"/>
        <w:ind w:left="1440" w:right="851"/>
        <w:jc w:val="both"/>
        <w:rPr>
          <w:rFonts w:ascii="David" w:hAnsi="David"/>
        </w:rPr>
      </w:pPr>
      <w:r w:rsidRPr="00C27B4B">
        <w:rPr>
          <w:rFonts w:ascii="David" w:hAnsi="David"/>
          <w:rtl/>
        </w:rPr>
        <w:t>"</w:t>
      </w:r>
      <w:r w:rsidRPr="00C27B4B">
        <w:rPr>
          <w:rFonts w:ascii="David" w:hAnsi="David"/>
          <w:b/>
          <w:bCs/>
          <w:rtl/>
        </w:rPr>
        <w:t>מעבר לאינטרס המערכתי, יש משקל מהותי להודיה. הנאשם בחר לא להילחם עוד, בבחינת 'מודה ועוזב ירוחם</w:t>
      </w:r>
      <w:r w:rsidRPr="00C27B4B">
        <w:rPr>
          <w:rFonts w:ascii="David" w:hAnsi="David"/>
          <w:rtl/>
        </w:rPr>
        <w:t>'.</w:t>
      </w:r>
      <w:r w:rsidRPr="00C27B4B">
        <w:rPr>
          <w:rFonts w:ascii="David" w:hAnsi="David" w:hint="cs"/>
          <w:rtl/>
        </w:rPr>
        <w:t xml:space="preserve">.. </w:t>
      </w:r>
      <w:r w:rsidRPr="00C27B4B">
        <w:rPr>
          <w:rFonts w:ascii="David" w:hAnsi="David"/>
          <w:b/>
          <w:bCs/>
          <w:rtl/>
        </w:rPr>
        <w:t>וההודיה המלאה היא אכן לקיחת אחריות כבדה. החלטתו להפסיק את המשפט, בתנאים שהם לכאורה לרעתו</w:t>
      </w:r>
      <w:r w:rsidRPr="00B95FCD">
        <w:rPr>
          <w:rFonts w:ascii="David" w:hAnsi="David"/>
          <w:rtl/>
        </w:rPr>
        <w:t>,</w:t>
      </w:r>
      <w:r w:rsidRPr="00B95FCD">
        <w:rPr>
          <w:rFonts w:ascii="David" w:hAnsi="David" w:hint="cs"/>
          <w:rtl/>
        </w:rPr>
        <w:t>..</w:t>
      </w:r>
      <w:r w:rsidRPr="00B95FCD">
        <w:rPr>
          <w:rFonts w:ascii="David" w:hAnsi="David"/>
          <w:rtl/>
        </w:rPr>
        <w:t>. '</w:t>
      </w:r>
      <w:r w:rsidRPr="00C27B4B">
        <w:rPr>
          <w:rFonts w:ascii="David" w:hAnsi="David"/>
          <w:b/>
          <w:bCs/>
          <w:rtl/>
        </w:rPr>
        <w:t>כניעה' מוחלטת זו של הנאשם לגרסת המדינה</w:t>
      </w:r>
      <w:r w:rsidRPr="00B95FCD">
        <w:rPr>
          <w:rFonts w:ascii="David" w:hAnsi="David" w:hint="cs"/>
          <w:rtl/>
        </w:rPr>
        <w:t>...</w:t>
      </w:r>
      <w:r w:rsidRPr="00B95FCD">
        <w:rPr>
          <w:rFonts w:ascii="David" w:hAnsi="David"/>
          <w:rtl/>
        </w:rPr>
        <w:t>,</w:t>
      </w:r>
      <w:r w:rsidRPr="00C27B4B">
        <w:rPr>
          <w:rFonts w:ascii="David" w:hAnsi="David"/>
          <w:b/>
          <w:bCs/>
          <w:rtl/>
        </w:rPr>
        <w:t xml:space="preserve"> יש לה גם כן משקל של ממש</w:t>
      </w:r>
      <w:r w:rsidRPr="00B95FCD">
        <w:rPr>
          <w:rFonts w:ascii="David" w:hAnsi="David" w:hint="cs"/>
          <w:rtl/>
        </w:rPr>
        <w:t xml:space="preserve">... </w:t>
      </w:r>
      <w:r w:rsidRPr="00C27B4B">
        <w:rPr>
          <w:rFonts w:ascii="David" w:hAnsi="David"/>
          <w:b/>
          <w:bCs/>
          <w:rtl/>
        </w:rPr>
        <w:t>משקל חשוב לקולה</w:t>
      </w:r>
      <w:r w:rsidRPr="00C27B4B">
        <w:rPr>
          <w:rFonts w:ascii="David" w:hAnsi="David"/>
          <w:rtl/>
        </w:rPr>
        <w:t>".</w:t>
      </w:r>
    </w:p>
    <w:p w14:paraId="1A602067" w14:textId="77777777" w:rsidR="00C20537" w:rsidRPr="005D35BF" w:rsidRDefault="00C20537" w:rsidP="00C20537">
      <w:pPr>
        <w:widowControl w:val="0"/>
        <w:ind w:left="845"/>
        <w:jc w:val="both"/>
        <w:rPr>
          <w:rFonts w:ascii="David" w:hAnsi="David"/>
          <w:sz w:val="20"/>
          <w:szCs w:val="20"/>
          <w:rtl/>
        </w:rPr>
      </w:pPr>
    </w:p>
    <w:p w14:paraId="74C7C523" w14:textId="77777777" w:rsidR="00C20537" w:rsidRPr="005D1D6F" w:rsidRDefault="00C20537" w:rsidP="00C20537">
      <w:pPr>
        <w:widowControl w:val="0"/>
        <w:spacing w:line="360" w:lineRule="auto"/>
        <w:ind w:left="845"/>
        <w:jc w:val="both"/>
        <w:rPr>
          <w:rFonts w:ascii="David" w:hAnsi="David"/>
          <w:noProof w:val="0"/>
          <w:u w:val="single"/>
          <w:rtl/>
        </w:rPr>
      </w:pPr>
      <w:r>
        <w:rPr>
          <w:rFonts w:ascii="David" w:hAnsi="David"/>
          <w:rtl/>
        </w:rPr>
        <w:t>לכך יש להוסיף כי במסגרת הודאתו אמר הנאשם שכל הכמות הוחזקה לצריכתו העצמית, שכן סובל מכאבים באגן בשל תאונת הדרכים וכי כיום מחזיק ברישיון לשימוש בקנבוס רפואי</w:t>
      </w:r>
      <w:r>
        <w:rPr>
          <w:rFonts w:ascii="David" w:hAnsi="David" w:hint="cs"/>
          <w:rtl/>
        </w:rPr>
        <w:t>. הרישיון העדכני הוגש במסגרת הטיעונים לעונש [</w:t>
      </w:r>
      <w:r w:rsidRPr="007B7BF8">
        <w:rPr>
          <w:rFonts w:ascii="Miriam" w:hAnsi="Miriam" w:cs="Miriam" w:hint="cs"/>
          <w:b/>
          <w:bCs/>
          <w:noProof w:val="0"/>
          <w:sz w:val="18"/>
          <w:szCs w:val="22"/>
          <w:rtl/>
          <w:lang w:eastAsia="he-IL"/>
        </w:rPr>
        <w:t>ה/5</w:t>
      </w:r>
      <w:r>
        <w:rPr>
          <w:rFonts w:ascii="David" w:hAnsi="David" w:hint="cs"/>
          <w:rtl/>
        </w:rPr>
        <w:t>].</w:t>
      </w:r>
      <w:r>
        <w:rPr>
          <w:rFonts w:ascii="David" w:hAnsi="David"/>
          <w:rtl/>
        </w:rPr>
        <w:t xml:space="preserve"> חרף זאת הודה </w:t>
      </w:r>
      <w:r>
        <w:rPr>
          <w:rFonts w:ascii="David" w:hAnsi="David" w:hint="cs"/>
          <w:rtl/>
        </w:rPr>
        <w:t xml:space="preserve">הנאשם </w:t>
      </w:r>
      <w:r>
        <w:rPr>
          <w:rFonts w:ascii="David" w:hAnsi="David"/>
          <w:rtl/>
        </w:rPr>
        <w:t xml:space="preserve">בהחזקה שלא לשימוש עצמי ובכך ויתר על קו הגנה אפשרי. </w:t>
      </w:r>
    </w:p>
    <w:p w14:paraId="2EE2D8FC" w14:textId="77777777" w:rsidR="00C20537" w:rsidRPr="00F064CE" w:rsidRDefault="00C20537" w:rsidP="00C20537">
      <w:pPr>
        <w:pStyle w:val="a9"/>
        <w:widowControl w:val="0"/>
        <w:rPr>
          <w:rFonts w:ascii="David" w:hAnsi="David"/>
          <w:color w:val="000000"/>
          <w:rtl/>
        </w:rPr>
      </w:pPr>
    </w:p>
    <w:p w14:paraId="4FAB0C65" w14:textId="77777777" w:rsidR="00C20537" w:rsidRDefault="00C20537" w:rsidP="00C20537">
      <w:pPr>
        <w:pStyle w:val="a9"/>
        <w:widowControl w:val="0"/>
        <w:numPr>
          <w:ilvl w:val="2"/>
          <w:numId w:val="1"/>
        </w:numPr>
        <w:tabs>
          <w:tab w:val="left" w:pos="850"/>
        </w:tabs>
        <w:spacing w:line="360" w:lineRule="auto"/>
        <w:ind w:left="845" w:hanging="488"/>
        <w:jc w:val="both"/>
        <w:rPr>
          <w:rFonts w:ascii="David" w:hAnsi="David"/>
          <w:color w:val="000000"/>
        </w:rPr>
      </w:pPr>
      <w:r w:rsidRPr="0038286F">
        <w:rPr>
          <w:sz w:val="20"/>
          <w:u w:val="single"/>
          <w:rtl/>
          <w:lang w:eastAsia="he-IL"/>
        </w:rPr>
        <w:t>חלוף הזמן מביצוע העבירות</w:t>
      </w:r>
      <w:r w:rsidRPr="0038286F">
        <w:rPr>
          <w:sz w:val="20"/>
          <w:rtl/>
          <w:lang w:eastAsia="he-IL"/>
        </w:rPr>
        <w:t xml:space="preserve"> - </w:t>
      </w:r>
      <w:r w:rsidRPr="0038286F">
        <w:rPr>
          <w:rFonts w:ascii="David" w:hAnsi="David"/>
          <w:color w:val="000000"/>
          <w:rtl/>
        </w:rPr>
        <w:t>חלפו כחמש שנים מביצוע העבירה, אך בניגוד ל</w:t>
      </w:r>
      <w:r>
        <w:rPr>
          <w:rFonts w:ascii="David" w:hAnsi="David" w:hint="cs"/>
          <w:color w:val="000000"/>
          <w:rtl/>
        </w:rPr>
        <w:t xml:space="preserve">מקרים </w:t>
      </w:r>
      <w:r w:rsidRPr="0038286F">
        <w:rPr>
          <w:rFonts w:ascii="David" w:hAnsi="David"/>
          <w:color w:val="000000"/>
          <w:rtl/>
        </w:rPr>
        <w:t xml:space="preserve">אחרים חלוף הזמן </w:t>
      </w:r>
      <w:r>
        <w:rPr>
          <w:rFonts w:ascii="David" w:hAnsi="David" w:hint="cs"/>
          <w:color w:val="000000"/>
          <w:rtl/>
        </w:rPr>
        <w:t xml:space="preserve">כלל </w:t>
      </w:r>
      <w:r w:rsidRPr="0038286F">
        <w:rPr>
          <w:rFonts w:ascii="David" w:hAnsi="David"/>
          <w:color w:val="000000"/>
          <w:rtl/>
        </w:rPr>
        <w:t>לא רובץ לפתחו של הנאשם</w:t>
      </w:r>
      <w:r>
        <w:rPr>
          <w:rFonts w:ascii="David" w:hAnsi="David" w:hint="cs"/>
          <w:color w:val="000000"/>
          <w:rtl/>
        </w:rPr>
        <w:t xml:space="preserve"> נוכח השתלשלות ההליך כמפורט להלן:</w:t>
      </w:r>
      <w:r w:rsidRPr="0038286F">
        <w:rPr>
          <w:rFonts w:ascii="David" w:hAnsi="David"/>
          <w:color w:val="000000"/>
          <w:rtl/>
        </w:rPr>
        <w:t xml:space="preserve"> </w:t>
      </w:r>
    </w:p>
    <w:p w14:paraId="70075827"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Pr>
          <w:rFonts w:ascii="David" w:hAnsi="David" w:hint="cs"/>
          <w:color w:val="000000"/>
          <w:rtl/>
        </w:rPr>
        <w:t>ב-29.4.18</w:t>
      </w:r>
      <w:r w:rsidRPr="0038286F">
        <w:rPr>
          <w:rFonts w:ascii="David" w:hAnsi="David"/>
          <w:color w:val="000000"/>
          <w:rtl/>
        </w:rPr>
        <w:t xml:space="preserve"> יצא הנאשם את גבולות הארץ. </w:t>
      </w:r>
    </w:p>
    <w:p w14:paraId="64CDCBB9"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sidRPr="0038286F">
        <w:rPr>
          <w:rFonts w:ascii="David" w:hAnsi="David"/>
          <w:color w:val="000000"/>
          <w:rtl/>
        </w:rPr>
        <w:t xml:space="preserve">כתב האישום המקורי הוגש </w:t>
      </w:r>
      <w:r>
        <w:rPr>
          <w:rFonts w:ascii="David" w:hAnsi="David" w:hint="cs"/>
          <w:color w:val="000000"/>
          <w:rtl/>
        </w:rPr>
        <w:t xml:space="preserve">כחצי שנה לאחר מכן, </w:t>
      </w:r>
      <w:r w:rsidRPr="0038286F">
        <w:rPr>
          <w:rFonts w:ascii="David" w:hAnsi="David"/>
          <w:color w:val="000000"/>
          <w:rtl/>
        </w:rPr>
        <w:t>ב</w:t>
      </w:r>
      <w:r>
        <w:rPr>
          <w:rFonts w:ascii="David" w:hAnsi="David" w:hint="cs"/>
          <w:color w:val="000000"/>
          <w:rtl/>
        </w:rPr>
        <w:t>-</w:t>
      </w:r>
      <w:r>
        <w:rPr>
          <w:rFonts w:ascii="David" w:hAnsi="David"/>
          <w:color w:val="000000"/>
          <w:rtl/>
        </w:rPr>
        <w:t>17.10.18</w:t>
      </w:r>
      <w:r>
        <w:rPr>
          <w:rFonts w:ascii="David" w:hAnsi="David" w:hint="cs"/>
          <w:color w:val="000000"/>
          <w:rtl/>
        </w:rPr>
        <w:t>, בעת שהנאשם לא היה בארץ.</w:t>
      </w:r>
    </w:p>
    <w:p w14:paraId="460D6647"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Pr>
          <w:rFonts w:ascii="David" w:hAnsi="David" w:hint="cs"/>
          <w:color w:val="000000"/>
          <w:rtl/>
        </w:rPr>
        <w:t xml:space="preserve">3 חודשים לאחר מכן, ב-17.1.19, הורתה כב' הש' לחיאני שהם על מחיקת כתב האישום. </w:t>
      </w:r>
    </w:p>
    <w:p w14:paraId="0B19851E"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Pr>
          <w:rFonts w:ascii="David" w:hAnsi="David" w:hint="cs"/>
          <w:color w:val="000000"/>
          <w:rtl/>
        </w:rPr>
        <w:t xml:space="preserve">שנתיים וחצי לאחר מחיקת כתב האישום, ב-5.8.21, נעתרה </w:t>
      </w:r>
      <w:r w:rsidRPr="0038286F">
        <w:rPr>
          <w:rFonts w:ascii="David" w:hAnsi="David"/>
          <w:color w:val="000000"/>
          <w:rtl/>
        </w:rPr>
        <w:t xml:space="preserve">כב' הש' לחיאני שהם </w:t>
      </w:r>
      <w:r>
        <w:rPr>
          <w:rFonts w:ascii="David" w:hAnsi="David" w:hint="cs"/>
          <w:color w:val="000000"/>
          <w:rtl/>
        </w:rPr>
        <w:t xml:space="preserve">לבקשת המדינה והורתה </w:t>
      </w:r>
      <w:r w:rsidRPr="0038286F">
        <w:rPr>
          <w:rFonts w:ascii="David" w:hAnsi="David"/>
          <w:color w:val="000000"/>
          <w:rtl/>
        </w:rPr>
        <w:t xml:space="preserve">על חידוש ההליכים. </w:t>
      </w:r>
    </w:p>
    <w:p w14:paraId="6D1482C6"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Pr>
          <w:rFonts w:ascii="David" w:hAnsi="David" w:hint="cs"/>
          <w:color w:val="000000"/>
          <w:rtl/>
        </w:rPr>
        <w:t xml:space="preserve">ב-17.10.21 נעתרה כב' הש' לחיאני שהם ומינתה לנאשם עו"ד מהסנגוריה הציבורית. </w:t>
      </w:r>
    </w:p>
    <w:p w14:paraId="46E9CC95"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Pr>
          <w:rFonts w:ascii="David" w:hAnsi="David" w:hint="cs"/>
          <w:color w:val="000000"/>
          <w:rtl/>
        </w:rPr>
        <w:t xml:space="preserve">ב-26.12.21 נעתה כב' הש' לחיאני שהם לבקשת ב"כ הנאשם והדיון נדחה למיצוי הידברות ל-30.3.22 ובהמשך בשל אילוצי יומן ל-29.5.22. </w:t>
      </w:r>
    </w:p>
    <w:p w14:paraId="125A4447"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Pr>
          <w:rFonts w:ascii="David" w:hAnsi="David" w:hint="cs"/>
          <w:color w:val="000000"/>
          <w:rtl/>
        </w:rPr>
        <w:t xml:space="preserve">בשל חילופי מותבים הדיון נדחה ל-12.6.22 ובהמשך נדחה בהסכמה ל-15.6.22. </w:t>
      </w:r>
    </w:p>
    <w:p w14:paraId="2BFA0A99"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sidRPr="00B1141F">
        <w:rPr>
          <w:rFonts w:ascii="David" w:hAnsi="David"/>
          <w:color w:val="000000"/>
          <w:rtl/>
        </w:rPr>
        <w:t>ב</w:t>
      </w:r>
      <w:r>
        <w:rPr>
          <w:rFonts w:ascii="David" w:hAnsi="David" w:hint="cs"/>
          <w:color w:val="000000"/>
          <w:rtl/>
        </w:rPr>
        <w:t>-</w:t>
      </w:r>
      <w:r w:rsidRPr="00B1141F">
        <w:rPr>
          <w:rFonts w:ascii="David" w:hAnsi="David"/>
          <w:color w:val="000000"/>
          <w:rtl/>
        </w:rPr>
        <w:t>15.6.22 הודה הנאשם בכתב האישום בפני סגנית הנשיא כב' הש' חלפון נזריאן ו</w:t>
      </w:r>
      <w:r w:rsidRPr="00B1141F">
        <w:rPr>
          <w:rFonts w:ascii="David" w:hAnsi="David"/>
          <w:color w:val="000000"/>
          <w:u w:val="single"/>
          <w:rtl/>
        </w:rPr>
        <w:t>לבקשת המאשימה</w:t>
      </w:r>
      <w:r w:rsidRPr="00B1141F">
        <w:rPr>
          <w:rFonts w:ascii="David" w:hAnsi="David"/>
          <w:color w:val="000000"/>
          <w:rtl/>
        </w:rPr>
        <w:t xml:space="preserve"> נדחה מועד הטיעונים לעונש</w:t>
      </w:r>
      <w:r>
        <w:rPr>
          <w:rFonts w:ascii="David" w:hAnsi="David" w:hint="cs"/>
          <w:color w:val="000000"/>
          <w:rtl/>
        </w:rPr>
        <w:t xml:space="preserve"> ליום 3.7.22</w:t>
      </w:r>
      <w:r w:rsidRPr="00B1141F">
        <w:rPr>
          <w:rFonts w:ascii="David" w:hAnsi="David"/>
          <w:color w:val="000000"/>
          <w:rtl/>
        </w:rPr>
        <w:t xml:space="preserve">, הגם שהנאשם ביקש לסיים את הדיון כבר באותו מועד. </w:t>
      </w:r>
      <w:r>
        <w:rPr>
          <w:rFonts w:ascii="David" w:hAnsi="David" w:hint="cs"/>
          <w:color w:val="000000"/>
          <w:rtl/>
        </w:rPr>
        <w:t xml:space="preserve">מועד זה נדחה בשל מחלת הקורונה של הנאשם ל-23.10.23 ובהמשך נדחה שוב בשל חילופי מותבים ל-7.12.22. </w:t>
      </w:r>
    </w:p>
    <w:p w14:paraId="327548E7"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Pr>
          <w:rFonts w:ascii="David" w:hAnsi="David" w:hint="cs"/>
          <w:color w:val="000000"/>
          <w:rtl/>
        </w:rPr>
        <w:t xml:space="preserve">מועד זה הוקדם ל-6.12.22 אך נדחה מאילוצי יומנו של ב"כ הנאשם </w:t>
      </w:r>
      <w:r w:rsidRPr="00B1141F">
        <w:rPr>
          <w:rFonts w:ascii="David" w:hAnsi="David"/>
          <w:color w:val="000000"/>
          <w:rtl/>
        </w:rPr>
        <w:t>ל</w:t>
      </w:r>
      <w:r w:rsidRPr="00B1141F">
        <w:rPr>
          <w:rFonts w:ascii="David" w:hAnsi="David" w:hint="cs"/>
          <w:color w:val="000000"/>
          <w:rtl/>
        </w:rPr>
        <w:t>-</w:t>
      </w:r>
      <w:r w:rsidRPr="00B1141F">
        <w:rPr>
          <w:rFonts w:ascii="David" w:hAnsi="David"/>
          <w:color w:val="000000"/>
          <w:rtl/>
        </w:rPr>
        <w:t xml:space="preserve">1.2.23. </w:t>
      </w:r>
    </w:p>
    <w:p w14:paraId="587A9E08"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Pr>
          <w:rFonts w:ascii="David" w:hAnsi="David" w:hint="cs"/>
          <w:color w:val="000000"/>
          <w:rtl/>
        </w:rPr>
        <w:t xml:space="preserve">ב-1.2.23, נוכח עתירת המאשימה להשית על הנאשם מאסר שירוצה בעבודות שירות </w:t>
      </w:r>
      <w:r>
        <w:rPr>
          <w:rFonts w:ascii="David" w:hAnsi="David"/>
          <w:color w:val="000000"/>
          <w:rtl/>
        </w:rPr>
        <w:t>–</w:t>
      </w:r>
      <w:r>
        <w:rPr>
          <w:rFonts w:ascii="David" w:hAnsi="David" w:hint="cs"/>
          <w:color w:val="000000"/>
          <w:rtl/>
        </w:rPr>
        <w:t xml:space="preserve"> הופנה הנאשם </w:t>
      </w:r>
      <w:r w:rsidRPr="00B1141F">
        <w:rPr>
          <w:rFonts w:ascii="David" w:hAnsi="David"/>
          <w:color w:val="000000"/>
          <w:rtl/>
        </w:rPr>
        <w:t>לממונה על עבודות השירות</w:t>
      </w:r>
      <w:r>
        <w:rPr>
          <w:rFonts w:ascii="David" w:hAnsi="David" w:hint="cs"/>
          <w:color w:val="000000"/>
          <w:rtl/>
        </w:rPr>
        <w:t xml:space="preserve"> והדיון נדחה ל-29.5.23. מועד זה נדחה בשל מחלתי ובשל המתנה לחוות דעת משטרת ישראל. </w:t>
      </w:r>
    </w:p>
    <w:p w14:paraId="730D8A1F"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Pr>
          <w:rFonts w:ascii="David" w:hAnsi="David" w:hint="cs"/>
          <w:color w:val="000000"/>
          <w:rtl/>
        </w:rPr>
        <w:t>ב-18.9.23, לאחר ש</w:t>
      </w:r>
      <w:r w:rsidRPr="00B1141F">
        <w:rPr>
          <w:rFonts w:ascii="David" w:hAnsi="David"/>
          <w:color w:val="000000"/>
          <w:rtl/>
        </w:rPr>
        <w:t>נמסר כי הנאשם נעצר עד תום ההליכים בתיק אחר</w:t>
      </w:r>
      <w:r>
        <w:rPr>
          <w:rFonts w:ascii="David" w:hAnsi="David" w:hint="cs"/>
          <w:color w:val="000000"/>
          <w:rtl/>
        </w:rPr>
        <w:t>, נקבע כי יובא לדיון ב-11.10.23 באמצעות שב"ס</w:t>
      </w:r>
      <w:r w:rsidRPr="00B1141F">
        <w:rPr>
          <w:rFonts w:ascii="David" w:hAnsi="David"/>
          <w:color w:val="000000"/>
          <w:rtl/>
        </w:rPr>
        <w:t xml:space="preserve">. </w:t>
      </w:r>
    </w:p>
    <w:p w14:paraId="6978B2B5" w14:textId="77777777" w:rsidR="00C20537" w:rsidRDefault="00C20537" w:rsidP="00C20537">
      <w:pPr>
        <w:pStyle w:val="a9"/>
        <w:widowControl w:val="0"/>
        <w:numPr>
          <w:ilvl w:val="3"/>
          <w:numId w:val="1"/>
        </w:numPr>
        <w:tabs>
          <w:tab w:val="left" w:pos="850"/>
        </w:tabs>
        <w:spacing w:line="360" w:lineRule="auto"/>
        <w:ind w:left="1210"/>
        <w:jc w:val="both"/>
        <w:rPr>
          <w:rFonts w:ascii="David" w:hAnsi="David"/>
          <w:color w:val="000000"/>
        </w:rPr>
      </w:pPr>
      <w:r w:rsidRPr="00B1141F">
        <w:rPr>
          <w:rFonts w:ascii="David" w:hAnsi="David"/>
          <w:color w:val="000000"/>
          <w:rtl/>
        </w:rPr>
        <w:t xml:space="preserve">בשל מצב החירום הדיון בעניינו של הנאשם נדחה </w:t>
      </w:r>
      <w:r>
        <w:rPr>
          <w:rFonts w:ascii="David" w:hAnsi="David" w:hint="cs"/>
          <w:color w:val="000000"/>
          <w:rtl/>
        </w:rPr>
        <w:t xml:space="preserve">מעת לעת </w:t>
      </w:r>
      <w:r w:rsidRPr="00B1141F">
        <w:rPr>
          <w:rFonts w:ascii="David" w:hAnsi="David"/>
          <w:color w:val="000000"/>
          <w:rtl/>
        </w:rPr>
        <w:t xml:space="preserve">עד </w:t>
      </w:r>
      <w:r>
        <w:rPr>
          <w:rFonts w:ascii="David" w:hAnsi="David" w:hint="cs"/>
          <w:color w:val="000000"/>
          <w:rtl/>
        </w:rPr>
        <w:t>שהשלמת הטיעונים נשמעו ב</w:t>
      </w:r>
      <w:r w:rsidRPr="00B1141F">
        <w:rPr>
          <w:rFonts w:ascii="David" w:hAnsi="David"/>
          <w:color w:val="000000"/>
          <w:rtl/>
        </w:rPr>
        <w:t>יום 14.12.23</w:t>
      </w:r>
      <w:r>
        <w:rPr>
          <w:rFonts w:ascii="David" w:hAnsi="David" w:hint="cs"/>
          <w:color w:val="000000"/>
          <w:rtl/>
        </w:rPr>
        <w:t>.</w:t>
      </w:r>
      <w:r w:rsidRPr="00B1141F">
        <w:rPr>
          <w:rFonts w:ascii="David" w:hAnsi="David"/>
          <w:color w:val="000000"/>
          <w:rtl/>
        </w:rPr>
        <w:t xml:space="preserve"> בדיון זה ביקש ב"כ הנאשם להורות על חפיפת העונש בתיק שלפניי עם המאסר אותו מרצה כעת הנאשם בתיק אחר ואילו המאשימה עמדה על כך שיש להשית עליו 4 חודשי מאסר בפועל במצטבר לעונש אותו מרצה כעת. </w:t>
      </w:r>
    </w:p>
    <w:p w14:paraId="566CB5E0" w14:textId="77777777" w:rsidR="00C20537" w:rsidRPr="00B1141F" w:rsidRDefault="00C20537" w:rsidP="00C20537">
      <w:pPr>
        <w:pStyle w:val="a9"/>
        <w:widowControl w:val="0"/>
        <w:numPr>
          <w:ilvl w:val="3"/>
          <w:numId w:val="1"/>
        </w:numPr>
        <w:tabs>
          <w:tab w:val="left" w:pos="850"/>
        </w:tabs>
        <w:spacing w:line="360" w:lineRule="auto"/>
        <w:ind w:left="1210"/>
        <w:jc w:val="both"/>
        <w:rPr>
          <w:rFonts w:ascii="David" w:hAnsi="David"/>
          <w:color w:val="000000"/>
          <w:rtl/>
        </w:rPr>
      </w:pPr>
      <w:r w:rsidRPr="00B1141F">
        <w:rPr>
          <w:rFonts w:ascii="David" w:hAnsi="David"/>
          <w:color w:val="000000"/>
          <w:rtl/>
        </w:rPr>
        <w:t>לבקשת הנאשם שלא להקשות עליו בנסיעות תכופות</w:t>
      </w:r>
      <w:r>
        <w:rPr>
          <w:rFonts w:ascii="David" w:hAnsi="David" w:hint="cs"/>
          <w:color w:val="000000"/>
          <w:rtl/>
        </w:rPr>
        <w:t xml:space="preserve"> ועל מנת לאפשר לב"כ הנאשם להגיש את הפסיקה אליה הפנה בטיעוניו לעונש </w:t>
      </w:r>
      <w:r>
        <w:rPr>
          <w:rFonts w:ascii="David" w:hAnsi="David"/>
          <w:color w:val="000000"/>
          <w:rtl/>
        </w:rPr>
        <w:t>–</w:t>
      </w:r>
      <w:r>
        <w:rPr>
          <w:rFonts w:ascii="David" w:hAnsi="David" w:hint="cs"/>
          <w:color w:val="000000"/>
          <w:rtl/>
        </w:rPr>
        <w:t xml:space="preserve"> </w:t>
      </w:r>
      <w:r w:rsidRPr="00B1141F">
        <w:rPr>
          <w:rFonts w:ascii="David" w:hAnsi="David"/>
          <w:color w:val="000000"/>
          <w:rtl/>
        </w:rPr>
        <w:t>נדחה מתן גזר הדין ליום 15.1.24.</w:t>
      </w:r>
    </w:p>
    <w:p w14:paraId="238A3056" w14:textId="77777777" w:rsidR="00C20537" w:rsidRPr="0038286F" w:rsidRDefault="00C20537" w:rsidP="00C20537">
      <w:pPr>
        <w:pStyle w:val="a9"/>
        <w:widowControl w:val="0"/>
        <w:tabs>
          <w:tab w:val="left" w:pos="850"/>
        </w:tabs>
        <w:ind w:left="845"/>
        <w:jc w:val="both"/>
        <w:rPr>
          <w:rFonts w:ascii="David" w:hAnsi="David"/>
          <w:color w:val="000000"/>
          <w:rtl/>
        </w:rPr>
      </w:pPr>
    </w:p>
    <w:p w14:paraId="076D248B" w14:textId="77777777" w:rsidR="00C20537" w:rsidRDefault="00C20537" w:rsidP="00C20537">
      <w:pPr>
        <w:pStyle w:val="a9"/>
        <w:widowControl w:val="0"/>
        <w:numPr>
          <w:ilvl w:val="2"/>
          <w:numId w:val="1"/>
        </w:numPr>
        <w:tabs>
          <w:tab w:val="left" w:pos="850"/>
        </w:tabs>
        <w:spacing w:line="360" w:lineRule="auto"/>
        <w:ind w:left="845" w:hanging="488"/>
        <w:jc w:val="both"/>
        <w:rPr>
          <w:rFonts w:ascii="David" w:hAnsi="David"/>
          <w:color w:val="000000"/>
        </w:rPr>
      </w:pPr>
      <w:r>
        <w:rPr>
          <w:rFonts w:ascii="David" w:hAnsi="David"/>
          <w:color w:val="000000"/>
          <w:u w:val="single"/>
          <w:rtl/>
        </w:rPr>
        <w:t>עברו הפלילי של הנאשם</w:t>
      </w:r>
      <w:r>
        <w:rPr>
          <w:rFonts w:ascii="David" w:hAnsi="David"/>
          <w:color w:val="000000"/>
          <w:rtl/>
        </w:rPr>
        <w:t xml:space="preserve"> – </w:t>
      </w:r>
      <w:r>
        <w:rPr>
          <w:rFonts w:ascii="David" w:hAnsi="David" w:hint="cs"/>
          <w:color w:val="000000"/>
          <w:rtl/>
        </w:rPr>
        <w:t xml:space="preserve">בעת ביצוע העבירה היה הנאשם </w:t>
      </w:r>
      <w:r>
        <w:rPr>
          <w:rFonts w:ascii="David" w:hAnsi="David"/>
          <w:color w:val="000000"/>
          <w:rtl/>
        </w:rPr>
        <w:t xml:space="preserve">נעדר </w:t>
      </w:r>
      <w:r>
        <w:rPr>
          <w:rFonts w:ascii="David" w:hAnsi="David" w:hint="cs"/>
          <w:color w:val="000000"/>
          <w:rtl/>
        </w:rPr>
        <w:t xml:space="preserve">כל </w:t>
      </w:r>
      <w:r>
        <w:rPr>
          <w:rFonts w:ascii="David" w:hAnsi="David"/>
          <w:color w:val="000000"/>
          <w:rtl/>
        </w:rPr>
        <w:t xml:space="preserve">עבר פלילי. </w:t>
      </w:r>
      <w:r>
        <w:rPr>
          <w:rFonts w:ascii="David" w:hAnsi="David" w:hint="cs"/>
          <w:color w:val="000000"/>
          <w:rtl/>
        </w:rPr>
        <w:t xml:space="preserve">מטיעוני הצדדים לעונש ב-14.12.23 עלה כי לימים הנאשם הורשע בתיק אחר ונידון למאסר, אולם רישום פלילי עדכני לא הוגש לבית המשפט. </w:t>
      </w:r>
    </w:p>
    <w:p w14:paraId="011F9F0C" w14:textId="77777777" w:rsidR="00C20537" w:rsidRPr="007B7BF8" w:rsidRDefault="00C20537" w:rsidP="00C20537">
      <w:pPr>
        <w:widowControl w:val="0"/>
        <w:jc w:val="both"/>
        <w:rPr>
          <w:rFonts w:ascii="David" w:hAnsi="David"/>
          <w:b/>
          <w:bCs/>
          <w:rtl/>
        </w:rPr>
      </w:pPr>
      <w:bookmarkStart w:id="8" w:name="Rov1059"/>
    </w:p>
    <w:p w14:paraId="35254BD4" w14:textId="77777777" w:rsidR="00C20537" w:rsidRPr="00F064CE" w:rsidRDefault="00C20537" w:rsidP="00C20537">
      <w:pPr>
        <w:widowControl w:val="0"/>
        <w:spacing w:line="360" w:lineRule="auto"/>
        <w:jc w:val="both"/>
        <w:rPr>
          <w:rFonts w:ascii="David" w:hAnsi="David"/>
          <w:b/>
          <w:bCs/>
          <w:sz w:val="26"/>
          <w:szCs w:val="26"/>
        </w:rPr>
      </w:pPr>
      <w:r w:rsidRPr="00F064CE">
        <w:rPr>
          <w:rFonts w:ascii="David" w:hAnsi="David"/>
          <w:b/>
          <w:bCs/>
          <w:sz w:val="26"/>
          <w:szCs w:val="26"/>
          <w:rtl/>
        </w:rPr>
        <w:t>סוף דבר</w:t>
      </w:r>
    </w:p>
    <w:p w14:paraId="72DACDE5" w14:textId="77777777" w:rsidR="00C20537" w:rsidRPr="00B60504" w:rsidRDefault="00C20537" w:rsidP="00C20537">
      <w:pPr>
        <w:widowControl w:val="0"/>
        <w:numPr>
          <w:ilvl w:val="0"/>
          <w:numId w:val="1"/>
        </w:numPr>
        <w:snapToGrid w:val="0"/>
        <w:spacing w:line="360" w:lineRule="auto"/>
        <w:ind w:left="357" w:hanging="357"/>
        <w:jc w:val="both"/>
        <w:rPr>
          <w:sz w:val="20"/>
          <w:lang w:eastAsia="he-IL"/>
        </w:rPr>
      </w:pPr>
      <w:r w:rsidRPr="009644B1">
        <w:rPr>
          <w:sz w:val="20"/>
          <w:rtl/>
          <w:lang w:eastAsia="he-IL"/>
        </w:rPr>
        <w:t xml:space="preserve">בהינתן נסיבותיו האישיות, </w:t>
      </w:r>
      <w:r w:rsidRPr="009644B1">
        <w:rPr>
          <w:rFonts w:hint="cs"/>
          <w:sz w:val="20"/>
          <w:rtl/>
          <w:lang w:eastAsia="he-IL"/>
        </w:rPr>
        <w:t>היותו צעיר כבן 25, נעדר עבר פלילי במועד ביצוע העבירה, אשר הודה בכתב האישום ככתבו וכלשונו ללא הסדר, לאחר שנתתי דעתי ל</w:t>
      </w:r>
      <w:r w:rsidRPr="009644B1">
        <w:rPr>
          <w:sz w:val="20"/>
          <w:rtl/>
          <w:lang w:eastAsia="he-IL"/>
        </w:rPr>
        <w:t xml:space="preserve">צורך בהרתעה אישית ובהרתעת הרבים, בהתאם </w:t>
      </w:r>
      <w:hyperlink r:id="rId51" w:history="1">
        <w:r w:rsidR="0048772B" w:rsidRPr="0048772B">
          <w:rPr>
            <w:rStyle w:val="Hyperlink"/>
            <w:sz w:val="20"/>
            <w:rtl/>
            <w:lang w:eastAsia="he-IL"/>
          </w:rPr>
          <w:t>לסעיפים 40ו</w:t>
        </w:r>
      </w:hyperlink>
      <w:r w:rsidRPr="009644B1">
        <w:rPr>
          <w:sz w:val="20"/>
          <w:rtl/>
          <w:lang w:eastAsia="he-IL"/>
        </w:rPr>
        <w:t xml:space="preserve"> ו-</w:t>
      </w:r>
      <w:hyperlink r:id="rId52" w:history="1">
        <w:r w:rsidR="0048772B" w:rsidRPr="0048772B">
          <w:rPr>
            <w:rStyle w:val="Hyperlink"/>
            <w:sz w:val="20"/>
            <w:rtl/>
            <w:lang w:eastAsia="he-IL"/>
          </w:rPr>
          <w:t>40ז</w:t>
        </w:r>
      </w:hyperlink>
      <w:r w:rsidRPr="009644B1">
        <w:rPr>
          <w:sz w:val="20"/>
          <w:rtl/>
          <w:lang w:eastAsia="he-IL"/>
        </w:rPr>
        <w:t xml:space="preserve"> ל</w:t>
      </w:r>
      <w:hyperlink r:id="rId53" w:history="1">
        <w:r w:rsidR="006B0CC5" w:rsidRPr="006B0CC5">
          <w:rPr>
            <w:rFonts w:ascii="Miriam" w:hAnsi="Miriam" w:cs="Miriam"/>
            <w:b/>
            <w:bCs/>
            <w:color w:val="0000FF"/>
            <w:sz w:val="18"/>
            <w:szCs w:val="22"/>
            <w:u w:val="single"/>
            <w:rtl/>
            <w:lang w:eastAsia="he-IL"/>
          </w:rPr>
          <w:t>חוק העונשין</w:t>
        </w:r>
      </w:hyperlink>
      <w:r w:rsidRPr="009644B1">
        <w:rPr>
          <w:sz w:val="20"/>
          <w:rtl/>
          <w:lang w:eastAsia="he-IL"/>
        </w:rPr>
        <w:t xml:space="preserve"> </w:t>
      </w:r>
      <w:r w:rsidRPr="009644B1">
        <w:rPr>
          <w:rFonts w:hint="cs"/>
          <w:sz w:val="20"/>
          <w:rtl/>
          <w:lang w:eastAsia="he-IL"/>
        </w:rPr>
        <w:t>ומשמצאתי ש</w:t>
      </w:r>
      <w:r w:rsidRPr="009644B1">
        <w:rPr>
          <w:sz w:val="20"/>
          <w:rtl/>
          <w:lang w:eastAsia="he-IL"/>
        </w:rPr>
        <w:t xml:space="preserve">לא </w:t>
      </w:r>
      <w:r w:rsidRPr="009644B1">
        <w:rPr>
          <w:rFonts w:hint="cs"/>
          <w:sz w:val="20"/>
          <w:rtl/>
          <w:lang w:eastAsia="he-IL"/>
        </w:rPr>
        <w:t xml:space="preserve">קיימים שיקולים המצדיקים סטייה מהמתחם לחומרה או לקולה, בהתאם </w:t>
      </w:r>
      <w:hyperlink r:id="rId54" w:history="1">
        <w:r w:rsidR="0048772B" w:rsidRPr="0048772B">
          <w:rPr>
            <w:rStyle w:val="Hyperlink"/>
            <w:sz w:val="20"/>
            <w:rtl/>
            <w:lang w:eastAsia="he-IL"/>
          </w:rPr>
          <w:t>לסעיפים 40ד</w:t>
        </w:r>
      </w:hyperlink>
      <w:r w:rsidRPr="009644B1">
        <w:rPr>
          <w:sz w:val="20"/>
          <w:rtl/>
          <w:lang w:eastAsia="he-IL"/>
        </w:rPr>
        <w:t xml:space="preserve"> </w:t>
      </w:r>
      <w:r>
        <w:rPr>
          <w:rFonts w:hint="cs"/>
          <w:sz w:val="20"/>
          <w:rtl/>
          <w:lang w:eastAsia="he-IL"/>
        </w:rPr>
        <w:t>ו-</w:t>
      </w:r>
      <w:hyperlink r:id="rId55" w:history="1">
        <w:r w:rsidR="0048772B" w:rsidRPr="0048772B">
          <w:rPr>
            <w:rStyle w:val="Hyperlink"/>
            <w:sz w:val="20"/>
            <w:rtl/>
            <w:lang w:eastAsia="he-IL"/>
          </w:rPr>
          <w:t>40ה</w:t>
        </w:r>
      </w:hyperlink>
      <w:r>
        <w:rPr>
          <w:rFonts w:hint="cs"/>
          <w:sz w:val="20"/>
          <w:rtl/>
          <w:lang w:eastAsia="he-IL"/>
        </w:rPr>
        <w:t xml:space="preserve"> </w:t>
      </w:r>
      <w:r w:rsidRPr="009644B1">
        <w:rPr>
          <w:sz w:val="20"/>
          <w:rtl/>
          <w:lang w:eastAsia="he-IL"/>
        </w:rPr>
        <w:t>ל</w:t>
      </w:r>
      <w:r>
        <w:rPr>
          <w:rFonts w:hint="cs"/>
          <w:sz w:val="20"/>
          <w:rtl/>
          <w:lang w:eastAsia="he-IL"/>
        </w:rPr>
        <w:t>-</w:t>
      </w:r>
      <w:r w:rsidRPr="009644B1">
        <w:rPr>
          <w:rFonts w:ascii="Miriam" w:hAnsi="Miriam" w:cs="Miriam"/>
          <w:b/>
          <w:bCs/>
          <w:sz w:val="18"/>
          <w:szCs w:val="22"/>
          <w:rtl/>
          <w:lang w:eastAsia="he-IL"/>
        </w:rPr>
        <w:t>חוק העונשין</w:t>
      </w:r>
      <w:r w:rsidRPr="009644B1">
        <w:rPr>
          <w:rFonts w:hint="cs"/>
          <w:sz w:val="20"/>
          <w:rtl/>
          <w:lang w:eastAsia="he-IL"/>
        </w:rPr>
        <w:t xml:space="preserve"> </w:t>
      </w:r>
      <w:r>
        <w:rPr>
          <w:sz w:val="20"/>
          <w:rtl/>
          <w:lang w:eastAsia="he-IL"/>
        </w:rPr>
        <w:t>–</w:t>
      </w:r>
      <w:r w:rsidRPr="009644B1">
        <w:rPr>
          <w:rFonts w:hint="cs"/>
          <w:sz w:val="20"/>
          <w:rtl/>
          <w:lang w:eastAsia="he-IL"/>
        </w:rPr>
        <w:t xml:space="preserve"> </w:t>
      </w:r>
      <w:r w:rsidRPr="009644B1">
        <w:rPr>
          <w:sz w:val="20"/>
          <w:rtl/>
          <w:lang w:eastAsia="he-IL"/>
        </w:rPr>
        <w:t xml:space="preserve">מצאתי כי </w:t>
      </w:r>
      <w:r>
        <w:rPr>
          <w:rFonts w:hint="cs"/>
          <w:sz w:val="20"/>
          <w:rtl/>
          <w:lang w:eastAsia="he-IL"/>
        </w:rPr>
        <w:t xml:space="preserve">יש </w:t>
      </w:r>
      <w:r w:rsidRPr="009644B1">
        <w:rPr>
          <w:sz w:val="20"/>
          <w:rtl/>
          <w:lang w:eastAsia="he-IL"/>
        </w:rPr>
        <w:t xml:space="preserve">למקם את הנאשם </w:t>
      </w:r>
      <w:r w:rsidRPr="009644B1">
        <w:rPr>
          <w:rFonts w:hint="cs"/>
          <w:sz w:val="20"/>
          <w:rtl/>
          <w:lang w:eastAsia="he-IL"/>
        </w:rPr>
        <w:t xml:space="preserve">בתחתית </w:t>
      </w:r>
      <w:r w:rsidRPr="009644B1">
        <w:rPr>
          <w:sz w:val="20"/>
          <w:rtl/>
          <w:lang w:eastAsia="he-IL"/>
        </w:rPr>
        <w:t xml:space="preserve">המתחם, </w:t>
      </w:r>
      <w:r w:rsidRPr="009644B1">
        <w:rPr>
          <w:rFonts w:hint="cs"/>
          <w:sz w:val="20"/>
          <w:rtl/>
          <w:lang w:eastAsia="he-IL"/>
        </w:rPr>
        <w:t>כפי שעתרה ב"כ המאשימה בטיעוניה לעונש</w:t>
      </w:r>
      <w:r w:rsidRPr="009644B1">
        <w:rPr>
          <w:sz w:val="20"/>
          <w:rtl/>
          <w:lang w:eastAsia="he-IL"/>
        </w:rPr>
        <w:t>.</w:t>
      </w:r>
      <w:r w:rsidRPr="009644B1">
        <w:rPr>
          <w:rFonts w:hint="cs"/>
          <w:sz w:val="20"/>
          <w:rtl/>
          <w:lang w:eastAsia="he-IL"/>
        </w:rPr>
        <w:t xml:space="preserve"> </w:t>
      </w:r>
      <w:hyperlink r:id="rId56" w:history="1">
        <w:r w:rsidR="0048772B" w:rsidRPr="0048772B">
          <w:rPr>
            <w:rStyle w:val="Hyperlink"/>
            <w:rFonts w:hint="eastAsia"/>
            <w:sz w:val="20"/>
            <w:rtl/>
            <w:lang w:eastAsia="he-IL"/>
          </w:rPr>
          <w:t>בסעיף</w:t>
        </w:r>
        <w:r w:rsidR="0048772B" w:rsidRPr="0048772B">
          <w:rPr>
            <w:rStyle w:val="Hyperlink"/>
            <w:sz w:val="20"/>
            <w:rtl/>
            <w:lang w:eastAsia="he-IL"/>
          </w:rPr>
          <w:t xml:space="preserve"> 45</w:t>
        </w:r>
      </w:hyperlink>
      <w:r w:rsidRPr="009644B1">
        <w:rPr>
          <w:rFonts w:hint="cs"/>
          <w:sz w:val="20"/>
          <w:rtl/>
          <w:lang w:eastAsia="he-IL"/>
        </w:rPr>
        <w:t xml:space="preserve"> ל-</w:t>
      </w:r>
      <w:hyperlink r:id="rId57" w:history="1">
        <w:r w:rsidR="006B0CC5" w:rsidRPr="006B0CC5">
          <w:rPr>
            <w:rFonts w:ascii="Miriam" w:hAnsi="Miriam" w:cs="Miriam"/>
            <w:b/>
            <w:bCs/>
            <w:color w:val="0000FF"/>
            <w:sz w:val="18"/>
            <w:szCs w:val="22"/>
            <w:u w:val="single"/>
            <w:rtl/>
            <w:lang w:eastAsia="he-IL"/>
          </w:rPr>
          <w:t>חוק העונשין</w:t>
        </w:r>
      </w:hyperlink>
      <w:r>
        <w:rPr>
          <w:rFonts w:hint="cs"/>
          <w:sz w:val="20"/>
          <w:rtl/>
          <w:lang w:eastAsia="he-IL"/>
        </w:rPr>
        <w:t xml:space="preserve">, קבע </w:t>
      </w:r>
      <w:r w:rsidRPr="009644B1">
        <w:rPr>
          <w:rFonts w:hint="cs"/>
          <w:sz w:val="20"/>
          <w:rtl/>
          <w:lang w:eastAsia="he-IL"/>
        </w:rPr>
        <w:t>המחוקק</w:t>
      </w:r>
      <w:r w:rsidRPr="009644B1">
        <w:rPr>
          <w:rFonts w:hint="cs"/>
          <w:b/>
          <w:bCs/>
          <w:sz w:val="20"/>
          <w:rtl/>
          <w:lang w:eastAsia="he-IL"/>
        </w:rPr>
        <w:t xml:space="preserve"> </w:t>
      </w:r>
      <w:r w:rsidRPr="009644B1">
        <w:rPr>
          <w:rFonts w:hint="cs"/>
          <w:sz w:val="20"/>
          <w:rtl/>
          <w:lang w:eastAsia="he-IL"/>
        </w:rPr>
        <w:t xml:space="preserve">ברירת מחדל </w:t>
      </w:r>
      <w:r>
        <w:rPr>
          <w:rFonts w:hint="cs"/>
          <w:sz w:val="20"/>
          <w:rtl/>
          <w:lang w:eastAsia="he-IL"/>
        </w:rPr>
        <w:t xml:space="preserve">לפיה </w:t>
      </w:r>
      <w:r w:rsidRPr="009644B1">
        <w:rPr>
          <w:rFonts w:hint="cs"/>
          <w:sz w:val="20"/>
          <w:rtl/>
          <w:lang w:eastAsia="he-IL"/>
        </w:rPr>
        <w:t>הנאשם יישא עונש</w:t>
      </w:r>
      <w:r>
        <w:rPr>
          <w:rFonts w:hint="cs"/>
          <w:sz w:val="20"/>
          <w:rtl/>
          <w:lang w:eastAsia="he-IL"/>
        </w:rPr>
        <w:t xml:space="preserve"> מאסר לתקופה הארוכה יותר לה נדון, קרי </w:t>
      </w:r>
      <w:r w:rsidRPr="009644B1">
        <w:rPr>
          <w:rFonts w:hint="cs"/>
          <w:sz w:val="20"/>
          <w:rtl/>
          <w:lang w:eastAsia="he-IL"/>
        </w:rPr>
        <w:t>בחופף, אלא אם הורה ביהמ"ש אחרת</w:t>
      </w:r>
      <w:r>
        <w:rPr>
          <w:rFonts w:hint="cs"/>
          <w:sz w:val="20"/>
          <w:rtl/>
          <w:lang w:eastAsia="he-IL"/>
        </w:rPr>
        <w:t>.</w:t>
      </w:r>
      <w:r w:rsidRPr="009644B1">
        <w:rPr>
          <w:rFonts w:hint="cs"/>
          <w:sz w:val="20"/>
          <w:rtl/>
          <w:lang w:eastAsia="he-IL"/>
        </w:rPr>
        <w:t xml:space="preserve"> בהינתן כל המתואר לעיל יש מקום לטעמי להורות על חפיפה </w:t>
      </w:r>
      <w:r>
        <w:rPr>
          <w:rFonts w:hint="cs"/>
          <w:sz w:val="20"/>
          <w:rtl/>
          <w:lang w:eastAsia="he-IL"/>
        </w:rPr>
        <w:t xml:space="preserve">מסויימת </w:t>
      </w:r>
      <w:r w:rsidRPr="009644B1">
        <w:rPr>
          <w:rFonts w:hint="cs"/>
          <w:sz w:val="20"/>
          <w:rtl/>
          <w:lang w:eastAsia="he-IL"/>
        </w:rPr>
        <w:t>של עונשי המאסר.</w:t>
      </w:r>
      <w:r w:rsidRPr="009644B1">
        <w:rPr>
          <w:b/>
          <w:bCs/>
          <w:sz w:val="20"/>
          <w:rtl/>
          <w:lang w:eastAsia="he-IL"/>
        </w:rPr>
        <w:t xml:space="preserve"> </w:t>
      </w:r>
      <w:r>
        <w:rPr>
          <w:rFonts w:hint="cs"/>
          <w:b/>
          <w:bCs/>
          <w:sz w:val="20"/>
          <w:rtl/>
          <w:lang w:eastAsia="he-IL"/>
        </w:rPr>
        <w:t xml:space="preserve">לפיכך, </w:t>
      </w:r>
      <w:r w:rsidRPr="009644B1">
        <w:rPr>
          <w:b/>
          <w:bCs/>
          <w:sz w:val="20"/>
          <w:rtl/>
          <w:lang w:eastAsia="he-IL"/>
        </w:rPr>
        <w:t>אני גוזרת על הנאשם העונשים הבאים:</w:t>
      </w:r>
    </w:p>
    <w:p w14:paraId="4F19B347" w14:textId="77777777" w:rsidR="00C20537" w:rsidRPr="009644B1" w:rsidRDefault="00C20537" w:rsidP="00C20537">
      <w:pPr>
        <w:widowControl w:val="0"/>
        <w:snapToGrid w:val="0"/>
        <w:ind w:left="357"/>
        <w:jc w:val="both"/>
        <w:rPr>
          <w:sz w:val="20"/>
          <w:lang w:eastAsia="he-IL"/>
        </w:rPr>
      </w:pPr>
    </w:p>
    <w:p w14:paraId="27FF8E60" w14:textId="77777777" w:rsidR="00C20537" w:rsidRPr="00B60504" w:rsidRDefault="00C20537" w:rsidP="00C20537">
      <w:pPr>
        <w:widowControl w:val="0"/>
        <w:numPr>
          <w:ilvl w:val="1"/>
          <w:numId w:val="1"/>
        </w:numPr>
        <w:tabs>
          <w:tab w:val="left" w:pos="368"/>
        </w:tabs>
        <w:snapToGrid w:val="0"/>
        <w:ind w:left="725" w:hanging="357"/>
        <w:jc w:val="both"/>
        <w:rPr>
          <w:b/>
          <w:bCs/>
          <w:sz w:val="20"/>
          <w:lang w:eastAsia="he-IL"/>
        </w:rPr>
      </w:pPr>
      <w:r>
        <w:rPr>
          <w:rFonts w:hint="cs"/>
          <w:b/>
          <w:bCs/>
          <w:sz w:val="20"/>
          <w:rtl/>
          <w:lang w:eastAsia="he-IL"/>
        </w:rPr>
        <w:t>4</w:t>
      </w:r>
      <w:r>
        <w:rPr>
          <w:b/>
          <w:bCs/>
          <w:sz w:val="20"/>
          <w:rtl/>
          <w:lang w:eastAsia="he-IL"/>
        </w:rPr>
        <w:t xml:space="preserve"> חודשי מאסר בפועל</w:t>
      </w:r>
      <w:r>
        <w:rPr>
          <w:rFonts w:hint="cs"/>
          <w:b/>
          <w:bCs/>
          <w:sz w:val="20"/>
          <w:rtl/>
          <w:lang w:eastAsia="he-IL"/>
        </w:rPr>
        <w:t xml:space="preserve">, מתוכם ישא הנאשם חודש 1 במצטבר </w:t>
      </w:r>
      <w:r w:rsidRPr="00B60504">
        <w:rPr>
          <w:rFonts w:hint="cs"/>
          <w:b/>
          <w:bCs/>
          <w:rtl/>
        </w:rPr>
        <w:t>לכל עונש מאסר אחר שמרצה כעת והיתרה בחופף.</w:t>
      </w:r>
    </w:p>
    <w:p w14:paraId="1205BBB7" w14:textId="77777777" w:rsidR="00C20537" w:rsidRPr="00B60504" w:rsidRDefault="00C20537" w:rsidP="00C20537">
      <w:pPr>
        <w:widowControl w:val="0"/>
        <w:tabs>
          <w:tab w:val="left" w:pos="368"/>
        </w:tabs>
        <w:snapToGrid w:val="0"/>
        <w:ind w:left="725"/>
        <w:jc w:val="both"/>
        <w:rPr>
          <w:b/>
          <w:bCs/>
          <w:sz w:val="20"/>
          <w:lang w:eastAsia="he-IL"/>
        </w:rPr>
      </w:pPr>
    </w:p>
    <w:p w14:paraId="00FF0FDC" w14:textId="77777777" w:rsidR="00C20537" w:rsidRDefault="00C20537" w:rsidP="00C20537">
      <w:pPr>
        <w:widowControl w:val="0"/>
        <w:numPr>
          <w:ilvl w:val="1"/>
          <w:numId w:val="1"/>
        </w:numPr>
        <w:tabs>
          <w:tab w:val="left" w:pos="368"/>
        </w:tabs>
        <w:snapToGrid w:val="0"/>
        <w:ind w:left="725" w:hanging="357"/>
        <w:jc w:val="both"/>
        <w:rPr>
          <w:sz w:val="20"/>
          <w:lang w:eastAsia="he-IL"/>
        </w:rPr>
      </w:pPr>
      <w:r>
        <w:rPr>
          <w:b/>
          <w:bCs/>
          <w:sz w:val="20"/>
          <w:rtl/>
          <w:lang w:eastAsia="he-IL"/>
        </w:rPr>
        <w:t>חודשי</w:t>
      </w:r>
      <w:r>
        <w:rPr>
          <w:rFonts w:hint="cs"/>
          <w:b/>
          <w:bCs/>
          <w:sz w:val="20"/>
          <w:rtl/>
          <w:lang w:eastAsia="he-IL"/>
        </w:rPr>
        <w:t>ים</w:t>
      </w:r>
      <w:r>
        <w:rPr>
          <w:b/>
          <w:bCs/>
          <w:sz w:val="20"/>
          <w:rtl/>
          <w:lang w:eastAsia="he-IL"/>
        </w:rPr>
        <w:t xml:space="preserve"> מאסר על תנאי, למשך 3 שנים מ</w:t>
      </w:r>
      <w:r>
        <w:rPr>
          <w:rFonts w:hint="cs"/>
          <w:b/>
          <w:bCs/>
          <w:sz w:val="20"/>
          <w:rtl/>
          <w:lang w:eastAsia="he-IL"/>
        </w:rPr>
        <w:t>תום ריצוי מאסרו</w:t>
      </w:r>
      <w:r>
        <w:rPr>
          <w:sz w:val="20"/>
          <w:rtl/>
          <w:lang w:eastAsia="he-IL"/>
        </w:rPr>
        <w:t xml:space="preserve">, שלא יעבור עבירה מסוג פשע על </w:t>
      </w:r>
      <w:r>
        <w:rPr>
          <w:rFonts w:ascii="Miriam" w:hAnsi="Miriam" w:cs="Miriam"/>
          <w:b/>
          <w:bCs/>
          <w:sz w:val="18"/>
          <w:szCs w:val="22"/>
          <w:rtl/>
          <w:lang w:eastAsia="he-IL"/>
        </w:rPr>
        <w:t>פקודת הסמים</w:t>
      </w:r>
      <w:r>
        <w:rPr>
          <w:rFonts w:hint="cs"/>
          <w:sz w:val="20"/>
          <w:rtl/>
          <w:lang w:eastAsia="he-IL"/>
        </w:rPr>
        <w:t>.</w:t>
      </w:r>
    </w:p>
    <w:p w14:paraId="54101D1F" w14:textId="77777777" w:rsidR="00C20537" w:rsidRPr="00D6308B" w:rsidRDefault="00C20537" w:rsidP="00C20537">
      <w:pPr>
        <w:widowControl w:val="0"/>
        <w:tabs>
          <w:tab w:val="left" w:pos="368"/>
        </w:tabs>
        <w:snapToGrid w:val="0"/>
        <w:ind w:left="725"/>
        <w:jc w:val="both"/>
        <w:rPr>
          <w:sz w:val="20"/>
          <w:rtl/>
          <w:lang w:eastAsia="he-IL"/>
        </w:rPr>
      </w:pPr>
    </w:p>
    <w:p w14:paraId="093A22EE" w14:textId="77777777" w:rsidR="00C20537" w:rsidRDefault="00C20537" w:rsidP="00C20537">
      <w:pPr>
        <w:widowControl w:val="0"/>
        <w:numPr>
          <w:ilvl w:val="1"/>
          <w:numId w:val="1"/>
        </w:numPr>
        <w:tabs>
          <w:tab w:val="left" w:pos="368"/>
        </w:tabs>
        <w:snapToGrid w:val="0"/>
        <w:ind w:left="725" w:hanging="357"/>
        <w:jc w:val="both"/>
        <w:rPr>
          <w:sz w:val="20"/>
          <w:rtl/>
          <w:lang w:eastAsia="he-IL"/>
        </w:rPr>
      </w:pPr>
      <w:r>
        <w:rPr>
          <w:b/>
          <w:bCs/>
          <w:rtl/>
          <w:lang w:eastAsia="he-IL"/>
        </w:rPr>
        <w:t xml:space="preserve">קנס בסך </w:t>
      </w:r>
      <w:r>
        <w:rPr>
          <w:rFonts w:hint="cs"/>
          <w:b/>
          <w:bCs/>
          <w:rtl/>
          <w:lang w:eastAsia="he-IL"/>
        </w:rPr>
        <w:t>1,5</w:t>
      </w:r>
      <w:r>
        <w:rPr>
          <w:b/>
          <w:bCs/>
          <w:rtl/>
          <w:lang w:eastAsia="he-IL"/>
        </w:rPr>
        <w:t xml:space="preserve">00 ₪, או </w:t>
      </w:r>
      <w:r>
        <w:rPr>
          <w:rFonts w:hint="cs"/>
          <w:b/>
          <w:bCs/>
          <w:rtl/>
          <w:lang w:eastAsia="he-IL"/>
        </w:rPr>
        <w:t>30</w:t>
      </w:r>
      <w:r>
        <w:rPr>
          <w:b/>
          <w:bCs/>
          <w:rtl/>
          <w:lang w:eastAsia="he-IL"/>
        </w:rPr>
        <w:t xml:space="preserve"> ימי מאסר תמורתו</w:t>
      </w:r>
      <w:r>
        <w:rPr>
          <w:rtl/>
          <w:lang w:eastAsia="he-IL"/>
        </w:rPr>
        <w:t xml:space="preserve">. </w:t>
      </w:r>
    </w:p>
    <w:p w14:paraId="165ABC49" w14:textId="77777777" w:rsidR="00C20537" w:rsidRDefault="00C20537" w:rsidP="00C20537">
      <w:pPr>
        <w:widowControl w:val="0"/>
        <w:snapToGrid w:val="0"/>
        <w:ind w:left="725"/>
        <w:jc w:val="both"/>
        <w:rPr>
          <w:rtl/>
          <w:lang w:eastAsia="he-IL"/>
        </w:rPr>
      </w:pPr>
      <w:r>
        <w:rPr>
          <w:rtl/>
          <w:lang w:eastAsia="he-IL"/>
        </w:rPr>
        <w:t>הקנס ישולם ב-</w:t>
      </w:r>
      <w:r>
        <w:rPr>
          <w:rFonts w:hint="cs"/>
          <w:rtl/>
          <w:lang w:eastAsia="he-IL"/>
        </w:rPr>
        <w:t>5</w:t>
      </w:r>
      <w:r>
        <w:rPr>
          <w:rtl/>
          <w:lang w:eastAsia="he-IL"/>
        </w:rPr>
        <w:t xml:space="preserve"> תשלומים שווים ורצופים, החל מיום </w:t>
      </w:r>
      <w:r>
        <w:rPr>
          <w:rFonts w:hint="cs"/>
          <w:rtl/>
          <w:lang w:eastAsia="he-IL"/>
        </w:rPr>
        <w:t>15.2.24</w:t>
      </w:r>
      <w:r>
        <w:rPr>
          <w:rtl/>
          <w:lang w:eastAsia="he-IL"/>
        </w:rPr>
        <w:t xml:space="preserve"> וכל </w:t>
      </w:r>
      <w:r>
        <w:rPr>
          <w:rFonts w:hint="cs"/>
          <w:rtl/>
          <w:lang w:eastAsia="he-IL"/>
        </w:rPr>
        <w:t>15</w:t>
      </w:r>
      <w:r>
        <w:rPr>
          <w:rtl/>
          <w:lang w:eastAsia="he-IL"/>
        </w:rPr>
        <w:t xml:space="preserve"> בחודש שלאחריו.</w:t>
      </w:r>
    </w:p>
    <w:p w14:paraId="31F5FC5C" w14:textId="77777777" w:rsidR="00C20537" w:rsidRDefault="00C20537" w:rsidP="00C20537">
      <w:pPr>
        <w:widowControl w:val="0"/>
        <w:snapToGrid w:val="0"/>
        <w:ind w:left="725"/>
        <w:jc w:val="both"/>
        <w:rPr>
          <w:lang w:eastAsia="he-IL"/>
        </w:rPr>
      </w:pPr>
      <w:r>
        <w:rPr>
          <w:rtl/>
          <w:lang w:eastAsia="he-IL"/>
        </w:rPr>
        <w:t>אם לא יבוצע תשלום במועדו - תעמוד כל יתרת הקנס לפירעון מיידי.</w:t>
      </w:r>
    </w:p>
    <w:p w14:paraId="44DF25F8" w14:textId="77777777" w:rsidR="00C20537" w:rsidRDefault="00C20537" w:rsidP="00C20537">
      <w:pPr>
        <w:pStyle w:val="a9"/>
        <w:widowControl w:val="0"/>
        <w:ind w:left="725"/>
        <w:jc w:val="both"/>
        <w:rPr>
          <w:rFonts w:ascii="David" w:hAnsi="David"/>
          <w:u w:val="single"/>
          <w:rtl/>
        </w:rPr>
      </w:pPr>
      <w:r>
        <w:rPr>
          <w:rFonts w:ascii="David" w:hAnsi="David"/>
          <w:u w:val="single"/>
          <w:rtl/>
        </w:rPr>
        <w:t>ניתן לשלם את הקנס באחת הדרכים הבאות</w:t>
      </w:r>
      <w:r>
        <w:rPr>
          <w:rFonts w:ascii="David" w:hAnsi="David"/>
          <w:u w:val="single"/>
        </w:rPr>
        <w:t>:</w:t>
      </w:r>
    </w:p>
    <w:p w14:paraId="3FC07F0C" w14:textId="77777777" w:rsidR="00C20537" w:rsidRDefault="00C20537" w:rsidP="00C20537">
      <w:pPr>
        <w:pStyle w:val="a9"/>
        <w:widowControl w:val="0"/>
        <w:numPr>
          <w:ilvl w:val="0"/>
          <w:numId w:val="2"/>
        </w:numPr>
        <w:snapToGrid w:val="0"/>
        <w:ind w:left="1085"/>
        <w:jc w:val="both"/>
        <w:rPr>
          <w:rFonts w:ascii="David" w:hAnsi="David"/>
          <w:rtl/>
        </w:rPr>
      </w:pPr>
      <w:r>
        <w:rPr>
          <w:rFonts w:ascii="David" w:hAnsi="David"/>
          <w:rtl/>
        </w:rPr>
        <w:t>בכרטיס</w:t>
      </w:r>
      <w:r>
        <w:rPr>
          <w:rFonts w:ascii="David" w:hAnsi="David"/>
        </w:rPr>
        <w:t xml:space="preserve"> </w:t>
      </w:r>
      <w:r>
        <w:rPr>
          <w:rFonts w:ascii="David" w:hAnsi="David"/>
          <w:rtl/>
        </w:rPr>
        <w:t>אשראי - באתר</w:t>
      </w:r>
      <w:r>
        <w:rPr>
          <w:rFonts w:ascii="David" w:hAnsi="David"/>
        </w:rPr>
        <w:t xml:space="preserve"> </w:t>
      </w:r>
      <w:r>
        <w:rPr>
          <w:rFonts w:ascii="David" w:hAnsi="David"/>
          <w:rtl/>
        </w:rPr>
        <w:t>המקוון</w:t>
      </w:r>
      <w:r>
        <w:rPr>
          <w:rFonts w:ascii="David" w:hAnsi="David"/>
        </w:rPr>
        <w:t xml:space="preserve"> </w:t>
      </w:r>
      <w:r>
        <w:rPr>
          <w:rFonts w:ascii="David" w:hAnsi="David"/>
          <w:rtl/>
        </w:rPr>
        <w:t>של</w:t>
      </w:r>
      <w:r>
        <w:rPr>
          <w:rFonts w:ascii="David" w:hAnsi="David"/>
        </w:rPr>
        <w:t xml:space="preserve"> </w:t>
      </w:r>
      <w:r>
        <w:rPr>
          <w:rFonts w:ascii="David" w:hAnsi="David"/>
          <w:rtl/>
        </w:rPr>
        <w:t>רשות</w:t>
      </w:r>
      <w:r>
        <w:rPr>
          <w:rFonts w:ascii="David" w:hAnsi="David"/>
        </w:rPr>
        <w:t xml:space="preserve"> </w:t>
      </w:r>
      <w:r>
        <w:rPr>
          <w:rFonts w:ascii="David" w:hAnsi="David"/>
          <w:rtl/>
        </w:rPr>
        <w:t>האכיפה</w:t>
      </w:r>
      <w:r>
        <w:rPr>
          <w:rFonts w:ascii="David" w:hAnsi="David"/>
        </w:rPr>
        <w:t xml:space="preserve"> </w:t>
      </w:r>
      <w:r>
        <w:rPr>
          <w:rFonts w:ascii="David" w:hAnsi="David"/>
          <w:rtl/>
        </w:rPr>
        <w:t>והגבייה</w:t>
      </w:r>
      <w:r>
        <w:rPr>
          <w:rFonts w:ascii="David" w:hAnsi="David"/>
        </w:rPr>
        <w:t xml:space="preserve">www.eca.gov.il </w:t>
      </w:r>
    </w:p>
    <w:p w14:paraId="56D6D509" w14:textId="77777777" w:rsidR="00C20537" w:rsidRDefault="00C20537" w:rsidP="00C20537">
      <w:pPr>
        <w:pStyle w:val="a9"/>
        <w:widowControl w:val="0"/>
        <w:numPr>
          <w:ilvl w:val="0"/>
          <w:numId w:val="2"/>
        </w:numPr>
        <w:snapToGrid w:val="0"/>
        <w:ind w:left="1085"/>
        <w:jc w:val="both"/>
        <w:rPr>
          <w:rFonts w:ascii="David" w:hAnsi="David"/>
        </w:rPr>
      </w:pPr>
      <w:r>
        <w:rPr>
          <w:rFonts w:ascii="David" w:hAnsi="David"/>
          <w:rtl/>
        </w:rPr>
        <w:t>מוקד</w:t>
      </w:r>
      <w:r>
        <w:rPr>
          <w:rFonts w:ascii="David" w:hAnsi="David"/>
        </w:rPr>
        <w:t xml:space="preserve"> </w:t>
      </w:r>
      <w:r>
        <w:rPr>
          <w:rFonts w:ascii="David" w:hAnsi="David"/>
          <w:rtl/>
        </w:rPr>
        <w:t>שירות</w:t>
      </w:r>
      <w:r>
        <w:rPr>
          <w:rFonts w:ascii="David" w:hAnsi="David"/>
        </w:rPr>
        <w:t xml:space="preserve"> </w:t>
      </w:r>
      <w:r>
        <w:rPr>
          <w:rFonts w:ascii="David" w:hAnsi="David"/>
          <w:rtl/>
        </w:rPr>
        <w:t>טלפוני</w:t>
      </w:r>
      <w:r>
        <w:rPr>
          <w:rFonts w:ascii="David" w:hAnsi="David"/>
        </w:rPr>
        <w:t xml:space="preserve"> </w:t>
      </w:r>
      <w:r>
        <w:rPr>
          <w:rFonts w:ascii="David" w:hAnsi="David"/>
          <w:rtl/>
        </w:rPr>
        <w:t>(בשרות</w:t>
      </w:r>
      <w:r>
        <w:rPr>
          <w:rFonts w:ascii="David" w:hAnsi="David"/>
        </w:rPr>
        <w:t xml:space="preserve"> </w:t>
      </w:r>
      <w:r>
        <w:rPr>
          <w:rFonts w:ascii="David" w:hAnsi="David"/>
          <w:rtl/>
        </w:rPr>
        <w:t>עצמי) מרכז</w:t>
      </w:r>
      <w:r>
        <w:rPr>
          <w:rFonts w:ascii="David" w:hAnsi="David"/>
        </w:rPr>
        <w:t xml:space="preserve"> </w:t>
      </w:r>
      <w:r>
        <w:rPr>
          <w:rFonts w:ascii="David" w:hAnsi="David"/>
          <w:rtl/>
        </w:rPr>
        <w:t>גבייה - במספר *</w:t>
      </w:r>
      <w:r>
        <w:rPr>
          <w:rFonts w:ascii="David" w:hAnsi="David"/>
        </w:rPr>
        <w:t>35592</w:t>
      </w:r>
      <w:r>
        <w:rPr>
          <w:rFonts w:ascii="David" w:hAnsi="David"/>
          <w:rtl/>
        </w:rPr>
        <w:t xml:space="preserve"> </w:t>
      </w:r>
      <w:r>
        <w:rPr>
          <w:rFonts w:ascii="David" w:hAnsi="David" w:hint="cs"/>
          <w:rtl/>
        </w:rPr>
        <w:t>או</w:t>
      </w:r>
      <w:r>
        <w:rPr>
          <w:rFonts w:ascii="David" w:hAnsi="David"/>
        </w:rPr>
        <w:t xml:space="preserve">073-2055000 </w:t>
      </w:r>
    </w:p>
    <w:p w14:paraId="0AB7A6C5" w14:textId="77777777" w:rsidR="00C20537" w:rsidRDefault="00C20537" w:rsidP="00C20537">
      <w:pPr>
        <w:pStyle w:val="a9"/>
        <w:widowControl w:val="0"/>
        <w:numPr>
          <w:ilvl w:val="0"/>
          <w:numId w:val="2"/>
        </w:numPr>
        <w:snapToGrid w:val="0"/>
        <w:ind w:left="1085"/>
        <w:jc w:val="both"/>
        <w:rPr>
          <w:rFonts w:ascii="David" w:hAnsi="David"/>
          <w:rtl/>
        </w:rPr>
      </w:pPr>
      <w:r>
        <w:rPr>
          <w:rFonts w:ascii="David" w:hAnsi="David"/>
          <w:rtl/>
        </w:rPr>
        <w:t>במזומן</w:t>
      </w:r>
      <w:r>
        <w:rPr>
          <w:rFonts w:ascii="David" w:hAnsi="David"/>
        </w:rPr>
        <w:t xml:space="preserve"> </w:t>
      </w:r>
      <w:r>
        <w:rPr>
          <w:rFonts w:ascii="David" w:hAnsi="David"/>
          <w:rtl/>
        </w:rPr>
        <w:t>בכל</w:t>
      </w:r>
      <w:r>
        <w:rPr>
          <w:rFonts w:ascii="David" w:hAnsi="David"/>
        </w:rPr>
        <w:t xml:space="preserve"> </w:t>
      </w:r>
      <w:r>
        <w:rPr>
          <w:rFonts w:ascii="David" w:hAnsi="David"/>
          <w:rtl/>
        </w:rPr>
        <w:t>סניף</w:t>
      </w:r>
      <w:r>
        <w:rPr>
          <w:rFonts w:ascii="David" w:hAnsi="David"/>
        </w:rPr>
        <w:t xml:space="preserve"> </w:t>
      </w:r>
      <w:r>
        <w:rPr>
          <w:rFonts w:ascii="David" w:hAnsi="David"/>
          <w:rtl/>
        </w:rPr>
        <w:t>של</w:t>
      </w:r>
      <w:r>
        <w:rPr>
          <w:rFonts w:ascii="David" w:hAnsi="David"/>
        </w:rPr>
        <w:t xml:space="preserve"> </w:t>
      </w:r>
      <w:r>
        <w:rPr>
          <w:rFonts w:ascii="David" w:hAnsi="David"/>
          <w:rtl/>
        </w:rPr>
        <w:t>בנק</w:t>
      </w:r>
      <w:r>
        <w:rPr>
          <w:rFonts w:ascii="David" w:hAnsi="David"/>
        </w:rPr>
        <w:t xml:space="preserve"> </w:t>
      </w:r>
      <w:r>
        <w:rPr>
          <w:rFonts w:ascii="David" w:hAnsi="David"/>
          <w:rtl/>
        </w:rPr>
        <w:t>הדואר - בהצגת</w:t>
      </w:r>
      <w:r>
        <w:rPr>
          <w:rFonts w:ascii="David" w:hAnsi="David"/>
        </w:rPr>
        <w:t xml:space="preserve"> </w:t>
      </w:r>
      <w:r>
        <w:rPr>
          <w:rFonts w:ascii="David" w:hAnsi="David"/>
          <w:rtl/>
        </w:rPr>
        <w:t>תעודת</w:t>
      </w:r>
      <w:r>
        <w:rPr>
          <w:rFonts w:ascii="David" w:hAnsi="David"/>
        </w:rPr>
        <w:t xml:space="preserve"> </w:t>
      </w:r>
      <w:r>
        <w:rPr>
          <w:rFonts w:ascii="David" w:hAnsi="David"/>
          <w:rtl/>
        </w:rPr>
        <w:t>זהות</w:t>
      </w:r>
      <w:r>
        <w:rPr>
          <w:rFonts w:ascii="David" w:hAnsi="David"/>
        </w:rPr>
        <w:t xml:space="preserve"> </w:t>
      </w:r>
      <w:r>
        <w:rPr>
          <w:rFonts w:ascii="David" w:hAnsi="David"/>
          <w:rtl/>
        </w:rPr>
        <w:t>בלבד (אין</w:t>
      </w:r>
      <w:r>
        <w:rPr>
          <w:rFonts w:ascii="David" w:hAnsi="David"/>
        </w:rPr>
        <w:t xml:space="preserve"> </w:t>
      </w:r>
      <w:r>
        <w:rPr>
          <w:rFonts w:ascii="David" w:hAnsi="David"/>
          <w:rtl/>
        </w:rPr>
        <w:t>צורך</w:t>
      </w:r>
      <w:r>
        <w:rPr>
          <w:rFonts w:ascii="David" w:hAnsi="David"/>
        </w:rPr>
        <w:t xml:space="preserve"> </w:t>
      </w:r>
      <w:r>
        <w:rPr>
          <w:rFonts w:ascii="David" w:hAnsi="David"/>
          <w:rtl/>
        </w:rPr>
        <w:t>בהצגת</w:t>
      </w:r>
      <w:r>
        <w:rPr>
          <w:rFonts w:ascii="David" w:hAnsi="David"/>
        </w:rPr>
        <w:t xml:space="preserve"> </w:t>
      </w:r>
      <w:r>
        <w:rPr>
          <w:rFonts w:ascii="David" w:hAnsi="David"/>
          <w:rtl/>
        </w:rPr>
        <w:t>בשוברי</w:t>
      </w:r>
      <w:r>
        <w:rPr>
          <w:rFonts w:ascii="David" w:hAnsi="David"/>
        </w:rPr>
        <w:t xml:space="preserve"> </w:t>
      </w:r>
      <w:r>
        <w:rPr>
          <w:rFonts w:ascii="David" w:hAnsi="David"/>
          <w:rtl/>
        </w:rPr>
        <w:t>תשלום).</w:t>
      </w:r>
    </w:p>
    <w:p w14:paraId="428587A4" w14:textId="77777777" w:rsidR="00C20537" w:rsidRDefault="00C20537" w:rsidP="00C20537">
      <w:pPr>
        <w:pStyle w:val="a9"/>
        <w:widowControl w:val="0"/>
        <w:ind w:left="725"/>
        <w:jc w:val="both"/>
        <w:rPr>
          <w:rtl/>
        </w:rPr>
      </w:pPr>
      <w:r>
        <w:rPr>
          <w:b/>
          <w:bCs/>
          <w:rtl/>
        </w:rPr>
        <w:t>לא תשמע טענה שהנאשם לא קיבל שוברי תשלום בדואר</w:t>
      </w:r>
      <w:r>
        <w:rPr>
          <w:rFonts w:hint="cs"/>
          <w:rtl/>
        </w:rPr>
        <w:t>.</w:t>
      </w:r>
    </w:p>
    <w:p w14:paraId="17B181A3" w14:textId="77777777" w:rsidR="00C20537" w:rsidRDefault="00C20537" w:rsidP="00C20537">
      <w:pPr>
        <w:widowControl w:val="0"/>
        <w:snapToGrid w:val="0"/>
        <w:ind w:left="725"/>
        <w:jc w:val="both"/>
        <w:rPr>
          <w:sz w:val="20"/>
          <w:u w:val="single"/>
          <w:rtl/>
          <w:lang w:eastAsia="he-IL"/>
        </w:rPr>
      </w:pPr>
    </w:p>
    <w:p w14:paraId="0FC702A4" w14:textId="77777777" w:rsidR="00C20537" w:rsidRDefault="00C20537" w:rsidP="00C20537">
      <w:pPr>
        <w:widowControl w:val="0"/>
        <w:numPr>
          <w:ilvl w:val="1"/>
          <w:numId w:val="1"/>
        </w:numPr>
        <w:tabs>
          <w:tab w:val="left" w:pos="368"/>
        </w:tabs>
        <w:snapToGrid w:val="0"/>
        <w:ind w:left="725" w:hanging="357"/>
        <w:jc w:val="both"/>
        <w:rPr>
          <w:sz w:val="20"/>
          <w:lang w:eastAsia="he-IL"/>
        </w:rPr>
      </w:pPr>
      <w:r>
        <w:rPr>
          <w:rFonts w:hint="cs"/>
          <w:b/>
          <w:bCs/>
          <w:rtl/>
        </w:rPr>
        <w:t>2</w:t>
      </w:r>
      <w:r>
        <w:rPr>
          <w:b/>
          <w:bCs/>
          <w:rtl/>
        </w:rPr>
        <w:t>,000 ₪ התחייבות</w:t>
      </w:r>
      <w:r>
        <w:rPr>
          <w:rtl/>
        </w:rPr>
        <w:t xml:space="preserve">, למשך 3 שנים מהיום, שלא יעבור עבירה מסוג פשע על </w:t>
      </w:r>
      <w:r>
        <w:rPr>
          <w:rFonts w:ascii="Miriam" w:hAnsi="Miriam" w:cs="Miriam"/>
          <w:bCs/>
          <w:sz w:val="18"/>
          <w:szCs w:val="22"/>
          <w:rtl/>
        </w:rPr>
        <w:t>פקודת הסמים</w:t>
      </w:r>
      <w:r>
        <w:rPr>
          <w:rtl/>
        </w:rPr>
        <w:t>.</w:t>
      </w:r>
    </w:p>
    <w:p w14:paraId="60BCF86F" w14:textId="77777777" w:rsidR="00C20537" w:rsidRDefault="00C20537" w:rsidP="00C20537">
      <w:pPr>
        <w:widowControl w:val="0"/>
        <w:tabs>
          <w:tab w:val="left" w:pos="368"/>
        </w:tabs>
        <w:snapToGrid w:val="0"/>
        <w:ind w:left="726"/>
        <w:jc w:val="both"/>
        <w:rPr>
          <w:rtl/>
        </w:rPr>
      </w:pPr>
      <w:r>
        <w:rPr>
          <w:rtl/>
        </w:rPr>
        <w:t>על הנאשם להצהיר על ההתחייבות היום. לא יצהיר על ההתחייבות היום - יהיה על הנאשם לרצות 30 ימי מאסר בפועל, על מנת לכפות אותו לעשות כן.</w:t>
      </w:r>
    </w:p>
    <w:p w14:paraId="4C93B6A1" w14:textId="77777777" w:rsidR="00C20537" w:rsidRDefault="00C20537" w:rsidP="00C20537">
      <w:pPr>
        <w:widowControl w:val="0"/>
        <w:tabs>
          <w:tab w:val="left" w:pos="368"/>
        </w:tabs>
        <w:snapToGrid w:val="0"/>
        <w:ind w:left="726"/>
        <w:jc w:val="both"/>
        <w:rPr>
          <w:sz w:val="20"/>
          <w:lang w:eastAsia="he-IL"/>
        </w:rPr>
      </w:pPr>
    </w:p>
    <w:p w14:paraId="59D22570" w14:textId="77777777" w:rsidR="00C20537" w:rsidRDefault="00C20537" w:rsidP="00C20537">
      <w:pPr>
        <w:widowControl w:val="0"/>
        <w:numPr>
          <w:ilvl w:val="1"/>
          <w:numId w:val="1"/>
        </w:numPr>
        <w:tabs>
          <w:tab w:val="left" w:pos="368"/>
        </w:tabs>
        <w:snapToGrid w:val="0"/>
        <w:ind w:left="725" w:hanging="357"/>
        <w:jc w:val="both"/>
        <w:rPr>
          <w:sz w:val="20"/>
          <w:lang w:eastAsia="he-IL"/>
        </w:rPr>
      </w:pPr>
      <w:r>
        <w:rPr>
          <w:rFonts w:hint="cs"/>
          <w:b/>
          <w:bCs/>
          <w:sz w:val="20"/>
          <w:rtl/>
          <w:lang w:eastAsia="he-IL"/>
        </w:rPr>
        <w:t>5</w:t>
      </w:r>
      <w:r>
        <w:rPr>
          <w:b/>
          <w:bCs/>
          <w:sz w:val="20"/>
          <w:rtl/>
          <w:lang w:eastAsia="he-IL"/>
        </w:rPr>
        <w:t xml:space="preserve"> חודשי פסילה מקבל או מהחזיק רישיון נהיגה על תנאי</w:t>
      </w:r>
      <w:r>
        <w:rPr>
          <w:sz w:val="20"/>
          <w:rtl/>
          <w:lang w:eastAsia="he-IL"/>
        </w:rPr>
        <w:t xml:space="preserve">. התנאי הוא שבמשך 3 שנים מהיום לא יעבור כל עבירה </w:t>
      </w:r>
      <w:r>
        <w:rPr>
          <w:rtl/>
          <w:lang w:eastAsia="he-IL"/>
        </w:rPr>
        <w:t xml:space="preserve">על </w:t>
      </w:r>
      <w:r>
        <w:rPr>
          <w:rFonts w:ascii="Miriam" w:hAnsi="Miriam" w:cs="Miriam"/>
          <w:b/>
          <w:bCs/>
          <w:sz w:val="22"/>
          <w:szCs w:val="22"/>
          <w:rtl/>
          <w:lang w:eastAsia="he-IL"/>
        </w:rPr>
        <w:t>פקודת הסמים</w:t>
      </w:r>
      <w:r>
        <w:rPr>
          <w:rtl/>
          <w:lang w:eastAsia="he-IL"/>
        </w:rPr>
        <w:t>;</w:t>
      </w:r>
    </w:p>
    <w:p w14:paraId="6DF3298E" w14:textId="77777777" w:rsidR="00C20537" w:rsidRDefault="00C20537" w:rsidP="00C20537">
      <w:pPr>
        <w:widowControl w:val="0"/>
        <w:jc w:val="both"/>
        <w:rPr>
          <w:rtl/>
        </w:rPr>
      </w:pPr>
      <w:bookmarkStart w:id="9" w:name="Rov1069"/>
    </w:p>
    <w:p w14:paraId="248E0DB2" w14:textId="77777777" w:rsidR="00C20537" w:rsidRDefault="00C20537" w:rsidP="00C20537">
      <w:pPr>
        <w:widowControl w:val="0"/>
        <w:jc w:val="both"/>
        <w:rPr>
          <w:rFonts w:ascii="David" w:hAnsi="David"/>
          <w:b/>
          <w:bCs/>
          <w:rtl/>
        </w:rPr>
      </w:pPr>
      <w:bookmarkStart w:id="10" w:name="Seif595"/>
      <w:bookmarkEnd w:id="9"/>
      <w:bookmarkEnd w:id="10"/>
      <w:r>
        <w:rPr>
          <w:rFonts w:ascii="David" w:hAnsi="David"/>
          <w:b/>
          <w:bCs/>
          <w:rtl/>
        </w:rPr>
        <w:t>ניתן צו כללי למוצגים: להשמיד, לחלט ולהשיב לבעלים, לפי שיקול דעת היחידה החוקרת.</w:t>
      </w:r>
    </w:p>
    <w:p w14:paraId="78B028B9" w14:textId="77777777" w:rsidR="00C20537" w:rsidRDefault="00C20537" w:rsidP="00C20537">
      <w:pPr>
        <w:widowControl w:val="0"/>
        <w:jc w:val="both"/>
        <w:rPr>
          <w:rFonts w:ascii="David" w:hAnsi="David"/>
          <w:b/>
          <w:bCs/>
          <w:rtl/>
        </w:rPr>
      </w:pPr>
      <w:r>
        <w:rPr>
          <w:rFonts w:ascii="David" w:hAnsi="David"/>
          <w:b/>
          <w:bCs/>
          <w:rtl/>
        </w:rPr>
        <w:t>ניתן צו להשמדת הס</w:t>
      </w:r>
      <w:r>
        <w:rPr>
          <w:rFonts w:ascii="David" w:hAnsi="David" w:hint="cs"/>
          <w:b/>
          <w:bCs/>
          <w:rtl/>
        </w:rPr>
        <w:t>מי</w:t>
      </w:r>
      <w:r>
        <w:rPr>
          <w:rFonts w:ascii="David" w:hAnsi="David"/>
          <w:b/>
          <w:bCs/>
          <w:rtl/>
        </w:rPr>
        <w:t>ם.</w:t>
      </w:r>
    </w:p>
    <w:p w14:paraId="191730DA" w14:textId="77777777" w:rsidR="00C20537" w:rsidRPr="006B0CC5" w:rsidRDefault="006B0CC5" w:rsidP="00C20537">
      <w:pPr>
        <w:widowControl w:val="0"/>
        <w:jc w:val="both"/>
        <w:rPr>
          <w:rFonts w:ascii="David" w:hAnsi="David"/>
          <w:b/>
          <w:bCs/>
          <w:color w:val="FFFFFF"/>
          <w:sz w:val="2"/>
          <w:szCs w:val="2"/>
          <w:u w:val="single"/>
          <w:rtl/>
        </w:rPr>
      </w:pPr>
      <w:r w:rsidRPr="006B0CC5">
        <w:rPr>
          <w:rFonts w:ascii="David" w:hAnsi="David"/>
          <w:b/>
          <w:bCs/>
          <w:color w:val="FFFFFF"/>
          <w:sz w:val="2"/>
          <w:szCs w:val="2"/>
          <w:u w:val="single"/>
          <w:rtl/>
        </w:rPr>
        <w:t>5129371</w:t>
      </w:r>
    </w:p>
    <w:p w14:paraId="29B9E78D" w14:textId="77777777" w:rsidR="00C20537" w:rsidRDefault="006B0CC5" w:rsidP="00C20537">
      <w:pPr>
        <w:widowControl w:val="0"/>
        <w:jc w:val="both"/>
        <w:rPr>
          <w:rFonts w:ascii="David" w:hAnsi="David"/>
          <w:b/>
          <w:bCs/>
          <w:u w:val="single"/>
          <w:rtl/>
        </w:rPr>
      </w:pPr>
      <w:r w:rsidRPr="006B0CC5">
        <w:rPr>
          <w:rFonts w:ascii="David" w:hAnsi="David"/>
          <w:b/>
          <w:bCs/>
          <w:color w:val="FFFFFF"/>
          <w:sz w:val="2"/>
          <w:szCs w:val="2"/>
          <w:u w:val="single"/>
          <w:rtl/>
        </w:rPr>
        <w:t>54678313</w:t>
      </w:r>
      <w:r w:rsidR="00C20537">
        <w:rPr>
          <w:rFonts w:ascii="David" w:hAnsi="David"/>
          <w:b/>
          <w:bCs/>
          <w:u w:val="single"/>
          <w:rtl/>
        </w:rPr>
        <w:t>זכות ערעור לבית-המשפט המחוזי תוך 45 יום</w:t>
      </w:r>
      <w:bookmarkEnd w:id="8"/>
      <w:r w:rsidR="00C20537">
        <w:rPr>
          <w:rFonts w:ascii="David" w:hAnsi="David"/>
          <w:b/>
          <w:bCs/>
          <w:u w:val="single"/>
          <w:rtl/>
        </w:rPr>
        <w:t>.</w:t>
      </w:r>
    </w:p>
    <w:p w14:paraId="5BF4C338" w14:textId="77777777" w:rsidR="00C20537" w:rsidRDefault="00C20537" w:rsidP="00C20537">
      <w:pPr>
        <w:widowControl w:val="0"/>
        <w:jc w:val="both"/>
        <w:rPr>
          <w:rFonts w:ascii="Arial" w:hAnsi="Arial"/>
          <w:b/>
          <w:bCs/>
          <w:noProof w:val="0"/>
          <w:rtl/>
        </w:rPr>
      </w:pPr>
    </w:p>
    <w:p w14:paraId="57F2219F" w14:textId="77777777" w:rsidR="00C20537" w:rsidRDefault="006B0CC5" w:rsidP="00C20537">
      <w:pPr>
        <w:widowControl w:val="0"/>
        <w:jc w:val="both"/>
        <w:rPr>
          <w:rFonts w:ascii="Arial" w:hAnsi="Arial"/>
          <w:noProof w:val="0"/>
          <w:rtl/>
        </w:rPr>
      </w:pPr>
      <w:bookmarkStart w:id="11" w:name="Nitan"/>
      <w:r>
        <w:rPr>
          <w:rFonts w:ascii="Arial" w:hAnsi="Arial"/>
          <w:b/>
          <w:bCs/>
          <w:noProof w:val="0"/>
          <w:rtl/>
        </w:rPr>
        <w:t xml:space="preserve">ניתנה היום,  ה' שבט תשפ"ד, 15 ינואר 2024, במעמד הנוכחים </w:t>
      </w:r>
      <w:bookmarkEnd w:id="11"/>
    </w:p>
    <w:p w14:paraId="7F00A846" w14:textId="77777777" w:rsidR="00C20537" w:rsidRDefault="00C20537" w:rsidP="00C20537">
      <w:pPr>
        <w:widowControl w:val="0"/>
        <w:ind w:left="3600" w:firstLine="720"/>
        <w:jc w:val="both"/>
      </w:pPr>
    </w:p>
    <w:p w14:paraId="57448BA0" w14:textId="77777777" w:rsidR="00C20537" w:rsidRPr="0048772B" w:rsidRDefault="0048772B" w:rsidP="00C20537">
      <w:pPr>
        <w:widowControl w:val="0"/>
        <w:ind w:left="3600" w:firstLine="720"/>
        <w:jc w:val="both"/>
        <w:rPr>
          <w:rFonts w:ascii="Arial" w:hAnsi="Arial"/>
          <w:noProof w:val="0"/>
          <w:color w:val="FFFFFF"/>
          <w:sz w:val="2"/>
          <w:szCs w:val="2"/>
          <w:rtl/>
        </w:rPr>
      </w:pPr>
      <w:r w:rsidRPr="0048772B">
        <w:rPr>
          <w:rFonts w:ascii="Arial" w:hAnsi="Arial"/>
          <w:noProof w:val="0"/>
          <w:color w:val="FFFFFF"/>
          <w:sz w:val="2"/>
          <w:szCs w:val="2"/>
          <w:rtl/>
        </w:rPr>
        <w:t>5129371</w:t>
      </w:r>
    </w:p>
    <w:p w14:paraId="7BAD5F40" w14:textId="77777777" w:rsidR="00CC0FD9" w:rsidRPr="0048772B" w:rsidRDefault="0048772B" w:rsidP="006B0CC5">
      <w:pPr>
        <w:keepNext/>
        <w:rPr>
          <w:rFonts w:ascii="David" w:hAnsi="David" w:hint="cs"/>
          <w:color w:val="FFFFFF"/>
          <w:sz w:val="2"/>
          <w:szCs w:val="2"/>
          <w:rtl/>
        </w:rPr>
      </w:pPr>
      <w:r w:rsidRPr="0048772B">
        <w:rPr>
          <w:rFonts w:ascii="David" w:hAnsi="David"/>
          <w:color w:val="FFFFFF"/>
          <w:sz w:val="2"/>
          <w:szCs w:val="2"/>
          <w:rtl/>
        </w:rPr>
        <w:t>54678313</w:t>
      </w:r>
    </w:p>
    <w:p w14:paraId="452C0A31" w14:textId="77777777" w:rsidR="006B0CC5" w:rsidRDefault="006B0CC5" w:rsidP="006B0CC5">
      <w:pPr>
        <w:rPr>
          <w:rtl/>
        </w:rPr>
      </w:pPr>
    </w:p>
    <w:p w14:paraId="458FE207" w14:textId="77777777" w:rsidR="006B0CC5" w:rsidRDefault="006B0CC5" w:rsidP="006B0CC5">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3BDEF36C" w14:textId="77777777" w:rsidR="0048772B" w:rsidRPr="0048772B" w:rsidRDefault="0048772B" w:rsidP="0048772B">
      <w:pPr>
        <w:keepNext/>
        <w:rPr>
          <w:rFonts w:ascii="David" w:hAnsi="David" w:hint="cs"/>
          <w:color w:val="000000"/>
          <w:sz w:val="22"/>
          <w:szCs w:val="22"/>
          <w:rtl/>
        </w:rPr>
      </w:pPr>
    </w:p>
    <w:p w14:paraId="732D37A5" w14:textId="77777777" w:rsidR="0048772B" w:rsidRPr="0048772B" w:rsidRDefault="0048772B" w:rsidP="0048772B">
      <w:pPr>
        <w:keepNext/>
        <w:rPr>
          <w:rFonts w:ascii="David" w:hAnsi="David"/>
          <w:color w:val="000000"/>
          <w:sz w:val="22"/>
          <w:szCs w:val="22"/>
          <w:rtl/>
        </w:rPr>
      </w:pPr>
      <w:r w:rsidRPr="0048772B">
        <w:rPr>
          <w:rFonts w:ascii="David" w:hAnsi="David"/>
          <w:color w:val="000000"/>
          <w:sz w:val="22"/>
          <w:szCs w:val="22"/>
          <w:rtl/>
        </w:rPr>
        <w:t>זהר דולב להמן 54678313-/</w:t>
      </w:r>
    </w:p>
    <w:p w14:paraId="28BCA4BC" w14:textId="77777777" w:rsidR="006B0CC5" w:rsidRPr="006B0CC5" w:rsidRDefault="0048772B" w:rsidP="0048772B">
      <w:pPr>
        <w:rPr>
          <w:rFonts w:hint="cs"/>
          <w:color w:val="0000FF"/>
          <w:u w:val="single"/>
        </w:rPr>
      </w:pPr>
      <w:r w:rsidRPr="0048772B">
        <w:rPr>
          <w:color w:val="000000"/>
          <w:u w:val="single"/>
          <w:rtl/>
        </w:rPr>
        <w:t>נוסח מסמך זה כפוף לשינויי ניסוח ועריכה</w:t>
      </w:r>
    </w:p>
    <w:sectPr w:rsidR="006B0CC5" w:rsidRPr="006B0CC5" w:rsidSect="0048772B">
      <w:headerReference w:type="even" r:id="rId59"/>
      <w:headerReference w:type="default" r:id="rId60"/>
      <w:footerReference w:type="even" r:id="rId61"/>
      <w:footerReference w:type="default" r:id="rId6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76708" w14:textId="77777777" w:rsidR="00DF1F9E" w:rsidRDefault="00DF1F9E" w:rsidP="00C06CE8">
      <w:r>
        <w:separator/>
      </w:r>
    </w:p>
  </w:endnote>
  <w:endnote w:type="continuationSeparator" w:id="0">
    <w:p w14:paraId="62F452F8" w14:textId="77777777" w:rsidR="00DF1F9E" w:rsidRDefault="00DF1F9E" w:rsidP="00C0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6FC27" w14:textId="77777777" w:rsidR="0048772B" w:rsidRDefault="0048772B" w:rsidP="004877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3946054" w14:textId="77777777" w:rsidR="006B0CC5" w:rsidRPr="0048772B" w:rsidRDefault="0048772B" w:rsidP="0048772B">
    <w:pPr>
      <w:pStyle w:val="a5"/>
      <w:pBdr>
        <w:top w:val="single" w:sz="4" w:space="1" w:color="auto"/>
        <w:between w:val="single" w:sz="4" w:space="0" w:color="auto"/>
      </w:pBdr>
      <w:spacing w:after="60"/>
      <w:jc w:val="center"/>
      <w:rPr>
        <w:rFonts w:ascii="FrankRuehl" w:hAnsi="FrankRuehl" w:cs="FrankRuehl"/>
        <w:color w:val="000000"/>
      </w:rPr>
    </w:pPr>
    <w:r w:rsidRPr="004877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8285F" w14:textId="77777777" w:rsidR="0048772B" w:rsidRDefault="0048772B" w:rsidP="0048772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A4264">
      <w:rPr>
        <w:rStyle w:val="a8"/>
        <w:rFonts w:ascii="FrankRuehl" w:hAnsi="FrankRuehl" w:cs="FrankRuehl"/>
        <w:rtl/>
      </w:rPr>
      <w:t>1</w:t>
    </w:r>
    <w:r>
      <w:rPr>
        <w:rStyle w:val="a8"/>
        <w:rFonts w:ascii="FrankRuehl" w:hAnsi="FrankRuehl" w:cs="FrankRuehl"/>
        <w:rtl/>
      </w:rPr>
      <w:fldChar w:fldCharType="end"/>
    </w:r>
  </w:p>
  <w:p w14:paraId="52B17E95" w14:textId="77777777" w:rsidR="001968FD" w:rsidRPr="0048772B" w:rsidRDefault="0048772B" w:rsidP="0048772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48772B">
      <w:rPr>
        <w:rStyle w:val="a8"/>
        <w:rFonts w:ascii="FrankRuehl" w:hAnsi="FrankRuehl" w:cs="FrankRuehl" w:hint="cs"/>
        <w:color w:val="000000"/>
      </w:rPr>
      <w:pict w14:anchorId="7D24C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981DF" w14:textId="77777777" w:rsidR="00DF1F9E" w:rsidRDefault="00DF1F9E" w:rsidP="00C06CE8">
      <w:r>
        <w:separator/>
      </w:r>
    </w:p>
  </w:footnote>
  <w:footnote w:type="continuationSeparator" w:id="0">
    <w:p w14:paraId="52CDD718" w14:textId="77777777" w:rsidR="00DF1F9E" w:rsidRDefault="00DF1F9E" w:rsidP="00C06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691AB" w14:textId="77777777" w:rsidR="006B0CC5" w:rsidRPr="0048772B" w:rsidRDefault="0048772B" w:rsidP="004877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40055-10-18</w:t>
    </w:r>
    <w:r>
      <w:rPr>
        <w:rFonts w:ascii="David" w:hAnsi="David"/>
        <w:color w:val="000000"/>
        <w:sz w:val="22"/>
        <w:szCs w:val="22"/>
        <w:rtl/>
      </w:rPr>
      <w:tab/>
      <w:t xml:space="preserve"> מדינת ישראל נ' אליאס פארס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3C8AE" w14:textId="77777777" w:rsidR="006B0CC5" w:rsidRPr="0048772B" w:rsidRDefault="0048772B" w:rsidP="004877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40055-10-18</w:t>
    </w:r>
    <w:r>
      <w:rPr>
        <w:rFonts w:ascii="David" w:hAnsi="David"/>
        <w:color w:val="000000"/>
        <w:sz w:val="22"/>
        <w:szCs w:val="22"/>
        <w:rtl/>
      </w:rPr>
      <w:tab/>
      <w:t xml:space="preserve"> מדינת ישראל נ' אליאס פארס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93E3F"/>
    <w:multiLevelType w:val="hybridMultilevel"/>
    <w:tmpl w:val="3C5E406C"/>
    <w:lvl w:ilvl="0" w:tplc="60EEF7E2">
      <w:start w:val="1"/>
      <w:numFmt w:val="decimal"/>
      <w:lvlText w:val="%1."/>
      <w:lvlJc w:val="left"/>
      <w:pPr>
        <w:ind w:left="720" w:hanging="360"/>
      </w:pPr>
      <w:rPr>
        <w:rFonts w:ascii="David" w:hAnsi="David" w:cs="David"/>
        <w:b w:val="0"/>
        <w:bCs w:val="0"/>
        <w:lang w:bidi="he-IL"/>
      </w:rPr>
    </w:lvl>
    <w:lvl w:ilvl="1" w:tplc="FC6EAB82">
      <w:start w:val="1"/>
      <w:numFmt w:val="hebrew1"/>
      <w:lvlText w:val="%2."/>
      <w:lvlJc w:val="center"/>
      <w:pPr>
        <w:ind w:left="785" w:hanging="360"/>
      </w:pPr>
      <w:rPr>
        <w:rFonts w:ascii="David" w:hAnsi="David" w:cs="David"/>
        <w:b w:val="0"/>
        <w:bCs w:val="0"/>
        <w:lang w:val="en-US"/>
      </w:rPr>
    </w:lvl>
    <w:lvl w:ilvl="2" w:tplc="262A72F0">
      <w:start w:val="1"/>
      <w:numFmt w:val="decimal"/>
      <w:lvlText w:val="(%3)"/>
      <w:lvlJc w:val="left"/>
      <w:pPr>
        <w:ind w:left="1172" w:hanging="180"/>
      </w:pPr>
      <w:rPr>
        <w:rFonts w:ascii="David" w:hAnsi="David" w:cs="David"/>
        <w:bCs w:val="0"/>
        <w:iCs w:val="0"/>
        <w:sz w:val="20"/>
        <w:szCs w:val="24"/>
      </w:rPr>
    </w:lvl>
    <w:lvl w:ilvl="3" w:tplc="F402B6F4">
      <w:start w:val="1"/>
      <w:numFmt w:val="bullet"/>
      <w:lvlText w:val=""/>
      <w:lvlJc w:val="left"/>
      <w:pPr>
        <w:ind w:left="2880" w:hanging="360"/>
      </w:pPr>
      <w:rPr>
        <w:rFonts w:ascii="Symbol" w:hAnsi="Symbol" w:hint="default"/>
      </w:rPr>
    </w:lvl>
    <w:lvl w:ilvl="4" w:tplc="4E8A8946">
      <w:start w:val="1"/>
      <w:numFmt w:val="lowerLetter"/>
      <w:lvlText w:val="%5."/>
      <w:lvlJc w:val="left"/>
      <w:pPr>
        <w:ind w:left="3600" w:hanging="360"/>
      </w:pPr>
      <w:rPr>
        <w:rFonts w:cs="Times New Roman"/>
      </w:rPr>
    </w:lvl>
    <w:lvl w:ilvl="5" w:tplc="D8E8CC88">
      <w:start w:val="1"/>
      <w:numFmt w:val="lowerRoman"/>
      <w:lvlText w:val="%6."/>
      <w:lvlJc w:val="right"/>
      <w:pPr>
        <w:ind w:left="4320" w:hanging="180"/>
      </w:pPr>
      <w:rPr>
        <w:rFonts w:cs="Times New Roman"/>
      </w:rPr>
    </w:lvl>
    <w:lvl w:ilvl="6" w:tplc="2342E17E">
      <w:start w:val="1"/>
      <w:numFmt w:val="decimal"/>
      <w:lvlText w:val="%7."/>
      <w:lvlJc w:val="left"/>
      <w:pPr>
        <w:ind w:left="5040" w:hanging="360"/>
      </w:pPr>
      <w:rPr>
        <w:rFonts w:cs="Times New Roman"/>
      </w:rPr>
    </w:lvl>
    <w:lvl w:ilvl="7" w:tplc="29C4A194">
      <w:start w:val="1"/>
      <w:numFmt w:val="lowerLetter"/>
      <w:lvlText w:val="%8."/>
      <w:lvlJc w:val="left"/>
      <w:pPr>
        <w:ind w:left="5760" w:hanging="360"/>
      </w:pPr>
      <w:rPr>
        <w:rFonts w:cs="Times New Roman"/>
      </w:rPr>
    </w:lvl>
    <w:lvl w:ilvl="8" w:tplc="45B6B4CA">
      <w:start w:val="1"/>
      <w:numFmt w:val="lowerRoman"/>
      <w:lvlText w:val="%9."/>
      <w:lvlJc w:val="right"/>
      <w:pPr>
        <w:ind w:left="6480" w:hanging="180"/>
      </w:pPr>
      <w:rPr>
        <w:rFonts w:cs="Times New Roman"/>
      </w:rPr>
    </w:lvl>
  </w:abstractNum>
  <w:abstractNum w:abstractNumId="1" w15:restartNumberingAfterBreak="0">
    <w:nsid w:val="6D3856D5"/>
    <w:multiLevelType w:val="hybridMultilevel"/>
    <w:tmpl w:val="E94C95BE"/>
    <w:lvl w:ilvl="0" w:tplc="4F165BB0">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start w:val="1"/>
      <w:numFmt w:val="bullet"/>
      <w:lvlText w:val=""/>
      <w:lvlJc w:val="left"/>
      <w:pPr>
        <w:ind w:left="2885" w:hanging="360"/>
      </w:pPr>
      <w:rPr>
        <w:rFonts w:ascii="Wingdings" w:hAnsi="Wingdings" w:hint="default"/>
      </w:rPr>
    </w:lvl>
    <w:lvl w:ilvl="3" w:tplc="04090001">
      <w:start w:val="1"/>
      <w:numFmt w:val="bullet"/>
      <w:lvlText w:val=""/>
      <w:lvlJc w:val="left"/>
      <w:pPr>
        <w:ind w:left="3605" w:hanging="360"/>
      </w:pPr>
      <w:rPr>
        <w:rFonts w:ascii="Symbol" w:hAnsi="Symbol" w:hint="default"/>
      </w:rPr>
    </w:lvl>
    <w:lvl w:ilvl="4" w:tplc="04090003">
      <w:start w:val="1"/>
      <w:numFmt w:val="bullet"/>
      <w:lvlText w:val="o"/>
      <w:lvlJc w:val="left"/>
      <w:pPr>
        <w:ind w:left="4325" w:hanging="360"/>
      </w:pPr>
      <w:rPr>
        <w:rFonts w:ascii="Courier New" w:hAnsi="Courier New" w:cs="Courier New" w:hint="default"/>
      </w:rPr>
    </w:lvl>
    <w:lvl w:ilvl="5" w:tplc="04090005">
      <w:start w:val="1"/>
      <w:numFmt w:val="bullet"/>
      <w:lvlText w:val=""/>
      <w:lvlJc w:val="left"/>
      <w:pPr>
        <w:ind w:left="5045" w:hanging="360"/>
      </w:pPr>
      <w:rPr>
        <w:rFonts w:ascii="Wingdings" w:hAnsi="Wingdings" w:hint="default"/>
      </w:rPr>
    </w:lvl>
    <w:lvl w:ilvl="6" w:tplc="04090001">
      <w:start w:val="1"/>
      <w:numFmt w:val="bullet"/>
      <w:lvlText w:val=""/>
      <w:lvlJc w:val="left"/>
      <w:pPr>
        <w:ind w:left="5765" w:hanging="360"/>
      </w:pPr>
      <w:rPr>
        <w:rFonts w:ascii="Symbol" w:hAnsi="Symbol" w:hint="default"/>
      </w:rPr>
    </w:lvl>
    <w:lvl w:ilvl="7" w:tplc="04090003">
      <w:start w:val="1"/>
      <w:numFmt w:val="bullet"/>
      <w:lvlText w:val="o"/>
      <w:lvlJc w:val="left"/>
      <w:pPr>
        <w:ind w:left="6485" w:hanging="360"/>
      </w:pPr>
      <w:rPr>
        <w:rFonts w:ascii="Courier New" w:hAnsi="Courier New" w:cs="Courier New" w:hint="default"/>
      </w:rPr>
    </w:lvl>
    <w:lvl w:ilvl="8" w:tplc="04090005">
      <w:start w:val="1"/>
      <w:numFmt w:val="bullet"/>
      <w:lvlText w:val=""/>
      <w:lvlJc w:val="left"/>
      <w:pPr>
        <w:ind w:left="7205" w:hanging="360"/>
      </w:pPr>
      <w:rPr>
        <w:rFonts w:ascii="Wingdings" w:hAnsi="Wingdings" w:hint="default"/>
      </w:rPr>
    </w:lvl>
  </w:abstractNum>
  <w:num w:numId="1" w16cid:durableId="736394312">
    <w:abstractNumId w:val="0"/>
  </w:num>
  <w:num w:numId="2" w16cid:durableId="74907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0537"/>
    <w:rsid w:val="000F35C0"/>
    <w:rsid w:val="001968FD"/>
    <w:rsid w:val="001B5A3B"/>
    <w:rsid w:val="001D63D6"/>
    <w:rsid w:val="0048772B"/>
    <w:rsid w:val="004E27B7"/>
    <w:rsid w:val="00523C43"/>
    <w:rsid w:val="006B0CC5"/>
    <w:rsid w:val="00830C0C"/>
    <w:rsid w:val="00BA4264"/>
    <w:rsid w:val="00BB040A"/>
    <w:rsid w:val="00C06CE8"/>
    <w:rsid w:val="00C20537"/>
    <w:rsid w:val="00CC0FD9"/>
    <w:rsid w:val="00DF1F9E"/>
    <w:rsid w:val="00EF10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293FE2"/>
  <w15:chartTrackingRefBased/>
  <w15:docId w15:val="{454E38E4-DDD0-4F27-873A-854E5EC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053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0537"/>
    <w:pPr>
      <w:tabs>
        <w:tab w:val="center" w:pos="4153"/>
        <w:tab w:val="right" w:pos="8306"/>
      </w:tabs>
    </w:pPr>
  </w:style>
  <w:style w:type="character" w:customStyle="1" w:styleId="a4">
    <w:name w:val="כותרת עליונה תו"/>
    <w:link w:val="a3"/>
    <w:rsid w:val="00C20537"/>
    <w:rPr>
      <w:rFonts w:ascii="Times New Roman" w:eastAsia="Times New Roman" w:hAnsi="Times New Roman" w:cs="David"/>
      <w:noProof/>
      <w:sz w:val="24"/>
      <w:szCs w:val="24"/>
    </w:rPr>
  </w:style>
  <w:style w:type="paragraph" w:styleId="a5">
    <w:name w:val="footer"/>
    <w:basedOn w:val="a"/>
    <w:link w:val="a6"/>
    <w:rsid w:val="00C20537"/>
    <w:pPr>
      <w:tabs>
        <w:tab w:val="center" w:pos="4153"/>
        <w:tab w:val="right" w:pos="8306"/>
      </w:tabs>
    </w:pPr>
  </w:style>
  <w:style w:type="character" w:customStyle="1" w:styleId="a6">
    <w:name w:val="כותרת תחתונה תו"/>
    <w:link w:val="a5"/>
    <w:rsid w:val="00C20537"/>
    <w:rPr>
      <w:rFonts w:ascii="Times New Roman" w:eastAsia="Times New Roman" w:hAnsi="Times New Roman" w:cs="David"/>
      <w:noProof/>
      <w:sz w:val="24"/>
      <w:szCs w:val="24"/>
    </w:rPr>
  </w:style>
  <w:style w:type="table" w:styleId="a7">
    <w:name w:val="Table Grid"/>
    <w:basedOn w:val="a1"/>
    <w:rsid w:val="00C205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0537"/>
  </w:style>
  <w:style w:type="paragraph" w:styleId="a9">
    <w:name w:val="List Paragraph"/>
    <w:basedOn w:val="a"/>
    <w:qFormat/>
    <w:rsid w:val="00C20537"/>
    <w:pPr>
      <w:ind w:left="720"/>
      <w:contextualSpacing/>
    </w:pPr>
    <w:rPr>
      <w:noProof w:val="0"/>
    </w:rPr>
  </w:style>
  <w:style w:type="character" w:styleId="Hyperlink">
    <w:name w:val="Hyperlink"/>
    <w:rsid w:val="006B0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45" TargetMode="External"/><Relationship Id="rId26" Type="http://schemas.openxmlformats.org/officeDocument/2006/relationships/hyperlink" Target="http://www.nevo.co.il/case/6987521" TargetMode="External"/><Relationship Id="rId39" Type="http://schemas.openxmlformats.org/officeDocument/2006/relationships/hyperlink" Target="http://www.nevo.co.il/case/3546494"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25132499" TargetMode="External"/><Relationship Id="rId42" Type="http://schemas.openxmlformats.org/officeDocument/2006/relationships/hyperlink" Target="http://www.nevo.co.il/law/70301/40ji" TargetMode="External"/><Relationship Id="rId47" Type="http://schemas.openxmlformats.org/officeDocument/2006/relationships/hyperlink" Target="http://www.nevo.co.il/law/70301/40c.b" TargetMode="External"/><Relationship Id="rId50" Type="http://schemas.openxmlformats.org/officeDocument/2006/relationships/hyperlink" Target="http://www.nevo.co.il/case/4742992" TargetMode="External"/><Relationship Id="rId55" Type="http://schemas.openxmlformats.org/officeDocument/2006/relationships/hyperlink" Target="http://www.nevo.co.il/law/70301/40e"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g" TargetMode="External"/><Relationship Id="rId29" Type="http://schemas.openxmlformats.org/officeDocument/2006/relationships/hyperlink" Target="http://www.nevo.co.il/case/19999565"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27417185" TargetMode="External"/><Relationship Id="rId37" Type="http://schemas.openxmlformats.org/officeDocument/2006/relationships/hyperlink" Target="http://www.nevo.co.il/case/11252981" TargetMode="External"/><Relationship Id="rId40" Type="http://schemas.openxmlformats.org/officeDocument/2006/relationships/hyperlink" Target="http://www.nevo.co.il/case/26877349"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40j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5805976" TargetMode="External"/><Relationship Id="rId30" Type="http://schemas.openxmlformats.org/officeDocument/2006/relationships/hyperlink" Target="http://www.nevo.co.il/case/6361099" TargetMode="External"/><Relationship Id="rId35" Type="http://schemas.openxmlformats.org/officeDocument/2006/relationships/hyperlink" Target="http://www.nevo.co.il/case/28446319"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45" TargetMode="External"/><Relationship Id="rId64"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h"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886851" TargetMode="External"/><Relationship Id="rId38" Type="http://schemas.openxmlformats.org/officeDocument/2006/relationships/hyperlink" Target="http://www.nevo.co.il/case/18118326" TargetMode="External"/><Relationship Id="rId46" Type="http://schemas.openxmlformats.org/officeDocument/2006/relationships/hyperlink" Target="http://www.nevo.co.il/law/4216/37a" TargetMode="External"/><Relationship Id="rId59" Type="http://schemas.openxmlformats.org/officeDocument/2006/relationships/header" Target="header1.xml"/><Relationship Id="rId20" Type="http://schemas.openxmlformats.org/officeDocument/2006/relationships/hyperlink" Target="http://www.nevo.co.il/law/70301/40ji" TargetMode="External"/><Relationship Id="rId41" Type="http://schemas.openxmlformats.org/officeDocument/2006/relationships/hyperlink" Target="http://www.nevo.co.il/case/22183077" TargetMode="External"/><Relationship Id="rId54" Type="http://schemas.openxmlformats.org/officeDocument/2006/relationships/hyperlink" Target="http://www.nevo.co.il/law/70301/40d"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8446319" TargetMode="External"/><Relationship Id="rId36" Type="http://schemas.openxmlformats.org/officeDocument/2006/relationships/hyperlink" Target="http://www.nevo.co.il/case/20104253" TargetMode="External"/><Relationship Id="rId49" Type="http://schemas.openxmlformats.org/officeDocument/2006/relationships/hyperlink" Target="http://www.nevo.co.il/law/70301/40ja"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37a" TargetMode="External"/><Relationship Id="rId31" Type="http://schemas.openxmlformats.org/officeDocument/2006/relationships/hyperlink" Target="http://www.nevo.co.il/case/28768305" TargetMode="External"/><Relationship Id="rId44" Type="http://schemas.openxmlformats.org/officeDocument/2006/relationships/hyperlink" Target="http://www.nevo.co.il/law/70301/40h" TargetMode="External"/><Relationship Id="rId52" Type="http://schemas.openxmlformats.org/officeDocument/2006/relationships/hyperlink" Target="http://www.nevo.co.il/law/70301/40g"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2981</Words>
  <Characters>14908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17854</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6291553</vt:i4>
      </vt:variant>
      <vt:variant>
        <vt:i4>147</vt:i4>
      </vt:variant>
      <vt:variant>
        <vt:i4>0</vt:i4>
      </vt:variant>
      <vt:variant>
        <vt:i4>5</vt:i4>
      </vt:variant>
      <vt:variant>
        <vt:lpwstr>http://www.nevo.co.il/law/70301/45</vt:lpwstr>
      </vt:variant>
      <vt:variant>
        <vt:lpwstr/>
      </vt:variant>
      <vt:variant>
        <vt:i4>6619233</vt:i4>
      </vt:variant>
      <vt:variant>
        <vt:i4>144</vt:i4>
      </vt:variant>
      <vt:variant>
        <vt:i4>0</vt:i4>
      </vt:variant>
      <vt:variant>
        <vt:i4>5</vt:i4>
      </vt:variant>
      <vt:variant>
        <vt:lpwstr>http://www.nevo.co.il/law/70301/40e</vt:lpwstr>
      </vt:variant>
      <vt:variant>
        <vt:lpwstr/>
      </vt:variant>
      <vt:variant>
        <vt:i4>6619233</vt:i4>
      </vt:variant>
      <vt:variant>
        <vt:i4>141</vt:i4>
      </vt:variant>
      <vt:variant>
        <vt:i4>0</vt:i4>
      </vt:variant>
      <vt:variant>
        <vt:i4>5</vt:i4>
      </vt:variant>
      <vt:variant>
        <vt:lpwstr>http://www.nevo.co.il/law/70301/40d</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http://www.nevo.co.il/law/70301/40g</vt:lpwstr>
      </vt:variant>
      <vt:variant>
        <vt:lpwstr/>
      </vt:variant>
      <vt:variant>
        <vt:i4>6619233</vt:i4>
      </vt:variant>
      <vt:variant>
        <vt:i4>132</vt:i4>
      </vt:variant>
      <vt:variant>
        <vt:i4>0</vt:i4>
      </vt:variant>
      <vt:variant>
        <vt:i4>5</vt:i4>
      </vt:variant>
      <vt:variant>
        <vt:lpwstr>http://www.nevo.co.il/law/70301/40d</vt:lpwstr>
      </vt:variant>
      <vt:variant>
        <vt:lpwstr/>
      </vt:variant>
      <vt:variant>
        <vt:i4>3866744</vt:i4>
      </vt:variant>
      <vt:variant>
        <vt:i4>129</vt:i4>
      </vt:variant>
      <vt:variant>
        <vt:i4>0</vt:i4>
      </vt:variant>
      <vt:variant>
        <vt:i4>5</vt:i4>
      </vt:variant>
      <vt:variant>
        <vt:lpwstr>http://www.nevo.co.il/case/4742992</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4915202</vt:i4>
      </vt:variant>
      <vt:variant>
        <vt:i4>120</vt:i4>
      </vt:variant>
      <vt:variant>
        <vt:i4>0</vt:i4>
      </vt:variant>
      <vt:variant>
        <vt:i4>5</vt:i4>
      </vt:variant>
      <vt:variant>
        <vt:lpwstr>http://www.nevo.co.il/law/70301/40c.b</vt:lpwstr>
      </vt:variant>
      <vt:variant>
        <vt:lpwstr/>
      </vt:variant>
      <vt:variant>
        <vt:i4>2883709</vt:i4>
      </vt:variant>
      <vt:variant>
        <vt:i4>117</vt:i4>
      </vt:variant>
      <vt:variant>
        <vt:i4>0</vt:i4>
      </vt:variant>
      <vt:variant>
        <vt:i4>5</vt:i4>
      </vt:variant>
      <vt:variant>
        <vt:lpwstr>http://www.nevo.co.il/law/4216/37a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http://www.nevo.co.il/law/70301/40h</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786443</vt:i4>
      </vt:variant>
      <vt:variant>
        <vt:i4>105</vt:i4>
      </vt:variant>
      <vt:variant>
        <vt:i4>0</vt:i4>
      </vt:variant>
      <vt:variant>
        <vt:i4>5</vt:i4>
      </vt:variant>
      <vt:variant>
        <vt:lpwstr>http://www.nevo.co.il/law/70301/40ji</vt:lpwstr>
      </vt:variant>
      <vt:variant>
        <vt:lpwstr/>
      </vt:variant>
      <vt:variant>
        <vt:i4>3604606</vt:i4>
      </vt:variant>
      <vt:variant>
        <vt:i4>102</vt:i4>
      </vt:variant>
      <vt:variant>
        <vt:i4>0</vt:i4>
      </vt:variant>
      <vt:variant>
        <vt:i4>5</vt:i4>
      </vt:variant>
      <vt:variant>
        <vt:lpwstr>http://www.nevo.co.il/case/22183077</vt:lpwstr>
      </vt:variant>
      <vt:variant>
        <vt:lpwstr/>
      </vt:variant>
      <vt:variant>
        <vt:i4>3735670</vt:i4>
      </vt:variant>
      <vt:variant>
        <vt:i4>99</vt:i4>
      </vt:variant>
      <vt:variant>
        <vt:i4>0</vt:i4>
      </vt:variant>
      <vt:variant>
        <vt:i4>5</vt:i4>
      </vt:variant>
      <vt:variant>
        <vt:lpwstr>http://www.nevo.co.il/case/26877349</vt:lpwstr>
      </vt:variant>
      <vt:variant>
        <vt:lpwstr/>
      </vt:variant>
      <vt:variant>
        <vt:i4>3604606</vt:i4>
      </vt:variant>
      <vt:variant>
        <vt:i4>96</vt:i4>
      </vt:variant>
      <vt:variant>
        <vt:i4>0</vt:i4>
      </vt:variant>
      <vt:variant>
        <vt:i4>5</vt:i4>
      </vt:variant>
      <vt:variant>
        <vt:lpwstr>http://www.nevo.co.il/case/3546494</vt:lpwstr>
      </vt:variant>
      <vt:variant>
        <vt:lpwstr/>
      </vt:variant>
      <vt:variant>
        <vt:i4>3801214</vt:i4>
      </vt:variant>
      <vt:variant>
        <vt:i4>93</vt:i4>
      </vt:variant>
      <vt:variant>
        <vt:i4>0</vt:i4>
      </vt:variant>
      <vt:variant>
        <vt:i4>5</vt:i4>
      </vt:variant>
      <vt:variant>
        <vt:lpwstr>http://www.nevo.co.il/case/18118326</vt:lpwstr>
      </vt:variant>
      <vt:variant>
        <vt:lpwstr/>
      </vt:variant>
      <vt:variant>
        <vt:i4>3735673</vt:i4>
      </vt:variant>
      <vt:variant>
        <vt:i4>90</vt:i4>
      </vt:variant>
      <vt:variant>
        <vt:i4>0</vt:i4>
      </vt:variant>
      <vt:variant>
        <vt:i4>5</vt:i4>
      </vt:variant>
      <vt:variant>
        <vt:lpwstr>http://www.nevo.co.il/case/11252981</vt:lpwstr>
      </vt:variant>
      <vt:variant>
        <vt:lpwstr/>
      </vt:variant>
      <vt:variant>
        <vt:i4>3276918</vt:i4>
      </vt:variant>
      <vt:variant>
        <vt:i4>87</vt:i4>
      </vt:variant>
      <vt:variant>
        <vt:i4>0</vt:i4>
      </vt:variant>
      <vt:variant>
        <vt:i4>5</vt:i4>
      </vt:variant>
      <vt:variant>
        <vt:lpwstr>http://www.nevo.co.il/case/20104253</vt:lpwstr>
      </vt:variant>
      <vt:variant>
        <vt:lpwstr/>
      </vt:variant>
      <vt:variant>
        <vt:i4>3211387</vt:i4>
      </vt:variant>
      <vt:variant>
        <vt:i4>84</vt:i4>
      </vt:variant>
      <vt:variant>
        <vt:i4>0</vt:i4>
      </vt:variant>
      <vt:variant>
        <vt:i4>5</vt:i4>
      </vt:variant>
      <vt:variant>
        <vt:lpwstr>http://www.nevo.co.il/case/28446319</vt:lpwstr>
      </vt:variant>
      <vt:variant>
        <vt:lpwstr/>
      </vt:variant>
      <vt:variant>
        <vt:i4>3670134</vt:i4>
      </vt:variant>
      <vt:variant>
        <vt:i4>81</vt:i4>
      </vt:variant>
      <vt:variant>
        <vt:i4>0</vt:i4>
      </vt:variant>
      <vt:variant>
        <vt:i4>5</vt:i4>
      </vt:variant>
      <vt:variant>
        <vt:lpwstr>http://www.nevo.co.il/case/25132499</vt:lpwstr>
      </vt:variant>
      <vt:variant>
        <vt:lpwstr/>
      </vt:variant>
      <vt:variant>
        <vt:i4>3735667</vt:i4>
      </vt:variant>
      <vt:variant>
        <vt:i4>78</vt:i4>
      </vt:variant>
      <vt:variant>
        <vt:i4>0</vt:i4>
      </vt:variant>
      <vt:variant>
        <vt:i4>5</vt:i4>
      </vt:variant>
      <vt:variant>
        <vt:lpwstr>http://www.nevo.co.il/case/27886851</vt:lpwstr>
      </vt:variant>
      <vt:variant>
        <vt:lpwstr/>
      </vt:variant>
      <vt:variant>
        <vt:i4>3735667</vt:i4>
      </vt:variant>
      <vt:variant>
        <vt:i4>75</vt:i4>
      </vt:variant>
      <vt:variant>
        <vt:i4>0</vt:i4>
      </vt:variant>
      <vt:variant>
        <vt:i4>5</vt:i4>
      </vt:variant>
      <vt:variant>
        <vt:lpwstr>http://www.nevo.co.il/case/27417185</vt:lpwstr>
      </vt:variant>
      <vt:variant>
        <vt:lpwstr/>
      </vt:variant>
      <vt:variant>
        <vt:i4>3997817</vt:i4>
      </vt:variant>
      <vt:variant>
        <vt:i4>72</vt:i4>
      </vt:variant>
      <vt:variant>
        <vt:i4>0</vt:i4>
      </vt:variant>
      <vt:variant>
        <vt:i4>5</vt:i4>
      </vt:variant>
      <vt:variant>
        <vt:lpwstr>http://www.nevo.co.il/case/28768305</vt:lpwstr>
      </vt:variant>
      <vt:variant>
        <vt:lpwstr/>
      </vt:variant>
      <vt:variant>
        <vt:i4>3735679</vt:i4>
      </vt:variant>
      <vt:variant>
        <vt:i4>69</vt:i4>
      </vt:variant>
      <vt:variant>
        <vt:i4>0</vt:i4>
      </vt:variant>
      <vt:variant>
        <vt:i4>5</vt:i4>
      </vt:variant>
      <vt:variant>
        <vt:lpwstr>http://www.nevo.co.il/case/6361099</vt:lpwstr>
      </vt:variant>
      <vt:variant>
        <vt:lpwstr/>
      </vt:variant>
      <vt:variant>
        <vt:i4>3604593</vt:i4>
      </vt:variant>
      <vt:variant>
        <vt:i4>66</vt:i4>
      </vt:variant>
      <vt:variant>
        <vt:i4>0</vt:i4>
      </vt:variant>
      <vt:variant>
        <vt:i4>5</vt:i4>
      </vt:variant>
      <vt:variant>
        <vt:lpwstr>http://www.nevo.co.il/case/19999565</vt:lpwstr>
      </vt:variant>
      <vt:variant>
        <vt:lpwstr/>
      </vt:variant>
      <vt:variant>
        <vt:i4>3211387</vt:i4>
      </vt:variant>
      <vt:variant>
        <vt:i4>63</vt:i4>
      </vt:variant>
      <vt:variant>
        <vt:i4>0</vt:i4>
      </vt:variant>
      <vt:variant>
        <vt:i4>5</vt:i4>
      </vt:variant>
      <vt:variant>
        <vt:lpwstr>http://www.nevo.co.il/case/28446319</vt:lpwstr>
      </vt:variant>
      <vt:variant>
        <vt:lpwstr/>
      </vt:variant>
      <vt:variant>
        <vt:i4>3801214</vt:i4>
      </vt:variant>
      <vt:variant>
        <vt:i4>60</vt:i4>
      </vt:variant>
      <vt:variant>
        <vt:i4>0</vt:i4>
      </vt:variant>
      <vt:variant>
        <vt:i4>5</vt:i4>
      </vt:variant>
      <vt:variant>
        <vt:lpwstr>http://www.nevo.co.il/case/5805976</vt:lpwstr>
      </vt:variant>
      <vt:variant>
        <vt:lpwstr/>
      </vt:variant>
      <vt:variant>
        <vt:i4>3801208</vt:i4>
      </vt:variant>
      <vt:variant>
        <vt:i4>57</vt:i4>
      </vt:variant>
      <vt:variant>
        <vt:i4>0</vt:i4>
      </vt:variant>
      <vt:variant>
        <vt:i4>5</vt:i4>
      </vt:variant>
      <vt:variant>
        <vt:lpwstr>http://www.nevo.co.il/case/6987521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786443</vt:i4>
      </vt:variant>
      <vt:variant>
        <vt:i4>39</vt:i4>
      </vt:variant>
      <vt:variant>
        <vt:i4>0</vt:i4>
      </vt:variant>
      <vt:variant>
        <vt:i4>5</vt:i4>
      </vt:variant>
      <vt:variant>
        <vt:lpwstr>http://www.nevo.co.il/law/70301/40ji</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6291553</vt:i4>
      </vt:variant>
      <vt:variant>
        <vt:i4>33</vt:i4>
      </vt:variant>
      <vt:variant>
        <vt:i4>0</vt:i4>
      </vt:variant>
      <vt:variant>
        <vt:i4>5</vt:i4>
      </vt:variant>
      <vt:variant>
        <vt:lpwstr>http://www.nevo.co.il/law/70301/45</vt:lpwstr>
      </vt:variant>
      <vt:variant>
        <vt:lpwstr/>
      </vt:variant>
      <vt:variant>
        <vt:i4>6619233</vt:i4>
      </vt:variant>
      <vt:variant>
        <vt:i4>30</vt:i4>
      </vt:variant>
      <vt:variant>
        <vt:i4>0</vt:i4>
      </vt:variant>
      <vt:variant>
        <vt:i4>5</vt:i4>
      </vt:variant>
      <vt:variant>
        <vt:lpwstr>http://www.nevo.co.il/law/70301/40h</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40055</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אליאס פארס</vt:lpwstr>
  </property>
  <property fmtid="{D5CDD505-2E9C-101B-9397-08002B2CF9AE}" pid="10" name="LAWYER">
    <vt:lpwstr>הילה מלול;לאה פישר;דורון שטרן</vt:lpwstr>
  </property>
  <property fmtid="{D5CDD505-2E9C-101B-9397-08002B2CF9AE}" pid="11" name="JUDGE">
    <vt:lpwstr>זהר דולב להמן</vt:lpwstr>
  </property>
  <property fmtid="{D5CDD505-2E9C-101B-9397-08002B2CF9AE}" pid="12" name="CITY">
    <vt:lpwstr>ק"ג</vt:lpwstr>
  </property>
  <property fmtid="{D5CDD505-2E9C-101B-9397-08002B2CF9AE}" pid="13" name="DATE">
    <vt:lpwstr>20240115</vt:lpwstr>
  </property>
  <property fmtid="{D5CDD505-2E9C-101B-9397-08002B2CF9AE}" pid="14" name="TYPE_N_DATE">
    <vt:lpwstr>38020240115</vt:lpwstr>
  </property>
  <property fmtid="{D5CDD505-2E9C-101B-9397-08002B2CF9AE}" pid="15" name="WORDNUMPAGES">
    <vt:lpwstr>8</vt:lpwstr>
  </property>
  <property fmtid="{D5CDD505-2E9C-101B-9397-08002B2CF9AE}" pid="16" name="TYPE_ABS_DATE">
    <vt:lpwstr>380020240115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6987521;5805976;28446319:2;19999565;6361099;28768305;27417185;27886851;25132499;20104253;11252981;18118326;3546494;26877349;22183077;4742992</vt:lpwstr>
  </property>
  <property fmtid="{D5CDD505-2E9C-101B-9397-08002B2CF9AE}" pid="36" name="LAWLISTTMP1">
    <vt:lpwstr>4216/007.a;007.c;037a</vt:lpwstr>
  </property>
  <property fmtid="{D5CDD505-2E9C-101B-9397-08002B2CF9AE}" pid="37" name="LAWLISTTMP2">
    <vt:lpwstr>70301/040c.a;40ji;040h;040c.b;40ja;040d:2;040g;040e;045</vt:lpwstr>
  </property>
</Properties>
</file>