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C6C63" w:rsidRPr="0043724D" w14:paraId="6D9C738F" w14:textId="77777777" w:rsidTr="00E02ADD">
        <w:trPr>
          <w:trHeight w:hRule="exact" w:val="418"/>
          <w:jc w:val="center"/>
        </w:trPr>
        <w:tc>
          <w:tcPr>
            <w:tcW w:w="8721" w:type="dxa"/>
            <w:gridSpan w:val="2"/>
          </w:tcPr>
          <w:p w14:paraId="322FC4C4" w14:textId="77777777" w:rsidR="00EC6C63" w:rsidRPr="0043724D" w:rsidRDefault="00EC6C63" w:rsidP="005C2456">
            <w:pPr>
              <w:pStyle w:val="a3"/>
              <w:jc w:val="center"/>
              <w:rPr>
                <w:rFonts w:ascii="Tahoma" w:hAnsi="Tahoma" w:cs="Tahoma"/>
                <w:color w:val="000080"/>
                <w:rtl/>
              </w:rPr>
            </w:pPr>
            <w:bookmarkStart w:id="0" w:name="LastJudge"/>
            <w:r w:rsidRPr="0043724D">
              <w:rPr>
                <w:rFonts w:ascii="Tahoma" w:hAnsi="Tahoma" w:cs="Tahoma"/>
                <w:b/>
                <w:bCs/>
                <w:color w:val="000080"/>
                <w:rtl/>
              </w:rPr>
              <w:t>בית משפט השלום בחיפה</w:t>
            </w:r>
          </w:p>
        </w:tc>
      </w:tr>
      <w:tr w:rsidR="00EC6C63" w:rsidRPr="0043724D" w14:paraId="326F1654" w14:textId="77777777" w:rsidTr="00E02ADD">
        <w:trPr>
          <w:trHeight w:val="337"/>
          <w:jc w:val="center"/>
        </w:trPr>
        <w:tc>
          <w:tcPr>
            <w:tcW w:w="5055" w:type="dxa"/>
          </w:tcPr>
          <w:p w14:paraId="260A256B" w14:textId="77777777" w:rsidR="00EC6C63" w:rsidRPr="0043724D" w:rsidRDefault="00EC6C63" w:rsidP="005C2456">
            <w:pPr>
              <w:rPr>
                <w:rFonts w:cs="FrankRuehl"/>
                <w:sz w:val="28"/>
                <w:szCs w:val="28"/>
                <w:rtl/>
              </w:rPr>
            </w:pPr>
            <w:r w:rsidRPr="0043724D">
              <w:rPr>
                <w:rFonts w:ascii="David" w:hAnsi="David"/>
                <w:b/>
                <w:bCs/>
                <w:sz w:val="28"/>
                <w:szCs w:val="28"/>
                <w:rtl/>
              </w:rPr>
              <w:t>ת"פ 42827-10-18 מדינת ישראל נ' באידינג</w:t>
            </w:r>
          </w:p>
        </w:tc>
        <w:tc>
          <w:tcPr>
            <w:tcW w:w="3666" w:type="dxa"/>
          </w:tcPr>
          <w:p w14:paraId="6E4A4612" w14:textId="77777777" w:rsidR="00EC6C63" w:rsidRPr="0043724D" w:rsidRDefault="00EC6C63" w:rsidP="005C2456">
            <w:pPr>
              <w:pStyle w:val="a3"/>
              <w:jc w:val="right"/>
              <w:rPr>
                <w:rFonts w:cs="FrankRuehl"/>
                <w:sz w:val="28"/>
                <w:szCs w:val="28"/>
                <w:rtl/>
              </w:rPr>
            </w:pPr>
          </w:p>
        </w:tc>
      </w:tr>
    </w:tbl>
    <w:p w14:paraId="6AB85CAB" w14:textId="77777777" w:rsidR="00EC6C63" w:rsidRPr="0043724D" w:rsidRDefault="00EC6C63" w:rsidP="00EC6C63">
      <w:pPr>
        <w:pStyle w:val="a3"/>
        <w:rPr>
          <w:rtl/>
        </w:rPr>
      </w:pPr>
      <w:r w:rsidRPr="0043724D">
        <w:rPr>
          <w:rFonts w:hint="cs"/>
          <w:rtl/>
        </w:rPr>
        <w:t xml:space="preserve"> </w:t>
      </w:r>
    </w:p>
    <w:p w14:paraId="3DC80940" w14:textId="77777777" w:rsidR="00EC6C63" w:rsidRPr="0043724D" w:rsidRDefault="00EC6C63" w:rsidP="00EC6C63">
      <w:pPr>
        <w:rPr>
          <w:rFonts w:ascii="David" w:hAnsi="David"/>
          <w:rtl/>
        </w:rPr>
      </w:pPr>
    </w:p>
    <w:p w14:paraId="3E17C321" w14:textId="77777777" w:rsidR="00EC6C63" w:rsidRPr="0043724D" w:rsidRDefault="00EC6C63" w:rsidP="00EC6C63">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C6C63" w:rsidRPr="0043724D" w14:paraId="53A59AAE" w14:textId="77777777" w:rsidTr="00EC6C63">
        <w:trPr>
          <w:trHeight w:val="295"/>
          <w:jc w:val="center"/>
        </w:trPr>
        <w:tc>
          <w:tcPr>
            <w:tcW w:w="923" w:type="dxa"/>
            <w:tcBorders>
              <w:top w:val="nil"/>
              <w:left w:val="nil"/>
              <w:bottom w:val="nil"/>
              <w:right w:val="nil"/>
            </w:tcBorders>
            <w:shd w:val="clear" w:color="auto" w:fill="auto"/>
          </w:tcPr>
          <w:p w14:paraId="30A58B87" w14:textId="77777777" w:rsidR="00EC6C63" w:rsidRPr="0043724D" w:rsidRDefault="00EC6C63" w:rsidP="00EC6C63">
            <w:pPr>
              <w:jc w:val="both"/>
              <w:rPr>
                <w:rFonts w:ascii="David" w:hAnsi="David"/>
                <w:b/>
                <w:bCs/>
              </w:rPr>
            </w:pPr>
            <w:r w:rsidRPr="0043724D">
              <w:rPr>
                <w:rFonts w:ascii="David" w:hAnsi="David"/>
                <w:b/>
                <w:bCs/>
                <w:rtl/>
              </w:rPr>
              <w:t xml:space="preserve">בפני </w:t>
            </w:r>
          </w:p>
        </w:tc>
        <w:tc>
          <w:tcPr>
            <w:tcW w:w="7897" w:type="dxa"/>
            <w:gridSpan w:val="2"/>
            <w:tcBorders>
              <w:top w:val="nil"/>
              <w:left w:val="nil"/>
              <w:bottom w:val="nil"/>
              <w:right w:val="nil"/>
            </w:tcBorders>
            <w:shd w:val="clear" w:color="auto" w:fill="auto"/>
          </w:tcPr>
          <w:p w14:paraId="59E678E8" w14:textId="77777777" w:rsidR="00EC6C63" w:rsidRPr="0043724D" w:rsidRDefault="00EC6C63" w:rsidP="005C2456">
            <w:pPr>
              <w:rPr>
                <w:rFonts w:ascii="David" w:hAnsi="David"/>
                <w:b/>
                <w:bCs/>
                <w:rtl/>
              </w:rPr>
            </w:pPr>
            <w:r w:rsidRPr="0043724D">
              <w:rPr>
                <w:rFonts w:ascii="David" w:hAnsi="David"/>
                <w:b/>
                <w:bCs/>
                <w:rtl/>
              </w:rPr>
              <w:t>כבוד השופט שלמה בנג'ו</w:t>
            </w:r>
            <w:r w:rsidRPr="0043724D">
              <w:rPr>
                <w:rFonts w:ascii="David" w:hAnsi="David" w:hint="cs"/>
                <w:b/>
                <w:bCs/>
                <w:rtl/>
              </w:rPr>
              <w:t xml:space="preserve"> </w:t>
            </w:r>
          </w:p>
          <w:p w14:paraId="79B94554" w14:textId="77777777" w:rsidR="00EC6C63" w:rsidRPr="0043724D" w:rsidRDefault="00EC6C63" w:rsidP="00EC6C63">
            <w:pPr>
              <w:jc w:val="both"/>
              <w:rPr>
                <w:rFonts w:ascii="David" w:hAnsi="David"/>
                <w:b/>
                <w:bCs/>
              </w:rPr>
            </w:pPr>
          </w:p>
        </w:tc>
      </w:tr>
      <w:tr w:rsidR="00EC6C63" w:rsidRPr="0043724D" w14:paraId="260731EA" w14:textId="77777777" w:rsidTr="00EC6C63">
        <w:trPr>
          <w:trHeight w:val="355"/>
          <w:jc w:val="center"/>
        </w:trPr>
        <w:tc>
          <w:tcPr>
            <w:tcW w:w="923" w:type="dxa"/>
            <w:tcBorders>
              <w:top w:val="nil"/>
              <w:left w:val="nil"/>
              <w:bottom w:val="nil"/>
              <w:right w:val="nil"/>
            </w:tcBorders>
            <w:shd w:val="clear" w:color="auto" w:fill="auto"/>
          </w:tcPr>
          <w:p w14:paraId="132BE619" w14:textId="77777777" w:rsidR="00EC6C63" w:rsidRPr="0043724D" w:rsidRDefault="00EC6C63" w:rsidP="00EC6C63">
            <w:pPr>
              <w:jc w:val="both"/>
              <w:rPr>
                <w:rFonts w:ascii="David" w:hAnsi="David"/>
                <w:b/>
                <w:bCs/>
              </w:rPr>
            </w:pPr>
            <w:r w:rsidRPr="0043724D">
              <w:rPr>
                <w:rFonts w:ascii="David" w:hAnsi="David"/>
                <w:b/>
                <w:bCs/>
                <w:rtl/>
              </w:rPr>
              <w:t>בעניין:</w:t>
            </w:r>
          </w:p>
        </w:tc>
        <w:tc>
          <w:tcPr>
            <w:tcW w:w="4126" w:type="dxa"/>
            <w:tcBorders>
              <w:top w:val="nil"/>
              <w:left w:val="nil"/>
              <w:bottom w:val="nil"/>
              <w:right w:val="nil"/>
            </w:tcBorders>
            <w:shd w:val="clear" w:color="auto" w:fill="auto"/>
          </w:tcPr>
          <w:p w14:paraId="1626FB3E" w14:textId="77777777" w:rsidR="00EC6C63" w:rsidRPr="0043724D" w:rsidRDefault="00EC6C63" w:rsidP="005C2456">
            <w:pPr>
              <w:rPr>
                <w:rFonts w:ascii="David" w:hAnsi="David"/>
                <w:b/>
                <w:bCs/>
              </w:rPr>
            </w:pPr>
            <w:r w:rsidRPr="0043724D">
              <w:rPr>
                <w:rFonts w:ascii="David" w:hAnsi="David"/>
                <w:b/>
                <w:bCs/>
                <w:rtl/>
              </w:rPr>
              <w:t xml:space="preserve">     </w:t>
            </w:r>
          </w:p>
        </w:tc>
        <w:tc>
          <w:tcPr>
            <w:tcW w:w="3771" w:type="dxa"/>
            <w:tcBorders>
              <w:top w:val="nil"/>
              <w:left w:val="nil"/>
              <w:bottom w:val="nil"/>
              <w:right w:val="nil"/>
            </w:tcBorders>
            <w:shd w:val="clear" w:color="auto" w:fill="auto"/>
          </w:tcPr>
          <w:p w14:paraId="708128CD" w14:textId="77777777" w:rsidR="00EC6C63" w:rsidRPr="0043724D" w:rsidRDefault="00EC6C63" w:rsidP="00EC6C63">
            <w:pPr>
              <w:jc w:val="both"/>
              <w:rPr>
                <w:rFonts w:ascii="David" w:hAnsi="David"/>
                <w:b/>
                <w:bCs/>
              </w:rPr>
            </w:pPr>
          </w:p>
        </w:tc>
      </w:tr>
      <w:tr w:rsidR="00EC6C63" w:rsidRPr="0043724D" w14:paraId="283E5B65" w14:textId="77777777" w:rsidTr="00EC6C63">
        <w:trPr>
          <w:trHeight w:val="355"/>
          <w:jc w:val="center"/>
        </w:trPr>
        <w:tc>
          <w:tcPr>
            <w:tcW w:w="923" w:type="dxa"/>
            <w:tcBorders>
              <w:top w:val="nil"/>
              <w:left w:val="nil"/>
              <w:bottom w:val="nil"/>
              <w:right w:val="nil"/>
            </w:tcBorders>
            <w:shd w:val="clear" w:color="auto" w:fill="auto"/>
          </w:tcPr>
          <w:p w14:paraId="7D12B825" w14:textId="77777777" w:rsidR="00EC6C63" w:rsidRPr="0043724D" w:rsidRDefault="00EC6C63" w:rsidP="00EC6C63">
            <w:pPr>
              <w:jc w:val="both"/>
              <w:rPr>
                <w:rFonts w:ascii="David" w:hAnsi="David"/>
                <w:b/>
                <w:bCs/>
                <w:rtl/>
              </w:rPr>
            </w:pPr>
            <w:bookmarkStart w:id="1" w:name="FirstAppellant"/>
          </w:p>
        </w:tc>
        <w:tc>
          <w:tcPr>
            <w:tcW w:w="4126" w:type="dxa"/>
            <w:tcBorders>
              <w:top w:val="nil"/>
              <w:left w:val="nil"/>
              <w:bottom w:val="nil"/>
              <w:right w:val="nil"/>
            </w:tcBorders>
            <w:shd w:val="clear" w:color="auto" w:fill="auto"/>
          </w:tcPr>
          <w:p w14:paraId="522F50FC" w14:textId="77777777" w:rsidR="00EC6C63" w:rsidRPr="0043724D" w:rsidRDefault="00EC6C63" w:rsidP="00EC6C63">
            <w:pPr>
              <w:jc w:val="both"/>
              <w:rPr>
                <w:rFonts w:ascii="David" w:hAnsi="David"/>
                <w:b/>
                <w:bCs/>
                <w:rtl/>
              </w:rPr>
            </w:pPr>
            <w:r w:rsidRPr="0043724D">
              <w:rPr>
                <w:rFonts w:ascii="David" w:hAnsi="David" w:hint="cs"/>
                <w:b/>
                <w:bCs/>
                <w:rtl/>
              </w:rPr>
              <w:t>המאשימה</w:t>
            </w:r>
          </w:p>
        </w:tc>
        <w:tc>
          <w:tcPr>
            <w:tcW w:w="3771" w:type="dxa"/>
            <w:tcBorders>
              <w:top w:val="nil"/>
              <w:left w:val="nil"/>
              <w:bottom w:val="nil"/>
              <w:right w:val="nil"/>
            </w:tcBorders>
            <w:shd w:val="clear" w:color="auto" w:fill="auto"/>
          </w:tcPr>
          <w:p w14:paraId="7C42C2F6" w14:textId="77777777" w:rsidR="00EC6C63" w:rsidRPr="0043724D" w:rsidRDefault="00EC6C63" w:rsidP="005C2456">
            <w:pPr>
              <w:rPr>
                <w:rFonts w:ascii="David" w:hAnsi="David"/>
                <w:b/>
                <w:bCs/>
                <w:rtl/>
              </w:rPr>
            </w:pPr>
            <w:r w:rsidRPr="0043724D">
              <w:rPr>
                <w:rFonts w:ascii="David" w:hAnsi="David" w:hint="cs"/>
                <w:b/>
                <w:bCs/>
                <w:rtl/>
              </w:rPr>
              <w:t xml:space="preserve">מדינת ישראל </w:t>
            </w:r>
          </w:p>
        </w:tc>
      </w:tr>
      <w:bookmarkEnd w:id="1"/>
      <w:tr w:rsidR="00EC6C63" w:rsidRPr="0043724D" w14:paraId="54CC15EA" w14:textId="77777777" w:rsidTr="00EC6C63">
        <w:trPr>
          <w:trHeight w:val="355"/>
          <w:jc w:val="center"/>
        </w:trPr>
        <w:tc>
          <w:tcPr>
            <w:tcW w:w="923" w:type="dxa"/>
            <w:tcBorders>
              <w:top w:val="nil"/>
              <w:left w:val="nil"/>
              <w:bottom w:val="nil"/>
              <w:right w:val="nil"/>
            </w:tcBorders>
            <w:shd w:val="clear" w:color="auto" w:fill="auto"/>
          </w:tcPr>
          <w:p w14:paraId="7B44E743" w14:textId="77777777" w:rsidR="00EC6C63" w:rsidRPr="0043724D" w:rsidRDefault="00EC6C63" w:rsidP="00EC6C63">
            <w:pPr>
              <w:jc w:val="both"/>
              <w:rPr>
                <w:rFonts w:ascii="David" w:hAnsi="David"/>
                <w:b/>
                <w:bCs/>
                <w:rtl/>
              </w:rPr>
            </w:pPr>
          </w:p>
        </w:tc>
        <w:tc>
          <w:tcPr>
            <w:tcW w:w="7897" w:type="dxa"/>
            <w:gridSpan w:val="2"/>
            <w:tcBorders>
              <w:top w:val="nil"/>
              <w:left w:val="nil"/>
              <w:bottom w:val="nil"/>
              <w:right w:val="nil"/>
            </w:tcBorders>
            <w:shd w:val="clear" w:color="auto" w:fill="auto"/>
          </w:tcPr>
          <w:p w14:paraId="1D68F0AD" w14:textId="77777777" w:rsidR="00EC6C63" w:rsidRPr="0043724D" w:rsidRDefault="00EC6C63" w:rsidP="00EC6C63">
            <w:pPr>
              <w:jc w:val="center"/>
              <w:rPr>
                <w:rFonts w:ascii="David" w:hAnsi="David"/>
                <w:b/>
                <w:bCs/>
                <w:rtl/>
              </w:rPr>
            </w:pPr>
          </w:p>
          <w:p w14:paraId="5DE5CFB9" w14:textId="77777777" w:rsidR="00EC6C63" w:rsidRPr="0043724D" w:rsidRDefault="00EC6C63" w:rsidP="00EC6C63">
            <w:pPr>
              <w:jc w:val="center"/>
              <w:rPr>
                <w:rFonts w:ascii="David" w:hAnsi="David"/>
                <w:b/>
                <w:bCs/>
                <w:rtl/>
              </w:rPr>
            </w:pPr>
            <w:r w:rsidRPr="0043724D">
              <w:rPr>
                <w:rFonts w:ascii="David" w:hAnsi="David"/>
                <w:b/>
                <w:bCs/>
                <w:rtl/>
              </w:rPr>
              <w:t>נגד</w:t>
            </w:r>
          </w:p>
          <w:p w14:paraId="545ED2DC" w14:textId="77777777" w:rsidR="00EC6C63" w:rsidRPr="0043724D" w:rsidRDefault="00EC6C63" w:rsidP="00EC6C63">
            <w:pPr>
              <w:jc w:val="both"/>
              <w:rPr>
                <w:rFonts w:ascii="David" w:hAnsi="David"/>
                <w:b/>
                <w:bCs/>
              </w:rPr>
            </w:pPr>
          </w:p>
        </w:tc>
      </w:tr>
      <w:tr w:rsidR="00EC6C63" w:rsidRPr="0043724D" w14:paraId="151679E8" w14:textId="77777777" w:rsidTr="00EC6C63">
        <w:trPr>
          <w:trHeight w:val="355"/>
          <w:jc w:val="center"/>
        </w:trPr>
        <w:tc>
          <w:tcPr>
            <w:tcW w:w="923" w:type="dxa"/>
            <w:tcBorders>
              <w:top w:val="nil"/>
              <w:left w:val="nil"/>
              <w:bottom w:val="nil"/>
              <w:right w:val="nil"/>
            </w:tcBorders>
            <w:shd w:val="clear" w:color="auto" w:fill="auto"/>
          </w:tcPr>
          <w:p w14:paraId="3471A39A" w14:textId="77777777" w:rsidR="00EC6C63" w:rsidRPr="0043724D" w:rsidRDefault="00EC6C63" w:rsidP="005C2456">
            <w:pPr>
              <w:rPr>
                <w:rFonts w:ascii="David" w:hAnsi="David"/>
                <w:b/>
                <w:bCs/>
                <w:rtl/>
              </w:rPr>
            </w:pPr>
          </w:p>
        </w:tc>
        <w:tc>
          <w:tcPr>
            <w:tcW w:w="4126" w:type="dxa"/>
            <w:tcBorders>
              <w:top w:val="nil"/>
              <w:left w:val="nil"/>
              <w:bottom w:val="nil"/>
              <w:right w:val="nil"/>
            </w:tcBorders>
            <w:shd w:val="clear" w:color="auto" w:fill="auto"/>
          </w:tcPr>
          <w:p w14:paraId="069E0C83" w14:textId="77777777" w:rsidR="00EC6C63" w:rsidRPr="0043724D" w:rsidRDefault="00EC6C63" w:rsidP="005C2456">
            <w:pPr>
              <w:rPr>
                <w:rFonts w:ascii="David" w:hAnsi="David"/>
                <w:b/>
                <w:bCs/>
                <w:rtl/>
              </w:rPr>
            </w:pPr>
            <w:r w:rsidRPr="0043724D">
              <w:rPr>
                <w:rFonts w:ascii="David" w:hAnsi="David" w:hint="cs"/>
                <w:b/>
                <w:bCs/>
                <w:rtl/>
              </w:rPr>
              <w:t>הנאשם</w:t>
            </w:r>
          </w:p>
        </w:tc>
        <w:tc>
          <w:tcPr>
            <w:tcW w:w="3771" w:type="dxa"/>
            <w:tcBorders>
              <w:top w:val="nil"/>
              <w:left w:val="nil"/>
              <w:bottom w:val="nil"/>
              <w:right w:val="nil"/>
            </w:tcBorders>
            <w:shd w:val="clear" w:color="auto" w:fill="auto"/>
          </w:tcPr>
          <w:p w14:paraId="7852AE97" w14:textId="77777777" w:rsidR="00EC6C63" w:rsidRPr="0043724D" w:rsidRDefault="00EC6C63" w:rsidP="005C2456">
            <w:pPr>
              <w:rPr>
                <w:rFonts w:ascii="David" w:hAnsi="David"/>
                <w:b/>
                <w:bCs/>
                <w:rtl/>
              </w:rPr>
            </w:pPr>
            <w:r w:rsidRPr="0043724D">
              <w:rPr>
                <w:rFonts w:ascii="David" w:hAnsi="David"/>
                <w:b/>
                <w:bCs/>
                <w:rtl/>
              </w:rPr>
              <w:t>ארז באידינג</w:t>
            </w:r>
            <w:r w:rsidRPr="0043724D">
              <w:rPr>
                <w:rFonts w:ascii="David" w:hAnsi="David" w:hint="cs"/>
                <w:b/>
                <w:bCs/>
                <w:rtl/>
              </w:rPr>
              <w:t xml:space="preserve"> </w:t>
            </w:r>
          </w:p>
          <w:p w14:paraId="1700CF1E" w14:textId="77777777" w:rsidR="00EC6C63" w:rsidRPr="0043724D" w:rsidRDefault="00EC6C63" w:rsidP="005C2456">
            <w:pPr>
              <w:rPr>
                <w:rFonts w:ascii="David" w:hAnsi="David"/>
                <w:b/>
                <w:bCs/>
              </w:rPr>
            </w:pPr>
            <w:r w:rsidRPr="0043724D">
              <w:rPr>
                <w:rFonts w:ascii="David" w:hAnsi="David" w:hint="cs"/>
                <w:b/>
                <w:bCs/>
                <w:rtl/>
              </w:rPr>
              <w:t>באמצעות בא כוחו עו"ד יעד נווה</w:t>
            </w:r>
          </w:p>
        </w:tc>
      </w:tr>
    </w:tbl>
    <w:p w14:paraId="1A4F821D" w14:textId="77777777" w:rsidR="00E02ADD" w:rsidRDefault="00E02ADD" w:rsidP="00EC6C63">
      <w:pPr>
        <w:rPr>
          <w:rFonts w:ascii="David" w:hAnsi="David"/>
          <w:rtl/>
        </w:rPr>
      </w:pPr>
      <w:bookmarkStart w:id="2" w:name="LawTable"/>
      <w:bookmarkEnd w:id="2"/>
    </w:p>
    <w:p w14:paraId="773F5B4A" w14:textId="77777777" w:rsidR="00E02ADD" w:rsidRPr="00E02ADD" w:rsidRDefault="00E02ADD" w:rsidP="00E02ADD">
      <w:pPr>
        <w:spacing w:after="120" w:line="240" w:lineRule="exact"/>
        <w:ind w:left="283" w:hanging="283"/>
        <w:jc w:val="both"/>
        <w:rPr>
          <w:rFonts w:ascii="FrankRuehl" w:hAnsi="FrankRuehl" w:cs="FrankRuehl"/>
          <w:rtl/>
        </w:rPr>
      </w:pPr>
    </w:p>
    <w:p w14:paraId="549E0E08" w14:textId="77777777" w:rsidR="00E02ADD" w:rsidRPr="00E02ADD" w:rsidRDefault="00E02ADD" w:rsidP="00E02ADD">
      <w:pPr>
        <w:spacing w:after="120" w:line="240" w:lineRule="exact"/>
        <w:ind w:left="283" w:hanging="283"/>
        <w:jc w:val="both"/>
        <w:rPr>
          <w:rFonts w:ascii="FrankRuehl" w:hAnsi="FrankRuehl" w:cs="FrankRuehl"/>
          <w:rtl/>
        </w:rPr>
      </w:pPr>
      <w:r w:rsidRPr="00E02ADD">
        <w:rPr>
          <w:rFonts w:ascii="FrankRuehl" w:hAnsi="FrankRuehl" w:cs="FrankRuehl"/>
          <w:rtl/>
        </w:rPr>
        <w:t xml:space="preserve">חקיקה שאוזכרה: </w:t>
      </w:r>
    </w:p>
    <w:p w14:paraId="4E8D3554" w14:textId="77777777" w:rsidR="00E02ADD" w:rsidRPr="00E02ADD" w:rsidRDefault="00E02ADD" w:rsidP="00E02ADD">
      <w:pPr>
        <w:spacing w:after="120" w:line="240" w:lineRule="exact"/>
        <w:ind w:left="283" w:hanging="283"/>
        <w:jc w:val="both"/>
        <w:rPr>
          <w:rFonts w:ascii="FrankRuehl" w:hAnsi="FrankRuehl" w:cs="FrankRuehl"/>
          <w:color w:val="0000FF"/>
          <w:u w:val="single"/>
          <w:rtl/>
        </w:rPr>
      </w:pPr>
      <w:hyperlink r:id="rId7" w:history="1">
        <w:r w:rsidRPr="00E02ADD">
          <w:rPr>
            <w:rStyle w:val="Hyperlink"/>
            <w:rFonts w:ascii="FrankRuehl" w:hAnsi="FrankRuehl" w:cs="FrankRuehl"/>
            <w:rtl/>
          </w:rPr>
          <w:t>פקודת הסמים המסוכנים [נוסח חדש], תשל"ג-1973</w:t>
        </w:r>
      </w:hyperlink>
      <w:r w:rsidRPr="00E02ADD">
        <w:rPr>
          <w:rFonts w:ascii="FrankRuehl" w:hAnsi="FrankRuehl" w:cs="FrankRuehl"/>
          <w:color w:val="0000FF"/>
          <w:u w:val="single"/>
          <w:rtl/>
        </w:rPr>
        <w:t xml:space="preserve">: סע'  </w:t>
      </w:r>
      <w:hyperlink r:id="rId8" w:history="1">
        <w:r w:rsidRPr="00E02ADD">
          <w:rPr>
            <w:rStyle w:val="Hyperlink"/>
            <w:rFonts w:ascii="FrankRuehl" w:hAnsi="FrankRuehl" w:cs="FrankRuehl"/>
          </w:rPr>
          <w:t>7.</w:t>
        </w:r>
        <w:r w:rsidRPr="00E02ADD">
          <w:rPr>
            <w:rStyle w:val="Hyperlink"/>
            <w:rFonts w:ascii="FrankRuehl" w:hAnsi="FrankRuehl" w:cs="FrankRuehl"/>
            <w:rtl/>
          </w:rPr>
          <w:t>א</w:t>
        </w:r>
        <w:r w:rsidRPr="00E02ADD">
          <w:rPr>
            <w:rStyle w:val="Hyperlink"/>
            <w:rFonts w:ascii="FrankRuehl" w:hAnsi="FrankRuehl" w:cs="FrankRuehl"/>
          </w:rPr>
          <w:t>.</w:t>
        </w:r>
      </w:hyperlink>
      <w:r w:rsidRPr="00E02ADD">
        <w:rPr>
          <w:rFonts w:ascii="FrankRuehl" w:hAnsi="FrankRuehl" w:cs="FrankRuehl"/>
          <w:color w:val="0000FF"/>
          <w:u w:val="single"/>
          <w:rtl/>
        </w:rPr>
        <w:t xml:space="preserve">, </w:t>
      </w:r>
      <w:hyperlink r:id="rId9" w:history="1">
        <w:r w:rsidRPr="00E02ADD">
          <w:rPr>
            <w:rStyle w:val="Hyperlink"/>
            <w:rFonts w:ascii="FrankRuehl" w:hAnsi="FrankRuehl" w:cs="FrankRuehl"/>
          </w:rPr>
          <w:t>7.</w:t>
        </w:r>
        <w:r w:rsidRPr="00E02ADD">
          <w:rPr>
            <w:rStyle w:val="Hyperlink"/>
            <w:rFonts w:ascii="FrankRuehl" w:hAnsi="FrankRuehl" w:cs="FrankRuehl"/>
            <w:rtl/>
          </w:rPr>
          <w:t>ג</w:t>
        </w:r>
      </w:hyperlink>
      <w:r w:rsidRPr="00E02ADD">
        <w:rPr>
          <w:rFonts w:ascii="FrankRuehl" w:hAnsi="FrankRuehl" w:cs="FrankRuehl"/>
          <w:color w:val="0000FF"/>
          <w:u w:val="single"/>
          <w:rtl/>
        </w:rPr>
        <w:t xml:space="preserve">, </w:t>
      </w:r>
      <w:hyperlink r:id="rId10" w:history="1">
        <w:r w:rsidRPr="00E02ADD">
          <w:rPr>
            <w:rStyle w:val="Hyperlink"/>
            <w:rFonts w:ascii="FrankRuehl" w:hAnsi="FrankRuehl" w:cs="FrankRuehl"/>
          </w:rPr>
          <w:t>13</w:t>
        </w:r>
      </w:hyperlink>
      <w:r w:rsidRPr="00E02ADD">
        <w:rPr>
          <w:rFonts w:ascii="FrankRuehl" w:hAnsi="FrankRuehl" w:cs="FrankRuehl"/>
          <w:color w:val="0000FF"/>
          <w:u w:val="single"/>
          <w:rtl/>
        </w:rPr>
        <w:t xml:space="preserve">, </w:t>
      </w:r>
      <w:hyperlink r:id="rId11" w:history="1">
        <w:r w:rsidRPr="00E02ADD">
          <w:rPr>
            <w:rStyle w:val="Hyperlink"/>
            <w:rFonts w:ascii="FrankRuehl" w:hAnsi="FrankRuehl" w:cs="FrankRuehl"/>
          </w:rPr>
          <w:t>19.</w:t>
        </w:r>
        <w:r w:rsidRPr="00E02ADD">
          <w:rPr>
            <w:rStyle w:val="Hyperlink"/>
            <w:rFonts w:ascii="FrankRuehl" w:hAnsi="FrankRuehl" w:cs="FrankRuehl"/>
            <w:rtl/>
          </w:rPr>
          <w:t>א</w:t>
        </w:r>
      </w:hyperlink>
    </w:p>
    <w:p w14:paraId="1A43AAFD" w14:textId="77777777" w:rsidR="00E02ADD" w:rsidRPr="00E02ADD" w:rsidRDefault="00E02ADD" w:rsidP="00E02ADD">
      <w:pPr>
        <w:spacing w:after="120" w:line="240" w:lineRule="exact"/>
        <w:ind w:left="283" w:hanging="283"/>
        <w:jc w:val="both"/>
        <w:rPr>
          <w:rFonts w:ascii="FrankRuehl" w:hAnsi="FrankRuehl" w:cs="FrankRuehl"/>
          <w:color w:val="0000FF"/>
          <w:u w:val="single"/>
          <w:rtl/>
        </w:rPr>
      </w:pPr>
      <w:hyperlink r:id="rId12" w:history="1">
        <w:r w:rsidRPr="00E02ADD">
          <w:rPr>
            <w:rStyle w:val="Hyperlink"/>
            <w:rFonts w:ascii="FrankRuehl" w:hAnsi="FrankRuehl" w:cs="FrankRuehl"/>
            <w:rtl/>
          </w:rPr>
          <w:t>חוק העונשין, תשל"ז-1977</w:t>
        </w:r>
      </w:hyperlink>
      <w:r w:rsidRPr="00E02ADD">
        <w:rPr>
          <w:rFonts w:ascii="FrankRuehl" w:hAnsi="FrankRuehl" w:cs="FrankRuehl"/>
          <w:color w:val="0000FF"/>
          <w:u w:val="single"/>
          <w:rtl/>
        </w:rPr>
        <w:t xml:space="preserve">: סע'  </w:t>
      </w:r>
      <w:hyperlink r:id="rId13" w:history="1">
        <w:r w:rsidRPr="00E02ADD">
          <w:rPr>
            <w:rStyle w:val="Hyperlink"/>
            <w:rFonts w:ascii="FrankRuehl" w:hAnsi="FrankRuehl" w:cs="FrankRuehl"/>
          </w:rPr>
          <w:t>40.</w:t>
        </w:r>
        <w:r w:rsidRPr="00E02ADD">
          <w:rPr>
            <w:rStyle w:val="Hyperlink"/>
            <w:rFonts w:ascii="FrankRuehl" w:hAnsi="FrankRuehl" w:cs="FrankRuehl"/>
            <w:rtl/>
          </w:rPr>
          <w:t>ד</w:t>
        </w:r>
        <w:r w:rsidRPr="00E02ADD">
          <w:rPr>
            <w:rStyle w:val="Hyperlink"/>
            <w:rFonts w:ascii="FrankRuehl" w:hAnsi="FrankRuehl" w:cs="FrankRuehl"/>
          </w:rPr>
          <w:t>.</w:t>
        </w:r>
      </w:hyperlink>
      <w:r w:rsidRPr="00E02ADD">
        <w:rPr>
          <w:rFonts w:ascii="FrankRuehl" w:hAnsi="FrankRuehl" w:cs="FrankRuehl"/>
          <w:color w:val="0000FF"/>
          <w:u w:val="single"/>
          <w:rtl/>
        </w:rPr>
        <w:t xml:space="preserve">, </w:t>
      </w:r>
      <w:hyperlink r:id="rId14" w:history="1">
        <w:r w:rsidRPr="00E02ADD">
          <w:rPr>
            <w:rStyle w:val="Hyperlink"/>
            <w:rFonts w:ascii="FrankRuehl" w:hAnsi="FrankRuehl" w:cs="FrankRuehl"/>
          </w:rPr>
          <w:t>40</w:t>
        </w:r>
        <w:r w:rsidRPr="00E02ADD">
          <w:rPr>
            <w:rStyle w:val="Hyperlink"/>
            <w:rFonts w:ascii="FrankRuehl" w:hAnsi="FrankRuehl" w:cs="FrankRuehl"/>
            <w:rtl/>
          </w:rPr>
          <w:t>ג (א</w:t>
        </w:r>
        <w:r w:rsidRPr="00E02ADD">
          <w:rPr>
            <w:rStyle w:val="Hyperlink"/>
            <w:rFonts w:ascii="FrankRuehl" w:hAnsi="FrankRuehl" w:cs="FrankRuehl"/>
          </w:rPr>
          <w:t>)</w:t>
        </w:r>
      </w:hyperlink>
      <w:r w:rsidRPr="00E02ADD">
        <w:rPr>
          <w:rFonts w:ascii="FrankRuehl" w:hAnsi="FrankRuehl" w:cs="FrankRuehl"/>
          <w:color w:val="0000FF"/>
          <w:u w:val="single"/>
          <w:rtl/>
        </w:rPr>
        <w:t xml:space="preserve">, </w:t>
      </w:r>
      <w:hyperlink r:id="rId15" w:history="1">
        <w:r w:rsidRPr="00E02ADD">
          <w:rPr>
            <w:rStyle w:val="Hyperlink"/>
            <w:rFonts w:ascii="FrankRuehl" w:hAnsi="FrankRuehl" w:cs="FrankRuehl"/>
          </w:rPr>
          <w:t>40</w:t>
        </w:r>
        <w:r w:rsidRPr="00E02ADD">
          <w:rPr>
            <w:rStyle w:val="Hyperlink"/>
            <w:rFonts w:ascii="FrankRuehl" w:hAnsi="FrankRuehl" w:cs="FrankRuehl"/>
            <w:rtl/>
          </w:rPr>
          <w:t>ג (ב</w:t>
        </w:r>
        <w:r w:rsidRPr="00E02ADD">
          <w:rPr>
            <w:rStyle w:val="Hyperlink"/>
            <w:rFonts w:ascii="FrankRuehl" w:hAnsi="FrankRuehl" w:cs="FrankRuehl"/>
          </w:rPr>
          <w:t>)</w:t>
        </w:r>
      </w:hyperlink>
      <w:r w:rsidRPr="00E02ADD">
        <w:rPr>
          <w:rFonts w:ascii="FrankRuehl" w:hAnsi="FrankRuehl" w:cs="FrankRuehl"/>
          <w:color w:val="0000FF"/>
          <w:u w:val="single"/>
          <w:rtl/>
        </w:rPr>
        <w:t xml:space="preserve">, </w:t>
      </w:r>
      <w:hyperlink r:id="rId16" w:history="1">
        <w:r w:rsidRPr="00E02ADD">
          <w:rPr>
            <w:rStyle w:val="Hyperlink"/>
            <w:rFonts w:ascii="FrankRuehl" w:hAnsi="FrankRuehl" w:cs="FrankRuehl"/>
          </w:rPr>
          <w:t>40</w:t>
        </w:r>
        <w:r w:rsidRPr="00E02ADD">
          <w:rPr>
            <w:rStyle w:val="Hyperlink"/>
            <w:rFonts w:ascii="FrankRuehl" w:hAnsi="FrankRuehl" w:cs="FrankRuehl"/>
            <w:rtl/>
          </w:rPr>
          <w:t>ט</w:t>
        </w:r>
      </w:hyperlink>
      <w:r w:rsidRPr="00E02ADD">
        <w:rPr>
          <w:rFonts w:ascii="FrankRuehl" w:hAnsi="FrankRuehl" w:cs="FrankRuehl"/>
          <w:color w:val="0000FF"/>
          <w:u w:val="single"/>
          <w:rtl/>
        </w:rPr>
        <w:t xml:space="preserve">, </w:t>
      </w:r>
      <w:hyperlink r:id="rId17" w:history="1">
        <w:r w:rsidRPr="00E02ADD">
          <w:rPr>
            <w:rStyle w:val="Hyperlink"/>
            <w:rFonts w:ascii="FrankRuehl" w:hAnsi="FrankRuehl" w:cs="FrankRuehl"/>
          </w:rPr>
          <w:t>40</w:t>
        </w:r>
        <w:r w:rsidRPr="00E02ADD">
          <w:rPr>
            <w:rStyle w:val="Hyperlink"/>
            <w:rFonts w:ascii="FrankRuehl" w:hAnsi="FrankRuehl" w:cs="FrankRuehl"/>
            <w:rtl/>
          </w:rPr>
          <w:t>יא</w:t>
        </w:r>
      </w:hyperlink>
      <w:r w:rsidRPr="00E02ADD">
        <w:rPr>
          <w:rFonts w:ascii="FrankRuehl" w:hAnsi="FrankRuehl" w:cs="FrankRuehl"/>
          <w:color w:val="0000FF"/>
          <w:u w:val="single"/>
          <w:rtl/>
        </w:rPr>
        <w:t xml:space="preserve">, </w:t>
      </w:r>
      <w:hyperlink r:id="rId18" w:history="1">
        <w:r w:rsidRPr="00E02ADD">
          <w:rPr>
            <w:rStyle w:val="Hyperlink"/>
            <w:rFonts w:ascii="FrankRuehl" w:hAnsi="FrankRuehl" w:cs="FrankRuehl"/>
          </w:rPr>
          <w:t>40</w:t>
        </w:r>
        <w:r w:rsidRPr="00E02ADD">
          <w:rPr>
            <w:rStyle w:val="Hyperlink"/>
            <w:rFonts w:ascii="FrankRuehl" w:hAnsi="FrankRuehl" w:cs="FrankRuehl"/>
            <w:rtl/>
          </w:rPr>
          <w:t>יג</w:t>
        </w:r>
      </w:hyperlink>
      <w:r w:rsidRPr="00E02ADD">
        <w:rPr>
          <w:rFonts w:ascii="FrankRuehl" w:hAnsi="FrankRuehl" w:cs="FrankRuehl"/>
          <w:color w:val="0000FF"/>
          <w:u w:val="single"/>
          <w:rtl/>
        </w:rPr>
        <w:t xml:space="preserve">, </w:t>
      </w:r>
      <w:hyperlink r:id="rId19" w:history="1">
        <w:r w:rsidRPr="00E02ADD">
          <w:rPr>
            <w:rStyle w:val="Hyperlink"/>
            <w:rFonts w:ascii="FrankRuehl" w:hAnsi="FrankRuehl" w:cs="FrankRuehl"/>
          </w:rPr>
          <w:t>40</w:t>
        </w:r>
        <w:r w:rsidRPr="00E02ADD">
          <w:rPr>
            <w:rStyle w:val="Hyperlink"/>
            <w:rFonts w:ascii="FrankRuehl" w:hAnsi="FrankRuehl" w:cs="FrankRuehl"/>
            <w:rtl/>
          </w:rPr>
          <w:t>יג (ב</w:t>
        </w:r>
        <w:r w:rsidRPr="00E02ADD">
          <w:rPr>
            <w:rStyle w:val="Hyperlink"/>
            <w:rFonts w:ascii="FrankRuehl" w:hAnsi="FrankRuehl" w:cs="FrankRuehl"/>
          </w:rPr>
          <w:t>)</w:t>
        </w:r>
      </w:hyperlink>
      <w:r w:rsidRPr="00E02ADD">
        <w:rPr>
          <w:rFonts w:ascii="FrankRuehl" w:hAnsi="FrankRuehl" w:cs="FrankRuehl"/>
          <w:color w:val="0000FF"/>
          <w:u w:val="single"/>
          <w:rtl/>
        </w:rPr>
        <w:t xml:space="preserve">, </w:t>
      </w:r>
      <w:hyperlink r:id="rId20" w:history="1">
        <w:r w:rsidRPr="00E02ADD">
          <w:rPr>
            <w:rStyle w:val="Hyperlink"/>
            <w:rFonts w:ascii="FrankRuehl" w:hAnsi="FrankRuehl" w:cs="FrankRuehl"/>
          </w:rPr>
          <w:t>40</w:t>
        </w:r>
        <w:r w:rsidRPr="00E02ADD">
          <w:rPr>
            <w:rStyle w:val="Hyperlink"/>
            <w:rFonts w:ascii="FrankRuehl" w:hAnsi="FrankRuehl" w:cs="FrankRuehl"/>
            <w:rtl/>
          </w:rPr>
          <w:t>יד (2</w:t>
        </w:r>
        <w:r w:rsidRPr="00E02ADD">
          <w:rPr>
            <w:rStyle w:val="Hyperlink"/>
            <w:rFonts w:ascii="FrankRuehl" w:hAnsi="FrankRuehl" w:cs="FrankRuehl"/>
          </w:rPr>
          <w:t>)</w:t>
        </w:r>
      </w:hyperlink>
      <w:r w:rsidRPr="00E02ADD">
        <w:rPr>
          <w:rFonts w:ascii="FrankRuehl" w:hAnsi="FrankRuehl" w:cs="FrankRuehl"/>
          <w:color w:val="0000FF"/>
          <w:u w:val="single"/>
          <w:rtl/>
        </w:rPr>
        <w:t xml:space="preserve">, </w:t>
      </w:r>
      <w:hyperlink r:id="rId21" w:history="1">
        <w:r w:rsidRPr="00E02ADD">
          <w:rPr>
            <w:rStyle w:val="Hyperlink"/>
            <w:rFonts w:ascii="FrankRuehl" w:hAnsi="FrankRuehl" w:cs="FrankRuehl"/>
          </w:rPr>
          <w:t>499 (</w:t>
        </w:r>
        <w:r w:rsidRPr="00E02ADD">
          <w:rPr>
            <w:rStyle w:val="Hyperlink"/>
            <w:rFonts w:ascii="FrankRuehl" w:hAnsi="FrankRuehl" w:cs="FrankRuehl"/>
            <w:rtl/>
          </w:rPr>
          <w:t>א) (1</w:t>
        </w:r>
        <w:r w:rsidRPr="00E02ADD">
          <w:rPr>
            <w:rStyle w:val="Hyperlink"/>
            <w:rFonts w:ascii="FrankRuehl" w:hAnsi="FrankRuehl" w:cs="FrankRuehl"/>
          </w:rPr>
          <w:t>)</w:t>
        </w:r>
      </w:hyperlink>
    </w:p>
    <w:p w14:paraId="31036CB9" w14:textId="77777777" w:rsidR="00EC6C63" w:rsidRPr="00E02ADD" w:rsidRDefault="00EC6C63" w:rsidP="00EC6C63">
      <w:pPr>
        <w:rPr>
          <w:rFonts w:ascii="David" w:hAnsi="David" w:hint="cs"/>
        </w:rPr>
      </w:pPr>
      <w:bookmarkStart w:id="3" w:name="LawTable_End"/>
      <w:bookmarkEnd w:id="3"/>
    </w:p>
    <w:p w14:paraId="6B6ED39D" w14:textId="77777777" w:rsidR="0043724D" w:rsidRPr="0043724D" w:rsidRDefault="0043724D" w:rsidP="0043724D">
      <w:pPr>
        <w:rPr>
          <w:rFonts w:ascii="Arial" w:hAnsi="Arial"/>
          <w:rtl/>
        </w:rPr>
      </w:pPr>
    </w:p>
    <w:p w14:paraId="15B92925" w14:textId="77777777" w:rsidR="00EC6C63" w:rsidRPr="0043724D" w:rsidRDefault="00EC6C63" w:rsidP="00EC6C6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6C63" w:rsidRPr="00C417F7" w14:paraId="7532E70B" w14:textId="77777777" w:rsidTr="00EC6C63">
        <w:trPr>
          <w:trHeight w:val="355"/>
          <w:jc w:val="center"/>
        </w:trPr>
        <w:tc>
          <w:tcPr>
            <w:tcW w:w="8820" w:type="dxa"/>
            <w:tcBorders>
              <w:top w:val="nil"/>
              <w:left w:val="nil"/>
              <w:bottom w:val="nil"/>
              <w:right w:val="nil"/>
            </w:tcBorders>
            <w:shd w:val="clear" w:color="auto" w:fill="auto"/>
          </w:tcPr>
          <w:p w14:paraId="7B6C34B3" w14:textId="77777777" w:rsidR="0043724D" w:rsidRPr="0043724D" w:rsidRDefault="0043724D" w:rsidP="0043724D">
            <w:pPr>
              <w:jc w:val="center"/>
              <w:rPr>
                <w:rFonts w:ascii="David" w:hAnsi="David"/>
                <w:b/>
                <w:bCs/>
                <w:u w:val="single"/>
                <w:rtl/>
              </w:rPr>
            </w:pPr>
            <w:bookmarkStart w:id="4" w:name="PsakDin" w:colFirst="0" w:colLast="0"/>
            <w:bookmarkEnd w:id="0"/>
            <w:r w:rsidRPr="0043724D">
              <w:rPr>
                <w:rFonts w:ascii="David" w:hAnsi="David"/>
                <w:b/>
                <w:bCs/>
                <w:u w:val="single"/>
                <w:rtl/>
              </w:rPr>
              <w:t>גזר דין</w:t>
            </w:r>
          </w:p>
          <w:p w14:paraId="012EA314" w14:textId="77777777" w:rsidR="00EC6C63" w:rsidRPr="0043724D" w:rsidRDefault="00EC6C63" w:rsidP="0043724D">
            <w:pPr>
              <w:jc w:val="center"/>
              <w:rPr>
                <w:rFonts w:ascii="David" w:hAnsi="David"/>
                <w:bCs/>
                <w:u w:val="single"/>
                <w:rtl/>
              </w:rPr>
            </w:pPr>
          </w:p>
        </w:tc>
      </w:tr>
      <w:bookmarkEnd w:id="4"/>
    </w:tbl>
    <w:p w14:paraId="3CD6745A" w14:textId="77777777" w:rsidR="00EC6C63" w:rsidRPr="00C417F7" w:rsidRDefault="00EC6C63" w:rsidP="00EC6C63">
      <w:pPr>
        <w:rPr>
          <w:rFonts w:ascii="Arial" w:hAnsi="Arial"/>
          <w:rtl/>
        </w:rPr>
      </w:pPr>
    </w:p>
    <w:p w14:paraId="0A3A8088" w14:textId="77777777" w:rsidR="00EC6C63" w:rsidRPr="00C417F7" w:rsidRDefault="00EC6C63" w:rsidP="00EC6C63">
      <w:pPr>
        <w:rPr>
          <w:rtl/>
        </w:rPr>
      </w:pPr>
    </w:p>
    <w:p w14:paraId="0161A119" w14:textId="77777777" w:rsidR="00EC6C63" w:rsidRPr="00C417F7" w:rsidRDefault="00EC6C63" w:rsidP="00EC6C63">
      <w:pPr>
        <w:spacing w:line="360" w:lineRule="auto"/>
        <w:jc w:val="both"/>
        <w:rPr>
          <w:b/>
          <w:bCs/>
          <w:u w:val="single"/>
          <w:rtl/>
        </w:rPr>
      </w:pPr>
      <w:r w:rsidRPr="00C417F7">
        <w:rPr>
          <w:b/>
          <w:bCs/>
          <w:u w:val="single"/>
          <w:rtl/>
        </w:rPr>
        <w:t>כתב האישום המתוקן:</w:t>
      </w:r>
    </w:p>
    <w:p w14:paraId="196DFEB2" w14:textId="77777777" w:rsidR="00EC6C63" w:rsidRPr="00C417F7" w:rsidRDefault="00EC6C63" w:rsidP="00EC6C63">
      <w:pPr>
        <w:spacing w:line="360" w:lineRule="auto"/>
        <w:jc w:val="both"/>
        <w:rPr>
          <w:rtl/>
        </w:rPr>
      </w:pPr>
      <w:bookmarkStart w:id="5" w:name="ABSTRACT_START"/>
      <w:bookmarkEnd w:id="5"/>
      <w:r w:rsidRPr="00C417F7">
        <w:rPr>
          <w:rtl/>
        </w:rPr>
        <w:t>הנאשם הורשע על פי הודאתו בשני האישומים המפורטים בכתב האישום, בעבירות של:</w:t>
      </w:r>
    </w:p>
    <w:p w14:paraId="2BD0B880" w14:textId="77777777" w:rsidR="00EC6C63" w:rsidRPr="00C417F7" w:rsidRDefault="00EC6C63" w:rsidP="00EC6C63">
      <w:pPr>
        <w:spacing w:line="360" w:lineRule="auto"/>
        <w:jc w:val="both"/>
        <w:rPr>
          <w:rtl/>
        </w:rPr>
      </w:pPr>
      <w:r w:rsidRPr="00C417F7">
        <w:rPr>
          <w:rtl/>
        </w:rPr>
        <w:t xml:space="preserve">אישום מס' 1 - סיוע למסחר, הספקה סמים מסוכנים – עבירה לפי סעיף </w:t>
      </w:r>
      <w:hyperlink r:id="rId22" w:history="1">
        <w:r w:rsidR="00E02ADD" w:rsidRPr="00E02ADD">
          <w:rPr>
            <w:rStyle w:val="Hyperlink"/>
            <w:color w:val="0000FF"/>
            <w:rtl/>
          </w:rPr>
          <w:t>13 + 19א</w:t>
        </w:r>
      </w:hyperlink>
      <w:r w:rsidRPr="00C417F7">
        <w:rPr>
          <w:rtl/>
        </w:rPr>
        <w:t xml:space="preserve"> ל</w:t>
      </w:r>
      <w:hyperlink r:id="rId23" w:history="1">
        <w:r w:rsidR="0043724D" w:rsidRPr="0043724D">
          <w:rPr>
            <w:color w:val="0000FF"/>
            <w:u w:val="single"/>
            <w:rtl/>
          </w:rPr>
          <w:t>פקודת הסמים המסוכנים</w:t>
        </w:r>
      </w:hyperlink>
      <w:r w:rsidRPr="00C417F7">
        <w:rPr>
          <w:rtl/>
        </w:rPr>
        <w:t xml:space="preserve"> (נוסח חדש) תשל"ג – 1973; קשירת קשר לעשות פשע – עבירה לפי סעיף </w:t>
      </w:r>
      <w:hyperlink r:id="rId24" w:history="1">
        <w:r w:rsidR="00E02ADD" w:rsidRPr="00E02ADD">
          <w:rPr>
            <w:rStyle w:val="Hyperlink"/>
            <w:color w:val="0000FF"/>
            <w:rtl/>
          </w:rPr>
          <w:t>499 (א) (1)</w:t>
        </w:r>
      </w:hyperlink>
      <w:r w:rsidRPr="00C417F7">
        <w:rPr>
          <w:rtl/>
        </w:rPr>
        <w:t xml:space="preserve"> ל</w:t>
      </w:r>
      <w:hyperlink r:id="rId25" w:history="1">
        <w:r w:rsidR="0043724D" w:rsidRPr="0043724D">
          <w:rPr>
            <w:color w:val="0000FF"/>
            <w:u w:val="single"/>
            <w:rtl/>
          </w:rPr>
          <w:t>חוק העונשין</w:t>
        </w:r>
      </w:hyperlink>
      <w:r w:rsidRPr="00C417F7">
        <w:rPr>
          <w:rtl/>
        </w:rPr>
        <w:t>, תשל"ז – 1977.</w:t>
      </w:r>
    </w:p>
    <w:p w14:paraId="0142D092" w14:textId="77777777" w:rsidR="00EC6C63" w:rsidRPr="00C417F7" w:rsidRDefault="00EC6C63" w:rsidP="00EC6C63">
      <w:pPr>
        <w:spacing w:line="360" w:lineRule="auto"/>
        <w:jc w:val="both"/>
        <w:rPr>
          <w:rtl/>
        </w:rPr>
      </w:pPr>
      <w:bookmarkStart w:id="6" w:name="ABSTRACT_END"/>
      <w:bookmarkEnd w:id="6"/>
      <w:r w:rsidRPr="00C417F7">
        <w:rPr>
          <w:rtl/>
        </w:rPr>
        <w:t xml:space="preserve">אישום מס' 2 - החזקה/שימוש בסמים שלא לצריכה עצמית – עבירה לפי סעיף </w:t>
      </w:r>
      <w:hyperlink r:id="rId26" w:history="1">
        <w:r w:rsidR="00E02ADD" w:rsidRPr="00E02ADD">
          <w:rPr>
            <w:rStyle w:val="Hyperlink"/>
            <w:color w:val="0000FF"/>
            <w:rtl/>
          </w:rPr>
          <w:t>7 (א) + 7 (ג)</w:t>
        </w:r>
      </w:hyperlink>
      <w:r w:rsidRPr="00C417F7">
        <w:rPr>
          <w:rtl/>
        </w:rPr>
        <w:t xml:space="preserve"> רישא ל</w:t>
      </w:r>
      <w:hyperlink r:id="rId27" w:history="1">
        <w:r w:rsidR="0043724D" w:rsidRPr="0043724D">
          <w:rPr>
            <w:color w:val="0000FF"/>
            <w:u w:val="single"/>
            <w:rtl/>
          </w:rPr>
          <w:t>פקודת הסמים המסוכנים</w:t>
        </w:r>
      </w:hyperlink>
      <w:r w:rsidRPr="00C417F7">
        <w:rPr>
          <w:rtl/>
        </w:rPr>
        <w:t xml:space="preserve"> (נוסח חדש) תשל"ג – 1973.</w:t>
      </w:r>
    </w:p>
    <w:p w14:paraId="7B48267F" w14:textId="77777777" w:rsidR="00EC6C63" w:rsidRPr="00C417F7" w:rsidRDefault="00EC6C63" w:rsidP="00EC6C63">
      <w:pPr>
        <w:spacing w:line="360" w:lineRule="auto"/>
        <w:jc w:val="both"/>
        <w:rPr>
          <w:rtl/>
        </w:rPr>
      </w:pPr>
      <w:r w:rsidRPr="00C417F7">
        <w:rPr>
          <w:rtl/>
        </w:rPr>
        <w:t xml:space="preserve">לפי האישום הראשון – בתאריך 12/11/2017 נכנס סוכן משטרתי לקבוצת "כיוונים עולים" (להלן: "הקבוצה") באפליקציה אשר נמצאת תחת קבוצת אם בשם "טלגראס". בין המפרסמים השונים בקבוצה, איתר הסוכן מפרסם בכינוי </w:t>
      </w:r>
      <w:r w:rsidRPr="00C417F7">
        <w:t>peter pan</w:t>
      </w:r>
      <w:r w:rsidRPr="00C417F7">
        <w:rPr>
          <w:rtl/>
        </w:rPr>
        <w:t>, אשר פרטיו אינם ידועים למאשימה (להלן: "המפרסם").</w:t>
      </w:r>
    </w:p>
    <w:p w14:paraId="19F9DA34" w14:textId="77777777" w:rsidR="00EC6C63" w:rsidRPr="00C417F7" w:rsidRDefault="00EC6C63" w:rsidP="00EC6C63">
      <w:pPr>
        <w:spacing w:line="360" w:lineRule="auto"/>
        <w:jc w:val="both"/>
        <w:rPr>
          <w:rtl/>
        </w:rPr>
      </w:pPr>
      <w:r w:rsidRPr="00C417F7">
        <w:rPr>
          <w:rtl/>
        </w:rPr>
        <w:t xml:space="preserve">המפרסם הציג למכירה סוגי סמים מסוכנים שונים לצד מחירון, בהתאם לכמות ההזמנה. מיד לאחר כך, פנה הסוכן למפרסם, והחל להתכתב עימו, במטרה לרכוש סמים, במסגרת ההתכתבות, ולאחר שהסוכן הביע התעניינות ברכישת סמים, ולאחר שהמפרסם ביצע פעולת זיהוי מול הסוכן, אשר כללה, בין היתר, בקשה מהסוכן לשלוח תמונת סלפי, פרופיל פייסבוק, ותעודת זהות, הזמין הסוכן </w:t>
      </w:r>
      <w:r w:rsidRPr="00C417F7">
        <w:rPr>
          <w:rtl/>
        </w:rPr>
        <w:lastRenderedPageBreak/>
        <w:t xml:space="preserve">מהמפרסם, סם מסוכן מסוג אמדי כשהכוונה </w:t>
      </w:r>
      <w:r w:rsidRPr="00C417F7">
        <w:t>MDMA</w:t>
      </w:r>
      <w:r w:rsidRPr="00C417F7">
        <w:rPr>
          <w:rtl/>
        </w:rPr>
        <w:t>, ונקודת מסירת הסם נקבעה בשדרות ארזים קרית ים (להלן: "מקום המפגש").</w:t>
      </w:r>
    </w:p>
    <w:p w14:paraId="2134AE1F" w14:textId="77777777" w:rsidR="00EC6C63" w:rsidRPr="00C417F7" w:rsidRDefault="00EC6C63" w:rsidP="00EC6C63">
      <w:pPr>
        <w:spacing w:line="360" w:lineRule="auto"/>
        <w:jc w:val="both"/>
        <w:rPr>
          <w:rtl/>
        </w:rPr>
      </w:pPr>
      <w:r w:rsidRPr="00C417F7">
        <w:rPr>
          <w:rtl/>
        </w:rPr>
        <w:t>עובר לתאריך המתואר שלעיל, במועד מדויק שאינו ידוע למאשימה, קשרו הנאשם והמפרסם קשר לעשות פשע, בכך שקשרו ביניהם קשר למכור סמים מסוכנים לרוכשים פוטנציאליים באמצעות האפליקציה.</w:t>
      </w:r>
    </w:p>
    <w:p w14:paraId="7D089BB2" w14:textId="77777777" w:rsidR="00EC6C63" w:rsidRPr="00C417F7" w:rsidRDefault="00EC6C63" w:rsidP="00EC6C63">
      <w:pPr>
        <w:spacing w:line="360" w:lineRule="auto"/>
        <w:jc w:val="both"/>
        <w:rPr>
          <w:rtl/>
        </w:rPr>
      </w:pPr>
      <w:r w:rsidRPr="00C417F7">
        <w:rPr>
          <w:rtl/>
        </w:rPr>
        <w:t xml:space="preserve">מיד ובסמוך למתואר לעיל, בסמוך לשעה 15:15 ולאחר שהמפרסם עדכן את הנאשם בפרטי ההזמנה אותה ביצע הסוכן, הגיע הנאשם רגלית למקום המפגש, ומסר לסוכן סם מסוכן מסוג </w:t>
      </w:r>
      <w:r w:rsidRPr="00C417F7">
        <w:t>MDMA</w:t>
      </w:r>
      <w:r w:rsidRPr="00C417F7">
        <w:rPr>
          <w:rtl/>
        </w:rPr>
        <w:t xml:space="preserve"> במשקל 2.0136 גרם נטו (מחולק לשתי מנות) כנגד תמורה כספית בסך של - 700 ₪ בעבורו.</w:t>
      </w:r>
    </w:p>
    <w:p w14:paraId="4E4A03F5" w14:textId="77777777" w:rsidR="00EC6C63" w:rsidRPr="00C417F7" w:rsidRDefault="00EC6C63" w:rsidP="00EC6C63">
      <w:pPr>
        <w:spacing w:line="360" w:lineRule="auto"/>
        <w:jc w:val="both"/>
        <w:rPr>
          <w:rtl/>
        </w:rPr>
      </w:pPr>
      <w:r w:rsidRPr="00C417F7">
        <w:rPr>
          <w:rtl/>
        </w:rPr>
        <w:t>בעשותו את המתואר לעיל, קשר הנאשם קשר לביצוע פשע ביחד עם המפרסם בכך שתכננו למכור את הסמים לסוכן ובמסגרת אותו קשר ביצעו את המתואר לעיל.</w:t>
      </w:r>
    </w:p>
    <w:p w14:paraId="0886B76F" w14:textId="77777777" w:rsidR="00EC6C63" w:rsidRPr="00C417F7" w:rsidRDefault="00EC6C63" w:rsidP="00EC6C63">
      <w:pPr>
        <w:spacing w:line="360" w:lineRule="auto"/>
        <w:jc w:val="both"/>
        <w:rPr>
          <w:rtl/>
        </w:rPr>
      </w:pPr>
      <w:r w:rsidRPr="00C417F7">
        <w:rPr>
          <w:rtl/>
        </w:rPr>
        <w:t>לפי האישום השני –  בתאריך 21.3.2018 סמוך לשעה 04:00 בבית ברחוב גלעד 1 קרית ים, החזיק הנאשם על גופו בסם מסוכן מסוג קנבוס במשקל 130 גרם נטו ובבית סם מסוכן קנבוס במשקל 6.22 גרם נטו, שלא לצריכתו העצמית מבלי שהדבר הותר לו בתקנות או ברישיון מאת המנהל.</w:t>
      </w:r>
    </w:p>
    <w:p w14:paraId="3337C03E" w14:textId="77777777" w:rsidR="00EC6C63" w:rsidRPr="00C417F7" w:rsidRDefault="00EC6C63" w:rsidP="00EC6C63">
      <w:pPr>
        <w:spacing w:line="360" w:lineRule="auto"/>
        <w:jc w:val="both"/>
        <w:rPr>
          <w:rtl/>
        </w:rPr>
      </w:pPr>
    </w:p>
    <w:p w14:paraId="7CD6D6B9" w14:textId="77777777" w:rsidR="00EC6C63" w:rsidRPr="00C417F7" w:rsidRDefault="00EC6C63" w:rsidP="00EC6C63">
      <w:pPr>
        <w:spacing w:line="360" w:lineRule="auto"/>
        <w:jc w:val="both"/>
        <w:rPr>
          <w:b/>
          <w:bCs/>
          <w:u w:val="single"/>
          <w:rtl/>
        </w:rPr>
      </w:pPr>
      <w:r w:rsidRPr="00C417F7">
        <w:rPr>
          <w:b/>
          <w:bCs/>
          <w:u w:val="single"/>
          <w:rtl/>
        </w:rPr>
        <w:t>הסדר טיעון</w:t>
      </w:r>
      <w:r>
        <w:rPr>
          <w:rFonts w:hint="cs"/>
          <w:b/>
          <w:bCs/>
          <w:u w:val="single"/>
          <w:rtl/>
        </w:rPr>
        <w:t xml:space="preserve"> דיוני</w:t>
      </w:r>
      <w:r w:rsidRPr="00C417F7">
        <w:rPr>
          <w:b/>
          <w:bCs/>
          <w:u w:val="single"/>
          <w:rtl/>
        </w:rPr>
        <w:t>:</w:t>
      </w:r>
    </w:p>
    <w:p w14:paraId="58F86CFE" w14:textId="77777777" w:rsidR="00EC6C63" w:rsidRPr="00C417F7" w:rsidRDefault="00EC6C63" w:rsidP="00EC6C63">
      <w:pPr>
        <w:spacing w:line="360" w:lineRule="auto"/>
        <w:jc w:val="both"/>
        <w:rPr>
          <w:rtl/>
        </w:rPr>
      </w:pPr>
      <w:r w:rsidRPr="00C417F7">
        <w:rPr>
          <w:rtl/>
        </w:rPr>
        <w:t xml:space="preserve">בין הצדדים נערך הסדר טיעון דיוני, ללא הסכמה עונשית, לפיו כתב האישום תוקן, הנאשם הורשע על פי הודאתו, ונשלח לקבלת תסקיר שירות המבחן בעניינו. </w:t>
      </w:r>
    </w:p>
    <w:p w14:paraId="4D7A3ACB" w14:textId="77777777" w:rsidR="00EC6C63" w:rsidRPr="00C417F7" w:rsidRDefault="00EC6C63" w:rsidP="00EC6C63">
      <w:pPr>
        <w:spacing w:line="360" w:lineRule="auto"/>
        <w:jc w:val="both"/>
        <w:rPr>
          <w:rtl/>
        </w:rPr>
      </w:pPr>
      <w:r w:rsidRPr="00C417F7">
        <w:rPr>
          <w:rtl/>
        </w:rPr>
        <w:t xml:space="preserve">המדינה הצהירה, כי תגבש את עמדתה לעונש, עם קבלת התסקיר, כאשר המלצות תסקיר שירות המבחן, אינן מחייבות את המדינה, והצדדים יטענו לעונש באופן חופשי. </w:t>
      </w:r>
    </w:p>
    <w:p w14:paraId="652E5483" w14:textId="77777777" w:rsidR="00EC6C63" w:rsidRPr="00C417F7" w:rsidRDefault="00EC6C63" w:rsidP="00EC6C63">
      <w:pPr>
        <w:spacing w:line="360" w:lineRule="auto"/>
        <w:jc w:val="both"/>
        <w:rPr>
          <w:rtl/>
        </w:rPr>
      </w:pPr>
      <w:r w:rsidRPr="00C417F7">
        <w:rPr>
          <w:rtl/>
        </w:rPr>
        <w:t xml:space="preserve">יצוין כבר עתה, כי לאחר קבלת התסקיר, בטיעוניה לעונש, עתרה המדינה להשית על הנאשם עונש של מאסר בפועל. </w:t>
      </w:r>
    </w:p>
    <w:p w14:paraId="3D6D0C78" w14:textId="77777777" w:rsidR="00EC6C63" w:rsidRPr="00C417F7" w:rsidRDefault="00EC6C63" w:rsidP="00EC6C63">
      <w:pPr>
        <w:spacing w:line="360" w:lineRule="auto"/>
        <w:jc w:val="both"/>
        <w:rPr>
          <w:rtl/>
        </w:rPr>
      </w:pPr>
    </w:p>
    <w:p w14:paraId="1B841A22" w14:textId="77777777" w:rsidR="00EC6C63" w:rsidRPr="00C417F7" w:rsidRDefault="00EC6C63" w:rsidP="00EC6C63">
      <w:pPr>
        <w:spacing w:line="360" w:lineRule="auto"/>
        <w:jc w:val="both"/>
        <w:rPr>
          <w:b/>
          <w:bCs/>
          <w:u w:val="single"/>
          <w:rtl/>
        </w:rPr>
      </w:pPr>
      <w:r w:rsidRPr="00C417F7">
        <w:rPr>
          <w:b/>
          <w:bCs/>
          <w:u w:val="single"/>
          <w:rtl/>
        </w:rPr>
        <w:t>ראיות לעונש:</w:t>
      </w:r>
    </w:p>
    <w:p w14:paraId="35EB4938" w14:textId="77777777" w:rsidR="00EC6C63" w:rsidRPr="00C417F7" w:rsidRDefault="00EC6C63" w:rsidP="00EC6C63">
      <w:pPr>
        <w:spacing w:line="360" w:lineRule="auto"/>
        <w:jc w:val="both"/>
        <w:rPr>
          <w:rtl/>
        </w:rPr>
      </w:pPr>
      <w:r w:rsidRPr="00C417F7">
        <w:rPr>
          <w:rtl/>
        </w:rPr>
        <w:t>הצדדים לא הגישו ראיות לעונש.</w:t>
      </w:r>
    </w:p>
    <w:p w14:paraId="1E64AC08" w14:textId="77777777" w:rsidR="00EC6C63" w:rsidRPr="00C417F7" w:rsidRDefault="00EC6C63" w:rsidP="00EC6C63">
      <w:pPr>
        <w:spacing w:line="360" w:lineRule="auto"/>
        <w:jc w:val="both"/>
        <w:rPr>
          <w:u w:val="single"/>
          <w:rtl/>
        </w:rPr>
      </w:pPr>
    </w:p>
    <w:p w14:paraId="17287BB6" w14:textId="77777777" w:rsidR="00EC6C63" w:rsidRPr="00C417F7" w:rsidRDefault="00EC6C63" w:rsidP="00EC6C63">
      <w:pPr>
        <w:spacing w:line="360" w:lineRule="auto"/>
        <w:jc w:val="both"/>
        <w:rPr>
          <w:b/>
          <w:bCs/>
          <w:u w:val="single"/>
          <w:rtl/>
        </w:rPr>
      </w:pPr>
      <w:r w:rsidRPr="00C417F7">
        <w:rPr>
          <w:b/>
          <w:bCs/>
          <w:u w:val="single"/>
          <w:rtl/>
        </w:rPr>
        <w:t xml:space="preserve">תסקיר שירות המבחן: </w:t>
      </w:r>
    </w:p>
    <w:p w14:paraId="071EAF91" w14:textId="77777777" w:rsidR="00EC6C63" w:rsidRPr="00C417F7" w:rsidRDefault="00EC6C63" w:rsidP="00EC6C63">
      <w:pPr>
        <w:spacing w:line="360" w:lineRule="auto"/>
        <w:jc w:val="both"/>
        <w:rPr>
          <w:rtl/>
        </w:rPr>
      </w:pPr>
      <w:r w:rsidRPr="00C417F7">
        <w:rPr>
          <w:rtl/>
        </w:rPr>
        <w:t xml:space="preserve">בית המשפט נתן צו לעריכת תסקיר לעונש. הנאשם זומן לשירות המבחן באמצעות בא כוחו, אך לא הגיע לשירות המבחן, ותירץ זאת בתירוצים שונים. בנסיבות אלה, לא עלה בידי שירות המבחן, לערוך אבחון כנדרש. למרות זאת, לבקשת הסניגור, נאות בית המשפט לדחות את הדיון, והורה על הגשת תסקיר נוסף בעניינו. </w:t>
      </w:r>
    </w:p>
    <w:p w14:paraId="3F41F4DD" w14:textId="77777777" w:rsidR="00EC6C63" w:rsidRPr="00C417F7" w:rsidRDefault="00EC6C63" w:rsidP="00EC6C63">
      <w:pPr>
        <w:spacing w:line="360" w:lineRule="auto"/>
        <w:jc w:val="both"/>
        <w:rPr>
          <w:rtl/>
        </w:rPr>
      </w:pPr>
      <w:r w:rsidRPr="00C417F7">
        <w:rPr>
          <w:rtl/>
        </w:rPr>
        <w:t>בתסקיר המקיף שערך שירות המבחן, מיום 1/12/19, ציין שירות המבחן את נסיבותיו האישיות של הנאשם, בחן את התייחסותו לעבירות בהן הורשע, והתנהגותו המתוארת בכתב האישום, ביצע הערכת סיכון, ובחן את סיכויי השיקום של הנאשם.</w:t>
      </w:r>
    </w:p>
    <w:p w14:paraId="605B9C0C" w14:textId="77777777" w:rsidR="00EC6C63" w:rsidRPr="00C417F7" w:rsidRDefault="00EC6C63" w:rsidP="00EC6C63">
      <w:pPr>
        <w:spacing w:line="360" w:lineRule="auto"/>
        <w:jc w:val="both"/>
        <w:rPr>
          <w:rtl/>
        </w:rPr>
      </w:pPr>
      <w:r w:rsidRPr="00C417F7">
        <w:rPr>
          <w:rtl/>
        </w:rPr>
        <w:lastRenderedPageBreak/>
        <w:t xml:space="preserve">בסופו של יום, קבע שירות המבחן, כי הנאשם מונע ממוקד שליטה חיצוני, משליך את האחריות להתנהלותו, ולמעשיו, על גורמים חיצוניים, ממזער מאחריותו, ולהערכת שירות המבחן, ישנו סיכון להישנות התנהגות עוברת חוק ופורצת גבולות בעתיד. </w:t>
      </w:r>
    </w:p>
    <w:p w14:paraId="357E696D" w14:textId="77777777" w:rsidR="00EC6C63" w:rsidRPr="00C417F7" w:rsidRDefault="00EC6C63" w:rsidP="00EC6C63">
      <w:pPr>
        <w:spacing w:line="360" w:lineRule="auto"/>
        <w:jc w:val="both"/>
        <w:rPr>
          <w:rtl/>
        </w:rPr>
      </w:pPr>
      <w:r w:rsidRPr="00C417F7">
        <w:rPr>
          <w:rtl/>
        </w:rPr>
        <w:t>אשר לסיכויי שיקום, ציין שירות המבחן, כי הנאשם לא ביטא בפניו צורך כלשהו להתערבות טיפולית, הכחיש קיום דפוסי התנהגות בעיתיים.</w:t>
      </w:r>
    </w:p>
    <w:p w14:paraId="4D9F581C" w14:textId="77777777" w:rsidR="00EC6C63" w:rsidRPr="00C417F7" w:rsidRDefault="00EC6C63" w:rsidP="00EC6C63">
      <w:pPr>
        <w:spacing w:line="360" w:lineRule="auto"/>
        <w:jc w:val="both"/>
        <w:rPr>
          <w:rtl/>
        </w:rPr>
      </w:pPr>
      <w:r w:rsidRPr="00C417F7">
        <w:rPr>
          <w:rtl/>
        </w:rPr>
        <w:t>על כן, אין בפיו של שירות המבחן התוויה שיקומית בעניינו של הנאשם.</w:t>
      </w:r>
    </w:p>
    <w:p w14:paraId="7503F805" w14:textId="77777777" w:rsidR="00EC6C63" w:rsidRPr="00C417F7" w:rsidRDefault="00EC6C63" w:rsidP="00EC6C63">
      <w:pPr>
        <w:spacing w:line="360" w:lineRule="auto"/>
        <w:jc w:val="both"/>
        <w:rPr>
          <w:rtl/>
        </w:rPr>
      </w:pPr>
      <w:r w:rsidRPr="00C417F7">
        <w:rPr>
          <w:rtl/>
        </w:rPr>
        <w:t xml:space="preserve">שירות המבחן ציין, כי קיימת חשיבות, בהטלת ענישה מוחשית, מרתיעה, מציבת גבולות ברורים להתנהגותו של הנאשם, בדמות של מאסר בפועל, שירוצה בעבודות שירות, לצד מאסר מותנה ממושך, קנס, והתחייבות כספית גבוהה, אשר יבהירו לנאשם את חומרת מעשיו, ויסייעו לו בפיתוח מודעות לאחריותו לביצוע העבירות. </w:t>
      </w:r>
    </w:p>
    <w:p w14:paraId="344ECD74" w14:textId="77777777" w:rsidR="00EC6C63" w:rsidRPr="00C417F7" w:rsidRDefault="00EC6C63" w:rsidP="00EC6C63">
      <w:pPr>
        <w:spacing w:line="360" w:lineRule="auto"/>
        <w:jc w:val="both"/>
        <w:rPr>
          <w:u w:val="single"/>
          <w:rtl/>
        </w:rPr>
      </w:pPr>
    </w:p>
    <w:p w14:paraId="4E2CBBDF" w14:textId="77777777" w:rsidR="00EC6C63" w:rsidRPr="00C417F7" w:rsidRDefault="00EC6C63" w:rsidP="00EC6C63">
      <w:pPr>
        <w:spacing w:line="360" w:lineRule="auto"/>
        <w:jc w:val="both"/>
        <w:rPr>
          <w:b/>
          <w:bCs/>
          <w:u w:val="single"/>
          <w:rtl/>
        </w:rPr>
      </w:pPr>
      <w:r w:rsidRPr="00C417F7">
        <w:rPr>
          <w:b/>
          <w:bCs/>
          <w:u w:val="single"/>
          <w:rtl/>
        </w:rPr>
        <w:t>טענות הצדדים:</w:t>
      </w:r>
    </w:p>
    <w:p w14:paraId="253046F6" w14:textId="77777777" w:rsidR="00EC6C63" w:rsidRPr="00C417F7" w:rsidRDefault="00EC6C63" w:rsidP="00EC6C63">
      <w:pPr>
        <w:spacing w:line="360" w:lineRule="auto"/>
        <w:jc w:val="both"/>
      </w:pPr>
      <w:r w:rsidRPr="00C417F7">
        <w:rPr>
          <w:rtl/>
        </w:rPr>
        <w:t xml:space="preserve">ב"כ המאשימה, הדגיש את נסיבות ביצוע העבירה וחומרתה, כמפורט בעובדות כתב האישום, שבהן הודה הנאשם. הפרקליט עמד על הערכים המוגנים, שנפגעו עקב מעשיו של הנאשם, על מישוריהם השונים; הודגשה תופעת סחר הסמים ב"טלגראס", ובאפליקציות דומות, אשר פשתה לאחרונה במדינה, והובילה לפתיחה של עשרות תיקי סחר בסמים; הפרקליט עמד על הזמינות של הסמים, עקב הקלות הטכנולוגית שמציעות אותן אפליקציות, היכולת להזמין סמים בכל עת ובכל מחיר, בלחיצת כפתור, הפיתוי הרב שבכך, האנונימיות. עוד עמד הפרקליט על מדיניות הענישה הנוהגת, ועל יסוד כל אלה, טען כי מתחם העונש ההולם לאישום מס' 1 – עבירה של סיוע לסחר ואספקת סמים מסוכנים וקשירת קשר לביצוע פשע - נע בין 6 חודשים ועד 12 חודשי מאסר בפועל;  ומתחם העונש ההולם לאישום מס'  2 – עבירה של החזקה ושימוש בסמים שלא לצריכה עצמית – נע בין 4 חודשים ועד 8 חודשי מאסר בפועל. </w:t>
      </w:r>
    </w:p>
    <w:p w14:paraId="481F02E4" w14:textId="77777777" w:rsidR="00EC6C63" w:rsidRPr="00C417F7" w:rsidRDefault="00EC6C63" w:rsidP="00EC6C63">
      <w:pPr>
        <w:spacing w:line="360" w:lineRule="auto"/>
        <w:jc w:val="both"/>
        <w:rPr>
          <w:rtl/>
        </w:rPr>
      </w:pPr>
      <w:r w:rsidRPr="00C417F7">
        <w:rPr>
          <w:rtl/>
        </w:rPr>
        <w:t xml:space="preserve">ב"כ המאשימה ביקש להטיל על הנאשם עונש במרכז מתחמי הענישה, וכן, מאסר על תנאי, על עבירות בתחום הסמים, וכן על עבירה של קשירת קשר לביצוע פשע, קנס כספי, ופסילת רישיון, בפועל, ועל תנאי. </w:t>
      </w:r>
    </w:p>
    <w:p w14:paraId="68BEAF28" w14:textId="77777777" w:rsidR="00EC6C63" w:rsidRPr="00C417F7" w:rsidRDefault="00EC6C63" w:rsidP="00EC6C63">
      <w:pPr>
        <w:spacing w:line="360" w:lineRule="auto"/>
        <w:jc w:val="both"/>
        <w:rPr>
          <w:rtl/>
        </w:rPr>
      </w:pPr>
      <w:r w:rsidRPr="00C417F7">
        <w:rPr>
          <w:rtl/>
        </w:rPr>
        <w:t xml:space="preserve">מנגד, עמד הסניגור על כך שמדובר בנאשם נעדר עבר פלילי, אשר הודה בעובדות כתב האישום בהזדמנות הראשונה, קיבל אחריות, והגם שתסקיר שירות המבחן, אינו חיובי, ציין כי מדובר במי שמכיר באחריותו. עוד ציין, כי מדובר באדם שחלק מאורח חייו, היה שימוש ספורדי בסמים קלים, מעולם לא הורשע בעבירה כלשהי, לא נחקר אף פעם. כמו כן, הפנה הסניגור לחומר עיוני, ולדוח וועדת דורנר, בדבר ההשלכות השליליות של שליחת נאשמים לריצוי מאסר בפועל. הוא ציין, כי יש לעשות כל מאמץ, בטרם הטלת סנקציה חריפה כזו. הסניגור הפנה לפסיקה, וטען על פיה, כי מתחמי העונש שמציעה המאשימה, חמורים. </w:t>
      </w:r>
    </w:p>
    <w:p w14:paraId="7652728F" w14:textId="77777777" w:rsidR="00EC6C63" w:rsidRPr="00C417F7" w:rsidRDefault="00EC6C63" w:rsidP="00EC6C63">
      <w:pPr>
        <w:spacing w:line="360" w:lineRule="auto"/>
        <w:jc w:val="both"/>
        <w:rPr>
          <w:rtl/>
        </w:rPr>
      </w:pPr>
      <w:r w:rsidRPr="00C417F7">
        <w:rPr>
          <w:rtl/>
        </w:rPr>
        <w:t xml:space="preserve">לדידו של הסניגור, מתחם העונש ההולם בנסיבות אלה, נע בין מאסר על תנאי לבין 6 חודשי מאסר, שיכול וירוצו בעבודות שירות, ובנסיבות העניין, ניתן להסתפק בהשתת עונש בתחתית המתחם, נוכח נתוניו האישיים של הנאשם, החיסכון בזמן השיפוטי, ותיקונו המהותי של כתב האישום, ולכל היותר, להשית עליו 45 ימי מאסר שירוצו בעבודות שירות. </w:t>
      </w:r>
    </w:p>
    <w:p w14:paraId="5401E0C4" w14:textId="77777777" w:rsidR="00EC6C63" w:rsidRPr="00C417F7" w:rsidRDefault="00EC6C63" w:rsidP="00EC6C63">
      <w:pPr>
        <w:spacing w:line="360" w:lineRule="auto"/>
        <w:jc w:val="both"/>
        <w:rPr>
          <w:rtl/>
        </w:rPr>
      </w:pPr>
    </w:p>
    <w:p w14:paraId="6718B31D" w14:textId="77777777" w:rsidR="00EC6C63" w:rsidRPr="00C417F7" w:rsidRDefault="00EC6C63" w:rsidP="00EC6C63">
      <w:pPr>
        <w:spacing w:line="360" w:lineRule="auto"/>
        <w:jc w:val="both"/>
        <w:rPr>
          <w:b/>
          <w:bCs/>
          <w:u w:val="single"/>
          <w:rtl/>
        </w:rPr>
      </w:pPr>
      <w:r w:rsidRPr="00C417F7">
        <w:rPr>
          <w:b/>
          <w:bCs/>
          <w:u w:val="single"/>
          <w:rtl/>
        </w:rPr>
        <w:t>דבר הנאשם בטרם מתן גזר הדין:</w:t>
      </w:r>
    </w:p>
    <w:p w14:paraId="399C5FAA" w14:textId="77777777" w:rsidR="00EC6C63" w:rsidRPr="00C417F7" w:rsidRDefault="00EC6C63" w:rsidP="00EC6C63">
      <w:pPr>
        <w:spacing w:line="360" w:lineRule="auto"/>
        <w:jc w:val="both"/>
        <w:rPr>
          <w:rtl/>
        </w:rPr>
      </w:pPr>
      <w:r w:rsidRPr="00C417F7">
        <w:rPr>
          <w:rtl/>
        </w:rPr>
        <w:t xml:space="preserve">הנאשם הביע חרטה על מעשיו, ציין כי הוא לא מתכוון לחזור על העבירות, וטען כי עשה את העבירות מסיבות כלכליות, כיום הוא עצמאי, תכשיטן, עובד מהבית, ויש לו חנות אינטרנטית. </w:t>
      </w:r>
    </w:p>
    <w:p w14:paraId="3F0EC776" w14:textId="77777777" w:rsidR="00EC6C63" w:rsidRPr="00C417F7" w:rsidRDefault="00EC6C63" w:rsidP="00EC6C63">
      <w:pPr>
        <w:spacing w:line="360" w:lineRule="auto"/>
        <w:jc w:val="both"/>
        <w:rPr>
          <w:u w:val="single"/>
          <w:rtl/>
        </w:rPr>
      </w:pPr>
    </w:p>
    <w:p w14:paraId="3506D761" w14:textId="77777777" w:rsidR="00EC6C63" w:rsidRDefault="00EC6C63" w:rsidP="00EC6C63">
      <w:pPr>
        <w:spacing w:line="360" w:lineRule="auto"/>
        <w:jc w:val="both"/>
        <w:rPr>
          <w:b/>
          <w:bCs/>
          <w:u w:val="single"/>
          <w:rtl/>
        </w:rPr>
      </w:pPr>
    </w:p>
    <w:p w14:paraId="62817216" w14:textId="77777777" w:rsidR="00EC6C63" w:rsidRDefault="00EC6C63" w:rsidP="00EC6C63">
      <w:pPr>
        <w:spacing w:line="360" w:lineRule="auto"/>
        <w:jc w:val="both"/>
        <w:rPr>
          <w:b/>
          <w:bCs/>
          <w:u w:val="single"/>
          <w:rtl/>
        </w:rPr>
      </w:pPr>
    </w:p>
    <w:p w14:paraId="1B02ABA2" w14:textId="77777777" w:rsidR="00EC6C63" w:rsidRDefault="00EC6C63" w:rsidP="00EC6C63">
      <w:pPr>
        <w:spacing w:line="360" w:lineRule="auto"/>
        <w:jc w:val="both"/>
        <w:rPr>
          <w:b/>
          <w:bCs/>
          <w:u w:val="single"/>
          <w:rtl/>
        </w:rPr>
      </w:pPr>
    </w:p>
    <w:p w14:paraId="507F2012" w14:textId="77777777" w:rsidR="00EC6C63" w:rsidRDefault="00EC6C63" w:rsidP="00EC6C63">
      <w:pPr>
        <w:spacing w:line="360" w:lineRule="auto"/>
        <w:jc w:val="both"/>
        <w:rPr>
          <w:b/>
          <w:bCs/>
          <w:u w:val="single"/>
          <w:rtl/>
        </w:rPr>
      </w:pPr>
    </w:p>
    <w:p w14:paraId="37FE318D" w14:textId="77777777" w:rsidR="00EC6C63" w:rsidRPr="00C417F7" w:rsidRDefault="00EC6C63" w:rsidP="00EC6C63">
      <w:pPr>
        <w:spacing w:line="360" w:lineRule="auto"/>
        <w:jc w:val="both"/>
        <w:rPr>
          <w:b/>
          <w:bCs/>
          <w:rtl/>
        </w:rPr>
      </w:pPr>
      <w:r w:rsidRPr="00C417F7">
        <w:rPr>
          <w:b/>
          <w:bCs/>
          <w:u w:val="single"/>
          <w:rtl/>
        </w:rPr>
        <w:t>דיון והכרעה עונשית:</w:t>
      </w:r>
    </w:p>
    <w:p w14:paraId="2DBFADFD" w14:textId="77777777" w:rsidR="00EC6C63" w:rsidRPr="00C417F7" w:rsidRDefault="00EC6C63" w:rsidP="00EC6C63">
      <w:pPr>
        <w:spacing w:line="360" w:lineRule="auto"/>
        <w:jc w:val="both"/>
        <w:rPr>
          <w:b/>
          <w:bCs/>
          <w:u w:val="single"/>
          <w:rtl/>
        </w:rPr>
      </w:pPr>
      <w:r w:rsidRPr="00C417F7">
        <w:rPr>
          <w:b/>
          <w:bCs/>
          <w:u w:val="single"/>
          <w:rtl/>
        </w:rPr>
        <w:t>ריבוי עבירות (</w:t>
      </w:r>
      <w:hyperlink r:id="rId28" w:history="1">
        <w:r w:rsidR="00E02ADD" w:rsidRPr="00E02ADD">
          <w:rPr>
            <w:rStyle w:val="Hyperlink"/>
            <w:b/>
            <w:bCs/>
            <w:color w:val="0000FF"/>
            <w:rtl/>
          </w:rPr>
          <w:t>סעיף 40יג</w:t>
        </w:r>
      </w:hyperlink>
      <w:r w:rsidRPr="00C417F7">
        <w:rPr>
          <w:b/>
          <w:bCs/>
          <w:u w:val="single"/>
          <w:rtl/>
        </w:rPr>
        <w:t xml:space="preserve"> ל</w:t>
      </w:r>
      <w:hyperlink r:id="rId29" w:history="1">
        <w:r w:rsidR="0043724D" w:rsidRPr="0043724D">
          <w:rPr>
            <w:b/>
            <w:bCs/>
            <w:color w:val="0000FF"/>
            <w:u w:val="single"/>
            <w:rtl/>
          </w:rPr>
          <w:t>חוק העונשין</w:t>
        </w:r>
      </w:hyperlink>
      <w:r w:rsidRPr="00C417F7">
        <w:rPr>
          <w:b/>
          <w:bCs/>
          <w:u w:val="single"/>
          <w:rtl/>
        </w:rPr>
        <w:t>):</w:t>
      </w:r>
    </w:p>
    <w:p w14:paraId="2D828C7E" w14:textId="77777777" w:rsidR="00EC6C63" w:rsidRPr="00C417F7" w:rsidRDefault="00EC6C63" w:rsidP="00EC6C63">
      <w:pPr>
        <w:spacing w:line="360" w:lineRule="auto"/>
        <w:jc w:val="both"/>
        <w:rPr>
          <w:rtl/>
        </w:rPr>
      </w:pPr>
      <w:r w:rsidRPr="00C417F7">
        <w:rPr>
          <w:rtl/>
        </w:rPr>
        <w:t xml:space="preserve">סעיף </w:t>
      </w:r>
      <w:hyperlink r:id="rId30" w:history="1">
        <w:r w:rsidR="00E02ADD" w:rsidRPr="00E02ADD">
          <w:rPr>
            <w:rStyle w:val="Hyperlink"/>
            <w:color w:val="0000FF"/>
            <w:rtl/>
          </w:rPr>
          <w:t>40יג (ב)</w:t>
        </w:r>
      </w:hyperlink>
      <w:r w:rsidRPr="00C417F7">
        <w:rPr>
          <w:rtl/>
        </w:rPr>
        <w:t xml:space="preserve"> ל</w:t>
      </w:r>
      <w:hyperlink r:id="rId31" w:history="1">
        <w:r w:rsidR="0043724D" w:rsidRPr="0043724D">
          <w:rPr>
            <w:color w:val="0000FF"/>
            <w:u w:val="single"/>
            <w:rtl/>
          </w:rPr>
          <w:t>חוק העונשין</w:t>
        </w:r>
      </w:hyperlink>
      <w:r w:rsidRPr="00C417F7">
        <w:rPr>
          <w:rtl/>
        </w:rPr>
        <w:t xml:space="preserve"> קובע, כי משהרשיע בית המשפט את הנאשם במס' עבירות המהוות מס' אירועים, עליו לקבוע מתחם עונש הולם לכל אירוע בנפרד, ולאחר מכן רשאי הוא לגזור עונש נפרד לכל אירוע או עונש כולל לכל האירועים. </w:t>
      </w:r>
    </w:p>
    <w:p w14:paraId="04547F7D" w14:textId="77777777" w:rsidR="00EC6C63" w:rsidRPr="00C417F7" w:rsidRDefault="00EC6C63" w:rsidP="00EC6C63">
      <w:pPr>
        <w:spacing w:line="360" w:lineRule="auto"/>
        <w:jc w:val="both"/>
        <w:rPr>
          <w:rtl/>
        </w:rPr>
      </w:pPr>
      <w:r w:rsidRPr="00C417F7">
        <w:rPr>
          <w:rtl/>
        </w:rPr>
        <w:t xml:space="preserve">לפי כתב האישום המתוקן, האישום הראשון הוא מיום 12/11/17 ועניינו קשירת קשר לביצוע פשע וסיוע לסחר והספקת סמים מסוג </w:t>
      </w:r>
      <w:r w:rsidRPr="00C417F7">
        <w:t>MDMA</w:t>
      </w:r>
      <w:r w:rsidRPr="00C417F7">
        <w:rPr>
          <w:rtl/>
        </w:rPr>
        <w:t xml:space="preserve"> במשקל של 2.0136 גר' נטו;</w:t>
      </w:r>
    </w:p>
    <w:p w14:paraId="38AB9D5A" w14:textId="77777777" w:rsidR="00EC6C63" w:rsidRPr="00C417F7" w:rsidRDefault="00EC6C63" w:rsidP="00EC6C63">
      <w:pPr>
        <w:spacing w:line="360" w:lineRule="auto"/>
        <w:jc w:val="both"/>
        <w:rPr>
          <w:rtl/>
        </w:rPr>
      </w:pPr>
      <w:r w:rsidRPr="00C417F7">
        <w:rPr>
          <w:rtl/>
        </w:rPr>
        <w:t>ואילו האירוע השני הוא מיום 21/3/18 ועניינו החזקת סמים שלא לצריכה עצמית, מסוג קנבוס במשקל כולל (על הגוף ובבית הנאשם) של 136.22 גר' נטו.</w:t>
      </w:r>
    </w:p>
    <w:p w14:paraId="2AC04F5A" w14:textId="77777777" w:rsidR="00EC6C63" w:rsidRPr="00C417F7" w:rsidRDefault="00EC6C63" w:rsidP="00EC6C63">
      <w:pPr>
        <w:spacing w:line="360" w:lineRule="auto"/>
        <w:jc w:val="both"/>
        <w:rPr>
          <w:rtl/>
        </w:rPr>
      </w:pPr>
      <w:r w:rsidRPr="00C417F7">
        <w:rPr>
          <w:rtl/>
        </w:rPr>
        <w:t>מדובר בשני אירועים הנפרדים, במקום ובזמן, בעבירות שונות, אשר לפי העובדות המפורטות בכתב האישום, אין ביניהן זיקה כלשהי, ועל כן ייקבע מתחם עונש נפרד לכ"א מהאירועים.</w:t>
      </w:r>
    </w:p>
    <w:p w14:paraId="2EB0F861" w14:textId="77777777" w:rsidR="00EC6C63" w:rsidRPr="00C417F7" w:rsidRDefault="00EC6C63" w:rsidP="00EC6C63">
      <w:pPr>
        <w:spacing w:line="360" w:lineRule="auto"/>
        <w:jc w:val="both"/>
        <w:rPr>
          <w:rtl/>
        </w:rPr>
      </w:pPr>
    </w:p>
    <w:p w14:paraId="56355C0E" w14:textId="77777777" w:rsidR="00EC6C63" w:rsidRPr="00C417F7" w:rsidRDefault="00EC6C63" w:rsidP="00EC6C63">
      <w:pPr>
        <w:spacing w:line="360" w:lineRule="auto"/>
        <w:jc w:val="both"/>
        <w:rPr>
          <w:b/>
          <w:bCs/>
          <w:u w:val="single"/>
          <w:rtl/>
        </w:rPr>
      </w:pPr>
      <w:r w:rsidRPr="00C417F7">
        <w:rPr>
          <w:b/>
          <w:bCs/>
          <w:u w:val="single"/>
          <w:rtl/>
        </w:rPr>
        <w:t xml:space="preserve">הערך החברתי שנפגע ומידת הפגיעה בו (סעיף </w:t>
      </w:r>
      <w:hyperlink r:id="rId32" w:history="1">
        <w:r w:rsidR="00E02ADD" w:rsidRPr="00E02ADD">
          <w:rPr>
            <w:rStyle w:val="Hyperlink"/>
            <w:b/>
            <w:bCs/>
            <w:color w:val="0000FF"/>
            <w:rtl/>
          </w:rPr>
          <w:t>40ג (א)</w:t>
        </w:r>
      </w:hyperlink>
      <w:r w:rsidRPr="00C417F7">
        <w:rPr>
          <w:b/>
          <w:bCs/>
          <w:u w:val="single"/>
          <w:rtl/>
        </w:rPr>
        <w:t xml:space="preserve"> ל</w:t>
      </w:r>
      <w:hyperlink r:id="rId33" w:history="1">
        <w:r w:rsidR="0043724D" w:rsidRPr="0043724D">
          <w:rPr>
            <w:b/>
            <w:bCs/>
            <w:color w:val="0000FF"/>
            <w:u w:val="single"/>
            <w:rtl/>
          </w:rPr>
          <w:t>חוק העונשין</w:t>
        </w:r>
      </w:hyperlink>
      <w:r w:rsidRPr="00C417F7">
        <w:rPr>
          <w:b/>
          <w:bCs/>
          <w:u w:val="single"/>
          <w:rtl/>
        </w:rPr>
        <w:t>):</w:t>
      </w:r>
    </w:p>
    <w:p w14:paraId="5819757A" w14:textId="77777777" w:rsidR="00EC6C63" w:rsidRPr="00C417F7" w:rsidRDefault="00EC6C63" w:rsidP="00EC6C63">
      <w:pPr>
        <w:spacing w:line="360" w:lineRule="auto"/>
        <w:jc w:val="both"/>
        <w:rPr>
          <w:rFonts w:ascii="David" w:hAnsi="David"/>
          <w:noProof/>
          <w:rtl/>
          <w:lang w:eastAsia="he-IL"/>
        </w:rPr>
      </w:pPr>
      <w:r w:rsidRPr="00C417F7">
        <w:rPr>
          <w:rtl/>
        </w:rPr>
        <w:t>אין צורך להכביר מילים, אודות נגע הסמים, אשר פשה בחברה, ולו זיקה הדוקה, להתחוללותן של עבירות רכוש ואלימות. בית המשפט העליון, קבע לא אחת, כי על הערכאות הדיוניות, להכביד ידן על אלה שסוחרים ומפיצים סמים, כחלק ממלחמת החורמה בעברייני סמים (</w:t>
      </w:r>
      <w:hyperlink r:id="rId34" w:history="1">
        <w:r w:rsidR="0043724D" w:rsidRPr="0043724D">
          <w:rPr>
            <w:color w:val="0000FF"/>
            <w:u w:val="single"/>
            <w:rtl/>
          </w:rPr>
          <w:t>ע"פ 4998/95</w:t>
        </w:r>
      </w:hyperlink>
      <w:r w:rsidRPr="00C417F7">
        <w:rPr>
          <w:rtl/>
        </w:rPr>
        <w:t xml:space="preserve"> מדינת ישראל נ' אוקטביו (1995); </w:t>
      </w:r>
      <w:hyperlink r:id="rId35" w:history="1">
        <w:r w:rsidR="0043724D" w:rsidRPr="0043724D">
          <w:rPr>
            <w:color w:val="0000FF"/>
            <w:u w:val="single"/>
            <w:rtl/>
          </w:rPr>
          <w:t>רע"פ 1720/11</w:t>
        </w:r>
      </w:hyperlink>
      <w:r w:rsidRPr="00C417F7">
        <w:rPr>
          <w:rtl/>
        </w:rPr>
        <w:t xml:space="preserve"> גליק נ' מדינת ישראל (2011), וכן ראו דברי ביהמ"ש העליון ב</w:t>
      </w:r>
      <w:hyperlink r:id="rId36" w:history="1">
        <w:r w:rsidR="0043724D" w:rsidRPr="0043724D">
          <w:rPr>
            <w:color w:val="0000FF"/>
            <w:u w:val="single"/>
            <w:rtl/>
          </w:rPr>
          <w:t>ע"פ 211/09</w:t>
        </w:r>
      </w:hyperlink>
      <w:r w:rsidRPr="00C417F7">
        <w:rPr>
          <w:rtl/>
        </w:rPr>
        <w:t xml:space="preserve"> </w:t>
      </w:r>
      <w:r w:rsidRPr="00C417F7">
        <w:rPr>
          <w:rFonts w:ascii="David" w:hAnsi="David"/>
          <w:noProof/>
          <w:rtl/>
        </w:rPr>
        <w:t>שמעון אזולאי נ' מדינת ישראל (22.6.2010):</w:t>
      </w:r>
    </w:p>
    <w:p w14:paraId="63BCB4D7" w14:textId="77777777" w:rsidR="00EC6C63" w:rsidRPr="00C417F7" w:rsidRDefault="00EC6C63" w:rsidP="00EC6C63">
      <w:pPr>
        <w:tabs>
          <w:tab w:val="num" w:pos="1466"/>
        </w:tabs>
        <w:spacing w:before="60"/>
        <w:ind w:left="1466" w:right="1260"/>
        <w:jc w:val="both"/>
        <w:rPr>
          <w:rFonts w:ascii="David" w:hAnsi="David"/>
          <w:b/>
          <w:bCs/>
          <w:noProof/>
        </w:rPr>
      </w:pPr>
      <w:r w:rsidRPr="00C417F7">
        <w:rPr>
          <w:rFonts w:ascii="David" w:hAnsi="David"/>
          <w:b/>
          <w:bCs/>
          <w:noProof/>
          <w:rtl/>
        </w:rPr>
        <w:t>"...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59728F0B" w14:textId="77777777" w:rsidR="00EC6C63" w:rsidRPr="00EC6C63" w:rsidRDefault="00EC6C63" w:rsidP="00EC6C63">
      <w:pPr>
        <w:spacing w:line="360" w:lineRule="auto"/>
        <w:jc w:val="both"/>
        <w:rPr>
          <w:rFonts w:ascii="Calibri" w:eastAsia="Calibri" w:hAnsi="Calibri"/>
          <w:rtl/>
        </w:rPr>
      </w:pPr>
      <w:r w:rsidRPr="00C417F7">
        <w:rPr>
          <w:rFonts w:ascii="David" w:hAnsi="David"/>
          <w:noProof/>
          <w:rtl/>
          <w:lang w:eastAsia="he-IL"/>
        </w:rPr>
        <w:tab/>
      </w:r>
    </w:p>
    <w:p w14:paraId="1AE68B44" w14:textId="77777777" w:rsidR="00EC6C63" w:rsidRPr="00C417F7" w:rsidRDefault="00EC6C63" w:rsidP="00EC6C63">
      <w:pPr>
        <w:spacing w:line="360" w:lineRule="auto"/>
        <w:jc w:val="both"/>
        <w:rPr>
          <w:rtl/>
        </w:rPr>
      </w:pPr>
      <w:r w:rsidRPr="00C417F7">
        <w:rPr>
          <w:rtl/>
        </w:rPr>
        <w:t>הנאשם חטא כאן בשניים, הוא סייע במסחר ואספקת סמים מסוכנים תוך שקשר קשר לעשות כן, ובנוסף, החזיק בסמים מסוכנים שלא לצריכה עצמית.</w:t>
      </w:r>
    </w:p>
    <w:p w14:paraId="19796342" w14:textId="77777777" w:rsidR="00EC6C63" w:rsidRPr="00C417F7" w:rsidRDefault="00EC6C63" w:rsidP="00EC6C63">
      <w:pPr>
        <w:spacing w:line="360" w:lineRule="auto"/>
        <w:jc w:val="both"/>
        <w:rPr>
          <w:rtl/>
        </w:rPr>
      </w:pPr>
      <w:r w:rsidRPr="00C417F7">
        <w:rPr>
          <w:rtl/>
        </w:rPr>
        <w:t xml:space="preserve">בנסיבות העניין, מידת פגיעת מעשיו בערכים המוגנים היא - בינונית-גבוהה. </w:t>
      </w:r>
    </w:p>
    <w:p w14:paraId="60E18D40" w14:textId="77777777" w:rsidR="00EC6C63" w:rsidRPr="00C417F7" w:rsidRDefault="00EC6C63" w:rsidP="00EC6C63">
      <w:pPr>
        <w:spacing w:line="360" w:lineRule="auto"/>
        <w:jc w:val="both"/>
        <w:rPr>
          <w:rtl/>
        </w:rPr>
      </w:pPr>
      <w:r w:rsidRPr="00C417F7">
        <w:rPr>
          <w:rtl/>
        </w:rPr>
        <w:t xml:space="preserve"> </w:t>
      </w:r>
    </w:p>
    <w:p w14:paraId="47F4CBE2" w14:textId="77777777" w:rsidR="00EC6C63" w:rsidRPr="00C417F7" w:rsidRDefault="00EC6C63" w:rsidP="00EC6C63">
      <w:pPr>
        <w:spacing w:line="360" w:lineRule="auto"/>
        <w:jc w:val="both"/>
        <w:rPr>
          <w:b/>
          <w:bCs/>
          <w:u w:val="single"/>
          <w:rtl/>
        </w:rPr>
      </w:pPr>
      <w:r w:rsidRPr="00C417F7">
        <w:rPr>
          <w:b/>
          <w:bCs/>
          <w:u w:val="single"/>
          <w:rtl/>
        </w:rPr>
        <w:t xml:space="preserve">מדיניות הענישה (סעיף </w:t>
      </w:r>
      <w:hyperlink r:id="rId37" w:history="1">
        <w:r w:rsidR="00E02ADD" w:rsidRPr="00E02ADD">
          <w:rPr>
            <w:rStyle w:val="Hyperlink"/>
            <w:b/>
            <w:bCs/>
            <w:color w:val="0000FF"/>
            <w:rtl/>
          </w:rPr>
          <w:t>40ג (א)</w:t>
        </w:r>
      </w:hyperlink>
      <w:r w:rsidRPr="00C417F7">
        <w:rPr>
          <w:b/>
          <w:bCs/>
          <w:u w:val="single"/>
          <w:rtl/>
        </w:rPr>
        <w:t xml:space="preserve"> ל</w:t>
      </w:r>
      <w:hyperlink r:id="rId38" w:history="1">
        <w:r w:rsidR="0043724D" w:rsidRPr="0043724D">
          <w:rPr>
            <w:b/>
            <w:bCs/>
            <w:color w:val="0000FF"/>
            <w:u w:val="single"/>
            <w:rtl/>
          </w:rPr>
          <w:t>חוק העונשין</w:t>
        </w:r>
      </w:hyperlink>
      <w:r w:rsidRPr="00C417F7">
        <w:rPr>
          <w:b/>
          <w:bCs/>
          <w:u w:val="single"/>
          <w:rtl/>
        </w:rPr>
        <w:t>):</w:t>
      </w:r>
    </w:p>
    <w:p w14:paraId="153E6BB4" w14:textId="77777777" w:rsidR="00EC6C63" w:rsidRPr="00C417F7" w:rsidRDefault="00EC6C63" w:rsidP="00EC6C63">
      <w:pPr>
        <w:spacing w:line="360" w:lineRule="auto"/>
        <w:jc w:val="both"/>
        <w:rPr>
          <w:rtl/>
        </w:rPr>
      </w:pPr>
      <w:r w:rsidRPr="00C417F7">
        <w:rPr>
          <w:rtl/>
        </w:rPr>
        <w:t xml:space="preserve">מדיניות הענישה הנוהגת בעבירות סמים, מאופיינת במנעד רחב של ענישה, החל מצווי מבחן, ועד לעונשי מאסר ארוכים, מאחורי סורג ובריח, כאשר הדגש בענישה, הוא על סוג הסם, כמותו, אופי הסחר ועוד. </w:t>
      </w:r>
    </w:p>
    <w:p w14:paraId="16B6A0A0" w14:textId="77777777" w:rsidR="00EC6C63" w:rsidRPr="00C417F7" w:rsidRDefault="00EC6C63" w:rsidP="00EC6C63">
      <w:pPr>
        <w:spacing w:line="360" w:lineRule="auto"/>
        <w:jc w:val="both"/>
        <w:rPr>
          <w:rtl/>
        </w:rPr>
      </w:pPr>
      <w:r w:rsidRPr="00C417F7">
        <w:rPr>
          <w:rtl/>
        </w:rPr>
        <w:t>המאשימה הציגה פסיקה התומכת בעמדתה, במתחמי הענישה עליהם עמדה, ואילו הסניגור הציג אף הוא פסיקה התומכת בעמדתו.</w:t>
      </w:r>
    </w:p>
    <w:p w14:paraId="773CD17E" w14:textId="77777777" w:rsidR="00EC6C63" w:rsidRPr="00C417F7" w:rsidRDefault="00EC6C63" w:rsidP="00EC6C63">
      <w:pPr>
        <w:pStyle w:val="1"/>
        <w:spacing w:line="360" w:lineRule="auto"/>
        <w:ind w:left="0"/>
        <w:jc w:val="both"/>
        <w:rPr>
          <w:rtl/>
        </w:rPr>
      </w:pPr>
      <w:r w:rsidRPr="00C417F7">
        <w:rPr>
          <w:rtl/>
        </w:rPr>
        <w:t xml:space="preserve">עיון בפסיקה הנוהגת לעניין סחר בסמים מסוג </w:t>
      </w:r>
      <w:r w:rsidRPr="00C417F7">
        <w:t>MDMA</w:t>
      </w:r>
      <w:r w:rsidRPr="00C417F7">
        <w:rPr>
          <w:rtl/>
        </w:rPr>
        <w:t xml:space="preserve">, שלא סווגו כסמים "קשים", מעלה כי מתחם העונש ההולם לאירוע של סחר, בכמות משמעותית, על-ידי מי שעוסק בסחר בסמים, הינו בין מאסר שניתן לרצותו בעבודות שירות, לבין 12 חודשי מאסר בפועל, כעונש עיקרי (לדיון מפורט ראו: </w:t>
      </w:r>
      <w:hyperlink r:id="rId39" w:history="1">
        <w:r w:rsidR="0043724D" w:rsidRPr="0043724D">
          <w:rPr>
            <w:color w:val="0000FF"/>
            <w:u w:val="single"/>
            <w:rtl/>
          </w:rPr>
          <w:t>עפ"ג (מחוזי י-ם) 59106-03-14</w:t>
        </w:r>
      </w:hyperlink>
      <w:r w:rsidRPr="00C417F7">
        <w:rPr>
          <w:rtl/>
        </w:rPr>
        <w:t xml:space="preserve"> מדינת ישראל נ' פלוני (2014); </w:t>
      </w:r>
      <w:hyperlink r:id="rId40" w:history="1">
        <w:r w:rsidR="0043724D" w:rsidRPr="0043724D">
          <w:rPr>
            <w:color w:val="0000FF"/>
            <w:u w:val="single"/>
            <w:rtl/>
          </w:rPr>
          <w:t>ת"פ (שלום ת"א) 48167-02-13</w:t>
        </w:r>
      </w:hyperlink>
      <w:r w:rsidRPr="00C417F7">
        <w:rPr>
          <w:rtl/>
        </w:rPr>
        <w:t xml:space="preserve"> מדינת ישראל נ' סימן טוב (2014)). </w:t>
      </w:r>
    </w:p>
    <w:p w14:paraId="733DD7E4" w14:textId="77777777" w:rsidR="00EC6C63" w:rsidRPr="00C417F7" w:rsidRDefault="00EC6C63" w:rsidP="00EC6C63">
      <w:pPr>
        <w:pStyle w:val="1"/>
        <w:spacing w:line="360" w:lineRule="auto"/>
        <w:ind w:left="0"/>
        <w:jc w:val="both"/>
        <w:rPr>
          <w:rtl/>
        </w:rPr>
      </w:pPr>
    </w:p>
    <w:p w14:paraId="26902F41" w14:textId="77777777" w:rsidR="00EC6C63" w:rsidRPr="00C417F7" w:rsidRDefault="00EC6C63" w:rsidP="00EC6C63">
      <w:pPr>
        <w:pStyle w:val="1"/>
        <w:spacing w:line="360" w:lineRule="auto"/>
        <w:ind w:left="0"/>
        <w:jc w:val="both"/>
        <w:rPr>
          <w:rtl/>
        </w:rPr>
      </w:pPr>
      <w:r w:rsidRPr="00C417F7">
        <w:rPr>
          <w:rtl/>
        </w:rPr>
        <w:t xml:space="preserve">הוא הדין לגבי החזקה סם מסוכן מסוג קנבוס שלא לצריכה עצמית (ראו למשל: ע"פ 7196/12 מדינת ישראל נ' ביזאוי, שם נדון נאשם על החזקה שלא לצריכה עצמית של סם מסוכן מסוג הירואין במשקל 119.6 גר' וכן ארבעה כדורי </w:t>
      </w:r>
      <w:r w:rsidRPr="00C417F7">
        <w:t>MDMA</w:t>
      </w:r>
      <w:r w:rsidRPr="00C417F7">
        <w:rPr>
          <w:rtl/>
        </w:rPr>
        <w:t xml:space="preserve"> ונדון ל- 6 חודשי מאסר בעבודות שירות; </w:t>
      </w:r>
      <w:hyperlink r:id="rId41" w:history="1">
        <w:r w:rsidR="0043724D" w:rsidRPr="0043724D">
          <w:rPr>
            <w:color w:val="0000FF"/>
            <w:u w:val="single"/>
            <w:rtl/>
          </w:rPr>
          <w:t>רע"פ 1188/08</w:t>
        </w:r>
      </w:hyperlink>
      <w:r w:rsidRPr="00C417F7">
        <w:rPr>
          <w:rtl/>
        </w:rPr>
        <w:t xml:space="preserve"> חלבי נ' מדינת ישראל (2008) שם נדון נאשם על החזקת סם מסוג הירואין, שנחשב סם קשה במיוחד, במשקל גדול של 15 גר', הוטלו עליו 6 חודשי מאסר בפועל, עונש אשר אושר בערכאות הערעור).</w:t>
      </w:r>
    </w:p>
    <w:p w14:paraId="047199F9" w14:textId="77777777" w:rsidR="00EC6C63" w:rsidRPr="00C417F7" w:rsidRDefault="00EC6C63" w:rsidP="00EC6C63">
      <w:pPr>
        <w:spacing w:line="360" w:lineRule="auto"/>
        <w:jc w:val="both"/>
        <w:rPr>
          <w:rtl/>
        </w:rPr>
      </w:pPr>
    </w:p>
    <w:p w14:paraId="152C9244" w14:textId="77777777" w:rsidR="00EC6C63" w:rsidRPr="00C417F7" w:rsidRDefault="00EC6C63" w:rsidP="00EC6C63">
      <w:pPr>
        <w:spacing w:line="360" w:lineRule="auto"/>
        <w:jc w:val="both"/>
        <w:rPr>
          <w:b/>
          <w:bCs/>
          <w:u w:val="single"/>
          <w:rtl/>
        </w:rPr>
      </w:pPr>
      <w:r w:rsidRPr="00C417F7">
        <w:rPr>
          <w:b/>
          <w:bCs/>
          <w:u w:val="single"/>
          <w:rtl/>
        </w:rPr>
        <w:t>נסיבות שקשורות בביצוע העבירה (</w:t>
      </w:r>
      <w:hyperlink r:id="rId42" w:history="1">
        <w:r w:rsidR="00E02ADD" w:rsidRPr="00E02ADD">
          <w:rPr>
            <w:rStyle w:val="Hyperlink"/>
            <w:b/>
            <w:bCs/>
            <w:color w:val="0000FF"/>
            <w:rtl/>
          </w:rPr>
          <w:t>סעיף 40ט</w:t>
        </w:r>
      </w:hyperlink>
      <w:r w:rsidRPr="00C417F7">
        <w:rPr>
          <w:b/>
          <w:bCs/>
          <w:u w:val="single"/>
          <w:rtl/>
        </w:rPr>
        <w:t xml:space="preserve"> ל</w:t>
      </w:r>
      <w:hyperlink r:id="rId43" w:history="1">
        <w:r w:rsidR="0043724D" w:rsidRPr="0043724D">
          <w:rPr>
            <w:b/>
            <w:bCs/>
            <w:color w:val="0000FF"/>
            <w:u w:val="single"/>
            <w:rtl/>
          </w:rPr>
          <w:t>חוק העונשין</w:t>
        </w:r>
      </w:hyperlink>
      <w:r w:rsidRPr="00C417F7">
        <w:rPr>
          <w:b/>
          <w:bCs/>
          <w:u w:val="single"/>
          <w:rtl/>
        </w:rPr>
        <w:t>):</w:t>
      </w:r>
    </w:p>
    <w:p w14:paraId="69F40601" w14:textId="77777777" w:rsidR="00EC6C63" w:rsidRPr="00C417F7" w:rsidRDefault="00EC6C63" w:rsidP="00EC6C63">
      <w:pPr>
        <w:spacing w:line="360" w:lineRule="auto"/>
        <w:jc w:val="both"/>
        <w:rPr>
          <w:rtl/>
        </w:rPr>
      </w:pPr>
      <w:r w:rsidRPr="00C417F7">
        <w:rPr>
          <w:rtl/>
        </w:rPr>
        <w:t xml:space="preserve">האישום הראשון מאופיין בתחכום, תכנון ויוזמה. הסוכן המשטרתי פנה דרך אפליקציית ה"טלגראס", ל"מפרסם", שפרטיו לא ידועים למאשימה, זה בתורו הציע למכירה סוגי סמים מסוכנים שונים, לצד מחירון, בהתאם לכמות ההזמנה. עם ביצוע ההזמנה, הגיע הנאשם למקום המפגש, לאחר ש"המפרסם" עדכן אותו בפרטי ההזמנה, אותה ביצע הסוכן, והנאשם מכר לסוכן, סם מסוכן מסוג </w:t>
      </w:r>
      <w:r w:rsidRPr="00C417F7">
        <w:t xml:space="preserve">MDMA </w:t>
      </w:r>
      <w:r w:rsidRPr="00C417F7">
        <w:rPr>
          <w:rtl/>
        </w:rPr>
        <w:t xml:space="preserve"> במשקל 2.0136 גרם נטו, מחולק לשתי מנות, וקיבל מהסוכן בתמורה - 700 ₪, בעבור הסם. </w:t>
      </w:r>
    </w:p>
    <w:p w14:paraId="51974342" w14:textId="77777777" w:rsidR="00EC6C63" w:rsidRPr="00C417F7" w:rsidRDefault="00EC6C63" w:rsidP="00EC6C63">
      <w:pPr>
        <w:spacing w:line="360" w:lineRule="auto"/>
        <w:jc w:val="both"/>
        <w:rPr>
          <w:rtl/>
        </w:rPr>
      </w:pPr>
      <w:r w:rsidRPr="00C417F7">
        <w:rPr>
          <w:rtl/>
        </w:rPr>
        <w:t xml:space="preserve">באישום השני, שהתרחש במועד ובזירה אחרים לגמרי, החזיק הנאשם על גופו, בסם מסוג קנבוס, במשקל של 130 גרם נטו, ובביתו, החזיק סם זהה, במשקל של 6.22 גרם נטו, שלא לצריכתו העצמית. </w:t>
      </w:r>
    </w:p>
    <w:p w14:paraId="32FC0E39" w14:textId="77777777" w:rsidR="00EC6C63" w:rsidRPr="00C417F7" w:rsidRDefault="00EC6C63" w:rsidP="00EC6C63">
      <w:pPr>
        <w:spacing w:line="360" w:lineRule="auto"/>
        <w:jc w:val="both"/>
        <w:rPr>
          <w:rtl/>
        </w:rPr>
      </w:pPr>
      <w:r w:rsidRPr="00C417F7">
        <w:rPr>
          <w:rtl/>
        </w:rPr>
        <w:t>באישום הראשון, הנאשם נטל חלק פעיל ודומיננטי בביצוע העבירה, הוא זה שסיפק בפועל את הסמים שהוזמנו על ידי הסוכן, באמצעות היישומון, כך שהסיוע לעבירת הסחר בסם, תרם משמעותית להשתכללותה.</w:t>
      </w:r>
    </w:p>
    <w:p w14:paraId="0ABA72FB" w14:textId="77777777" w:rsidR="00EC6C63" w:rsidRPr="00C417F7" w:rsidRDefault="00EC6C63" w:rsidP="00EC6C63">
      <w:pPr>
        <w:spacing w:line="360" w:lineRule="auto"/>
        <w:jc w:val="both"/>
        <w:rPr>
          <w:rtl/>
        </w:rPr>
      </w:pPr>
      <w:r w:rsidRPr="00C417F7">
        <w:rPr>
          <w:rtl/>
        </w:rPr>
        <w:t>ואשר לאישום השני, הנאשם החזיק בסמים המסוכנים על גופו ובביתו, בכמות שאינה לצריכה עצמית.</w:t>
      </w:r>
    </w:p>
    <w:p w14:paraId="2DD9CB98" w14:textId="77777777" w:rsidR="00EC6C63" w:rsidRPr="00C417F7" w:rsidRDefault="00EC6C63" w:rsidP="00EC6C63">
      <w:pPr>
        <w:spacing w:line="360" w:lineRule="auto"/>
        <w:jc w:val="both"/>
        <w:rPr>
          <w:rtl/>
        </w:rPr>
      </w:pPr>
      <w:r w:rsidRPr="00C417F7">
        <w:rPr>
          <w:rtl/>
        </w:rPr>
        <w:t xml:space="preserve">בכל הנוגע לנזק בכח ובפועל הנובע ממעשיי העבירות, כאמור, סמים מסוכנים הם בעלי פוטנציאל להרס בריאותי, ונודעים כמחוללי פשיעה. </w:t>
      </w:r>
    </w:p>
    <w:p w14:paraId="176459D7" w14:textId="77777777" w:rsidR="00EC6C63" w:rsidRPr="00C417F7" w:rsidRDefault="00EC6C63" w:rsidP="00EC6C63">
      <w:pPr>
        <w:spacing w:line="360" w:lineRule="auto"/>
        <w:jc w:val="both"/>
        <w:rPr>
          <w:rtl/>
        </w:rPr>
      </w:pPr>
      <w:r w:rsidRPr="00C417F7">
        <w:rPr>
          <w:rtl/>
        </w:rPr>
        <w:t xml:space="preserve">מניעיו של הנאשם לביצוע עבירת הסיוע לסחר היא בצע כסף, כפי שהנאשם עצמו הודה בכך. שכן, הוא אמר שביצע את העבירה מטעמים כלכליים; </w:t>
      </w:r>
    </w:p>
    <w:p w14:paraId="7FD75BDA" w14:textId="77777777" w:rsidR="00EC6C63" w:rsidRPr="00C417F7" w:rsidRDefault="00EC6C63" w:rsidP="00EC6C63">
      <w:pPr>
        <w:spacing w:line="360" w:lineRule="auto"/>
        <w:jc w:val="both"/>
        <w:rPr>
          <w:rtl/>
        </w:rPr>
      </w:pPr>
      <w:r w:rsidRPr="00C417F7">
        <w:rPr>
          <w:rtl/>
        </w:rPr>
        <w:t>ולגבי החזקת הסם שלא לצריכה עצמית, החזקה הקבועה בדין היא, שהנאשם החזיק אותם שלא לצריכתו העצמית. יחד עם זאת, יצוין, כי לפי כתב האישום המתוקן, הסמים שנתפסו, לא היו מחולקים למנות, ולא נלוו לתפיסה נסיבות בעלות אימפליקציה מסחרית, דבר אשר יכול להשתלב עם הנתונים שבפני בית המשפט, בדבר דפוסי התנהגות התמכרותיים מצד הנאשם, על רקע זה, נראה כי לא בכדי המאשימה טענה למתחם נמוך יותר בעבירה זו.</w:t>
      </w:r>
    </w:p>
    <w:p w14:paraId="03EBB6BB" w14:textId="77777777" w:rsidR="00EC6C63" w:rsidRPr="00C417F7" w:rsidRDefault="00EC6C63" w:rsidP="00EC6C63">
      <w:pPr>
        <w:spacing w:line="360" w:lineRule="auto"/>
        <w:jc w:val="both"/>
        <w:rPr>
          <w:u w:val="single"/>
          <w:rtl/>
        </w:rPr>
      </w:pPr>
    </w:p>
    <w:p w14:paraId="04CDD338" w14:textId="77777777" w:rsidR="00EC6C63" w:rsidRPr="00C417F7" w:rsidRDefault="00EC6C63" w:rsidP="00EC6C63">
      <w:pPr>
        <w:spacing w:line="360" w:lineRule="auto"/>
        <w:jc w:val="both"/>
        <w:rPr>
          <w:b/>
          <w:bCs/>
          <w:u w:val="single"/>
          <w:rtl/>
        </w:rPr>
      </w:pPr>
      <w:r w:rsidRPr="00C417F7">
        <w:rPr>
          <w:b/>
          <w:bCs/>
          <w:u w:val="single"/>
          <w:rtl/>
        </w:rPr>
        <w:t xml:space="preserve">מתחם העונש ההולם (סעיף </w:t>
      </w:r>
      <w:hyperlink r:id="rId44" w:history="1">
        <w:r w:rsidR="00E02ADD" w:rsidRPr="00E02ADD">
          <w:rPr>
            <w:rStyle w:val="Hyperlink"/>
            <w:b/>
            <w:bCs/>
            <w:color w:val="0000FF"/>
            <w:rtl/>
          </w:rPr>
          <w:t>40ג (ב)</w:t>
        </w:r>
      </w:hyperlink>
      <w:r w:rsidRPr="00C417F7">
        <w:rPr>
          <w:b/>
          <w:bCs/>
          <w:u w:val="single"/>
          <w:rtl/>
        </w:rPr>
        <w:t xml:space="preserve"> ל</w:t>
      </w:r>
      <w:hyperlink r:id="rId45" w:history="1">
        <w:r w:rsidR="0043724D" w:rsidRPr="0043724D">
          <w:rPr>
            <w:b/>
            <w:bCs/>
            <w:color w:val="0000FF"/>
            <w:u w:val="single"/>
            <w:rtl/>
          </w:rPr>
          <w:t>חוק העונשין</w:t>
        </w:r>
      </w:hyperlink>
      <w:r w:rsidRPr="00C417F7">
        <w:rPr>
          <w:b/>
          <w:bCs/>
          <w:u w:val="single"/>
          <w:rtl/>
        </w:rPr>
        <w:t>):</w:t>
      </w:r>
    </w:p>
    <w:p w14:paraId="672CB00E" w14:textId="77777777" w:rsidR="00EC6C63" w:rsidRPr="00C417F7" w:rsidRDefault="00EC6C63" w:rsidP="00EC6C63">
      <w:pPr>
        <w:spacing w:line="360" w:lineRule="auto"/>
        <w:jc w:val="both"/>
        <w:rPr>
          <w:rtl/>
        </w:rPr>
      </w:pPr>
      <w:r w:rsidRPr="00C417F7">
        <w:rPr>
          <w:rtl/>
        </w:rPr>
        <w:t xml:space="preserve">בנסיבות העניין, לאור הערכים המוגנים שנפגעו, עקב מעשיו של הנאשם, מידת הפגיעה בהם, נסיבות ביצוע עבירת הסיוע לסחר בסמים מסוכנים ואספקתם, והחזקת הסמים שלא לצריכה עצמית, סוגי הסם בשני האירועים השונים, כמויות הסם, נמצא לקבוע, כי מתחם העונש ההולם לו גורסת המאשימה ראוי וסביר. </w:t>
      </w:r>
    </w:p>
    <w:p w14:paraId="386B0970" w14:textId="77777777" w:rsidR="00EC6C63" w:rsidRPr="00C417F7" w:rsidRDefault="00EC6C63" w:rsidP="00EC6C63">
      <w:pPr>
        <w:spacing w:line="360" w:lineRule="auto"/>
        <w:jc w:val="both"/>
        <w:rPr>
          <w:rtl/>
        </w:rPr>
      </w:pPr>
      <w:r w:rsidRPr="00C417F7">
        <w:rPr>
          <w:rtl/>
        </w:rPr>
        <w:t xml:space="preserve">מתחמי העונש הינם, אם כן, הם כדלקמן: </w:t>
      </w:r>
    </w:p>
    <w:p w14:paraId="7D55ED4B" w14:textId="77777777" w:rsidR="00EC6C63" w:rsidRPr="00C417F7" w:rsidRDefault="00EC6C63" w:rsidP="00EC6C63">
      <w:pPr>
        <w:spacing w:line="360" w:lineRule="auto"/>
        <w:jc w:val="both"/>
        <w:rPr>
          <w:rtl/>
        </w:rPr>
      </w:pPr>
      <w:r w:rsidRPr="00C417F7">
        <w:rPr>
          <w:rtl/>
        </w:rPr>
        <w:t xml:space="preserve">לאישום הראשון - 6 חודשים עד 12 חודשים; ואילו לאישום השני, 4 חודשים עד 8 חודשים. </w:t>
      </w:r>
    </w:p>
    <w:p w14:paraId="647D4DC1" w14:textId="77777777" w:rsidR="00EC6C63" w:rsidRPr="00C417F7" w:rsidRDefault="00EC6C63" w:rsidP="00EC6C63">
      <w:pPr>
        <w:spacing w:line="360" w:lineRule="auto"/>
        <w:jc w:val="both"/>
        <w:rPr>
          <w:rtl/>
        </w:rPr>
      </w:pPr>
      <w:r w:rsidRPr="00C417F7">
        <w:rPr>
          <w:rtl/>
        </w:rPr>
        <w:t>לצד מאסר מותנה מרתיע, פסילה בפועל של רשיון הנהיגה בין 3 חודשים ועד לשנה, וקנס ראוי בהינתן המניע הכלכלי.</w:t>
      </w:r>
    </w:p>
    <w:p w14:paraId="361CDA87" w14:textId="77777777" w:rsidR="00EC6C63" w:rsidRPr="00C417F7" w:rsidRDefault="00EC6C63" w:rsidP="00EC6C63">
      <w:pPr>
        <w:spacing w:line="360" w:lineRule="auto"/>
        <w:jc w:val="both"/>
        <w:rPr>
          <w:rtl/>
        </w:rPr>
      </w:pPr>
      <w:r w:rsidRPr="00C417F7">
        <w:rPr>
          <w:rtl/>
        </w:rPr>
        <w:t xml:space="preserve">בהתאם להוראות סעיף </w:t>
      </w:r>
      <w:hyperlink r:id="rId46" w:history="1">
        <w:r w:rsidR="00E02ADD" w:rsidRPr="00E02ADD">
          <w:rPr>
            <w:rStyle w:val="Hyperlink"/>
            <w:color w:val="0000FF"/>
            <w:rtl/>
          </w:rPr>
          <w:t>40יג (ב)</w:t>
        </w:r>
      </w:hyperlink>
      <w:r w:rsidRPr="00C417F7">
        <w:rPr>
          <w:rtl/>
        </w:rPr>
        <w:t xml:space="preserve"> ל</w:t>
      </w:r>
      <w:hyperlink r:id="rId47" w:history="1">
        <w:r w:rsidR="0043724D" w:rsidRPr="0043724D">
          <w:rPr>
            <w:color w:val="0000FF"/>
            <w:u w:val="single"/>
            <w:rtl/>
          </w:rPr>
          <w:t>חוק העונשין</w:t>
        </w:r>
      </w:hyperlink>
      <w:r w:rsidRPr="00C417F7">
        <w:rPr>
          <w:rtl/>
        </w:rPr>
        <w:t xml:space="preserve"> יגזר על הנאשם עונש כולל בגין שני האישומים, בתוככי המתחם שנקבע.</w:t>
      </w:r>
    </w:p>
    <w:p w14:paraId="0BF838B9" w14:textId="77777777" w:rsidR="00EC6C63" w:rsidRPr="00C417F7" w:rsidRDefault="00EC6C63" w:rsidP="00EC6C63">
      <w:pPr>
        <w:spacing w:line="360" w:lineRule="auto"/>
        <w:jc w:val="both"/>
        <w:rPr>
          <w:rtl/>
        </w:rPr>
      </w:pPr>
    </w:p>
    <w:p w14:paraId="4CA4D637" w14:textId="77777777" w:rsidR="00EC6C63" w:rsidRPr="00C417F7" w:rsidRDefault="00EC6C63" w:rsidP="00EC6C63">
      <w:pPr>
        <w:spacing w:line="360" w:lineRule="auto"/>
        <w:jc w:val="both"/>
        <w:rPr>
          <w:b/>
          <w:bCs/>
          <w:u w:val="single"/>
          <w:rtl/>
        </w:rPr>
      </w:pPr>
      <w:r w:rsidRPr="00C417F7">
        <w:rPr>
          <w:b/>
          <w:bCs/>
          <w:u w:val="single"/>
          <w:rtl/>
        </w:rPr>
        <w:t xml:space="preserve">חריגה ממתחם העונש ההולם לקולה או לחומרה (סעיפים </w:t>
      </w:r>
      <w:hyperlink r:id="rId48" w:history="1">
        <w:r w:rsidR="00E02ADD" w:rsidRPr="00E02ADD">
          <w:rPr>
            <w:rStyle w:val="Hyperlink"/>
            <w:b/>
            <w:bCs/>
            <w:color w:val="0000FF"/>
            <w:rtl/>
          </w:rPr>
          <w:t>40ד ו-40ה</w:t>
        </w:r>
      </w:hyperlink>
      <w:r w:rsidRPr="00C417F7">
        <w:rPr>
          <w:b/>
          <w:bCs/>
          <w:u w:val="single"/>
          <w:rtl/>
        </w:rPr>
        <w:t xml:space="preserve"> ל</w:t>
      </w:r>
      <w:hyperlink r:id="rId49" w:history="1">
        <w:r w:rsidR="0043724D" w:rsidRPr="0043724D">
          <w:rPr>
            <w:b/>
            <w:bCs/>
            <w:color w:val="0000FF"/>
            <w:u w:val="single"/>
            <w:rtl/>
          </w:rPr>
          <w:t>חוק העונשין</w:t>
        </w:r>
      </w:hyperlink>
      <w:r w:rsidRPr="00C417F7">
        <w:rPr>
          <w:b/>
          <w:bCs/>
          <w:u w:val="single"/>
          <w:rtl/>
        </w:rPr>
        <w:t>):</w:t>
      </w:r>
    </w:p>
    <w:p w14:paraId="6ABAE0FB" w14:textId="77777777" w:rsidR="00EC6C63" w:rsidRPr="00C417F7" w:rsidRDefault="00EC6C63" w:rsidP="00EC6C63">
      <w:pPr>
        <w:spacing w:line="360" w:lineRule="auto"/>
        <w:jc w:val="both"/>
        <w:rPr>
          <w:rtl/>
        </w:rPr>
      </w:pPr>
      <w:r w:rsidRPr="00C417F7">
        <w:rPr>
          <w:rtl/>
        </w:rPr>
        <w:t xml:space="preserve">לא נמצא כי קיימת תשתית המצדיקה חריגה לקולה ממתחם העונש ההולם, ואף ההיפך מכך (ראו תסקיר שירות המבחן). כפי שהסניגור בהגינותו הודה, תסקיר שירות המבחן אינו חיובי. מהתסקיר עולה, כי הנאשם ממזער מחומרת מעשיו, נוטל אחריות חלקית על מעשיו, ואינו פנוי לעורך התבוננות פנימית בכשלי התנהגותו. בנסיבות אלה, אין גם התוויה טיפולית-שיקומית. עם זאת, לצד דברים אלה, אין גם תשתית או עילה לחרוג לחומרה ממתחם העונש ההולם. </w:t>
      </w:r>
    </w:p>
    <w:p w14:paraId="1E55F7B2" w14:textId="77777777" w:rsidR="00EC6C63" w:rsidRPr="00C417F7" w:rsidRDefault="00EC6C63" w:rsidP="00EC6C63">
      <w:pPr>
        <w:spacing w:line="360" w:lineRule="auto"/>
        <w:jc w:val="both"/>
        <w:rPr>
          <w:rtl/>
        </w:rPr>
      </w:pPr>
    </w:p>
    <w:p w14:paraId="630C1A77" w14:textId="77777777" w:rsidR="00EC6C63" w:rsidRPr="00C417F7" w:rsidRDefault="00EC6C63" w:rsidP="00EC6C63">
      <w:pPr>
        <w:spacing w:line="360" w:lineRule="auto"/>
        <w:jc w:val="both"/>
        <w:rPr>
          <w:b/>
          <w:bCs/>
          <w:u w:val="single"/>
          <w:rtl/>
        </w:rPr>
      </w:pPr>
      <w:r w:rsidRPr="00C417F7">
        <w:rPr>
          <w:b/>
          <w:bCs/>
          <w:u w:val="single"/>
          <w:rtl/>
        </w:rPr>
        <w:t>נסיבות שאינן קשורות בביצוע העבירה (</w:t>
      </w:r>
      <w:hyperlink r:id="rId50" w:history="1">
        <w:r w:rsidR="00E02ADD" w:rsidRPr="00E02ADD">
          <w:rPr>
            <w:rStyle w:val="Hyperlink"/>
            <w:b/>
            <w:bCs/>
            <w:color w:val="0000FF"/>
            <w:rtl/>
          </w:rPr>
          <w:t>סעיף 40יא</w:t>
        </w:r>
      </w:hyperlink>
      <w:r w:rsidRPr="00C417F7">
        <w:rPr>
          <w:b/>
          <w:bCs/>
          <w:u w:val="single"/>
          <w:rtl/>
        </w:rPr>
        <w:t xml:space="preserve">  ל</w:t>
      </w:r>
      <w:hyperlink r:id="rId51" w:history="1">
        <w:r w:rsidR="0043724D" w:rsidRPr="0043724D">
          <w:rPr>
            <w:b/>
            <w:bCs/>
            <w:color w:val="0000FF"/>
            <w:u w:val="single"/>
            <w:rtl/>
          </w:rPr>
          <w:t>חוק העונשין</w:t>
        </w:r>
      </w:hyperlink>
      <w:r w:rsidRPr="00C417F7">
        <w:rPr>
          <w:b/>
          <w:bCs/>
          <w:u w:val="single"/>
          <w:rtl/>
        </w:rPr>
        <w:t>):</w:t>
      </w:r>
    </w:p>
    <w:p w14:paraId="626026EA" w14:textId="77777777" w:rsidR="00EC6C63" w:rsidRPr="00C417F7" w:rsidRDefault="00EC6C63" w:rsidP="00EC6C63">
      <w:pPr>
        <w:spacing w:line="360" w:lineRule="auto"/>
        <w:jc w:val="both"/>
        <w:rPr>
          <w:rtl/>
        </w:rPr>
      </w:pPr>
      <w:r w:rsidRPr="00C417F7">
        <w:rPr>
          <w:rtl/>
        </w:rPr>
        <w:t>הנאשם בן 29, נורמטיבי, בעל עסק עצמאי בתחום התכשיטנות, נעדר עבר פלילי, שזו היא לו הסתבכותו הראשונה עם החוק.</w:t>
      </w:r>
    </w:p>
    <w:p w14:paraId="1DC1B720" w14:textId="77777777" w:rsidR="00EC6C63" w:rsidRPr="00C417F7" w:rsidRDefault="00EC6C63" w:rsidP="00EC6C63">
      <w:pPr>
        <w:spacing w:line="360" w:lineRule="auto"/>
        <w:jc w:val="both"/>
        <w:rPr>
          <w:rtl/>
        </w:rPr>
      </w:pPr>
      <w:r w:rsidRPr="00C417F7">
        <w:rPr>
          <w:rtl/>
        </w:rPr>
        <w:t>הגם שמדובר במי הוא נעדר עבר פלילי, אין פירושו של דבר כי אין מקום להשתת עונש מאסר עליו, שעה שעבר עבירות חמורות בתחום הסמים, המחייבות זאת, כשעיקר הדגש הוא על הסיוע לסחר בסם באופן המתוחכם באמצעות היישומון "טלגראס".</w:t>
      </w:r>
    </w:p>
    <w:p w14:paraId="2B9B117B" w14:textId="77777777" w:rsidR="00EC6C63" w:rsidRPr="00C417F7" w:rsidRDefault="00EC6C63" w:rsidP="00EC6C63">
      <w:pPr>
        <w:spacing w:line="360" w:lineRule="auto"/>
        <w:jc w:val="both"/>
        <w:rPr>
          <w:rtl/>
        </w:rPr>
      </w:pPr>
      <w:r w:rsidRPr="00C417F7">
        <w:rPr>
          <w:rtl/>
        </w:rPr>
        <w:t>יחד עם זאת, השתת עונש מאסר בכליאה ממשית, על מי שהוא נעדר עבר פלילי, הינו בעל פוטנציאל הרסני, ויש לקחת זאת במכלול השיקולים, בקביעת מידת העונש וסוגו, בתוך המתחם.</w:t>
      </w:r>
    </w:p>
    <w:p w14:paraId="76FA60C4" w14:textId="77777777" w:rsidR="00EC6C63" w:rsidRPr="00C417F7" w:rsidRDefault="00EC6C63" w:rsidP="00EC6C63">
      <w:pPr>
        <w:spacing w:line="360" w:lineRule="auto"/>
        <w:jc w:val="both"/>
        <w:rPr>
          <w:rtl/>
        </w:rPr>
      </w:pPr>
      <w:r w:rsidRPr="00C417F7">
        <w:rPr>
          <w:rtl/>
        </w:rPr>
        <w:t>הנאשם הודה בעובדות כתב האישום המתוקן וחסך מזמנו של בית המשפט. לצד ההודיה, וכפי שהובהר, הנאשם נטה למזער את מעשיו, ולטשטש את אחריותו על המעשים החמורים שביצע, תוך הפניית אצבע מאשימה כלפי גורמים חיצוניים תוך נטייה להציג עמדה קורבנית.</w:t>
      </w:r>
    </w:p>
    <w:p w14:paraId="7E5F2B2C" w14:textId="77777777" w:rsidR="00EC6C63" w:rsidRPr="00C417F7" w:rsidRDefault="00EC6C63" w:rsidP="00EC6C63">
      <w:pPr>
        <w:spacing w:line="360" w:lineRule="auto"/>
        <w:jc w:val="both"/>
        <w:rPr>
          <w:rtl/>
        </w:rPr>
      </w:pPr>
      <w:r w:rsidRPr="00C417F7">
        <w:rPr>
          <w:rtl/>
        </w:rPr>
        <w:t>תסקיר שירות המבחן, קובע כי מדובר במי שעושה שימוש בסמים מגיל צעיר, ובניגוד להצהרותיו בדבר שליטה והעדר שימוש, נדגמו תוצרי סם בשתן שנתן לשירות המבחן.</w:t>
      </w:r>
    </w:p>
    <w:p w14:paraId="24082D73" w14:textId="77777777" w:rsidR="00EC6C63" w:rsidRPr="00C417F7" w:rsidRDefault="00EC6C63" w:rsidP="00EC6C63">
      <w:pPr>
        <w:spacing w:line="360" w:lineRule="auto"/>
        <w:jc w:val="both"/>
        <w:rPr>
          <w:rtl/>
        </w:rPr>
      </w:pPr>
      <w:r w:rsidRPr="00C417F7">
        <w:rPr>
          <w:rtl/>
        </w:rPr>
        <w:t xml:space="preserve">לפי שירות המבחן ניכר, כי מדובר במי שמונע ממוקד שליטה חיצוני, ומשליך את האחריות למעשיו על אחרים, ונותרה אי בהירות, ביחס לצריכתו חומרים פסיכואקטיביים, וקשריו החברתיים השוליים. </w:t>
      </w:r>
    </w:p>
    <w:p w14:paraId="68C44EFF" w14:textId="77777777" w:rsidR="00EC6C63" w:rsidRPr="00C417F7" w:rsidRDefault="00EC6C63" w:rsidP="00EC6C63">
      <w:pPr>
        <w:spacing w:line="360" w:lineRule="auto"/>
        <w:jc w:val="both"/>
        <w:rPr>
          <w:rtl/>
        </w:rPr>
      </w:pPr>
    </w:p>
    <w:p w14:paraId="4E176BA5" w14:textId="77777777" w:rsidR="00EC6C63" w:rsidRPr="00C417F7" w:rsidRDefault="00EC6C63" w:rsidP="00EC6C63">
      <w:pPr>
        <w:spacing w:line="360" w:lineRule="auto"/>
        <w:jc w:val="both"/>
        <w:rPr>
          <w:b/>
          <w:bCs/>
          <w:u w:val="single"/>
          <w:rtl/>
        </w:rPr>
      </w:pPr>
      <w:r w:rsidRPr="00C417F7">
        <w:rPr>
          <w:b/>
          <w:bCs/>
          <w:u w:val="single"/>
          <w:rtl/>
        </w:rPr>
        <w:t xml:space="preserve">העונש המתאים (סעיף </w:t>
      </w:r>
      <w:hyperlink r:id="rId52" w:history="1">
        <w:r w:rsidR="00E02ADD" w:rsidRPr="00E02ADD">
          <w:rPr>
            <w:rStyle w:val="Hyperlink"/>
            <w:b/>
            <w:bCs/>
            <w:color w:val="0000FF"/>
            <w:rtl/>
          </w:rPr>
          <w:t>40יד (2)</w:t>
        </w:r>
      </w:hyperlink>
      <w:r w:rsidRPr="00C417F7">
        <w:rPr>
          <w:b/>
          <w:bCs/>
          <w:u w:val="single"/>
          <w:rtl/>
        </w:rPr>
        <w:t xml:space="preserve"> ל</w:t>
      </w:r>
      <w:hyperlink r:id="rId53" w:history="1">
        <w:r w:rsidR="0043724D" w:rsidRPr="0043724D">
          <w:rPr>
            <w:b/>
            <w:bCs/>
            <w:color w:val="0000FF"/>
            <w:u w:val="single"/>
            <w:rtl/>
          </w:rPr>
          <w:t>חוק העונשין</w:t>
        </w:r>
      </w:hyperlink>
      <w:r w:rsidRPr="00C417F7">
        <w:rPr>
          <w:b/>
          <w:bCs/>
          <w:u w:val="single"/>
          <w:rtl/>
        </w:rPr>
        <w:t>):</w:t>
      </w:r>
    </w:p>
    <w:p w14:paraId="73897F11" w14:textId="77777777" w:rsidR="00EC6C63" w:rsidRPr="00C417F7" w:rsidRDefault="00EC6C63" w:rsidP="00EC6C63">
      <w:pPr>
        <w:spacing w:line="360" w:lineRule="auto"/>
        <w:jc w:val="both"/>
        <w:rPr>
          <w:rtl/>
        </w:rPr>
      </w:pPr>
      <w:r w:rsidRPr="00C417F7">
        <w:rPr>
          <w:rtl/>
        </w:rPr>
        <w:t xml:space="preserve">בהינתן מכלול זה, בשים לב לערכים המוגנים שנפגעו כתוצאה ממעשיי הנאשם, מידת הפגיעה בהם, מדיניות הענישה הנוהגת בעבירות אלה, נסיבות ביצוע העבירות בהן הורשע, ובכלל זה, העובדה </w:t>
      </w:r>
      <w:r w:rsidRPr="00C417F7">
        <w:rPr>
          <w:u w:val="single"/>
          <w:rtl/>
        </w:rPr>
        <w:t>שסייע</w:t>
      </w:r>
      <w:r w:rsidRPr="00C417F7">
        <w:rPr>
          <w:rtl/>
        </w:rPr>
        <w:t xml:space="preserve"> לביצוע עבירת הסחר והספקת הסם באישום הראשון, והחזיק בסם מסוכן, שלא לצריכה עצמית, באישום השני; </w:t>
      </w:r>
    </w:p>
    <w:p w14:paraId="7CDC9F1E" w14:textId="77777777" w:rsidR="00EC6C63" w:rsidRPr="00C417F7" w:rsidRDefault="00EC6C63" w:rsidP="00EC6C63">
      <w:pPr>
        <w:spacing w:line="360" w:lineRule="auto"/>
        <w:jc w:val="both"/>
        <w:rPr>
          <w:rtl/>
        </w:rPr>
      </w:pPr>
      <w:r w:rsidRPr="00C417F7">
        <w:rPr>
          <w:rtl/>
        </w:rPr>
        <w:t xml:space="preserve">בהינתן סוג הסם המסוכן בו סייע לסחור באישום הראשון, משקלו, התחכום שליווה את ביצוע העבירה, אופי המסחר, זמינותו וקלות ביצועו, באמצעות המרשתת, וכן סוג הסם המסוכן ומשקלו באישום השני; </w:t>
      </w:r>
    </w:p>
    <w:p w14:paraId="36D12A20" w14:textId="77777777" w:rsidR="00EC6C63" w:rsidRPr="00C417F7" w:rsidRDefault="00EC6C63" w:rsidP="00EC6C63">
      <w:pPr>
        <w:spacing w:line="360" w:lineRule="auto"/>
        <w:jc w:val="both"/>
        <w:rPr>
          <w:rtl/>
        </w:rPr>
      </w:pPr>
      <w:r w:rsidRPr="00C417F7">
        <w:rPr>
          <w:rtl/>
        </w:rPr>
        <w:t xml:space="preserve">בהינתן מכלול הנסיבות והנתונים שאינם קשורים לביצוע העבירות שפורטו לעיל, תוך דגש לכך שמדובר במי שהוא נעדר עבר פלילי, וכן לאור תסקיר שירות המבחן, אבחנתו והמלצותיו; </w:t>
      </w:r>
    </w:p>
    <w:p w14:paraId="1149DA94" w14:textId="77777777" w:rsidR="00EC6C63" w:rsidRPr="00C417F7" w:rsidRDefault="00EC6C63" w:rsidP="00EC6C63">
      <w:pPr>
        <w:spacing w:line="360" w:lineRule="auto"/>
        <w:jc w:val="both"/>
        <w:rPr>
          <w:rtl/>
        </w:rPr>
      </w:pPr>
      <w:r w:rsidRPr="00C417F7">
        <w:rPr>
          <w:rtl/>
        </w:rPr>
        <w:t>הגעתי לכלל מסקנה, כי יש להטיל על הנאשם עונש מאסר, כולל, על שני האישומים, שימוקם בקצה המדרג העליון, של עונש מאסר, שניתן לרצותו בעבודות שירות, כעונש מוחשי מרתיע וממשי.</w:t>
      </w:r>
    </w:p>
    <w:p w14:paraId="59532825" w14:textId="77777777" w:rsidR="00EC6C63" w:rsidRPr="00C417F7" w:rsidRDefault="00EC6C63" w:rsidP="00EC6C63">
      <w:pPr>
        <w:spacing w:line="360" w:lineRule="auto"/>
        <w:jc w:val="both"/>
        <w:rPr>
          <w:rtl/>
        </w:rPr>
      </w:pPr>
      <w:r w:rsidRPr="00C417F7">
        <w:rPr>
          <w:rtl/>
        </w:rPr>
        <w:t>תמים דעים אני עם שירות המבחן, כי נוכח חומרת המעשים יש צורך בענישה מציבת גבולות לנאשם, על מנת להמחיש לו את מחירי התנהגותו פורצת הגבולות, לצד ענישה מרתיעה צופה פני עתיד.</w:t>
      </w:r>
    </w:p>
    <w:p w14:paraId="6637FF1D" w14:textId="77777777" w:rsidR="00EC6C63" w:rsidRPr="00C417F7" w:rsidRDefault="00EC6C63" w:rsidP="00EC6C63">
      <w:pPr>
        <w:spacing w:line="360" w:lineRule="auto"/>
        <w:jc w:val="both"/>
        <w:rPr>
          <w:rtl/>
        </w:rPr>
      </w:pPr>
      <w:r w:rsidRPr="00C417F7">
        <w:rPr>
          <w:rtl/>
        </w:rPr>
        <w:t>על הנאשם להבין את המחיר שהוא עתיד, חלילה לשלם, באם יחליט לעבור עבירות דומות, וכן יש להטיל עליו קנס משמעותי, בשים לכך שבסיוד ביצוע עבירת הסחר עמד מניע כלכלי, כעולה מדברי הנאשם עצמו ומהנסיבות.</w:t>
      </w:r>
    </w:p>
    <w:p w14:paraId="0D42D60D" w14:textId="77777777" w:rsidR="00EC6C63" w:rsidRDefault="00EC6C63" w:rsidP="00EC6C63">
      <w:pPr>
        <w:spacing w:line="360" w:lineRule="auto"/>
        <w:jc w:val="both"/>
        <w:rPr>
          <w:u w:val="single"/>
          <w:rtl/>
        </w:rPr>
      </w:pPr>
    </w:p>
    <w:p w14:paraId="581A7462" w14:textId="77777777" w:rsidR="00EC6C63" w:rsidRPr="00C417F7" w:rsidRDefault="00EC6C63" w:rsidP="00EC6C63">
      <w:pPr>
        <w:spacing w:line="360" w:lineRule="auto"/>
        <w:jc w:val="both"/>
        <w:rPr>
          <w:b/>
          <w:bCs/>
          <w:u w:val="single"/>
          <w:rtl/>
        </w:rPr>
      </w:pPr>
      <w:r w:rsidRPr="00C417F7">
        <w:rPr>
          <w:b/>
          <w:bCs/>
          <w:u w:val="single"/>
          <w:rtl/>
        </w:rPr>
        <w:t xml:space="preserve">אשר על כן, אני גוזר על הנאשם את העונשים הבאים: </w:t>
      </w:r>
    </w:p>
    <w:p w14:paraId="09EFAE45" w14:textId="77777777" w:rsidR="00EC6C63" w:rsidRPr="00C417F7" w:rsidRDefault="00EC6C63" w:rsidP="00EC6C63">
      <w:pPr>
        <w:pStyle w:val="a9"/>
        <w:numPr>
          <w:ilvl w:val="0"/>
          <w:numId w:val="1"/>
        </w:numPr>
        <w:spacing w:line="360" w:lineRule="auto"/>
        <w:jc w:val="both"/>
        <w:rPr>
          <w:rFonts w:cs="David"/>
          <w:sz w:val="24"/>
          <w:szCs w:val="24"/>
          <w:rtl/>
        </w:rPr>
      </w:pPr>
      <w:r w:rsidRPr="00C417F7">
        <w:rPr>
          <w:rFonts w:cs="David"/>
          <w:sz w:val="24"/>
          <w:szCs w:val="24"/>
          <w:rtl/>
        </w:rPr>
        <w:t>9 חודשי מאסר בפועל שירוצו בעבודות שירות בחברה קדישא ברח' גושן 76 קריית מוצקין.</w:t>
      </w:r>
    </w:p>
    <w:p w14:paraId="4AFD384D" w14:textId="77777777" w:rsidR="00EC6C63" w:rsidRPr="00C417F7" w:rsidRDefault="00EC6C63" w:rsidP="00EC6C63">
      <w:pPr>
        <w:pStyle w:val="a9"/>
        <w:numPr>
          <w:ilvl w:val="0"/>
          <w:numId w:val="1"/>
        </w:numPr>
        <w:spacing w:line="360" w:lineRule="auto"/>
        <w:jc w:val="both"/>
        <w:rPr>
          <w:rFonts w:cs="David"/>
          <w:sz w:val="24"/>
          <w:szCs w:val="24"/>
        </w:rPr>
      </w:pPr>
      <w:r w:rsidRPr="00C417F7">
        <w:rPr>
          <w:rFonts w:cs="David"/>
          <w:sz w:val="24"/>
          <w:szCs w:val="24"/>
          <w:rtl/>
        </w:rPr>
        <w:t>לאור העובדה שהמועד לתחילת ריצוי העבודות חלף, הממונה יקבע לנאשם מועד חדש לתחילת ריצוי עבודות השירות.</w:t>
      </w:r>
    </w:p>
    <w:p w14:paraId="6F65B464" w14:textId="77777777" w:rsidR="00EC6C63" w:rsidRPr="00C417F7" w:rsidRDefault="00EC6C63" w:rsidP="00EC6C63">
      <w:pPr>
        <w:pStyle w:val="a9"/>
        <w:numPr>
          <w:ilvl w:val="0"/>
          <w:numId w:val="1"/>
        </w:numPr>
        <w:spacing w:line="360" w:lineRule="auto"/>
        <w:jc w:val="both"/>
        <w:rPr>
          <w:rFonts w:cs="David"/>
          <w:sz w:val="24"/>
          <w:szCs w:val="24"/>
        </w:rPr>
      </w:pPr>
      <w:r w:rsidRPr="00C417F7">
        <w:rPr>
          <w:rFonts w:cs="David"/>
          <w:sz w:val="24"/>
          <w:szCs w:val="24"/>
          <w:rtl/>
        </w:rPr>
        <w:t>הובהר לנאשם, כי מדובר בתנאי העסקה קפדניים, וככל שלא ישמע להוראות הממונה ו/או המעסיק, יהיה הדבר עילה להפסקה מנהלית של עבודות השירות, והוא ירצה את העונש בכליאה ממשית.</w:t>
      </w:r>
    </w:p>
    <w:p w14:paraId="2BC6590A" w14:textId="77777777" w:rsidR="00EC6C63" w:rsidRPr="00C417F7" w:rsidRDefault="00EC6C63" w:rsidP="00EC6C63">
      <w:pPr>
        <w:pStyle w:val="a9"/>
        <w:numPr>
          <w:ilvl w:val="0"/>
          <w:numId w:val="1"/>
        </w:numPr>
        <w:spacing w:line="360" w:lineRule="auto"/>
        <w:jc w:val="both"/>
        <w:rPr>
          <w:rFonts w:cs="David"/>
          <w:sz w:val="24"/>
          <w:szCs w:val="24"/>
        </w:rPr>
      </w:pPr>
      <w:r w:rsidRPr="00C417F7">
        <w:rPr>
          <w:rFonts w:cs="David"/>
          <w:sz w:val="24"/>
          <w:szCs w:val="24"/>
          <w:rtl/>
        </w:rPr>
        <w:t>עוד הובהר לנאשם, כי הממונה יהיה רשאי ליטול ממנו דגימות שתן, על מנת לשלול שימוש בחומרים ממכרים. שימוש בחומרים ממכרים, עלול להוביל לתוצאה כמפורט בס"ק ב' לעיל.</w:t>
      </w:r>
    </w:p>
    <w:p w14:paraId="7352A015" w14:textId="77777777" w:rsidR="00EC6C63" w:rsidRPr="00C417F7" w:rsidRDefault="00EC6C63" w:rsidP="00EC6C63">
      <w:pPr>
        <w:pStyle w:val="a9"/>
        <w:numPr>
          <w:ilvl w:val="0"/>
          <w:numId w:val="1"/>
        </w:numPr>
        <w:spacing w:line="360" w:lineRule="auto"/>
        <w:jc w:val="both"/>
        <w:rPr>
          <w:rFonts w:cs="David"/>
          <w:sz w:val="24"/>
          <w:szCs w:val="24"/>
          <w:rtl/>
        </w:rPr>
      </w:pPr>
      <w:r w:rsidRPr="00C417F7">
        <w:rPr>
          <w:rFonts w:cs="David"/>
          <w:sz w:val="24"/>
          <w:szCs w:val="24"/>
          <w:rtl/>
        </w:rPr>
        <w:t>7 חודשי מאסר על תנאי למשך 3 שנים, והתנאי הוא שהנאשם לא יעבור בתוך תקופה זו, עבירה מתחום הסמים מסוג פשע ו/או עבירה של קשירת קשר לביצוע פשע ו/או עבירה של נהיגה בזמן פסילה.</w:t>
      </w:r>
    </w:p>
    <w:p w14:paraId="43D44276" w14:textId="77777777" w:rsidR="00EC6C63" w:rsidRPr="00C417F7" w:rsidRDefault="00EC6C63" w:rsidP="00EC6C63">
      <w:pPr>
        <w:pStyle w:val="a9"/>
        <w:numPr>
          <w:ilvl w:val="0"/>
          <w:numId w:val="1"/>
        </w:numPr>
        <w:spacing w:line="360" w:lineRule="auto"/>
        <w:jc w:val="both"/>
        <w:rPr>
          <w:rFonts w:cs="David"/>
          <w:sz w:val="24"/>
          <w:szCs w:val="24"/>
          <w:rtl/>
        </w:rPr>
      </w:pPr>
      <w:r w:rsidRPr="00C417F7">
        <w:rPr>
          <w:rFonts w:cs="David"/>
          <w:sz w:val="24"/>
          <w:szCs w:val="24"/>
          <w:rtl/>
        </w:rPr>
        <w:t>4 חודשי מאסר על תנאי למשך 3 שנים, והתנאי הוא שהנאשם לא יעבור בתוך תקופה זו, עבירה מתחום הסמים מסוג עוון.</w:t>
      </w:r>
    </w:p>
    <w:p w14:paraId="41067405" w14:textId="77777777" w:rsidR="00EC6C63" w:rsidRPr="00C417F7" w:rsidRDefault="00EC6C63" w:rsidP="00EC6C63">
      <w:pPr>
        <w:pStyle w:val="a9"/>
        <w:numPr>
          <w:ilvl w:val="0"/>
          <w:numId w:val="1"/>
        </w:numPr>
        <w:spacing w:line="360" w:lineRule="auto"/>
        <w:jc w:val="both"/>
        <w:rPr>
          <w:rFonts w:cs="David"/>
          <w:sz w:val="24"/>
          <w:szCs w:val="24"/>
          <w:rtl/>
        </w:rPr>
      </w:pPr>
      <w:r w:rsidRPr="00C417F7">
        <w:rPr>
          <w:rFonts w:cs="David"/>
          <w:sz w:val="24"/>
          <w:szCs w:val="24"/>
          <w:rtl/>
        </w:rPr>
        <w:t>קנס בסך - 5,000 ₪ או 50 ימי מאסר תמורתו. הקנס ישולם ב- 5 תשלומים חודשיים רצופים החל מיום 1.4.20 ובכל ראשון לחודש שלאחריו, עד לסילוק סופי ומוחלט של הקנס. פיגור יעמיד את מלוא הקנס לפירעון מיידי ויפעיל את צו המאסר.</w:t>
      </w:r>
    </w:p>
    <w:p w14:paraId="2F9DC4C6" w14:textId="77777777" w:rsidR="00EC6C63" w:rsidRPr="00C417F7" w:rsidRDefault="00EC6C63" w:rsidP="00EC6C63">
      <w:pPr>
        <w:pStyle w:val="a9"/>
        <w:numPr>
          <w:ilvl w:val="0"/>
          <w:numId w:val="1"/>
        </w:numPr>
        <w:spacing w:line="360" w:lineRule="auto"/>
        <w:jc w:val="both"/>
        <w:rPr>
          <w:rFonts w:cs="David"/>
          <w:sz w:val="24"/>
          <w:szCs w:val="24"/>
          <w:rtl/>
        </w:rPr>
      </w:pPr>
      <w:r w:rsidRPr="00C417F7">
        <w:rPr>
          <w:rFonts w:cs="David"/>
          <w:sz w:val="24"/>
          <w:szCs w:val="24"/>
          <w:rtl/>
        </w:rPr>
        <w:t>6 חודשי פסילה בפועל מלהחזיק ומלקבל רשיון נהיגה ומלנהוג בכל כלי רכב מנועי (להלן: "צו הפסילה").</w:t>
      </w:r>
    </w:p>
    <w:p w14:paraId="5292BB6B" w14:textId="77777777" w:rsidR="00EC6C63" w:rsidRPr="00C417F7" w:rsidRDefault="00EC6C63" w:rsidP="00EC6C63">
      <w:pPr>
        <w:pStyle w:val="a9"/>
        <w:numPr>
          <w:ilvl w:val="0"/>
          <w:numId w:val="1"/>
        </w:numPr>
        <w:spacing w:line="360" w:lineRule="auto"/>
        <w:jc w:val="both"/>
        <w:rPr>
          <w:rFonts w:cs="David"/>
          <w:sz w:val="24"/>
          <w:szCs w:val="24"/>
          <w:rtl/>
        </w:rPr>
      </w:pPr>
      <w:r w:rsidRPr="00C417F7">
        <w:rPr>
          <w:rFonts w:cs="David"/>
          <w:sz w:val="24"/>
          <w:szCs w:val="24"/>
          <w:rtl/>
        </w:rPr>
        <w:t>הנאשם יפקיד את רישיון הנהיגה שלו בתיק בית המשפט ביום 1.4.20 שעה 08:30 וממועד זה יכנס צו הפסילה לתוקף.</w:t>
      </w:r>
    </w:p>
    <w:p w14:paraId="622CC964" w14:textId="77777777" w:rsidR="00EC6C63" w:rsidRPr="00C417F7" w:rsidRDefault="00EC6C63" w:rsidP="00EC6C63">
      <w:pPr>
        <w:pStyle w:val="a9"/>
        <w:numPr>
          <w:ilvl w:val="0"/>
          <w:numId w:val="1"/>
        </w:numPr>
        <w:spacing w:line="360" w:lineRule="auto"/>
        <w:jc w:val="both"/>
        <w:rPr>
          <w:rFonts w:cs="David"/>
          <w:sz w:val="24"/>
          <w:szCs w:val="24"/>
          <w:rtl/>
        </w:rPr>
      </w:pPr>
      <w:r w:rsidRPr="00C417F7">
        <w:rPr>
          <w:rFonts w:cs="David"/>
          <w:sz w:val="24"/>
          <w:szCs w:val="24"/>
          <w:rtl/>
        </w:rPr>
        <w:t>3 חודשי פסילה על תנאי למשך 3 שנים והתנאי הוא שהנאשם לא יעבור בתוך תקופה זו עבירה מתחום הסמים ו/או נהיגה בשכרות ו/או תחת השפעת חומרים משכרים.</w:t>
      </w:r>
    </w:p>
    <w:p w14:paraId="6B36F324" w14:textId="77777777" w:rsidR="00EC6C63" w:rsidRPr="00C417F7" w:rsidRDefault="00EC6C63" w:rsidP="00EC6C63">
      <w:pPr>
        <w:pStyle w:val="a9"/>
        <w:numPr>
          <w:ilvl w:val="0"/>
          <w:numId w:val="1"/>
        </w:numPr>
        <w:spacing w:line="360" w:lineRule="auto"/>
        <w:jc w:val="both"/>
        <w:rPr>
          <w:rFonts w:cs="David"/>
          <w:sz w:val="24"/>
          <w:szCs w:val="24"/>
          <w:rtl/>
        </w:rPr>
      </w:pPr>
      <w:r w:rsidRPr="00C417F7">
        <w:rPr>
          <w:rFonts w:cs="David"/>
          <w:sz w:val="24"/>
          <w:szCs w:val="24"/>
          <w:rtl/>
        </w:rPr>
        <w:t>צו השמדה – הסמים יושמדו.</w:t>
      </w:r>
    </w:p>
    <w:p w14:paraId="361AA8E9" w14:textId="77777777" w:rsidR="00EC6C63" w:rsidRPr="00C417F7" w:rsidRDefault="00EC6C63" w:rsidP="00EC6C63">
      <w:pPr>
        <w:pStyle w:val="a9"/>
        <w:numPr>
          <w:ilvl w:val="0"/>
          <w:numId w:val="1"/>
        </w:numPr>
        <w:spacing w:line="360" w:lineRule="auto"/>
        <w:jc w:val="both"/>
        <w:rPr>
          <w:rFonts w:cs="David"/>
          <w:sz w:val="24"/>
          <w:szCs w:val="24"/>
        </w:rPr>
      </w:pPr>
      <w:r w:rsidRPr="00C417F7">
        <w:rPr>
          <w:rFonts w:cs="David"/>
          <w:sz w:val="24"/>
          <w:szCs w:val="24"/>
          <w:u w:val="single"/>
          <w:rtl/>
        </w:rPr>
        <w:t>המזכירות תעביר העתק גזר הדין לממונה על מנת שיקבע מועד לתחילת ריצוי העבודות ויודיע על כך לנאשם ולבית המשפט</w:t>
      </w:r>
      <w:r w:rsidRPr="00C417F7">
        <w:rPr>
          <w:rFonts w:cs="David"/>
          <w:sz w:val="24"/>
          <w:szCs w:val="24"/>
          <w:rtl/>
        </w:rPr>
        <w:t>.</w:t>
      </w:r>
    </w:p>
    <w:p w14:paraId="37CEBDCC" w14:textId="77777777" w:rsidR="00EC6C63" w:rsidRPr="00C417F7" w:rsidRDefault="00EC6C63" w:rsidP="00EC6C63">
      <w:pPr>
        <w:spacing w:line="360" w:lineRule="auto"/>
        <w:ind w:firstLine="720"/>
        <w:jc w:val="both"/>
        <w:rPr>
          <w:u w:val="single"/>
          <w:rtl/>
        </w:rPr>
      </w:pPr>
      <w:r w:rsidRPr="00C417F7">
        <w:rPr>
          <w:u w:val="single"/>
          <w:rtl/>
        </w:rPr>
        <w:t xml:space="preserve">זכות ערעור תוך 45 יום לבית המשפט המחוזי. </w:t>
      </w:r>
    </w:p>
    <w:p w14:paraId="11541C12" w14:textId="77777777" w:rsidR="00EC6C63" w:rsidRPr="00C417F7" w:rsidRDefault="00EC6C63" w:rsidP="00EC6C63">
      <w:pPr>
        <w:rPr>
          <w:rtl/>
        </w:rPr>
      </w:pPr>
    </w:p>
    <w:p w14:paraId="62C593A9" w14:textId="77777777" w:rsidR="00EC6C63" w:rsidRPr="0043724D" w:rsidRDefault="0043724D" w:rsidP="00EC6C63">
      <w:pPr>
        <w:rPr>
          <w:color w:val="FFFFFF"/>
          <w:sz w:val="2"/>
          <w:szCs w:val="2"/>
          <w:rtl/>
        </w:rPr>
      </w:pPr>
      <w:r w:rsidRPr="0043724D">
        <w:rPr>
          <w:color w:val="FFFFFF"/>
          <w:sz w:val="2"/>
          <w:szCs w:val="2"/>
          <w:rtl/>
        </w:rPr>
        <w:t>5129371</w:t>
      </w:r>
    </w:p>
    <w:p w14:paraId="50BEB247" w14:textId="77777777" w:rsidR="00EC6C63" w:rsidRPr="00C417F7" w:rsidRDefault="0043724D" w:rsidP="00EC6C63">
      <w:pPr>
        <w:rPr>
          <w:rFonts w:cs="FrankRuehl"/>
          <w:rtl/>
        </w:rPr>
      </w:pPr>
      <w:bookmarkStart w:id="7" w:name="Nitan"/>
      <w:r w:rsidRPr="0043724D">
        <w:rPr>
          <w:rFonts w:ascii="Arial" w:hAnsi="Arial"/>
          <w:color w:val="FFFFFF"/>
          <w:sz w:val="2"/>
          <w:szCs w:val="2"/>
          <w:rtl/>
        </w:rPr>
        <w:t>54678313</w:t>
      </w:r>
      <w:r>
        <w:rPr>
          <w:rFonts w:ascii="Arial" w:hAnsi="Arial"/>
          <w:rtl/>
        </w:rPr>
        <w:t xml:space="preserve">ניתן היום,  ט"ז אדר תש"פ, 12 מרץ 2020, במעמד הצדדים. </w:t>
      </w:r>
      <w:bookmarkEnd w:id="7"/>
    </w:p>
    <w:p w14:paraId="3ECA3F9C" w14:textId="77777777" w:rsidR="00EC6C63" w:rsidRPr="00C417F7" w:rsidRDefault="00EC6C63" w:rsidP="0043724D">
      <w:pPr>
        <w:jc w:val="center"/>
      </w:pPr>
      <w:r w:rsidRPr="00C417F7">
        <w:rPr>
          <w:rFonts w:hint="cs"/>
          <w:rtl/>
        </w:rPr>
        <w:t xml:space="preserve">   </w:t>
      </w:r>
      <w:r w:rsidRPr="00C417F7">
        <w:rPr>
          <w:rFonts w:hint="cs"/>
          <w:rtl/>
        </w:rPr>
        <w:tab/>
      </w:r>
      <w:r w:rsidRPr="00C417F7">
        <w:rPr>
          <w:rFonts w:hint="cs"/>
          <w:rtl/>
        </w:rPr>
        <w:tab/>
      </w:r>
      <w:r w:rsidRPr="00C417F7">
        <w:rPr>
          <w:rFonts w:hint="cs"/>
          <w:rtl/>
        </w:rPr>
        <w:tab/>
      </w:r>
      <w:r w:rsidRPr="00C417F7">
        <w:rPr>
          <w:rFonts w:hint="cs"/>
          <w:rtl/>
        </w:rPr>
        <w:tab/>
      </w:r>
      <w:r w:rsidRPr="00C417F7">
        <w:rPr>
          <w:rFonts w:hint="cs"/>
          <w:rtl/>
        </w:rPr>
        <w:tab/>
      </w:r>
    </w:p>
    <w:p w14:paraId="6FF71A23" w14:textId="77777777" w:rsidR="00EC6C63" w:rsidRPr="00C417F7" w:rsidRDefault="00EC6C63" w:rsidP="00EC6C63">
      <w:pPr>
        <w:jc w:val="center"/>
        <w:rPr>
          <w:rFonts w:ascii="Arial" w:hAnsi="Arial" w:cs="FrankRuehl"/>
          <w:rtl/>
        </w:rPr>
      </w:pPr>
    </w:p>
    <w:p w14:paraId="75B2A214" w14:textId="77777777" w:rsidR="0043724D" w:rsidRDefault="0043724D" w:rsidP="0043724D">
      <w:pPr>
        <w:rPr>
          <w:rtl/>
        </w:rPr>
      </w:pPr>
    </w:p>
    <w:p w14:paraId="6100D2B9" w14:textId="77777777" w:rsidR="0043724D" w:rsidRDefault="0043724D" w:rsidP="0043724D">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77A0EDFA" w14:textId="77777777" w:rsidR="00E02ADD" w:rsidRPr="00E02ADD" w:rsidRDefault="00E02ADD" w:rsidP="00E02ADD">
      <w:pPr>
        <w:keepNext/>
        <w:rPr>
          <w:rFonts w:ascii="David" w:hAnsi="David"/>
          <w:color w:val="000000"/>
          <w:sz w:val="22"/>
          <w:szCs w:val="22"/>
          <w:rtl/>
        </w:rPr>
      </w:pPr>
    </w:p>
    <w:p w14:paraId="73D689CD" w14:textId="77777777" w:rsidR="00E02ADD" w:rsidRPr="00E02ADD" w:rsidRDefault="00E02ADD" w:rsidP="00E02ADD">
      <w:pPr>
        <w:keepNext/>
        <w:rPr>
          <w:rFonts w:ascii="David" w:hAnsi="David"/>
          <w:color w:val="000000"/>
          <w:sz w:val="22"/>
          <w:szCs w:val="22"/>
          <w:rtl/>
        </w:rPr>
      </w:pPr>
      <w:r w:rsidRPr="00E02ADD">
        <w:rPr>
          <w:rFonts w:ascii="David" w:hAnsi="David"/>
          <w:color w:val="000000"/>
          <w:sz w:val="22"/>
          <w:szCs w:val="22"/>
          <w:rtl/>
        </w:rPr>
        <w:t>שלמה בנג'ו 54678313-/</w:t>
      </w:r>
    </w:p>
    <w:p w14:paraId="08717297" w14:textId="77777777" w:rsidR="0043724D" w:rsidRPr="0043724D" w:rsidRDefault="00E02ADD" w:rsidP="00E02ADD">
      <w:pPr>
        <w:rPr>
          <w:color w:val="0000FF"/>
          <w:u w:val="single"/>
        </w:rPr>
      </w:pPr>
      <w:r w:rsidRPr="00E02ADD">
        <w:rPr>
          <w:color w:val="000000"/>
          <w:u w:val="single"/>
          <w:rtl/>
        </w:rPr>
        <w:t>נוסח מסמך זה כפוף לשינויי ניסוח ועריכה</w:t>
      </w:r>
    </w:p>
    <w:sectPr w:rsidR="0043724D" w:rsidRPr="0043724D" w:rsidSect="00E02ADD">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E069F" w14:textId="77777777" w:rsidR="00A17F17" w:rsidRDefault="00A17F17" w:rsidP="00D84169">
      <w:r>
        <w:separator/>
      </w:r>
    </w:p>
  </w:endnote>
  <w:endnote w:type="continuationSeparator" w:id="0">
    <w:p w14:paraId="4BD6DF5A" w14:textId="77777777" w:rsidR="00A17F17" w:rsidRDefault="00A17F17" w:rsidP="00D84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1A66B" w14:textId="77777777" w:rsidR="00E02ADD" w:rsidRDefault="00E02ADD" w:rsidP="00E02A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5A4F0E" w14:textId="77777777" w:rsidR="005C2456" w:rsidRPr="00E02ADD" w:rsidRDefault="00E02ADD" w:rsidP="00E02ADD">
    <w:pPr>
      <w:pStyle w:val="a5"/>
      <w:pBdr>
        <w:top w:val="single" w:sz="4" w:space="1" w:color="auto"/>
        <w:between w:val="single" w:sz="4" w:space="0" w:color="auto"/>
      </w:pBdr>
      <w:spacing w:after="60"/>
      <w:jc w:val="center"/>
      <w:rPr>
        <w:rFonts w:ascii="FrankRuehl" w:hAnsi="FrankRuehl" w:cs="FrankRuehl"/>
        <w:color w:val="000000"/>
      </w:rPr>
    </w:pPr>
    <w:r w:rsidRPr="00E02A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AAF7E" w14:textId="77777777" w:rsidR="00E02ADD" w:rsidRDefault="00E02ADD" w:rsidP="00E02A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16B7">
      <w:rPr>
        <w:rFonts w:ascii="FrankRuehl" w:hAnsi="FrankRuehl" w:cs="FrankRuehl"/>
        <w:noProof/>
        <w:rtl/>
      </w:rPr>
      <w:t>1</w:t>
    </w:r>
    <w:r>
      <w:rPr>
        <w:rFonts w:ascii="FrankRuehl" w:hAnsi="FrankRuehl" w:cs="FrankRuehl"/>
        <w:rtl/>
      </w:rPr>
      <w:fldChar w:fldCharType="end"/>
    </w:r>
  </w:p>
  <w:p w14:paraId="48BB4146" w14:textId="77777777" w:rsidR="005C2456" w:rsidRPr="00E02ADD" w:rsidRDefault="00E02ADD" w:rsidP="00E02ADD">
    <w:pPr>
      <w:pStyle w:val="a5"/>
      <w:pBdr>
        <w:top w:val="single" w:sz="4" w:space="1" w:color="auto"/>
        <w:between w:val="single" w:sz="4" w:space="0" w:color="auto"/>
      </w:pBdr>
      <w:spacing w:after="60"/>
      <w:jc w:val="center"/>
      <w:rPr>
        <w:rFonts w:ascii="FrankRuehl" w:hAnsi="FrankRuehl" w:cs="FrankRuehl"/>
        <w:color w:val="000000"/>
      </w:rPr>
    </w:pPr>
    <w:r w:rsidRPr="00E02ADD">
      <w:rPr>
        <w:rFonts w:ascii="FrankRuehl" w:hAnsi="FrankRuehl" w:cs="FrankRuehl"/>
        <w:color w:val="000000"/>
      </w:rPr>
      <w:pict w14:anchorId="7397A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99AC3" w14:textId="77777777" w:rsidR="00A17F17" w:rsidRDefault="00A17F17" w:rsidP="00D84169">
      <w:r>
        <w:separator/>
      </w:r>
    </w:p>
  </w:footnote>
  <w:footnote w:type="continuationSeparator" w:id="0">
    <w:p w14:paraId="20FC6888" w14:textId="77777777" w:rsidR="00A17F17" w:rsidRDefault="00A17F17" w:rsidP="00D84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1D4C7" w14:textId="77777777" w:rsidR="0043724D" w:rsidRPr="00E02ADD" w:rsidRDefault="00E02ADD" w:rsidP="00E02A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42827-10-18</w:t>
    </w:r>
    <w:r>
      <w:rPr>
        <w:rFonts w:ascii="David" w:hAnsi="David"/>
        <w:color w:val="000000"/>
        <w:sz w:val="22"/>
        <w:szCs w:val="22"/>
        <w:rtl/>
      </w:rPr>
      <w:tab/>
      <w:t xml:space="preserve"> מדינת ישראל נ' ארז באידינג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0A957" w14:textId="77777777" w:rsidR="0043724D" w:rsidRPr="00E02ADD" w:rsidRDefault="00E02ADD" w:rsidP="00E02A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42827-10-18</w:t>
    </w:r>
    <w:r>
      <w:rPr>
        <w:rFonts w:ascii="David" w:hAnsi="David"/>
        <w:color w:val="000000"/>
        <w:sz w:val="22"/>
        <w:szCs w:val="22"/>
        <w:rtl/>
      </w:rPr>
      <w:tab/>
      <w:t xml:space="preserve"> מדינת ישראל נ' ארז באידינג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F511E"/>
    <w:multiLevelType w:val="hybridMultilevel"/>
    <w:tmpl w:val="7EF6300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6879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6C63"/>
    <w:rsid w:val="00097113"/>
    <w:rsid w:val="0043724D"/>
    <w:rsid w:val="005C2456"/>
    <w:rsid w:val="00755006"/>
    <w:rsid w:val="008235E6"/>
    <w:rsid w:val="00A17F17"/>
    <w:rsid w:val="00C501AB"/>
    <w:rsid w:val="00D84169"/>
    <w:rsid w:val="00E02ADD"/>
    <w:rsid w:val="00EC6C63"/>
    <w:rsid w:val="00FE16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1A8315"/>
  <w15:chartTrackingRefBased/>
  <w15:docId w15:val="{8A7855ED-637A-4ED6-B5F6-CF078CB9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6C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6C63"/>
    <w:pPr>
      <w:tabs>
        <w:tab w:val="center" w:pos="4153"/>
        <w:tab w:val="right" w:pos="8306"/>
      </w:tabs>
    </w:pPr>
  </w:style>
  <w:style w:type="character" w:customStyle="1" w:styleId="a4">
    <w:name w:val="כותרת עליונה תו"/>
    <w:link w:val="a3"/>
    <w:rsid w:val="00EC6C63"/>
    <w:rPr>
      <w:rFonts w:ascii="Times New Roman" w:eastAsia="Times New Roman" w:hAnsi="Times New Roman" w:cs="David"/>
      <w:sz w:val="24"/>
      <w:szCs w:val="24"/>
    </w:rPr>
  </w:style>
  <w:style w:type="paragraph" w:styleId="a5">
    <w:name w:val="footer"/>
    <w:basedOn w:val="a"/>
    <w:link w:val="a6"/>
    <w:rsid w:val="00EC6C63"/>
    <w:pPr>
      <w:tabs>
        <w:tab w:val="center" w:pos="4153"/>
        <w:tab w:val="right" w:pos="8306"/>
      </w:tabs>
    </w:pPr>
  </w:style>
  <w:style w:type="character" w:customStyle="1" w:styleId="a6">
    <w:name w:val="כותרת תחתונה תו"/>
    <w:link w:val="a5"/>
    <w:rsid w:val="00EC6C63"/>
    <w:rPr>
      <w:rFonts w:ascii="Times New Roman" w:eastAsia="Times New Roman" w:hAnsi="Times New Roman" w:cs="David"/>
      <w:sz w:val="24"/>
      <w:szCs w:val="24"/>
    </w:rPr>
  </w:style>
  <w:style w:type="table" w:styleId="a7">
    <w:name w:val="Table Grid"/>
    <w:basedOn w:val="a1"/>
    <w:rsid w:val="00EC6C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C6C63"/>
  </w:style>
  <w:style w:type="paragraph" w:styleId="a9">
    <w:name w:val="List Paragraph"/>
    <w:basedOn w:val="a"/>
    <w:qFormat/>
    <w:rsid w:val="00EC6C63"/>
    <w:pPr>
      <w:spacing w:after="160" w:line="256" w:lineRule="auto"/>
      <w:ind w:left="720"/>
      <w:contextualSpacing/>
    </w:pPr>
    <w:rPr>
      <w:rFonts w:ascii="Calibri" w:eastAsia="Calibri" w:hAnsi="Calibri" w:cs="Arial"/>
      <w:sz w:val="22"/>
      <w:szCs w:val="22"/>
    </w:rPr>
  </w:style>
  <w:style w:type="paragraph" w:customStyle="1" w:styleId="1">
    <w:name w:val="פיסקת רשימה1"/>
    <w:basedOn w:val="a"/>
    <w:rsid w:val="00EC6C63"/>
    <w:pPr>
      <w:ind w:left="720"/>
      <w:contextualSpacing/>
    </w:pPr>
  </w:style>
  <w:style w:type="character" w:styleId="Hyperlink">
    <w:name w:val="Hyperlink"/>
    <w:rsid w:val="0043724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law/4216/7.a.;7.c" TargetMode="External"/><Relationship Id="rId39" Type="http://schemas.openxmlformats.org/officeDocument/2006/relationships/hyperlink" Target="http://www.nevo.co.il/case/13090102"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case/5988308" TargetMode="External"/><Relationship Id="rId42" Type="http://schemas.openxmlformats.org/officeDocument/2006/relationships/hyperlink" Target="http://www.nevo.co.il/law/70301/40i"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40ja"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law/70301/40c.a" TargetMode="External"/><Relationship Id="rId40" Type="http://schemas.openxmlformats.org/officeDocument/2006/relationships/hyperlink" Target="http://www.nevo.co.il/case/6603238"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40jc.b"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4216/13;19.a"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40jc.b" TargetMode="External"/><Relationship Id="rId35" Type="http://schemas.openxmlformats.org/officeDocument/2006/relationships/hyperlink" Target="http://www.nevo.co.il/case/5787128"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d.;40.d" TargetMode="External"/><Relationship Id="rId56"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40jc.b" TargetMode="External"/><Relationship Id="rId59" Type="http://schemas.openxmlformats.org/officeDocument/2006/relationships/fontTable" Target="fontTable.xml"/><Relationship Id="rId20" Type="http://schemas.openxmlformats.org/officeDocument/2006/relationships/hyperlink" Target="http://www.nevo.co.il/law/70301/40jd.2" TargetMode="External"/><Relationship Id="rId41" Type="http://schemas.openxmlformats.org/officeDocument/2006/relationships/hyperlink" Target="http://www.nevo.co.il/case/5752870"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b"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case/5698919" TargetMode="External"/><Relationship Id="rId49" Type="http://schemas.openxmlformats.org/officeDocument/2006/relationships/hyperlink" Target="http://www.nevo.co.il/law/70301" TargetMode="External"/><Relationship Id="rId57" Type="http://schemas.openxmlformats.org/officeDocument/2006/relationships/footer" Target="footer1.xml"/><Relationship Id="rId10" Type="http://schemas.openxmlformats.org/officeDocument/2006/relationships/hyperlink" Target="http://www.nevo.co.il/law/4216/13"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c.b" TargetMode="External"/><Relationship Id="rId52" Type="http://schemas.openxmlformats.org/officeDocument/2006/relationships/hyperlink" Target="http://www.nevo.co.il/law/70301/40jd.2"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3044</Words>
  <Characters>15220</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18228</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3342373</vt:i4>
      </vt:variant>
      <vt:variant>
        <vt:i4>135</vt:i4>
      </vt:variant>
      <vt:variant>
        <vt:i4>0</vt:i4>
      </vt:variant>
      <vt:variant>
        <vt:i4>5</vt:i4>
      </vt:variant>
      <vt:variant>
        <vt:lpwstr>http://www.nevo.co.il/law/70301/40jd.2</vt:lpwstr>
      </vt:variant>
      <vt:variant>
        <vt:lpwstr/>
      </vt:variant>
      <vt:variant>
        <vt:i4>7995492</vt:i4>
      </vt:variant>
      <vt:variant>
        <vt:i4>132</vt:i4>
      </vt:variant>
      <vt:variant>
        <vt:i4>0</vt:i4>
      </vt:variant>
      <vt:variant>
        <vt:i4>5</vt:i4>
      </vt:variant>
      <vt:variant>
        <vt:lpwstr>http://www.nevo.co.il/law/70301</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7209083</vt:i4>
      </vt:variant>
      <vt:variant>
        <vt:i4>123</vt:i4>
      </vt:variant>
      <vt:variant>
        <vt:i4>0</vt:i4>
      </vt:variant>
      <vt:variant>
        <vt:i4>5</vt:i4>
      </vt:variant>
      <vt:variant>
        <vt:lpwstr>http://www.nevo.co.il/law/70301/40.d.;40.d</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6553637</vt:i4>
      </vt:variant>
      <vt:variant>
        <vt:i4>117</vt:i4>
      </vt:variant>
      <vt:variant>
        <vt:i4>0</vt:i4>
      </vt:variant>
      <vt:variant>
        <vt:i4>5</vt:i4>
      </vt:variant>
      <vt:variant>
        <vt:lpwstr>http://www.nevo.co.il/law/70301/40jc.b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4915202</vt:i4>
      </vt:variant>
      <vt:variant>
        <vt:i4>111</vt:i4>
      </vt:variant>
      <vt:variant>
        <vt:i4>0</vt:i4>
      </vt:variant>
      <vt:variant>
        <vt:i4>5</vt:i4>
      </vt:variant>
      <vt:variant>
        <vt:lpwstr>http://www.nevo.co.il/law/70301/40c.b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3670134</vt:i4>
      </vt:variant>
      <vt:variant>
        <vt:i4>102</vt:i4>
      </vt:variant>
      <vt:variant>
        <vt:i4>0</vt:i4>
      </vt:variant>
      <vt:variant>
        <vt:i4>5</vt:i4>
      </vt:variant>
      <vt:variant>
        <vt:lpwstr>http://www.nevo.co.il/case/5752870</vt:lpwstr>
      </vt:variant>
      <vt:variant>
        <vt:lpwstr/>
      </vt:variant>
      <vt:variant>
        <vt:i4>3932274</vt:i4>
      </vt:variant>
      <vt:variant>
        <vt:i4>99</vt:i4>
      </vt:variant>
      <vt:variant>
        <vt:i4>0</vt:i4>
      </vt:variant>
      <vt:variant>
        <vt:i4>5</vt:i4>
      </vt:variant>
      <vt:variant>
        <vt:lpwstr>http://www.nevo.co.il/case/6603238</vt:lpwstr>
      </vt:variant>
      <vt:variant>
        <vt:lpwstr/>
      </vt:variant>
      <vt:variant>
        <vt:i4>3211391</vt:i4>
      </vt:variant>
      <vt:variant>
        <vt:i4>96</vt:i4>
      </vt:variant>
      <vt:variant>
        <vt:i4>0</vt:i4>
      </vt:variant>
      <vt:variant>
        <vt:i4>5</vt:i4>
      </vt:variant>
      <vt:variant>
        <vt:lpwstr>http://www.nevo.co.il/case/13090102</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4915202</vt:i4>
      </vt:variant>
      <vt:variant>
        <vt:i4>90</vt:i4>
      </vt:variant>
      <vt:variant>
        <vt:i4>0</vt:i4>
      </vt:variant>
      <vt:variant>
        <vt:i4>5</vt:i4>
      </vt:variant>
      <vt:variant>
        <vt:lpwstr>http://www.nevo.co.il/law/70301/40c.a</vt:lpwstr>
      </vt:variant>
      <vt:variant>
        <vt:lpwstr/>
      </vt:variant>
      <vt:variant>
        <vt:i4>3932283</vt:i4>
      </vt:variant>
      <vt:variant>
        <vt:i4>87</vt:i4>
      </vt:variant>
      <vt:variant>
        <vt:i4>0</vt:i4>
      </vt:variant>
      <vt:variant>
        <vt:i4>5</vt:i4>
      </vt:variant>
      <vt:variant>
        <vt:lpwstr>http://www.nevo.co.il/case/5698919</vt:lpwstr>
      </vt:variant>
      <vt:variant>
        <vt:lpwstr/>
      </vt:variant>
      <vt:variant>
        <vt:i4>3407990</vt:i4>
      </vt:variant>
      <vt:variant>
        <vt:i4>84</vt:i4>
      </vt:variant>
      <vt:variant>
        <vt:i4>0</vt:i4>
      </vt:variant>
      <vt:variant>
        <vt:i4>5</vt:i4>
      </vt:variant>
      <vt:variant>
        <vt:lpwstr>http://www.nevo.co.il/case/5787128</vt:lpwstr>
      </vt:variant>
      <vt:variant>
        <vt:lpwstr/>
      </vt:variant>
      <vt:variant>
        <vt:i4>3539061</vt:i4>
      </vt:variant>
      <vt:variant>
        <vt:i4>81</vt:i4>
      </vt:variant>
      <vt:variant>
        <vt:i4>0</vt:i4>
      </vt:variant>
      <vt:variant>
        <vt:i4>5</vt:i4>
      </vt:variant>
      <vt:variant>
        <vt:lpwstr>http://www.nevo.co.il/case/5988308</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6553637</vt:i4>
      </vt:variant>
      <vt:variant>
        <vt:i4>69</vt:i4>
      </vt:variant>
      <vt:variant>
        <vt:i4>0</vt:i4>
      </vt:variant>
      <vt:variant>
        <vt:i4>5</vt:i4>
      </vt:variant>
      <vt:variant>
        <vt:lpwstr>http://www.nevo.co.il/law/70301/40jc.b</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8257637</vt:i4>
      </vt:variant>
      <vt:variant>
        <vt:i4>48</vt:i4>
      </vt:variant>
      <vt:variant>
        <vt:i4>0</vt:i4>
      </vt:variant>
      <vt:variant>
        <vt:i4>5</vt:i4>
      </vt:variant>
      <vt:variant>
        <vt:lpwstr>http://www.nevo.co.il/law/4216</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3342373</vt:i4>
      </vt:variant>
      <vt:variant>
        <vt:i4>39</vt:i4>
      </vt:variant>
      <vt:variant>
        <vt:i4>0</vt:i4>
      </vt:variant>
      <vt:variant>
        <vt:i4>5</vt:i4>
      </vt:variant>
      <vt:variant>
        <vt:lpwstr>http://www.nevo.co.il/law/70301/40jd.2</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4915202</vt:i4>
      </vt:variant>
      <vt:variant>
        <vt:i4>24</vt:i4>
      </vt:variant>
      <vt:variant>
        <vt:i4>0</vt:i4>
      </vt:variant>
      <vt:variant>
        <vt:i4>5</vt:i4>
      </vt:variant>
      <vt:variant>
        <vt:lpwstr>http://www.nevo.co.il/law/70301/40c.b</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65615</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42827</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ארז באידינג</vt:lpwstr>
  </property>
  <property fmtid="{D5CDD505-2E9C-101B-9397-08002B2CF9AE}" pid="10" name="JUDGE">
    <vt:lpwstr>שלמה בנג'ו</vt:lpwstr>
  </property>
  <property fmtid="{D5CDD505-2E9C-101B-9397-08002B2CF9AE}" pid="11" name="CITY">
    <vt:lpwstr>חי'</vt:lpwstr>
  </property>
  <property fmtid="{D5CDD505-2E9C-101B-9397-08002B2CF9AE}" pid="12" name="DATE">
    <vt:lpwstr>20200312</vt:lpwstr>
  </property>
  <property fmtid="{D5CDD505-2E9C-101B-9397-08002B2CF9AE}" pid="13" name="GUSHSUB1">
    <vt:lpwstr>76</vt:lpwstr>
  </property>
  <property fmtid="{D5CDD505-2E9C-101B-9397-08002B2CF9AE}" pid="14" name="TYPE_N_DATE">
    <vt:lpwstr>38020200312</vt:lpwstr>
  </property>
  <property fmtid="{D5CDD505-2E9C-101B-9397-08002B2CF9AE}" pid="15" name="CASESLISTTMP1">
    <vt:lpwstr>5988308;5787128;5698919;13090102;6603238;5752870</vt:lpwstr>
  </property>
  <property fmtid="{D5CDD505-2E9C-101B-9397-08002B2CF9AE}" pid="16" name="CASENOTES1">
    <vt:lpwstr>ProcID=133;209&amp;PartA=7196&amp;PartC=12</vt:lpwstr>
  </property>
  <property fmtid="{D5CDD505-2E9C-101B-9397-08002B2CF9AE}" pid="17" name="WORDNUMPAGES">
    <vt:lpwstr>9</vt:lpwstr>
  </property>
  <property fmtid="{D5CDD505-2E9C-101B-9397-08002B2CF9AE}" pid="18" name="TYPE_ABS_DATE">
    <vt:lpwstr>380020200312</vt:lpwstr>
  </property>
  <property fmtid="{D5CDD505-2E9C-101B-9397-08002B2CF9AE}" pid="19" name="LAWYER">
    <vt:lpwstr>יעד נווה</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4216/013;019.a;007.a;007.c</vt:lpwstr>
  </property>
  <property fmtid="{D5CDD505-2E9C-101B-9397-08002B2CF9AE}" pid="39" name="LAWLISTTMP2">
    <vt:lpwstr>70301/499.a.1;40jc;40jc.b:2;040c.a:2;040i;040c.b;040.d:2;40ja;40jd.2</vt:lpwstr>
  </property>
</Properties>
</file>