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25069" w:rsidRPr="005A3CEB" w14:paraId="730D1DA4" w14:textId="77777777" w:rsidTr="00C213DD">
        <w:trPr>
          <w:trHeight w:hRule="exact" w:val="418"/>
          <w:jc w:val="center"/>
        </w:trPr>
        <w:tc>
          <w:tcPr>
            <w:tcW w:w="8721" w:type="dxa"/>
            <w:gridSpan w:val="2"/>
          </w:tcPr>
          <w:p w14:paraId="60533460" w14:textId="77777777" w:rsidR="00725069" w:rsidRPr="005A3CEB" w:rsidRDefault="00725069" w:rsidP="005C1807">
            <w:pPr>
              <w:pStyle w:val="a3"/>
              <w:jc w:val="center"/>
              <w:rPr>
                <w:rFonts w:ascii="Tahoma" w:hAnsi="Tahoma" w:cs="Tahoma"/>
                <w:color w:val="000080"/>
                <w:rtl/>
              </w:rPr>
            </w:pPr>
            <w:bookmarkStart w:id="0" w:name="LastJudge"/>
            <w:r w:rsidRPr="005A3CEB">
              <w:rPr>
                <w:rFonts w:ascii="Tahoma" w:hAnsi="Tahoma" w:cs="Tahoma"/>
                <w:b/>
                <w:bCs/>
                <w:color w:val="000080"/>
                <w:rtl/>
              </w:rPr>
              <w:t>בית משפט השלום בראשון לציון</w:t>
            </w:r>
          </w:p>
        </w:tc>
      </w:tr>
      <w:tr w:rsidR="00725069" w:rsidRPr="005A3CEB" w14:paraId="4F1990DD" w14:textId="77777777" w:rsidTr="00C213DD">
        <w:trPr>
          <w:trHeight w:val="337"/>
          <w:jc w:val="center"/>
        </w:trPr>
        <w:tc>
          <w:tcPr>
            <w:tcW w:w="5054" w:type="dxa"/>
          </w:tcPr>
          <w:p w14:paraId="59370374" w14:textId="77777777" w:rsidR="00725069" w:rsidRPr="005A3CEB" w:rsidRDefault="00725069" w:rsidP="005C1807">
            <w:pPr>
              <w:rPr>
                <w:rFonts w:cs="FrankRuehl"/>
                <w:sz w:val="28"/>
                <w:szCs w:val="28"/>
                <w:rtl/>
              </w:rPr>
            </w:pPr>
            <w:r w:rsidRPr="005A3CEB">
              <w:rPr>
                <w:rFonts w:cs="FrankRuehl"/>
                <w:sz w:val="28"/>
                <w:szCs w:val="28"/>
                <w:rtl/>
              </w:rPr>
              <w:t>ת"פ</w:t>
            </w:r>
            <w:r w:rsidRPr="005A3CEB">
              <w:rPr>
                <w:rFonts w:cs="FrankRuehl" w:hint="cs"/>
                <w:sz w:val="28"/>
                <w:szCs w:val="28"/>
                <w:rtl/>
              </w:rPr>
              <w:t xml:space="preserve"> </w:t>
            </w:r>
            <w:r w:rsidRPr="005A3CEB">
              <w:rPr>
                <w:rFonts w:cs="FrankRuehl"/>
                <w:sz w:val="28"/>
                <w:szCs w:val="28"/>
                <w:rtl/>
              </w:rPr>
              <w:t>44694-10-18</w:t>
            </w:r>
            <w:r w:rsidRPr="005A3CEB">
              <w:rPr>
                <w:rFonts w:cs="FrankRuehl" w:hint="cs"/>
                <w:sz w:val="28"/>
                <w:szCs w:val="28"/>
                <w:rtl/>
              </w:rPr>
              <w:t xml:space="preserve"> </w:t>
            </w:r>
            <w:r w:rsidRPr="005A3CEB">
              <w:rPr>
                <w:rFonts w:cs="FrankRuehl"/>
                <w:sz w:val="28"/>
                <w:szCs w:val="28"/>
                <w:rtl/>
              </w:rPr>
              <w:t>מדינת ישראל נ' עמר</w:t>
            </w:r>
            <w:r w:rsidRPr="005A3CEB">
              <w:rPr>
                <w:rFonts w:cs="FrankRuehl" w:hint="cs"/>
                <w:sz w:val="28"/>
                <w:szCs w:val="28"/>
                <w:rtl/>
              </w:rPr>
              <w:t xml:space="preserve"> </w:t>
            </w:r>
            <w:r w:rsidRPr="005A3CEB">
              <w:rPr>
                <w:rFonts w:cs="FrankRuehl"/>
                <w:sz w:val="28"/>
                <w:szCs w:val="28"/>
                <w:rtl/>
              </w:rPr>
              <w:t>ואח'</w:t>
            </w:r>
          </w:p>
          <w:p w14:paraId="2E8C621E" w14:textId="77777777" w:rsidR="00725069" w:rsidRPr="005A3CEB" w:rsidRDefault="00725069" w:rsidP="005C1807">
            <w:pPr>
              <w:pStyle w:val="a3"/>
              <w:rPr>
                <w:rFonts w:cs="FrankRuehl"/>
                <w:sz w:val="28"/>
                <w:szCs w:val="28"/>
                <w:rtl/>
              </w:rPr>
            </w:pPr>
          </w:p>
        </w:tc>
        <w:tc>
          <w:tcPr>
            <w:tcW w:w="3667" w:type="dxa"/>
          </w:tcPr>
          <w:p w14:paraId="5A9CDEBB" w14:textId="77777777" w:rsidR="00725069" w:rsidRPr="005A3CEB" w:rsidRDefault="00725069" w:rsidP="005C1807">
            <w:pPr>
              <w:pStyle w:val="a3"/>
              <w:jc w:val="right"/>
              <w:rPr>
                <w:rFonts w:cs="FrankRuehl"/>
                <w:sz w:val="28"/>
                <w:szCs w:val="28"/>
                <w:rtl/>
              </w:rPr>
            </w:pPr>
          </w:p>
        </w:tc>
      </w:tr>
    </w:tbl>
    <w:p w14:paraId="22D73B77" w14:textId="77777777" w:rsidR="00725069" w:rsidRPr="005A3CEB" w:rsidRDefault="00725069" w:rsidP="00725069">
      <w:pPr>
        <w:pStyle w:val="a3"/>
        <w:rPr>
          <w:rtl/>
        </w:rPr>
      </w:pPr>
      <w:r w:rsidRPr="005A3CEB">
        <w:rPr>
          <w:rFonts w:hint="cs"/>
          <w:rtl/>
        </w:rPr>
        <w:t xml:space="preserve"> </w:t>
      </w:r>
    </w:p>
    <w:p w14:paraId="3610FB27" w14:textId="77777777" w:rsidR="00725069" w:rsidRPr="005A3CEB" w:rsidRDefault="00725069" w:rsidP="00725069">
      <w:pPr>
        <w:rPr>
          <w:rtl/>
        </w:rPr>
      </w:pPr>
    </w:p>
    <w:p w14:paraId="447FE67A" w14:textId="77777777" w:rsidR="00725069" w:rsidRPr="005A3CEB" w:rsidRDefault="00725069" w:rsidP="0072506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25069" w:rsidRPr="005A3CEB" w14:paraId="240EA3CF" w14:textId="77777777" w:rsidTr="00725069">
        <w:trPr>
          <w:trHeight w:val="295"/>
          <w:jc w:val="center"/>
        </w:trPr>
        <w:tc>
          <w:tcPr>
            <w:tcW w:w="923" w:type="dxa"/>
            <w:tcBorders>
              <w:top w:val="nil"/>
              <w:left w:val="nil"/>
              <w:bottom w:val="nil"/>
              <w:right w:val="nil"/>
            </w:tcBorders>
            <w:shd w:val="clear" w:color="auto" w:fill="auto"/>
          </w:tcPr>
          <w:p w14:paraId="79B9B1F4" w14:textId="77777777" w:rsidR="00725069" w:rsidRPr="005A3CEB" w:rsidRDefault="00725069" w:rsidP="00725069">
            <w:pPr>
              <w:jc w:val="both"/>
              <w:rPr>
                <w:rFonts w:ascii="Arial" w:hAnsi="Arial" w:cs="FrankRuehl"/>
                <w:sz w:val="28"/>
                <w:szCs w:val="28"/>
              </w:rPr>
            </w:pPr>
            <w:r w:rsidRPr="005A3CEB">
              <w:rPr>
                <w:rFonts w:ascii="Arial" w:hAnsi="Arial" w:cs="FrankRuehl" w:hint="cs"/>
                <w:sz w:val="28"/>
                <w:szCs w:val="28"/>
                <w:rtl/>
              </w:rPr>
              <w:t>ב</w:t>
            </w:r>
            <w:r w:rsidRPr="005A3CE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3ECE376" w14:textId="77777777" w:rsidR="00725069" w:rsidRPr="005A3CEB" w:rsidRDefault="00725069" w:rsidP="005C1807">
            <w:pPr>
              <w:rPr>
                <w:rFonts w:ascii="Arial" w:hAnsi="Arial"/>
                <w:b/>
                <w:bCs/>
                <w:rtl/>
              </w:rPr>
            </w:pPr>
            <w:r w:rsidRPr="005A3CEB">
              <w:rPr>
                <w:rFonts w:ascii="Arial" w:hAnsi="Arial" w:hint="cs"/>
                <w:b/>
                <w:bCs/>
                <w:rtl/>
              </w:rPr>
              <w:t>כבוד ה</w:t>
            </w:r>
            <w:r w:rsidRPr="005A3CEB">
              <w:rPr>
                <w:rFonts w:ascii="Arial" w:hAnsi="Arial"/>
                <w:b/>
                <w:bCs/>
                <w:rtl/>
              </w:rPr>
              <w:t>שופט</w:t>
            </w:r>
            <w:r w:rsidRPr="005A3CEB">
              <w:rPr>
                <w:rFonts w:ascii="Arial" w:hAnsi="Arial" w:hint="cs"/>
                <w:b/>
                <w:bCs/>
                <w:rtl/>
              </w:rPr>
              <w:t xml:space="preserve">  </w:t>
            </w:r>
            <w:r w:rsidRPr="005A3CEB">
              <w:rPr>
                <w:rFonts w:ascii="Arial" w:hAnsi="Arial"/>
                <w:b/>
                <w:bCs/>
                <w:rtl/>
              </w:rPr>
              <w:t>עמית מיכלס</w:t>
            </w:r>
          </w:p>
          <w:p w14:paraId="11DF0F98" w14:textId="77777777" w:rsidR="00725069" w:rsidRPr="005A3CEB" w:rsidRDefault="00725069" w:rsidP="005C1807">
            <w:pPr>
              <w:rPr>
                <w:rtl/>
              </w:rPr>
            </w:pPr>
          </w:p>
          <w:p w14:paraId="3565F902" w14:textId="77777777" w:rsidR="00725069" w:rsidRPr="005A3CEB" w:rsidRDefault="00725069" w:rsidP="00725069">
            <w:pPr>
              <w:jc w:val="both"/>
              <w:rPr>
                <w:rFonts w:ascii="Arial" w:hAnsi="Arial" w:cs="FrankRuehl"/>
                <w:sz w:val="28"/>
                <w:szCs w:val="28"/>
              </w:rPr>
            </w:pPr>
          </w:p>
        </w:tc>
      </w:tr>
      <w:tr w:rsidR="00725069" w:rsidRPr="005A3CEB" w14:paraId="1C9531AB" w14:textId="77777777" w:rsidTr="00725069">
        <w:trPr>
          <w:trHeight w:val="355"/>
          <w:jc w:val="center"/>
        </w:trPr>
        <w:tc>
          <w:tcPr>
            <w:tcW w:w="923" w:type="dxa"/>
            <w:tcBorders>
              <w:top w:val="nil"/>
              <w:left w:val="nil"/>
              <w:bottom w:val="nil"/>
              <w:right w:val="nil"/>
            </w:tcBorders>
            <w:shd w:val="clear" w:color="auto" w:fill="auto"/>
          </w:tcPr>
          <w:p w14:paraId="60AF0D1F" w14:textId="77777777" w:rsidR="00725069" w:rsidRPr="005A3CEB" w:rsidRDefault="00725069" w:rsidP="00725069">
            <w:pPr>
              <w:jc w:val="both"/>
              <w:rPr>
                <w:rFonts w:ascii="Arial" w:hAnsi="Arial" w:cs="FrankRuehl"/>
                <w:sz w:val="28"/>
                <w:szCs w:val="28"/>
              </w:rPr>
            </w:pPr>
            <w:bookmarkStart w:id="1" w:name="FirstAppellant"/>
            <w:r w:rsidRPr="005A3CE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6973EB2" w14:textId="77777777" w:rsidR="00725069" w:rsidRPr="005A3CEB" w:rsidRDefault="00725069" w:rsidP="005C1807">
            <w:r w:rsidRPr="005A3CE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34D03BC" w14:textId="77777777" w:rsidR="00725069" w:rsidRPr="005A3CEB" w:rsidRDefault="00725069" w:rsidP="00725069">
            <w:pPr>
              <w:jc w:val="both"/>
              <w:rPr>
                <w:rFonts w:ascii="Arial" w:hAnsi="Arial" w:cs="FrankRuehl"/>
                <w:sz w:val="28"/>
                <w:szCs w:val="28"/>
              </w:rPr>
            </w:pPr>
          </w:p>
        </w:tc>
      </w:tr>
      <w:bookmarkEnd w:id="1"/>
      <w:tr w:rsidR="00725069" w:rsidRPr="005A3CEB" w14:paraId="0AD0B061" w14:textId="77777777" w:rsidTr="00725069">
        <w:trPr>
          <w:trHeight w:val="355"/>
          <w:jc w:val="center"/>
        </w:trPr>
        <w:tc>
          <w:tcPr>
            <w:tcW w:w="923" w:type="dxa"/>
            <w:tcBorders>
              <w:top w:val="nil"/>
              <w:left w:val="nil"/>
              <w:bottom w:val="nil"/>
              <w:right w:val="nil"/>
            </w:tcBorders>
            <w:shd w:val="clear" w:color="auto" w:fill="auto"/>
          </w:tcPr>
          <w:p w14:paraId="229F35F4" w14:textId="77777777" w:rsidR="00725069" w:rsidRPr="005A3CEB" w:rsidRDefault="00725069" w:rsidP="0072506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0E59A65" w14:textId="77777777" w:rsidR="00725069" w:rsidRPr="005A3CEB" w:rsidRDefault="00725069" w:rsidP="00725069">
            <w:pPr>
              <w:jc w:val="both"/>
              <w:rPr>
                <w:rtl/>
              </w:rPr>
            </w:pPr>
          </w:p>
        </w:tc>
        <w:tc>
          <w:tcPr>
            <w:tcW w:w="3771" w:type="dxa"/>
            <w:tcBorders>
              <w:top w:val="nil"/>
              <w:left w:val="nil"/>
              <w:bottom w:val="nil"/>
              <w:right w:val="nil"/>
            </w:tcBorders>
            <w:shd w:val="clear" w:color="auto" w:fill="auto"/>
          </w:tcPr>
          <w:p w14:paraId="1360FCD8" w14:textId="77777777" w:rsidR="00725069" w:rsidRPr="005A3CEB" w:rsidRDefault="00725069" w:rsidP="00725069">
            <w:pPr>
              <w:jc w:val="right"/>
              <w:rPr>
                <w:rFonts w:ascii="Arial" w:hAnsi="Arial" w:cs="FrankRuehl"/>
                <w:sz w:val="28"/>
                <w:szCs w:val="28"/>
                <w:rtl/>
              </w:rPr>
            </w:pPr>
            <w:r w:rsidRPr="005A3CEB">
              <w:rPr>
                <w:rFonts w:ascii="Arial" w:hAnsi="Arial" w:cs="FrankRuehl" w:hint="cs"/>
                <w:sz w:val="28"/>
                <w:szCs w:val="28"/>
                <w:rtl/>
              </w:rPr>
              <w:t>ה</w:t>
            </w:r>
            <w:r w:rsidRPr="005A3CEB">
              <w:rPr>
                <w:rFonts w:ascii="Arial" w:hAnsi="Arial" w:cs="FrankRuehl"/>
                <w:sz w:val="28"/>
                <w:szCs w:val="28"/>
                <w:rtl/>
              </w:rPr>
              <w:t>מאשימה</w:t>
            </w:r>
          </w:p>
        </w:tc>
      </w:tr>
      <w:tr w:rsidR="00725069" w:rsidRPr="005A3CEB" w14:paraId="76AEA952" w14:textId="77777777" w:rsidTr="00725069">
        <w:trPr>
          <w:trHeight w:val="355"/>
          <w:jc w:val="center"/>
        </w:trPr>
        <w:tc>
          <w:tcPr>
            <w:tcW w:w="923" w:type="dxa"/>
            <w:tcBorders>
              <w:top w:val="nil"/>
              <w:left w:val="nil"/>
              <w:bottom w:val="nil"/>
              <w:right w:val="nil"/>
            </w:tcBorders>
            <w:shd w:val="clear" w:color="auto" w:fill="auto"/>
          </w:tcPr>
          <w:p w14:paraId="030B3EC7" w14:textId="77777777" w:rsidR="00725069" w:rsidRPr="005A3CEB" w:rsidRDefault="00725069" w:rsidP="0072506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173FAFC" w14:textId="77777777" w:rsidR="00725069" w:rsidRPr="005A3CEB" w:rsidRDefault="00725069" w:rsidP="00725069">
            <w:pPr>
              <w:jc w:val="center"/>
              <w:rPr>
                <w:rFonts w:ascii="Arial" w:hAnsi="Arial" w:cs="FrankRuehl"/>
                <w:b/>
                <w:bCs/>
                <w:sz w:val="28"/>
                <w:szCs w:val="28"/>
                <w:rtl/>
              </w:rPr>
            </w:pPr>
          </w:p>
          <w:p w14:paraId="39707336" w14:textId="77777777" w:rsidR="00725069" w:rsidRPr="005A3CEB" w:rsidRDefault="00725069" w:rsidP="00725069">
            <w:pPr>
              <w:jc w:val="center"/>
              <w:rPr>
                <w:rFonts w:ascii="Arial" w:hAnsi="Arial" w:cs="FrankRuehl"/>
                <w:b/>
                <w:bCs/>
                <w:sz w:val="28"/>
                <w:szCs w:val="28"/>
                <w:rtl/>
              </w:rPr>
            </w:pPr>
            <w:r w:rsidRPr="005A3CEB">
              <w:rPr>
                <w:rFonts w:ascii="Arial" w:hAnsi="Arial" w:cs="FrankRuehl"/>
                <w:b/>
                <w:bCs/>
                <w:sz w:val="28"/>
                <w:szCs w:val="28"/>
                <w:rtl/>
              </w:rPr>
              <w:t>נגד</w:t>
            </w:r>
          </w:p>
          <w:p w14:paraId="2A00AB0C" w14:textId="77777777" w:rsidR="00725069" w:rsidRPr="005A3CEB" w:rsidRDefault="00725069" w:rsidP="00725069">
            <w:pPr>
              <w:jc w:val="both"/>
              <w:rPr>
                <w:rFonts w:ascii="Arial" w:hAnsi="Arial" w:cs="FrankRuehl"/>
                <w:sz w:val="28"/>
                <w:szCs w:val="28"/>
              </w:rPr>
            </w:pPr>
          </w:p>
        </w:tc>
      </w:tr>
      <w:tr w:rsidR="00725069" w:rsidRPr="005A3CEB" w14:paraId="63A9202B" w14:textId="77777777" w:rsidTr="00725069">
        <w:trPr>
          <w:trHeight w:val="355"/>
          <w:jc w:val="center"/>
        </w:trPr>
        <w:tc>
          <w:tcPr>
            <w:tcW w:w="923" w:type="dxa"/>
            <w:tcBorders>
              <w:top w:val="nil"/>
              <w:left w:val="nil"/>
              <w:bottom w:val="nil"/>
              <w:right w:val="nil"/>
            </w:tcBorders>
            <w:shd w:val="clear" w:color="auto" w:fill="auto"/>
          </w:tcPr>
          <w:p w14:paraId="25A2B74F" w14:textId="77777777" w:rsidR="00725069" w:rsidRPr="005A3CEB" w:rsidRDefault="00725069" w:rsidP="005C1807">
            <w:pPr>
              <w:rPr>
                <w:rFonts w:ascii="Arial" w:hAnsi="Arial" w:cs="FrankRuehl"/>
                <w:sz w:val="28"/>
                <w:szCs w:val="28"/>
                <w:rtl/>
              </w:rPr>
            </w:pPr>
          </w:p>
        </w:tc>
        <w:tc>
          <w:tcPr>
            <w:tcW w:w="4126" w:type="dxa"/>
            <w:tcBorders>
              <w:top w:val="nil"/>
              <w:left w:val="nil"/>
              <w:bottom w:val="nil"/>
              <w:right w:val="nil"/>
            </w:tcBorders>
            <w:shd w:val="clear" w:color="auto" w:fill="auto"/>
          </w:tcPr>
          <w:p w14:paraId="6E5F29BD" w14:textId="77777777" w:rsidR="00725069" w:rsidRPr="005A3CEB" w:rsidRDefault="00725069" w:rsidP="005C1807">
            <w:pPr>
              <w:rPr>
                <w:rtl/>
              </w:rPr>
            </w:pPr>
            <w:r w:rsidRPr="005A3CEB">
              <w:rPr>
                <w:rFonts w:ascii="Arial" w:hAnsi="Arial" w:cs="FrankRuehl"/>
                <w:sz w:val="28"/>
                <w:szCs w:val="28"/>
                <w:rtl/>
              </w:rPr>
              <w:t>1</w:t>
            </w:r>
            <w:r w:rsidRPr="005A3CEB">
              <w:rPr>
                <w:rFonts w:ascii="Arial" w:hAnsi="Arial" w:cs="FrankRuehl" w:hint="cs"/>
                <w:sz w:val="28"/>
                <w:szCs w:val="28"/>
                <w:rtl/>
              </w:rPr>
              <w:t>.</w:t>
            </w:r>
            <w:r w:rsidRPr="005A3CEB">
              <w:rPr>
                <w:rFonts w:ascii="Arial" w:hAnsi="Arial" w:cs="FrankRuehl"/>
                <w:sz w:val="28"/>
                <w:szCs w:val="28"/>
                <w:rtl/>
              </w:rPr>
              <w:t xml:space="preserve">אביב עמר </w:t>
            </w:r>
          </w:p>
          <w:p w14:paraId="53D121E8" w14:textId="77777777" w:rsidR="00725069" w:rsidRPr="005A3CEB" w:rsidRDefault="00725069" w:rsidP="005C1807">
            <w:pPr>
              <w:rPr>
                <w:rtl/>
              </w:rPr>
            </w:pPr>
            <w:r w:rsidRPr="005A3CEB">
              <w:rPr>
                <w:rFonts w:ascii="Arial" w:hAnsi="Arial" w:cs="FrankRuehl"/>
                <w:sz w:val="28"/>
                <w:szCs w:val="28"/>
                <w:rtl/>
              </w:rPr>
              <w:t>2</w:t>
            </w:r>
            <w:r w:rsidRPr="005A3CEB">
              <w:rPr>
                <w:rFonts w:ascii="Arial" w:hAnsi="Arial" w:cs="FrankRuehl" w:hint="cs"/>
                <w:sz w:val="28"/>
                <w:szCs w:val="28"/>
                <w:rtl/>
              </w:rPr>
              <w:t>.</w:t>
            </w:r>
            <w:r w:rsidRPr="005A3CEB">
              <w:rPr>
                <w:rtl/>
              </w:rPr>
              <w:t xml:space="preserve">     </w:t>
            </w:r>
          </w:p>
        </w:tc>
        <w:tc>
          <w:tcPr>
            <w:tcW w:w="3771" w:type="dxa"/>
            <w:tcBorders>
              <w:top w:val="nil"/>
              <w:left w:val="nil"/>
              <w:bottom w:val="nil"/>
              <w:right w:val="nil"/>
            </w:tcBorders>
            <w:shd w:val="clear" w:color="auto" w:fill="auto"/>
          </w:tcPr>
          <w:p w14:paraId="190EB101" w14:textId="77777777" w:rsidR="00725069" w:rsidRPr="005A3CEB" w:rsidRDefault="00725069" w:rsidP="00725069">
            <w:pPr>
              <w:jc w:val="right"/>
              <w:rPr>
                <w:rFonts w:ascii="Arial" w:hAnsi="Arial" w:cs="FrankRuehl"/>
                <w:sz w:val="28"/>
                <w:szCs w:val="28"/>
              </w:rPr>
            </w:pPr>
          </w:p>
        </w:tc>
      </w:tr>
      <w:tr w:rsidR="00725069" w:rsidRPr="005A3CEB" w14:paraId="2C82A563" w14:textId="77777777" w:rsidTr="00725069">
        <w:trPr>
          <w:trHeight w:val="355"/>
          <w:jc w:val="center"/>
        </w:trPr>
        <w:tc>
          <w:tcPr>
            <w:tcW w:w="923" w:type="dxa"/>
            <w:tcBorders>
              <w:top w:val="nil"/>
              <w:left w:val="nil"/>
              <w:bottom w:val="nil"/>
              <w:right w:val="nil"/>
            </w:tcBorders>
            <w:shd w:val="clear" w:color="auto" w:fill="auto"/>
          </w:tcPr>
          <w:p w14:paraId="6A440349" w14:textId="77777777" w:rsidR="00725069" w:rsidRPr="005A3CEB" w:rsidRDefault="00725069" w:rsidP="0072506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E3EF66A" w14:textId="77777777" w:rsidR="00725069" w:rsidRPr="005A3CEB" w:rsidRDefault="00725069" w:rsidP="00725069">
            <w:pPr>
              <w:jc w:val="both"/>
              <w:rPr>
                <w:rtl/>
              </w:rPr>
            </w:pPr>
          </w:p>
        </w:tc>
        <w:tc>
          <w:tcPr>
            <w:tcW w:w="3771" w:type="dxa"/>
            <w:tcBorders>
              <w:top w:val="nil"/>
              <w:left w:val="nil"/>
              <w:bottom w:val="nil"/>
              <w:right w:val="nil"/>
            </w:tcBorders>
            <w:shd w:val="clear" w:color="auto" w:fill="auto"/>
          </w:tcPr>
          <w:p w14:paraId="608013C0" w14:textId="77777777" w:rsidR="00725069" w:rsidRPr="005A3CEB" w:rsidRDefault="00725069" w:rsidP="00725069">
            <w:pPr>
              <w:jc w:val="right"/>
              <w:rPr>
                <w:rFonts w:ascii="Arial" w:hAnsi="Arial" w:cs="FrankRuehl"/>
                <w:sz w:val="28"/>
                <w:szCs w:val="28"/>
              </w:rPr>
            </w:pPr>
            <w:r w:rsidRPr="005A3CEB">
              <w:rPr>
                <w:rFonts w:ascii="Arial" w:hAnsi="Arial" w:cs="FrankRuehl" w:hint="cs"/>
                <w:sz w:val="28"/>
                <w:szCs w:val="28"/>
                <w:rtl/>
              </w:rPr>
              <w:t>ה</w:t>
            </w:r>
            <w:r w:rsidRPr="005A3CEB">
              <w:rPr>
                <w:rFonts w:ascii="Arial" w:hAnsi="Arial" w:cs="FrankRuehl"/>
                <w:sz w:val="28"/>
                <w:szCs w:val="28"/>
                <w:rtl/>
              </w:rPr>
              <w:t>נאשם</w:t>
            </w:r>
          </w:p>
        </w:tc>
      </w:tr>
    </w:tbl>
    <w:p w14:paraId="2B0F8B60" w14:textId="77777777" w:rsidR="00C213DD" w:rsidRPr="00C213DD" w:rsidRDefault="00C213DD" w:rsidP="00C213DD">
      <w:pPr>
        <w:spacing w:before="120" w:after="120" w:line="240" w:lineRule="exact"/>
        <w:ind w:left="283" w:hanging="283"/>
        <w:jc w:val="both"/>
        <w:rPr>
          <w:rFonts w:ascii="FrankRuehl" w:hAnsi="FrankRuehl" w:cs="FrankRuehl"/>
          <w:rtl/>
        </w:rPr>
      </w:pPr>
    </w:p>
    <w:p w14:paraId="0E62B580" w14:textId="77777777" w:rsidR="00C213DD" w:rsidRPr="00C213DD" w:rsidRDefault="00C213DD" w:rsidP="00C213DD">
      <w:pPr>
        <w:spacing w:before="120" w:after="120" w:line="240" w:lineRule="exact"/>
        <w:ind w:left="283" w:hanging="283"/>
        <w:jc w:val="both"/>
        <w:rPr>
          <w:rFonts w:ascii="FrankRuehl" w:hAnsi="FrankRuehl" w:cs="FrankRuehl"/>
          <w:rtl/>
        </w:rPr>
      </w:pPr>
      <w:r w:rsidRPr="00C213DD">
        <w:rPr>
          <w:rFonts w:ascii="FrankRuehl" w:hAnsi="FrankRuehl" w:cs="FrankRuehl"/>
          <w:rtl/>
        </w:rPr>
        <w:t xml:space="preserve">חקיקה שאוזכרה: </w:t>
      </w:r>
    </w:p>
    <w:p w14:paraId="7BD997E2" w14:textId="77777777" w:rsidR="00C213DD" w:rsidRPr="00C213DD" w:rsidRDefault="00C213DD" w:rsidP="00C213DD">
      <w:pPr>
        <w:spacing w:before="120" w:after="120" w:line="240" w:lineRule="exact"/>
        <w:ind w:left="283" w:hanging="283"/>
        <w:jc w:val="both"/>
        <w:rPr>
          <w:rFonts w:ascii="FrankRuehl" w:hAnsi="FrankRuehl" w:cs="FrankRuehl"/>
          <w:rtl/>
        </w:rPr>
      </w:pPr>
      <w:hyperlink r:id="rId7" w:history="1">
        <w:r w:rsidRPr="00C213DD">
          <w:rPr>
            <w:rFonts w:ascii="FrankRuehl" w:hAnsi="FrankRuehl" w:cs="FrankRuehl"/>
            <w:color w:val="0000FF"/>
            <w:u w:val="single"/>
            <w:rtl/>
          </w:rPr>
          <w:t>פקודת הסמים המסוכנים [נוסח חדש], תשל"ג-1973</w:t>
        </w:r>
      </w:hyperlink>
      <w:r w:rsidRPr="00C213DD">
        <w:rPr>
          <w:rFonts w:ascii="FrankRuehl" w:hAnsi="FrankRuehl" w:cs="FrankRuehl"/>
          <w:rtl/>
        </w:rPr>
        <w:t xml:space="preserve">: סע'  </w:t>
      </w:r>
      <w:hyperlink r:id="rId8" w:history="1">
        <w:r w:rsidRPr="00C213DD">
          <w:rPr>
            <w:rFonts w:ascii="FrankRuehl" w:hAnsi="FrankRuehl" w:cs="FrankRuehl"/>
            <w:color w:val="0000FF"/>
            <w:u w:val="single"/>
            <w:rtl/>
          </w:rPr>
          <w:t>13.א</w:t>
        </w:r>
      </w:hyperlink>
      <w:r w:rsidRPr="00C213DD">
        <w:rPr>
          <w:rFonts w:ascii="FrankRuehl" w:hAnsi="FrankRuehl" w:cs="FrankRuehl"/>
          <w:rtl/>
        </w:rPr>
        <w:t xml:space="preserve">, </w:t>
      </w:r>
      <w:hyperlink r:id="rId9" w:history="1">
        <w:r w:rsidRPr="00C213DD">
          <w:rPr>
            <w:rFonts w:ascii="FrankRuehl" w:hAnsi="FrankRuehl" w:cs="FrankRuehl"/>
            <w:color w:val="0000FF"/>
            <w:u w:val="single"/>
            <w:rtl/>
          </w:rPr>
          <w:t>19</w:t>
        </w:r>
      </w:hyperlink>
    </w:p>
    <w:p w14:paraId="65A4B5A1" w14:textId="77777777" w:rsidR="00C213DD" w:rsidRPr="00C213DD" w:rsidRDefault="00C213DD" w:rsidP="00C213DD">
      <w:pPr>
        <w:spacing w:before="120" w:after="120" w:line="240" w:lineRule="exact"/>
        <w:ind w:left="283" w:hanging="283"/>
        <w:jc w:val="both"/>
        <w:rPr>
          <w:rFonts w:ascii="FrankRuehl" w:hAnsi="FrankRuehl" w:cs="FrankRuehl"/>
          <w:rtl/>
        </w:rPr>
      </w:pPr>
      <w:hyperlink r:id="rId10" w:history="1">
        <w:r w:rsidRPr="00C213DD">
          <w:rPr>
            <w:rFonts w:ascii="FrankRuehl" w:hAnsi="FrankRuehl" w:cs="FrankRuehl"/>
            <w:color w:val="0000FF"/>
            <w:u w:val="single"/>
            <w:rtl/>
          </w:rPr>
          <w:t>חוק העונשין, תשל"ז-1977</w:t>
        </w:r>
      </w:hyperlink>
      <w:r w:rsidRPr="00C213DD">
        <w:rPr>
          <w:rFonts w:ascii="FrankRuehl" w:hAnsi="FrankRuehl" w:cs="FrankRuehl"/>
          <w:rtl/>
        </w:rPr>
        <w:t xml:space="preserve">: סע'  </w:t>
      </w:r>
      <w:hyperlink r:id="rId11" w:history="1">
        <w:r w:rsidRPr="00C213DD">
          <w:rPr>
            <w:rFonts w:ascii="FrankRuehl" w:hAnsi="FrankRuehl" w:cs="FrankRuehl"/>
            <w:color w:val="0000FF"/>
            <w:u w:val="single"/>
            <w:rtl/>
          </w:rPr>
          <w:t>40ד</w:t>
        </w:r>
      </w:hyperlink>
      <w:r w:rsidRPr="00C213DD">
        <w:rPr>
          <w:rFonts w:ascii="FrankRuehl" w:hAnsi="FrankRuehl" w:cs="FrankRuehl"/>
          <w:rtl/>
        </w:rPr>
        <w:t xml:space="preserve">, </w:t>
      </w:r>
      <w:hyperlink r:id="rId12" w:history="1">
        <w:r w:rsidRPr="00C213DD">
          <w:rPr>
            <w:rFonts w:ascii="FrankRuehl" w:hAnsi="FrankRuehl" w:cs="FrankRuehl"/>
            <w:color w:val="0000FF"/>
            <w:u w:val="single"/>
            <w:rtl/>
          </w:rPr>
          <w:t>40יג</w:t>
        </w:r>
      </w:hyperlink>
    </w:p>
    <w:p w14:paraId="7AD8DD7E" w14:textId="77777777" w:rsidR="00725069" w:rsidRDefault="00725069" w:rsidP="00725069">
      <w:pPr>
        <w:rPr>
          <w:rFonts w:hint="cs"/>
          <w:rtl/>
        </w:rPr>
      </w:pPr>
    </w:p>
    <w:p w14:paraId="6CB61C36" w14:textId="77777777" w:rsidR="00C213DD" w:rsidRDefault="00C213DD" w:rsidP="00725069">
      <w:pPr>
        <w:rPr>
          <w:rFonts w:hint="cs"/>
          <w:rtl/>
        </w:rPr>
      </w:pPr>
    </w:p>
    <w:p w14:paraId="2165441F" w14:textId="77777777" w:rsidR="00C213DD" w:rsidRPr="005A3CEB" w:rsidRDefault="00C213DD" w:rsidP="00725069">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5069" w:rsidRPr="005A3CEB" w14:paraId="38DFD96A" w14:textId="77777777" w:rsidTr="00725069">
        <w:trPr>
          <w:trHeight w:val="355"/>
          <w:jc w:val="center"/>
        </w:trPr>
        <w:tc>
          <w:tcPr>
            <w:tcW w:w="8820" w:type="dxa"/>
            <w:tcBorders>
              <w:top w:val="nil"/>
              <w:left w:val="nil"/>
              <w:bottom w:val="nil"/>
              <w:right w:val="nil"/>
            </w:tcBorders>
            <w:shd w:val="clear" w:color="auto" w:fill="auto"/>
          </w:tcPr>
          <w:p w14:paraId="44F32085" w14:textId="77777777" w:rsidR="00725069" w:rsidRPr="005A3CEB" w:rsidRDefault="00725069" w:rsidP="00725069">
            <w:pPr>
              <w:spacing w:line="360" w:lineRule="auto"/>
              <w:jc w:val="both"/>
              <w:rPr>
                <w:rFonts w:ascii="FrankRuehl" w:hAnsi="FrankRuehl" w:cs="FrankRuehl"/>
                <w:sz w:val="28"/>
                <w:szCs w:val="28"/>
                <w:rtl/>
              </w:rPr>
            </w:pPr>
            <w:bookmarkStart w:id="2" w:name="FirstLawyer"/>
            <w:r w:rsidRPr="005A3CEB">
              <w:rPr>
                <w:rFonts w:ascii="FrankRuehl" w:hAnsi="FrankRuehl" w:cs="FrankRuehl" w:hint="cs"/>
                <w:sz w:val="28"/>
                <w:szCs w:val="28"/>
                <w:rtl/>
              </w:rPr>
              <w:t>ב"כ המאשימה: עו"ד מיקי ברגר, שלוחת תביעות ראשון לציון</w:t>
            </w:r>
          </w:p>
          <w:p w14:paraId="3E335E31" w14:textId="77777777" w:rsidR="00725069" w:rsidRPr="005A3CEB" w:rsidRDefault="00725069" w:rsidP="00725069">
            <w:pPr>
              <w:spacing w:line="360" w:lineRule="auto"/>
              <w:jc w:val="both"/>
              <w:rPr>
                <w:rFonts w:ascii="FrankRuehl" w:hAnsi="FrankRuehl" w:cs="FrankRuehl"/>
                <w:sz w:val="28"/>
                <w:szCs w:val="28"/>
                <w:rtl/>
              </w:rPr>
            </w:pPr>
            <w:r w:rsidRPr="005A3CEB">
              <w:rPr>
                <w:rFonts w:ascii="FrankRuehl" w:hAnsi="FrankRuehl" w:cs="FrankRuehl" w:hint="cs"/>
                <w:sz w:val="28"/>
                <w:szCs w:val="28"/>
                <w:rtl/>
              </w:rPr>
              <w:t>ב"כ נאשם 1: עו"ד יוסי דגה ועו"ד קובי אבוטבול</w:t>
            </w:r>
          </w:p>
          <w:p w14:paraId="53B14967" w14:textId="77777777" w:rsidR="00725069" w:rsidRPr="005A3CEB" w:rsidRDefault="00725069" w:rsidP="00725069">
            <w:pPr>
              <w:jc w:val="center"/>
              <w:rPr>
                <w:rFonts w:ascii="Arial" w:hAnsi="Arial" w:cs="FrankRuehl"/>
                <w:b/>
                <w:bCs/>
                <w:sz w:val="32"/>
                <w:szCs w:val="32"/>
                <w:rtl/>
              </w:rPr>
            </w:pPr>
          </w:p>
          <w:p w14:paraId="5359D8D2" w14:textId="77777777" w:rsidR="00725069" w:rsidRPr="005A3CEB" w:rsidRDefault="00725069" w:rsidP="00725069">
            <w:pPr>
              <w:jc w:val="center"/>
              <w:rPr>
                <w:rFonts w:ascii="Arial" w:hAnsi="Arial" w:cs="FrankRuehl"/>
                <w:sz w:val="32"/>
                <w:szCs w:val="32"/>
                <w:rtl/>
              </w:rPr>
            </w:pPr>
            <w:bookmarkStart w:id="3" w:name="PsakDin"/>
            <w:r w:rsidRPr="005A3CEB">
              <w:rPr>
                <w:rFonts w:ascii="Arial" w:hAnsi="Arial" w:cs="FrankRuehl" w:hint="cs"/>
                <w:b/>
                <w:bCs/>
                <w:sz w:val="32"/>
                <w:szCs w:val="32"/>
                <w:rtl/>
              </w:rPr>
              <w:t xml:space="preserve">גזר </w:t>
            </w:r>
            <w:bookmarkEnd w:id="3"/>
            <w:r w:rsidRPr="005A3CEB">
              <w:rPr>
                <w:rFonts w:ascii="Arial" w:hAnsi="Arial" w:cs="FrankRuehl" w:hint="cs"/>
                <w:b/>
                <w:bCs/>
                <w:sz w:val="32"/>
                <w:szCs w:val="32"/>
                <w:rtl/>
              </w:rPr>
              <w:t xml:space="preserve">דין </w:t>
            </w:r>
            <w:r w:rsidRPr="005A3CEB">
              <w:rPr>
                <w:rFonts w:ascii="Arial" w:hAnsi="Arial" w:cs="FrankRuehl"/>
                <w:b/>
                <w:bCs/>
                <w:sz w:val="32"/>
                <w:szCs w:val="32"/>
                <w:rtl/>
              </w:rPr>
              <w:t>–</w:t>
            </w:r>
            <w:r w:rsidRPr="005A3CEB">
              <w:rPr>
                <w:rFonts w:ascii="Arial" w:hAnsi="Arial" w:cs="FrankRuehl" w:hint="cs"/>
                <w:b/>
                <w:bCs/>
                <w:sz w:val="32"/>
                <w:szCs w:val="32"/>
                <w:rtl/>
              </w:rPr>
              <w:t xml:space="preserve"> נאשם 1</w:t>
            </w:r>
          </w:p>
        </w:tc>
      </w:tr>
      <w:bookmarkEnd w:id="2"/>
    </w:tbl>
    <w:p w14:paraId="7EA48B46" w14:textId="77777777" w:rsidR="00725069" w:rsidRPr="005A3CEB" w:rsidRDefault="00725069" w:rsidP="00725069">
      <w:pPr>
        <w:spacing w:line="360" w:lineRule="auto"/>
        <w:jc w:val="both"/>
        <w:rPr>
          <w:rFonts w:ascii="FrankRuehl" w:hAnsi="FrankRuehl" w:cs="FrankRuehl"/>
          <w:sz w:val="28"/>
          <w:szCs w:val="28"/>
          <w:rtl/>
        </w:rPr>
      </w:pPr>
    </w:p>
    <w:p w14:paraId="097FFF7C" w14:textId="77777777" w:rsidR="00725069" w:rsidRPr="005A3CEB" w:rsidRDefault="00725069" w:rsidP="00725069">
      <w:pPr>
        <w:spacing w:line="360" w:lineRule="auto"/>
        <w:jc w:val="center"/>
        <w:rPr>
          <w:rFonts w:ascii="FrankRuehl" w:hAnsi="FrankRuehl" w:cs="FrankRuehl"/>
          <w:sz w:val="28"/>
          <w:szCs w:val="28"/>
          <w:rtl/>
        </w:rPr>
      </w:pPr>
    </w:p>
    <w:p w14:paraId="0E78DFB0" w14:textId="77777777" w:rsidR="00725069" w:rsidRPr="005A3CEB" w:rsidRDefault="00725069" w:rsidP="00725069">
      <w:pPr>
        <w:spacing w:line="360" w:lineRule="auto"/>
        <w:rPr>
          <w:rFonts w:ascii="Miriam" w:hAnsi="Miriam" w:cs="Miriam"/>
          <w:sz w:val="28"/>
          <w:szCs w:val="28"/>
          <w:rtl/>
        </w:rPr>
      </w:pPr>
      <w:r w:rsidRPr="005A3CEB">
        <w:rPr>
          <w:rFonts w:ascii="Miriam" w:hAnsi="Miriam" w:cs="Miriam" w:hint="cs"/>
          <w:sz w:val="28"/>
          <w:szCs w:val="28"/>
          <w:rtl/>
        </w:rPr>
        <w:t>רקע ועובדות כתב האישום</w:t>
      </w:r>
    </w:p>
    <w:p w14:paraId="4E2A19C9" w14:textId="77777777" w:rsidR="00725069" w:rsidRPr="005A3CEB" w:rsidRDefault="00725069" w:rsidP="00725069">
      <w:pPr>
        <w:spacing w:line="360" w:lineRule="auto"/>
        <w:jc w:val="center"/>
        <w:rPr>
          <w:rFonts w:ascii="FrankRuehl" w:hAnsi="FrankRuehl" w:cs="FrankRuehl"/>
          <w:sz w:val="28"/>
          <w:szCs w:val="28"/>
          <w:rtl/>
        </w:rPr>
      </w:pPr>
    </w:p>
    <w:p w14:paraId="402C0C5C" w14:textId="77777777" w:rsidR="00725069" w:rsidRPr="005A3CEB" w:rsidRDefault="00725069" w:rsidP="00725069">
      <w:pPr>
        <w:spacing w:line="360" w:lineRule="auto"/>
        <w:jc w:val="both"/>
        <w:rPr>
          <w:rFonts w:ascii="FrankRuehl" w:hAnsi="FrankRuehl" w:cs="FrankRuehl"/>
          <w:sz w:val="28"/>
          <w:szCs w:val="28"/>
          <w:rtl/>
        </w:rPr>
      </w:pPr>
      <w:r w:rsidRPr="005A3CEB">
        <w:rPr>
          <w:rFonts w:ascii="FrankRuehl" w:hAnsi="FrankRuehl" w:cs="FrankRuehl" w:hint="cs"/>
          <w:sz w:val="28"/>
          <w:szCs w:val="28"/>
          <w:rtl/>
        </w:rPr>
        <w:t>1.</w:t>
      </w:r>
      <w:r w:rsidRPr="005A3CEB">
        <w:rPr>
          <w:rFonts w:ascii="FrankRuehl" w:hAnsi="FrankRuehl" w:cs="FrankRuehl" w:hint="cs"/>
          <w:sz w:val="28"/>
          <w:szCs w:val="28"/>
          <w:rtl/>
        </w:rPr>
        <w:tab/>
      </w:r>
      <w:bookmarkStart w:id="4" w:name="ABSTRACT_START"/>
      <w:bookmarkEnd w:id="4"/>
      <w:r w:rsidRPr="005A3CEB">
        <w:rPr>
          <w:rFonts w:ascii="FrankRuehl" w:hAnsi="FrankRuehl" w:cs="FrankRuehl" w:hint="cs"/>
          <w:sz w:val="28"/>
          <w:szCs w:val="28"/>
          <w:rtl/>
        </w:rPr>
        <w:t xml:space="preserve">הנאשם הורשע, על יסוד הודאתו במסגרת הסדר דיוני, באישומים 1-3 בכתב אישום מתוקן ב-3 עבירות של </w:t>
      </w:r>
      <w:r w:rsidRPr="005A3CEB">
        <w:rPr>
          <w:rFonts w:ascii="FrankRuehl" w:hAnsi="FrankRuehl" w:cs="FrankRuehl" w:hint="cs"/>
          <w:b/>
          <w:bCs/>
          <w:sz w:val="28"/>
          <w:szCs w:val="28"/>
          <w:rtl/>
        </w:rPr>
        <w:t>סחר בסם מסוכן</w:t>
      </w:r>
      <w:r w:rsidRPr="005A3CEB">
        <w:rPr>
          <w:rFonts w:ascii="FrankRuehl" w:hAnsi="FrankRuehl" w:cs="FrankRuehl" w:hint="cs"/>
          <w:sz w:val="28"/>
          <w:szCs w:val="28"/>
          <w:rtl/>
        </w:rPr>
        <w:t xml:space="preserve">, לפי סעיפים </w:t>
      </w:r>
      <w:hyperlink r:id="rId13" w:history="1">
        <w:r w:rsidR="00C213DD" w:rsidRPr="00C213DD">
          <w:rPr>
            <w:rFonts w:ascii="FrankRuehl" w:hAnsi="FrankRuehl" w:cs="FrankRuehl"/>
            <w:color w:val="0000FF"/>
            <w:sz w:val="28"/>
            <w:szCs w:val="28"/>
            <w:u w:val="single"/>
            <w:rtl/>
          </w:rPr>
          <w:t>19 + 13א</w:t>
        </w:r>
      </w:hyperlink>
      <w:r w:rsidRPr="005A3CEB">
        <w:rPr>
          <w:rFonts w:ascii="FrankRuehl" w:hAnsi="FrankRuehl" w:cs="FrankRuehl" w:hint="cs"/>
          <w:sz w:val="28"/>
          <w:szCs w:val="28"/>
          <w:rtl/>
        </w:rPr>
        <w:t xml:space="preserve"> ל</w:t>
      </w:r>
      <w:hyperlink r:id="rId14" w:history="1">
        <w:r w:rsidR="005A3CEB" w:rsidRPr="005A3CEB">
          <w:rPr>
            <w:rFonts w:ascii="FrankRuehl" w:hAnsi="FrankRuehl" w:cs="FrankRuehl"/>
            <w:color w:val="0000FF"/>
            <w:sz w:val="28"/>
            <w:szCs w:val="28"/>
            <w:u w:val="single"/>
            <w:rtl/>
          </w:rPr>
          <w:t>פקודת הסמים המסוכנים</w:t>
        </w:r>
      </w:hyperlink>
      <w:r w:rsidRPr="005A3CEB">
        <w:rPr>
          <w:rFonts w:ascii="FrankRuehl" w:hAnsi="FrankRuehl" w:cs="FrankRuehl" w:hint="cs"/>
          <w:sz w:val="28"/>
          <w:szCs w:val="28"/>
          <w:rtl/>
        </w:rPr>
        <w:t xml:space="preserve"> [נוסח חדש], תשל"ג-1973 (להלן: </w:t>
      </w:r>
      <w:r w:rsidRPr="005A3CEB">
        <w:rPr>
          <w:rFonts w:ascii="Miriam" w:hAnsi="Miriam" w:cs="Miriam" w:hint="cs"/>
          <w:rtl/>
        </w:rPr>
        <w:t>הפקודה</w:t>
      </w:r>
      <w:r w:rsidRPr="005A3CEB">
        <w:rPr>
          <w:rFonts w:ascii="FrankRuehl" w:hAnsi="FrankRuehl" w:cs="FrankRuehl" w:hint="cs"/>
          <w:sz w:val="28"/>
          <w:szCs w:val="28"/>
          <w:rtl/>
        </w:rPr>
        <w:t xml:space="preserve"> או </w:t>
      </w:r>
      <w:r w:rsidRPr="005A3CEB">
        <w:rPr>
          <w:rFonts w:ascii="Miriam" w:hAnsi="Miriam" w:cs="Miriam" w:hint="cs"/>
          <w:rtl/>
        </w:rPr>
        <w:t>פקודת הסמים המסוכנים</w:t>
      </w:r>
      <w:r w:rsidRPr="005A3CEB">
        <w:rPr>
          <w:rFonts w:ascii="FrankRuehl" w:hAnsi="FrankRuehl" w:cs="FrankRuehl" w:hint="cs"/>
          <w:sz w:val="28"/>
          <w:szCs w:val="28"/>
          <w:rtl/>
        </w:rPr>
        <w:t>).</w:t>
      </w:r>
    </w:p>
    <w:p w14:paraId="74E3052D" w14:textId="77777777" w:rsidR="00725069" w:rsidRPr="005A3CEB" w:rsidRDefault="00725069" w:rsidP="00725069">
      <w:pPr>
        <w:spacing w:line="360" w:lineRule="auto"/>
        <w:ind w:left="425"/>
        <w:jc w:val="both"/>
        <w:rPr>
          <w:rFonts w:ascii="FrankRuehl" w:hAnsi="FrankRuehl" w:cs="FrankRuehl"/>
          <w:sz w:val="28"/>
          <w:szCs w:val="28"/>
        </w:rPr>
      </w:pPr>
      <w:bookmarkStart w:id="5" w:name="ABSTRACT_END"/>
      <w:bookmarkEnd w:id="5"/>
    </w:p>
    <w:p w14:paraId="444A94CC" w14:textId="77777777" w:rsidR="00725069" w:rsidRPr="005A3CEB" w:rsidRDefault="00725069" w:rsidP="00725069">
      <w:pPr>
        <w:spacing w:line="360" w:lineRule="auto"/>
        <w:jc w:val="both"/>
        <w:rPr>
          <w:rFonts w:ascii="FrankRuehl" w:hAnsi="FrankRuehl" w:cs="FrankRuehl"/>
          <w:sz w:val="28"/>
          <w:szCs w:val="28"/>
        </w:rPr>
      </w:pPr>
      <w:r w:rsidRPr="005A3CEB">
        <w:rPr>
          <w:rFonts w:ascii="FrankRuehl" w:hAnsi="FrankRuehl" w:cs="FrankRuehl" w:hint="cs"/>
          <w:sz w:val="28"/>
          <w:szCs w:val="28"/>
          <w:rtl/>
        </w:rPr>
        <w:lastRenderedPageBreak/>
        <w:t>2.</w:t>
      </w:r>
      <w:r w:rsidRPr="005A3CEB">
        <w:rPr>
          <w:rFonts w:ascii="FrankRuehl" w:hAnsi="FrankRuehl" w:cs="FrankRuehl" w:hint="cs"/>
          <w:b/>
          <w:bCs/>
          <w:sz w:val="28"/>
          <w:szCs w:val="28"/>
          <w:rtl/>
        </w:rPr>
        <w:tab/>
        <w:t xml:space="preserve">על פי האמור בחלק הכללי </w:t>
      </w:r>
      <w:r w:rsidRPr="005A3CEB">
        <w:rPr>
          <w:rFonts w:ascii="FrankRuehl" w:hAnsi="FrankRuehl" w:cs="FrankRuehl" w:hint="cs"/>
          <w:sz w:val="28"/>
          <w:szCs w:val="28"/>
          <w:rtl/>
        </w:rPr>
        <w:t xml:space="preserve">של כתב האישום המתוקן, בין החודשים ינואר לאוקטובר 2018 פעל סוכן סמוי, במטרה לבצע עסקאות מבוקרות של סחר בסמים מסוכנים. הסוכן התחבר ליישומון הטלגרם ובאמצעותו התחבר לקבוצות שונות המציעות סמים למכירה. במהלך תקופת הפעילות, פנה הסוכן אל סוחרי סמים בקבוצות השונות, תוך שהוא נחזה להיות סוחר סמים המחפש לרכוש סמים. במועדים הרלוונטיים לכתב האישום קבע הנאשם עם הסוכן מקום מסוים לביצוע עסקאות הסם בראשון לציון (להלן: </w:t>
      </w:r>
      <w:r w:rsidRPr="005A3CEB">
        <w:rPr>
          <w:rFonts w:ascii="Miriam" w:hAnsi="Miriam" w:cs="Miriam" w:hint="cs"/>
          <w:rtl/>
        </w:rPr>
        <w:t>מקום המפגש</w:t>
      </w:r>
      <w:r w:rsidRPr="005A3CEB">
        <w:rPr>
          <w:rFonts w:ascii="FrankRuehl" w:hAnsi="FrankRuehl" w:cs="FrankRuehl" w:hint="cs"/>
          <w:sz w:val="28"/>
          <w:szCs w:val="28"/>
          <w:rtl/>
        </w:rPr>
        <w:t>).</w:t>
      </w:r>
    </w:p>
    <w:p w14:paraId="7C3B1CEA" w14:textId="77777777" w:rsidR="00725069" w:rsidRPr="005A3CEB" w:rsidRDefault="00725069" w:rsidP="00725069">
      <w:pPr>
        <w:spacing w:line="360" w:lineRule="auto"/>
        <w:jc w:val="both"/>
        <w:rPr>
          <w:rFonts w:ascii="FrankRuehl" w:hAnsi="FrankRuehl" w:cs="FrankRuehl"/>
          <w:b/>
          <w:bCs/>
          <w:sz w:val="28"/>
          <w:szCs w:val="28"/>
          <w:rtl/>
        </w:rPr>
      </w:pPr>
    </w:p>
    <w:p w14:paraId="02D12FCD" w14:textId="77777777" w:rsidR="00725069" w:rsidRPr="005A3CEB" w:rsidRDefault="00725069" w:rsidP="00725069">
      <w:pPr>
        <w:spacing w:line="360" w:lineRule="auto"/>
        <w:jc w:val="both"/>
        <w:rPr>
          <w:rFonts w:ascii="FrankRuehl" w:hAnsi="FrankRuehl" w:cs="FrankRuehl"/>
          <w:sz w:val="28"/>
          <w:szCs w:val="28"/>
        </w:rPr>
      </w:pPr>
      <w:r w:rsidRPr="005A3CEB">
        <w:rPr>
          <w:rFonts w:ascii="FrankRuehl" w:hAnsi="FrankRuehl" w:cs="FrankRuehl" w:hint="cs"/>
          <w:b/>
          <w:bCs/>
          <w:sz w:val="28"/>
          <w:szCs w:val="28"/>
          <w:rtl/>
        </w:rPr>
        <w:t>על פי האמור בפרט האישום הראשון</w:t>
      </w:r>
      <w:r w:rsidRPr="005A3CEB">
        <w:rPr>
          <w:rFonts w:ascii="FrankRuehl" w:hAnsi="FrankRuehl" w:cs="FrankRuehl" w:hint="cs"/>
          <w:sz w:val="28"/>
          <w:szCs w:val="28"/>
          <w:rtl/>
        </w:rPr>
        <w:t>, ביום 5.7.2018 בשעה 16:59 פנה הסוכן אל הנאשם דרך קבוצה המכונה "קוק טהור", וביקש לרכוש 10 גרם קוקאין. לאחר שהסוכן שלח לנאשם, לבקשתו, צילום תעודת זהות, דף פרופיל ב"פייסבוק" וצילום עצמי, סיכמו השניים לגבי מחיר העסקה, והנאשם מסר לסוכן את מקום המפגש ומועדה. בשעה 18:41 נפגשו הנאשם והסוכן במקום המפגש ופנו, לבקשת הנאשם, לחניון קרוב, שם מסר הנאשם לסוכן 10.374 גרם נטו של סם מסוכן מסוג קוקאין, והסוכן העביר לו בתמורה 5,800 ₪. הסוכן הבהיר לנאשם כי הוא רוכש את הסמים במטרה למוכרם ללקוחותיו, והנאשם השיב כי בפעם הבאה ידאג לתת לו הנחה במחיר.</w:t>
      </w:r>
    </w:p>
    <w:p w14:paraId="2E238971" w14:textId="77777777" w:rsidR="00725069" w:rsidRPr="005A3CEB" w:rsidRDefault="00725069" w:rsidP="00725069">
      <w:pPr>
        <w:spacing w:line="360" w:lineRule="auto"/>
        <w:jc w:val="both"/>
        <w:rPr>
          <w:rFonts w:ascii="FrankRuehl" w:hAnsi="FrankRuehl" w:cs="FrankRuehl"/>
          <w:b/>
          <w:bCs/>
          <w:sz w:val="28"/>
          <w:szCs w:val="28"/>
          <w:rtl/>
        </w:rPr>
      </w:pPr>
    </w:p>
    <w:p w14:paraId="245C6FD9" w14:textId="77777777" w:rsidR="00725069" w:rsidRPr="005A3CEB" w:rsidRDefault="00725069" w:rsidP="00725069">
      <w:pPr>
        <w:spacing w:line="360" w:lineRule="auto"/>
        <w:jc w:val="both"/>
        <w:rPr>
          <w:rFonts w:ascii="FrankRuehl" w:hAnsi="FrankRuehl" w:cs="FrankRuehl"/>
          <w:sz w:val="28"/>
          <w:szCs w:val="28"/>
          <w:rtl/>
        </w:rPr>
      </w:pPr>
      <w:r w:rsidRPr="005A3CEB">
        <w:rPr>
          <w:rFonts w:ascii="FrankRuehl" w:hAnsi="FrankRuehl" w:cs="FrankRuehl" w:hint="cs"/>
          <w:b/>
          <w:bCs/>
          <w:sz w:val="28"/>
          <w:szCs w:val="28"/>
          <w:rtl/>
        </w:rPr>
        <w:t>על פי האמור בפרט האישום השני,</w:t>
      </w:r>
      <w:r w:rsidRPr="005A3CEB">
        <w:rPr>
          <w:rFonts w:ascii="FrankRuehl" w:hAnsi="FrankRuehl" w:cs="FrankRuehl" w:hint="cs"/>
          <w:sz w:val="28"/>
          <w:szCs w:val="28"/>
          <w:rtl/>
        </w:rPr>
        <w:t xml:space="preserve"> ביום 30.7.2018 בשעה 07:45 פנה הסוכן לנאשם באמצעות היישומון ושאל "יש לך משהו טוב?". בתגובה הציע הנאשם לסוכן קוקאין ו-</w:t>
      </w:r>
      <w:r w:rsidRPr="005A3CEB">
        <w:rPr>
          <w:rFonts w:ascii="FrankRuehl" w:hAnsi="FrankRuehl" w:cs="FrankRuehl" w:hint="cs"/>
        </w:rPr>
        <w:t>MDMA</w:t>
      </w:r>
      <w:r w:rsidRPr="005A3CEB">
        <w:rPr>
          <w:rFonts w:ascii="FrankRuehl" w:hAnsi="FrankRuehl" w:cs="FrankRuehl" w:hint="cs"/>
          <w:sz w:val="28"/>
          <w:szCs w:val="28"/>
          <w:rtl/>
        </w:rPr>
        <w:t xml:space="preserve">.  הסוכן השיב לנאשם שהוא מעוניין בקוקאין בלבד במשקל 10 גרם. סמוך לשעה 13:45 נפגשו השניים במקום המפגש, שם מסר הנאשם לסוכן סם מסוכן מסוג </w:t>
      </w:r>
      <w:r w:rsidRPr="005A3CEB">
        <w:rPr>
          <w:rFonts w:ascii="FrankRuehl" w:hAnsi="FrankRuehl" w:cs="FrankRuehl" w:hint="cs"/>
        </w:rPr>
        <w:t>MDMA</w:t>
      </w:r>
      <w:r w:rsidRPr="005A3CEB">
        <w:rPr>
          <w:rFonts w:ascii="FrankRuehl" w:hAnsi="FrankRuehl" w:cs="FrankRuehl" w:hint="cs"/>
          <w:sz w:val="28"/>
          <w:szCs w:val="28"/>
          <w:rtl/>
        </w:rPr>
        <w:t xml:space="preserve"> במשקל 0.2818 גרם נטו, אמר לו: "זה בשבילך", והוסיף שעליהם לחכות לאדם נוסף שיביא את הסמים. בהמשך הגיע נאשם 2 למקום עם רכבו. הנאשם פנה לביתו, לקח משקל שהיה באדנית בכניסה לבית, הלך לעבר הרכב, נכנס והתיישב ליד נאשם 2. נאשם 2 העביר לנאשם סם מסוכן מסוג קוקאין במשקל שאינו ידוע ונסע מהמקום. לאחר מכן העביר הנאשם לסוכן סם מסוכן מסוג קוקאין במשקל 9.2513 גרם נטו, בתמורה ל-5,600 ₪ שקיבל מהסוכן.</w:t>
      </w:r>
    </w:p>
    <w:p w14:paraId="093BA05E" w14:textId="77777777" w:rsidR="00725069" w:rsidRPr="005A3CEB" w:rsidRDefault="00725069" w:rsidP="00725069">
      <w:pPr>
        <w:spacing w:line="360" w:lineRule="auto"/>
        <w:jc w:val="both"/>
        <w:rPr>
          <w:rFonts w:ascii="FrankRuehl" w:hAnsi="FrankRuehl" w:cs="FrankRuehl"/>
          <w:sz w:val="28"/>
          <w:szCs w:val="28"/>
        </w:rPr>
      </w:pPr>
    </w:p>
    <w:p w14:paraId="4F83E308" w14:textId="77777777" w:rsidR="00725069" w:rsidRPr="005A3CEB" w:rsidRDefault="00725069" w:rsidP="00725069">
      <w:pPr>
        <w:spacing w:line="360" w:lineRule="auto"/>
        <w:jc w:val="both"/>
        <w:rPr>
          <w:rFonts w:ascii="FrankRuehl" w:hAnsi="FrankRuehl" w:cs="FrankRuehl"/>
          <w:sz w:val="28"/>
          <w:szCs w:val="28"/>
          <w:rtl/>
        </w:rPr>
      </w:pPr>
      <w:r w:rsidRPr="005A3CEB">
        <w:rPr>
          <w:rFonts w:ascii="FrankRuehl" w:hAnsi="FrankRuehl" w:cs="FrankRuehl" w:hint="cs"/>
          <w:b/>
          <w:bCs/>
          <w:sz w:val="28"/>
          <w:szCs w:val="28"/>
          <w:rtl/>
        </w:rPr>
        <w:t>על פי האמור בפרט האישום השלישי,</w:t>
      </w:r>
      <w:r w:rsidRPr="005A3CEB">
        <w:rPr>
          <w:rFonts w:ascii="FrankRuehl" w:hAnsi="FrankRuehl" w:cs="FrankRuehl" w:hint="cs"/>
          <w:sz w:val="28"/>
          <w:szCs w:val="28"/>
          <w:rtl/>
        </w:rPr>
        <w:t xml:space="preserve"> ביום 15.8.2018 בשעה 00:53 פנה הסוכן לנאשם באמצעות היישומון, וביקש לרכוש ממנו סם מסוכן מסוג </w:t>
      </w:r>
      <w:r w:rsidRPr="005A3CEB">
        <w:rPr>
          <w:rFonts w:ascii="FrankRuehl" w:hAnsi="FrankRuehl" w:cs="FrankRuehl" w:hint="cs"/>
        </w:rPr>
        <w:t>MDMA</w:t>
      </w:r>
      <w:r w:rsidRPr="005A3CEB">
        <w:rPr>
          <w:rFonts w:ascii="FrankRuehl" w:hAnsi="FrankRuehl" w:cs="FrankRuehl" w:hint="cs"/>
          <w:sz w:val="28"/>
          <w:szCs w:val="28"/>
          <w:rtl/>
        </w:rPr>
        <w:t xml:space="preserve"> במשקל 10 גרם. לאחר שהשניים סיכמו ביניהם פרטים, נפגשו הסוכן והנאשם סמוך לשעה 14:17. בהמשך הגיע למקום אדם אחר, שזהותו אינה ידועה למאשימה, ברכב. הנאשם ניגש לרכב ונטל מהאחר סם מסוכן מסוג </w:t>
      </w:r>
      <w:r w:rsidRPr="005A3CEB">
        <w:rPr>
          <w:rFonts w:ascii="FrankRuehl" w:hAnsi="FrankRuehl" w:cs="FrankRuehl" w:hint="cs"/>
        </w:rPr>
        <w:lastRenderedPageBreak/>
        <w:t>MDMA</w:t>
      </w:r>
      <w:r w:rsidRPr="005A3CEB">
        <w:rPr>
          <w:rFonts w:ascii="FrankRuehl" w:hAnsi="FrankRuehl" w:cs="FrankRuehl" w:hint="cs"/>
          <w:sz w:val="28"/>
          <w:szCs w:val="28"/>
          <w:rtl/>
        </w:rPr>
        <w:t xml:space="preserve"> במשקל שאינו ידוע למאשימה. לאחר מכן שב הנאשם אל הסוכן ומסר לו סם מסוכן מסוג </w:t>
      </w:r>
      <w:r w:rsidRPr="005A3CEB">
        <w:rPr>
          <w:rFonts w:ascii="FrankRuehl" w:hAnsi="FrankRuehl" w:cs="FrankRuehl" w:hint="cs"/>
        </w:rPr>
        <w:t>MDMA</w:t>
      </w:r>
      <w:r w:rsidRPr="005A3CEB">
        <w:rPr>
          <w:rFonts w:ascii="FrankRuehl" w:hAnsi="FrankRuehl" w:cs="FrankRuehl" w:hint="cs"/>
          <w:sz w:val="28"/>
          <w:szCs w:val="28"/>
          <w:rtl/>
        </w:rPr>
        <w:t xml:space="preserve"> במשקל 10.1232 גרם נטו, בתמורה ל-2,300 ₪ שקיבל מהסוכן.</w:t>
      </w:r>
    </w:p>
    <w:p w14:paraId="11A97C2E" w14:textId="77777777" w:rsidR="00725069" w:rsidRPr="005A3CEB" w:rsidRDefault="00725069" w:rsidP="00725069">
      <w:pPr>
        <w:spacing w:line="360" w:lineRule="auto"/>
        <w:ind w:left="425"/>
        <w:jc w:val="both"/>
        <w:rPr>
          <w:rFonts w:ascii="FrankRuehl" w:hAnsi="FrankRuehl" w:cs="FrankRuehl"/>
          <w:sz w:val="28"/>
          <w:szCs w:val="28"/>
          <w:rtl/>
        </w:rPr>
      </w:pPr>
    </w:p>
    <w:p w14:paraId="2E0DB51F" w14:textId="77777777" w:rsidR="00725069" w:rsidRPr="005A3CEB" w:rsidRDefault="00725069" w:rsidP="00725069">
      <w:pPr>
        <w:spacing w:line="360" w:lineRule="auto"/>
        <w:jc w:val="both"/>
        <w:rPr>
          <w:rFonts w:ascii="FrankRuehl" w:hAnsi="FrankRuehl" w:cs="FrankRuehl"/>
          <w:sz w:val="28"/>
          <w:szCs w:val="28"/>
        </w:rPr>
      </w:pPr>
      <w:r w:rsidRPr="005A3CEB">
        <w:rPr>
          <w:rFonts w:ascii="FrankRuehl" w:hAnsi="FrankRuehl" w:cs="FrankRuehl" w:hint="cs"/>
          <w:sz w:val="28"/>
          <w:szCs w:val="28"/>
          <w:rtl/>
        </w:rPr>
        <w:t>3.</w:t>
      </w:r>
      <w:r w:rsidRPr="005A3CEB">
        <w:rPr>
          <w:rFonts w:ascii="FrankRuehl" w:hAnsi="FrankRuehl" w:cs="FrankRuehl" w:hint="cs"/>
          <w:sz w:val="28"/>
          <w:szCs w:val="28"/>
          <w:rtl/>
        </w:rPr>
        <w:tab/>
        <w:t>בין הצדדים לא הושגה הסכמה עונשית, אולם הוסכם שהנאשם יופנה לשירות המבחן לצורך עריכת תסקיר לעונש. לאחר קבלת התסקיר, עתרו ב"כ הנאשם לדחות את הדיון למשך מספר חודשים על מנת לבחון את שילובו של הנאשם בהליך שיקומי, עתירה לה התנגדה המאשימה. לאחר עיון בתסקיר שירות המבחן, ובשים לב לכך ששירות המבחן בא בהמלצה עונשית סופית, מצאתי שלא להפנות את הנאשם פעם נוספת לשירות המבחן.</w:t>
      </w:r>
    </w:p>
    <w:p w14:paraId="5EEA39E1" w14:textId="77777777" w:rsidR="00725069" w:rsidRPr="005A3CEB" w:rsidRDefault="00725069" w:rsidP="00725069">
      <w:pPr>
        <w:spacing w:line="360" w:lineRule="auto"/>
        <w:ind w:left="425"/>
        <w:jc w:val="both"/>
        <w:rPr>
          <w:rFonts w:ascii="FrankRuehl" w:hAnsi="FrankRuehl" w:cs="FrankRuehl"/>
          <w:sz w:val="28"/>
          <w:szCs w:val="28"/>
        </w:rPr>
      </w:pPr>
    </w:p>
    <w:p w14:paraId="5ABB61DA" w14:textId="77777777" w:rsidR="00725069" w:rsidRPr="005A3CEB" w:rsidRDefault="00725069" w:rsidP="00725069">
      <w:pPr>
        <w:spacing w:line="360" w:lineRule="auto"/>
        <w:jc w:val="both"/>
        <w:rPr>
          <w:rFonts w:ascii="Miriam" w:hAnsi="Miriam" w:cs="Miriam"/>
          <w:rtl/>
        </w:rPr>
      </w:pPr>
      <w:r w:rsidRPr="005A3CEB">
        <w:rPr>
          <w:rFonts w:ascii="Miriam" w:hAnsi="Miriam" w:cs="Miriam" w:hint="cs"/>
          <w:sz w:val="28"/>
          <w:szCs w:val="28"/>
          <w:rtl/>
        </w:rPr>
        <w:t>תסקיר שירות המבחן</w:t>
      </w:r>
    </w:p>
    <w:p w14:paraId="61A5BE5C" w14:textId="77777777" w:rsidR="00725069" w:rsidRPr="005A3CEB" w:rsidRDefault="00725069" w:rsidP="00725069">
      <w:pPr>
        <w:spacing w:line="360" w:lineRule="auto"/>
        <w:jc w:val="both"/>
        <w:rPr>
          <w:rFonts w:ascii="Miriam" w:hAnsi="Miriam" w:cs="Miriam"/>
          <w:rtl/>
        </w:rPr>
      </w:pPr>
    </w:p>
    <w:p w14:paraId="2E84CB48" w14:textId="77777777" w:rsidR="00725069" w:rsidRPr="005A3CEB" w:rsidRDefault="00725069" w:rsidP="00725069">
      <w:pPr>
        <w:spacing w:line="360" w:lineRule="auto"/>
        <w:jc w:val="both"/>
        <w:rPr>
          <w:rFonts w:ascii="FrankRuehl" w:hAnsi="FrankRuehl" w:cs="FrankRuehl"/>
          <w:b/>
          <w:bCs/>
          <w:sz w:val="28"/>
          <w:szCs w:val="28"/>
        </w:rPr>
      </w:pPr>
      <w:r w:rsidRPr="005A3CEB">
        <w:rPr>
          <w:rFonts w:ascii="FrankRuehl" w:hAnsi="FrankRuehl" w:cs="FrankRuehl" w:hint="cs"/>
          <w:sz w:val="28"/>
          <w:szCs w:val="28"/>
          <w:rtl/>
        </w:rPr>
        <w:t>4.</w:t>
      </w:r>
      <w:r w:rsidRPr="005A3CEB">
        <w:rPr>
          <w:rFonts w:ascii="FrankRuehl" w:hAnsi="FrankRuehl" w:cs="FrankRuehl" w:hint="cs"/>
          <w:sz w:val="28"/>
          <w:szCs w:val="28"/>
          <w:rtl/>
        </w:rPr>
        <w:tab/>
      </w:r>
      <w:r w:rsidRPr="005A3CEB">
        <w:rPr>
          <w:rFonts w:ascii="FrankRuehl" w:hAnsi="FrankRuehl" w:cs="FrankRuehl" w:hint="cs"/>
          <w:b/>
          <w:bCs/>
          <w:sz w:val="28"/>
          <w:szCs w:val="28"/>
          <w:rtl/>
        </w:rPr>
        <w:t>מתסקיר שירות המבחן מיום 22.10.2019,</w:t>
      </w:r>
      <w:r w:rsidRPr="005A3CEB">
        <w:rPr>
          <w:rFonts w:ascii="FrankRuehl" w:hAnsi="FrankRuehl" w:cs="FrankRuehl" w:hint="cs"/>
          <w:sz w:val="28"/>
          <w:szCs w:val="28"/>
          <w:rtl/>
        </w:rPr>
        <w:t xml:space="preserve"> עולה</w:t>
      </w:r>
      <w:r w:rsidRPr="005A3CEB">
        <w:rPr>
          <w:rFonts w:ascii="FrankRuehl" w:hAnsi="FrankRuehl" w:cs="FrankRuehl" w:hint="cs"/>
          <w:b/>
          <w:bCs/>
          <w:sz w:val="28"/>
          <w:szCs w:val="28"/>
          <w:rtl/>
        </w:rPr>
        <w:t xml:space="preserve"> </w:t>
      </w:r>
      <w:r w:rsidRPr="005A3CEB">
        <w:rPr>
          <w:rFonts w:ascii="FrankRuehl" w:hAnsi="FrankRuehl" w:cs="FrankRuehl" w:hint="cs"/>
          <w:sz w:val="28"/>
          <w:szCs w:val="28"/>
          <w:rtl/>
        </w:rPr>
        <w:t>שהנאשם סובל מסכרת נעורים מילדות, מקבל טיפול בהתאם ומוכר למוסד לביטוח לאומי כנכה בהיקף של 48%. עוד נמסר שהנאשם נעדר עבר פלילי, עובד באופן מסודר ומנהל אורח חיים נורמטיבי. שירות המבחן התרשם  שהנאשם לקח אחריות על מעשיו והביע חרטה. בין חודש דצמבר 2018 לחודש אפריל 2019 השתתף הנאשם בטיפול קבוצתי בחסות שירות המבחן. להערכת קצינת המבחן, מודעותו של הנאשם ביחס לנסיבות והמניעים שעמדו מאחורי החלטתו לבצע את העבירות אינה גבוהה, ובמצבי דחק וסיכון הוא עלול לפעול על פי הדפוסים המוכרים לו. שירות המבחן המליץ להעמיד את הנאשם בצו מבחן למשך שנה ולהטיל עליו עונש מאסר מרתיע לריצוי בדרך של עבודות שירות. בעניין זה צוין כי הטלת מאסר לריצוי מאחורי סורג ובריח תסיג אחורה את ההליך השיקומי אותו עבר הנאשם, ותגדיל את הסיכוי להישנות העבירות.</w:t>
      </w:r>
    </w:p>
    <w:p w14:paraId="3777464C" w14:textId="77777777" w:rsidR="00725069" w:rsidRPr="005A3CEB" w:rsidRDefault="00725069" w:rsidP="00725069">
      <w:pPr>
        <w:spacing w:line="360" w:lineRule="auto"/>
        <w:ind w:left="425"/>
        <w:jc w:val="both"/>
        <w:rPr>
          <w:rFonts w:ascii="FrankRuehl" w:hAnsi="FrankRuehl" w:cs="FrankRuehl"/>
          <w:sz w:val="28"/>
          <w:szCs w:val="28"/>
          <w:rtl/>
        </w:rPr>
      </w:pPr>
    </w:p>
    <w:p w14:paraId="75D0B3D6" w14:textId="77777777" w:rsidR="00725069" w:rsidRPr="005A3CEB" w:rsidRDefault="00725069" w:rsidP="00725069">
      <w:pPr>
        <w:spacing w:line="360" w:lineRule="auto"/>
        <w:jc w:val="both"/>
        <w:rPr>
          <w:rFonts w:ascii="Miriam" w:hAnsi="Miriam" w:cs="Miriam"/>
          <w:sz w:val="28"/>
          <w:szCs w:val="28"/>
          <w:rtl/>
        </w:rPr>
      </w:pPr>
      <w:r w:rsidRPr="005A3CEB">
        <w:rPr>
          <w:rFonts w:ascii="Miriam" w:hAnsi="Miriam" w:cs="Miriam" w:hint="cs"/>
          <w:sz w:val="28"/>
          <w:szCs w:val="28"/>
          <w:rtl/>
        </w:rPr>
        <w:t>ראיות לעונש</w:t>
      </w:r>
    </w:p>
    <w:p w14:paraId="62901DF7" w14:textId="77777777" w:rsidR="00725069" w:rsidRPr="005A3CEB" w:rsidRDefault="00725069" w:rsidP="00725069">
      <w:pPr>
        <w:spacing w:line="360" w:lineRule="auto"/>
        <w:jc w:val="both"/>
        <w:rPr>
          <w:rFonts w:ascii="FrankRuehl" w:hAnsi="FrankRuehl" w:cs="FrankRuehl"/>
          <w:sz w:val="28"/>
          <w:szCs w:val="28"/>
          <w:rtl/>
        </w:rPr>
      </w:pPr>
    </w:p>
    <w:p w14:paraId="4DDA6512" w14:textId="77777777" w:rsidR="00725069" w:rsidRPr="005A3CEB" w:rsidRDefault="00725069" w:rsidP="00725069">
      <w:pPr>
        <w:spacing w:line="360" w:lineRule="auto"/>
        <w:jc w:val="both"/>
        <w:rPr>
          <w:rFonts w:ascii="FrankRuehl" w:hAnsi="FrankRuehl" w:cs="FrankRuehl"/>
          <w:sz w:val="28"/>
          <w:szCs w:val="28"/>
        </w:rPr>
      </w:pPr>
      <w:r w:rsidRPr="005A3CEB">
        <w:rPr>
          <w:rFonts w:ascii="FrankRuehl" w:hAnsi="FrankRuehl" w:cs="FrankRuehl" w:hint="cs"/>
          <w:sz w:val="28"/>
          <w:szCs w:val="28"/>
          <w:rtl/>
        </w:rPr>
        <w:t>5.</w:t>
      </w:r>
      <w:r w:rsidRPr="005A3CEB">
        <w:rPr>
          <w:rFonts w:ascii="FrankRuehl" w:hAnsi="FrankRuehl" w:cs="FrankRuehl" w:hint="cs"/>
          <w:sz w:val="28"/>
          <w:szCs w:val="28"/>
          <w:rtl/>
        </w:rPr>
        <w:tab/>
        <w:t>מטעם הנאשם העיד אביו, מר אליהו עמר, שהבהיר בפתח דבריו עד כמה המעמד קשה לו ושיתף בבושה שחש. לדבריו, הנאשם הוא "ילד טוב" ואחיו נורמטיביים: "הילדים שלי ברוך השם ילדים טובים. איכשהו, משהו בדרך התפקשש אתו". עוד הוסיף שהנאשם אינו מצוי בקשר עם חבריו לביצוע העבירות והוא עסוק מבוקר עד ערב בעבודתו. האב ביקש לתת לנאשם "צ'אנס", תוך שהעריך שהטלת עונש של מאסר בפועל תגרום לו נזק חמור.</w:t>
      </w:r>
    </w:p>
    <w:p w14:paraId="4E64434C" w14:textId="77777777" w:rsidR="00725069" w:rsidRPr="005A3CEB" w:rsidRDefault="00725069" w:rsidP="00725069">
      <w:pPr>
        <w:pStyle w:val="ae"/>
        <w:spacing w:line="360" w:lineRule="auto"/>
        <w:ind w:left="368"/>
        <w:jc w:val="both"/>
        <w:rPr>
          <w:rFonts w:ascii="FrankRuehl" w:hAnsi="FrankRuehl" w:cs="FrankRuehl"/>
          <w:sz w:val="28"/>
          <w:szCs w:val="28"/>
        </w:rPr>
      </w:pPr>
    </w:p>
    <w:p w14:paraId="777699B1" w14:textId="77777777" w:rsidR="00725069" w:rsidRPr="005A3CEB" w:rsidRDefault="00725069" w:rsidP="00725069">
      <w:pPr>
        <w:spacing w:line="360" w:lineRule="auto"/>
        <w:jc w:val="both"/>
        <w:rPr>
          <w:rFonts w:ascii="FrankRuehl" w:hAnsi="FrankRuehl" w:cs="FrankRuehl"/>
          <w:sz w:val="28"/>
          <w:szCs w:val="28"/>
        </w:rPr>
      </w:pPr>
      <w:r w:rsidRPr="005A3CEB">
        <w:rPr>
          <w:rFonts w:ascii="FrankRuehl" w:hAnsi="FrankRuehl" w:cs="FrankRuehl" w:hint="cs"/>
          <w:sz w:val="28"/>
          <w:szCs w:val="28"/>
          <w:rtl/>
        </w:rPr>
        <w:t>6.</w:t>
      </w:r>
      <w:r w:rsidRPr="005A3CEB">
        <w:rPr>
          <w:rFonts w:ascii="FrankRuehl" w:hAnsi="FrankRuehl" w:cs="FrankRuehl" w:hint="cs"/>
          <w:sz w:val="28"/>
          <w:szCs w:val="28"/>
          <w:rtl/>
        </w:rPr>
        <w:tab/>
        <w:t>מטעם הנאשם העידה אף אשתו, הגב' ליאן עמר. הגב' עמר ציינה כי היא והנאשם הורים לתינוקת בת שנתיים, שמאוד קשורה לנאשם. לדבריה, בני המשפחה לא נותנים לנאשם לעבור את התהליך לבדו, כאשר על פי התרשמותה נראה שהנאשם משתקם ומנסה להיות אדם טוב יותר. עוד הוסיפה שלנאשם אין דפוסים עברייניים, וכי הוא מתרחק "...מכל הדברים האלה, ללכת בדרך הישר ולעלות מעלה מעלה... זו באמת הייתה מעידה". אף הגב' עמר בקשה את רחמי בית המשפט וביקשה שלא להשית על הנאשם עונש מאסר בפועל מאחורי סורג ובריח.</w:t>
      </w:r>
    </w:p>
    <w:p w14:paraId="1BF30866" w14:textId="77777777" w:rsidR="00725069" w:rsidRPr="005A3CEB" w:rsidRDefault="00725069" w:rsidP="00725069">
      <w:pPr>
        <w:pStyle w:val="ae"/>
        <w:rPr>
          <w:rFonts w:ascii="FrankRuehl" w:hAnsi="FrankRuehl" w:cs="FrankRuehl"/>
          <w:sz w:val="28"/>
          <w:szCs w:val="28"/>
        </w:rPr>
      </w:pPr>
    </w:p>
    <w:p w14:paraId="5595F683" w14:textId="77777777" w:rsidR="00725069" w:rsidRPr="005A3CEB" w:rsidRDefault="00725069" w:rsidP="00725069">
      <w:pPr>
        <w:spacing w:line="360" w:lineRule="auto"/>
        <w:jc w:val="both"/>
        <w:rPr>
          <w:rFonts w:ascii="FrankRuehl" w:hAnsi="FrankRuehl" w:cs="FrankRuehl"/>
          <w:sz w:val="28"/>
          <w:szCs w:val="28"/>
          <w:rtl/>
        </w:rPr>
      </w:pPr>
      <w:r w:rsidRPr="005A3CEB">
        <w:rPr>
          <w:rFonts w:ascii="FrankRuehl" w:hAnsi="FrankRuehl" w:cs="FrankRuehl" w:hint="cs"/>
          <w:sz w:val="28"/>
          <w:szCs w:val="28"/>
          <w:rtl/>
        </w:rPr>
        <w:t>7.</w:t>
      </w:r>
      <w:r w:rsidRPr="005A3CEB">
        <w:rPr>
          <w:rFonts w:ascii="FrankRuehl" w:hAnsi="FrankRuehl" w:cs="FrankRuehl" w:hint="cs"/>
          <w:sz w:val="28"/>
          <w:szCs w:val="28"/>
          <w:rtl/>
        </w:rPr>
        <w:tab/>
        <w:t>מטעם הנאשם הוגשו תלושי שכר ומסמכים שונים ממקום עבודתו (</w:t>
      </w:r>
      <w:r w:rsidRPr="005A3CEB">
        <w:rPr>
          <w:rFonts w:ascii="Miriam" w:hAnsi="Miriam" w:cs="Miriam" w:hint="cs"/>
          <w:rtl/>
        </w:rPr>
        <w:t>נ/1</w:t>
      </w:r>
      <w:r w:rsidRPr="005A3CEB">
        <w:rPr>
          <w:rFonts w:ascii="FrankRuehl" w:hAnsi="FrankRuehl" w:cs="FrankRuehl" w:hint="cs"/>
          <w:sz w:val="28"/>
          <w:szCs w:val="28"/>
          <w:rtl/>
        </w:rPr>
        <w:t>) ומסמך המעיד על מצבו הרפואי (</w:t>
      </w:r>
      <w:r w:rsidRPr="005A3CEB">
        <w:rPr>
          <w:rFonts w:ascii="Miriam" w:hAnsi="Miriam" w:cs="Miriam" w:hint="cs"/>
          <w:rtl/>
        </w:rPr>
        <w:t>נ/2</w:t>
      </w:r>
      <w:r w:rsidRPr="005A3CEB">
        <w:rPr>
          <w:rFonts w:ascii="FrankRuehl" w:hAnsi="FrankRuehl" w:cs="FrankRuehl" w:hint="cs"/>
          <w:sz w:val="28"/>
          <w:szCs w:val="28"/>
          <w:rtl/>
        </w:rPr>
        <w:t>).</w:t>
      </w:r>
    </w:p>
    <w:p w14:paraId="751EE809" w14:textId="77777777" w:rsidR="00725069" w:rsidRPr="005A3CEB" w:rsidRDefault="00725069" w:rsidP="00725069">
      <w:pPr>
        <w:spacing w:line="360" w:lineRule="auto"/>
        <w:jc w:val="both"/>
        <w:rPr>
          <w:rFonts w:ascii="Miriam" w:hAnsi="Miriam" w:cs="Miriam"/>
          <w:sz w:val="28"/>
          <w:szCs w:val="28"/>
          <w:rtl/>
        </w:rPr>
      </w:pPr>
    </w:p>
    <w:p w14:paraId="3DB8A96A" w14:textId="77777777" w:rsidR="00725069" w:rsidRPr="005A3CEB" w:rsidRDefault="00725069" w:rsidP="00725069">
      <w:pPr>
        <w:spacing w:line="360" w:lineRule="auto"/>
        <w:jc w:val="both"/>
        <w:rPr>
          <w:rFonts w:ascii="Miriam" w:hAnsi="Miriam" w:cs="Miriam"/>
          <w:sz w:val="28"/>
          <w:szCs w:val="28"/>
          <w:rtl/>
        </w:rPr>
      </w:pPr>
      <w:r w:rsidRPr="005A3CEB">
        <w:rPr>
          <w:rFonts w:ascii="Miriam" w:hAnsi="Miriam" w:cs="Miriam" w:hint="cs"/>
          <w:sz w:val="28"/>
          <w:szCs w:val="28"/>
          <w:rtl/>
        </w:rPr>
        <w:t>טיעוני הצדדים ודברי הנאשם</w:t>
      </w:r>
    </w:p>
    <w:p w14:paraId="704822FE" w14:textId="77777777" w:rsidR="00725069" w:rsidRPr="005A3CEB" w:rsidRDefault="00725069" w:rsidP="00725069">
      <w:pPr>
        <w:spacing w:line="360" w:lineRule="auto"/>
        <w:ind w:left="65"/>
        <w:jc w:val="both"/>
        <w:rPr>
          <w:rFonts w:ascii="Miriam" w:hAnsi="Miriam" w:cs="Miriam"/>
          <w:sz w:val="28"/>
          <w:szCs w:val="28"/>
          <w:rtl/>
        </w:rPr>
      </w:pPr>
    </w:p>
    <w:p w14:paraId="1A736229" w14:textId="77777777" w:rsidR="00725069" w:rsidRPr="005A3CEB" w:rsidRDefault="00725069" w:rsidP="00725069">
      <w:pPr>
        <w:spacing w:line="360" w:lineRule="auto"/>
        <w:jc w:val="both"/>
        <w:rPr>
          <w:rFonts w:ascii="FrankRuehl" w:hAnsi="FrankRuehl" w:cs="FrankRuehl"/>
          <w:sz w:val="28"/>
          <w:szCs w:val="28"/>
        </w:rPr>
      </w:pPr>
      <w:r w:rsidRPr="005A3CEB">
        <w:rPr>
          <w:rFonts w:ascii="FrankRuehl" w:hAnsi="FrankRuehl" w:cs="FrankRuehl" w:hint="cs"/>
          <w:sz w:val="28"/>
          <w:szCs w:val="28"/>
          <w:rtl/>
        </w:rPr>
        <w:t>8.</w:t>
      </w:r>
      <w:r w:rsidRPr="005A3CEB">
        <w:rPr>
          <w:rFonts w:ascii="FrankRuehl" w:hAnsi="FrankRuehl" w:cs="FrankRuehl" w:hint="cs"/>
          <w:sz w:val="28"/>
          <w:szCs w:val="28"/>
          <w:rtl/>
        </w:rPr>
        <w:tab/>
        <w:t>ב"כ המאשימה ציין בטיעוניו את חומרת העבירות בהן הורשע הנאשם, הפנה למספר העסקאות, לסוג הסמים ולמשקלם. עוד עמד על הערכים המוגנים בהם פגע הנאשם, תוך שציין שהשימוש בסם ה-</w:t>
      </w:r>
      <w:r w:rsidRPr="005A3CEB">
        <w:rPr>
          <w:rFonts w:ascii="FrankRuehl" w:hAnsi="FrankRuehl" w:cs="FrankRuehl" w:hint="cs"/>
        </w:rPr>
        <w:t>MDMA</w:t>
      </w:r>
      <w:r w:rsidRPr="005A3CEB">
        <w:rPr>
          <w:rFonts w:ascii="FrankRuehl" w:hAnsi="FrankRuehl" w:cs="FrankRuehl" w:hint="cs"/>
          <w:sz w:val="28"/>
          <w:szCs w:val="28"/>
          <w:rtl/>
        </w:rPr>
        <w:t xml:space="preserve"> גורם לנזק בלתי הפיך למוחו של המשתמש. לעניין מדיניות הענישה נטען כי תופעת הסחר בסמים כונתה לא אחת על ידי בית המשפט העליון כ"מכת מדינה" וכי על פי ההלכה הנוהגת, על שיקולי השיקום לסגת מפני שיקולי ההרתעה. בהתייחסו לתסקיר הפנה לכך ששירות המבחן התרשם ממאפייני טשטוש והיעדר גבולות אצל הנאשם, המצביעים על סיכוי להמשך מעורבות עבריינית. לזכות הנאשם ציין שהוא מסר בדיקות שתן נקיות, השתלב בקבוצה טיפולית בשירות המבחן והודה במיוחס לו.</w:t>
      </w:r>
    </w:p>
    <w:p w14:paraId="57898A59" w14:textId="77777777" w:rsidR="00725069" w:rsidRPr="005A3CEB" w:rsidRDefault="00725069" w:rsidP="00725069">
      <w:pPr>
        <w:spacing w:line="360" w:lineRule="auto"/>
        <w:jc w:val="both"/>
        <w:rPr>
          <w:rFonts w:ascii="FrankRuehl" w:hAnsi="FrankRuehl" w:cs="FrankRuehl"/>
          <w:sz w:val="28"/>
          <w:szCs w:val="28"/>
          <w:rtl/>
        </w:rPr>
      </w:pPr>
      <w:r w:rsidRPr="005A3CEB">
        <w:rPr>
          <w:rFonts w:ascii="FrankRuehl" w:hAnsi="FrankRuehl" w:cs="FrankRuehl" w:hint="cs"/>
          <w:sz w:val="28"/>
          <w:szCs w:val="28"/>
          <w:rtl/>
        </w:rPr>
        <w:t>ב"כ המאשימה עתר לקבוע מתחם עונש הולם לכל אחד מהאישומים, הנע בין 12 ל-24 חודשי מאסר, וביקש להשית על הנאשם עונש של 36 חודשי מאסר, מאסר מותנה, קנס כספי "הולם", פסילה בפועל, פסילה על תנאי והתחייבות להימנע מעבירה.</w:t>
      </w:r>
    </w:p>
    <w:p w14:paraId="528D4ECC" w14:textId="77777777" w:rsidR="00725069" w:rsidRPr="005A3CEB" w:rsidRDefault="00725069" w:rsidP="00725069">
      <w:pPr>
        <w:spacing w:line="360" w:lineRule="auto"/>
        <w:ind w:left="425"/>
        <w:jc w:val="both"/>
        <w:rPr>
          <w:rFonts w:ascii="FrankRuehl" w:hAnsi="FrankRuehl" w:cs="FrankRuehl"/>
          <w:sz w:val="28"/>
          <w:szCs w:val="28"/>
          <w:rtl/>
        </w:rPr>
      </w:pPr>
    </w:p>
    <w:p w14:paraId="1214D97B" w14:textId="77777777" w:rsidR="00725069" w:rsidRPr="005A3CEB" w:rsidRDefault="00725069" w:rsidP="00725069">
      <w:pPr>
        <w:spacing w:line="360" w:lineRule="auto"/>
        <w:jc w:val="both"/>
        <w:rPr>
          <w:rFonts w:ascii="FrankRuehl" w:hAnsi="FrankRuehl" w:cs="FrankRuehl"/>
          <w:sz w:val="28"/>
          <w:szCs w:val="28"/>
          <w:rtl/>
        </w:rPr>
      </w:pPr>
      <w:r w:rsidRPr="005A3CEB">
        <w:rPr>
          <w:rFonts w:ascii="FrankRuehl" w:hAnsi="FrankRuehl" w:cs="FrankRuehl" w:hint="cs"/>
          <w:sz w:val="28"/>
          <w:szCs w:val="28"/>
          <w:rtl/>
        </w:rPr>
        <w:t>9.</w:t>
      </w:r>
      <w:r w:rsidRPr="005A3CEB">
        <w:rPr>
          <w:rFonts w:ascii="FrankRuehl" w:hAnsi="FrankRuehl" w:cs="FrankRuehl" w:hint="cs"/>
          <w:sz w:val="28"/>
          <w:szCs w:val="28"/>
          <w:rtl/>
        </w:rPr>
        <w:tab/>
        <w:t xml:space="preserve">מנגד, ביקשו ב"כ הנאשם לאמץ את תסקיר שירות המבחן ולהשית על הנאשם עונש מאסר לריצוי בעבודות שירות וענישה נלווית. לטענת ההגנה יש להכיר במכלול האישומים כמתייחסים לאירוע אחד, אשר בגינו יש לקבוע מתחם ענישה אחד. בניגוד לעמדת המאשימה, ביקשה ההגנה לקבוע מתחם עונש הולם הנע בין 8 ל-18 חודשי מאסר בפועל, הנובע מהשוואת עניינו של הנאשם לעניינו של נאשם 2 בפרשה, אשר על אף שדינו טרם נגזר, התחייבה המאשימה להגביל עצמה לעונש של עד 12 חודשי מאסר בפועל. בעניין זה הפנתה ההגנה אף להנחיית פרקליט המדינה מספר 8.1, בכל הנוגע לסוגיית השפעת הסדר הטיעון על יתר המעורבים בפרשה כחלק משיקולי התביעה בגיבוש הסדר טיעון עם נאשם. </w:t>
      </w:r>
    </w:p>
    <w:p w14:paraId="44E7F057" w14:textId="77777777" w:rsidR="00C213DD" w:rsidRDefault="00725069" w:rsidP="005A3CEB">
      <w:pPr>
        <w:spacing w:before="120" w:after="120" w:line="240" w:lineRule="exact"/>
        <w:ind w:left="283" w:hanging="283"/>
        <w:jc w:val="both"/>
        <w:rPr>
          <w:rFonts w:ascii="FrankRuehl" w:hAnsi="FrankRuehl" w:cs="FrankRuehl"/>
          <w:sz w:val="28"/>
          <w:szCs w:val="28"/>
          <w:rtl/>
        </w:rPr>
      </w:pPr>
      <w:r w:rsidRPr="005A3CEB">
        <w:rPr>
          <w:rFonts w:ascii="FrankRuehl" w:hAnsi="FrankRuehl" w:cs="FrankRuehl" w:hint="cs"/>
          <w:sz w:val="28"/>
          <w:szCs w:val="28"/>
          <w:rtl/>
        </w:rPr>
        <w:t>ב"כ הנאשם בקשו כי לפנים משורת הדין יבכר בית המשפט במקרה זה את שיקולי השיקום ויסטה מהמתחם העונשי. בעניין זה אף הפנו להמלצות "וועדת דורנר", מהן עולה שההשפעה של שליחת אדם נעדר עבר פלילי לכלא היא הרסנית, בפרט כאשר מהתסקיר עולה פוטנציאל שיקום. ב"כ הנאשם הפנו לחלקים החיוביים של תסקיר שירות המבחן, ובהם פוטנציאל השיקום של הנאשם, שאינו בעל קווי אישיות עבריינים, וכברת הדרך השיקומית שעבר ב"טיפול אינטנסיבי" במשך תקופה ארוכה. עוד טענו כי בשני האישומים בהם הורשע הנאשם, הסמים לא נמצאו פיזית</w:t>
      </w:r>
      <w:bookmarkStart w:id="6" w:name="LawTable"/>
      <w:bookmarkEnd w:id="6"/>
    </w:p>
    <w:p w14:paraId="10FC1D57" w14:textId="77777777" w:rsidR="00C213DD" w:rsidRPr="00C213DD" w:rsidRDefault="00C213DD" w:rsidP="00C213DD">
      <w:pPr>
        <w:spacing w:before="120" w:after="120" w:line="240" w:lineRule="exact"/>
        <w:ind w:left="283" w:hanging="283"/>
        <w:jc w:val="both"/>
        <w:rPr>
          <w:rFonts w:ascii="FrankRuehl" w:hAnsi="FrankRuehl" w:cs="FrankRuehl"/>
          <w:rtl/>
        </w:rPr>
      </w:pPr>
    </w:p>
    <w:p w14:paraId="32FE3D04" w14:textId="77777777" w:rsidR="00C213DD" w:rsidRPr="00C213DD" w:rsidRDefault="00C213DD" w:rsidP="005A3CEB">
      <w:pPr>
        <w:spacing w:before="120" w:after="120" w:line="240" w:lineRule="exact"/>
        <w:ind w:left="283" w:hanging="283"/>
        <w:jc w:val="both"/>
        <w:rPr>
          <w:rFonts w:ascii="FrankRuehl" w:hAnsi="FrankRuehl" w:cs="FrankRuehl"/>
          <w:sz w:val="28"/>
          <w:szCs w:val="28"/>
          <w:rtl/>
        </w:rPr>
      </w:pPr>
      <w:bookmarkStart w:id="7" w:name="LawTable_End"/>
      <w:bookmarkEnd w:id="7"/>
    </w:p>
    <w:p w14:paraId="5E7794F3" w14:textId="77777777" w:rsidR="00C213DD" w:rsidRPr="00C213DD" w:rsidRDefault="00C213DD" w:rsidP="005A3CEB">
      <w:pPr>
        <w:spacing w:before="120" w:after="120" w:line="240" w:lineRule="exact"/>
        <w:ind w:left="283" w:hanging="283"/>
        <w:jc w:val="both"/>
        <w:rPr>
          <w:rFonts w:ascii="FrankRuehl" w:hAnsi="FrankRuehl" w:cs="FrankRuehl"/>
          <w:sz w:val="28"/>
          <w:szCs w:val="28"/>
          <w:rtl/>
        </w:rPr>
      </w:pPr>
    </w:p>
    <w:p w14:paraId="2C9A0798" w14:textId="77777777" w:rsidR="005A3CEB" w:rsidRPr="005A3CEB" w:rsidRDefault="00725069" w:rsidP="005A3CEB">
      <w:pPr>
        <w:spacing w:before="120" w:after="120" w:line="240" w:lineRule="exact"/>
        <w:ind w:left="283" w:hanging="283"/>
        <w:jc w:val="both"/>
        <w:rPr>
          <w:rFonts w:ascii="FrankRuehl" w:hAnsi="FrankRuehl" w:cs="FrankRuehl"/>
          <w:rtl/>
        </w:rPr>
      </w:pPr>
      <w:r w:rsidRPr="00C213DD">
        <w:rPr>
          <w:rFonts w:ascii="FrankRuehl" w:hAnsi="FrankRuehl" w:cs="FrankRuehl" w:hint="cs"/>
          <w:sz w:val="28"/>
          <w:szCs w:val="28"/>
          <w:rtl/>
        </w:rPr>
        <w:t xml:space="preserve"> </w:t>
      </w:r>
    </w:p>
    <w:p w14:paraId="2C22197A" w14:textId="77777777" w:rsidR="005A3CEB" w:rsidRPr="005A3CEB" w:rsidRDefault="005A3CEB" w:rsidP="005A3CEB">
      <w:pPr>
        <w:spacing w:line="360" w:lineRule="auto"/>
        <w:jc w:val="both"/>
        <w:rPr>
          <w:rFonts w:ascii="FrankRuehl" w:hAnsi="FrankRuehl" w:cs="FrankRuehl"/>
          <w:sz w:val="28"/>
          <w:szCs w:val="28"/>
          <w:rtl/>
        </w:rPr>
      </w:pPr>
    </w:p>
    <w:bookmarkEnd w:id="0"/>
    <w:p w14:paraId="33382D32" w14:textId="77777777" w:rsidR="005A3CEB" w:rsidRPr="005A3CEB" w:rsidRDefault="005A3CEB" w:rsidP="005A3CEB">
      <w:pPr>
        <w:spacing w:line="360" w:lineRule="auto"/>
        <w:jc w:val="center"/>
        <w:rPr>
          <w:rFonts w:ascii="FrankRuehl" w:hAnsi="FrankRuehl" w:cs="FrankRuehl"/>
          <w:bCs/>
          <w:sz w:val="28"/>
          <w:szCs w:val="28"/>
          <w:rtl/>
        </w:rPr>
      </w:pPr>
      <w:r w:rsidRPr="005A3CEB">
        <w:rPr>
          <w:rFonts w:ascii="FrankRuehl" w:hAnsi="FrankRuehl" w:cs="FrankRuehl"/>
          <w:bCs/>
          <w:sz w:val="28"/>
          <w:szCs w:val="28"/>
          <w:rtl/>
        </w:rPr>
        <w:t>בחזקתו, אלא היה עליו ליצור קשר עם אדם נוסף שהביא אותם לשטח. עוד נטען שלנאשם לא היה</w:t>
      </w:r>
    </w:p>
    <w:p w14:paraId="0D2AA2C5" w14:textId="77777777" w:rsidR="00725069" w:rsidRDefault="00725069" w:rsidP="00725069">
      <w:pPr>
        <w:spacing w:line="360" w:lineRule="auto"/>
        <w:jc w:val="both"/>
        <w:rPr>
          <w:rFonts w:ascii="FrankRuehl" w:hAnsi="FrankRuehl" w:cs="FrankRuehl"/>
          <w:sz w:val="28"/>
          <w:szCs w:val="28"/>
          <w:rtl/>
        </w:rPr>
      </w:pPr>
      <w:r w:rsidRPr="001024CB">
        <w:rPr>
          <w:rFonts w:ascii="FrankRuehl" w:hAnsi="FrankRuehl" w:cs="FrankRuehl" w:hint="cs"/>
          <w:sz w:val="28"/>
          <w:szCs w:val="28"/>
          <w:rtl/>
        </w:rPr>
        <w:t xml:space="preserve">כל רווח כלכלי מעסקת הסמים, כיוון שהסמים לא היו בחזקתו. </w:t>
      </w:r>
    </w:p>
    <w:p w14:paraId="37B31D9C" w14:textId="77777777" w:rsidR="00725069" w:rsidRPr="001024CB"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 xml:space="preserve">ב"כ הנאשם ביקשו לזקוף לזכות הנאשם את </w:t>
      </w:r>
      <w:r w:rsidRPr="001024CB">
        <w:rPr>
          <w:rFonts w:ascii="FrankRuehl" w:hAnsi="FrankRuehl" w:cs="FrankRuehl" w:hint="cs"/>
          <w:sz w:val="28"/>
          <w:szCs w:val="28"/>
          <w:rtl/>
        </w:rPr>
        <w:t>הוד</w:t>
      </w:r>
      <w:r>
        <w:rPr>
          <w:rFonts w:ascii="FrankRuehl" w:hAnsi="FrankRuehl" w:cs="FrankRuehl" w:hint="cs"/>
          <w:sz w:val="28"/>
          <w:szCs w:val="28"/>
          <w:rtl/>
        </w:rPr>
        <w:t>אתו</w:t>
      </w:r>
      <w:r w:rsidRPr="001024CB">
        <w:rPr>
          <w:rFonts w:ascii="FrankRuehl" w:hAnsi="FrankRuehl" w:cs="FrankRuehl" w:hint="cs"/>
          <w:sz w:val="28"/>
          <w:szCs w:val="28"/>
          <w:rtl/>
        </w:rPr>
        <w:t>, נט</w:t>
      </w:r>
      <w:r>
        <w:rPr>
          <w:rFonts w:ascii="FrankRuehl" w:hAnsi="FrankRuehl" w:cs="FrankRuehl" w:hint="cs"/>
          <w:sz w:val="28"/>
          <w:szCs w:val="28"/>
          <w:rtl/>
        </w:rPr>
        <w:t>י</w:t>
      </w:r>
      <w:r w:rsidRPr="001024CB">
        <w:rPr>
          <w:rFonts w:ascii="FrankRuehl" w:hAnsi="FrankRuehl" w:cs="FrankRuehl" w:hint="cs"/>
          <w:sz w:val="28"/>
          <w:szCs w:val="28"/>
          <w:rtl/>
        </w:rPr>
        <w:t>ל</w:t>
      </w:r>
      <w:r>
        <w:rPr>
          <w:rFonts w:ascii="FrankRuehl" w:hAnsi="FrankRuehl" w:cs="FrankRuehl" w:hint="cs"/>
          <w:sz w:val="28"/>
          <w:szCs w:val="28"/>
          <w:rtl/>
        </w:rPr>
        <w:t>ת</w:t>
      </w:r>
      <w:r w:rsidRPr="001024CB">
        <w:rPr>
          <w:rFonts w:ascii="FrankRuehl" w:hAnsi="FrankRuehl" w:cs="FrankRuehl" w:hint="cs"/>
          <w:sz w:val="28"/>
          <w:szCs w:val="28"/>
          <w:rtl/>
        </w:rPr>
        <w:t xml:space="preserve"> </w:t>
      </w:r>
      <w:r>
        <w:rPr>
          <w:rFonts w:ascii="FrankRuehl" w:hAnsi="FrankRuehl" w:cs="FrankRuehl" w:hint="cs"/>
          <w:sz w:val="28"/>
          <w:szCs w:val="28"/>
          <w:rtl/>
        </w:rPr>
        <w:t>ה</w:t>
      </w:r>
      <w:r w:rsidRPr="001024CB">
        <w:rPr>
          <w:rFonts w:ascii="FrankRuehl" w:hAnsi="FrankRuehl" w:cs="FrankRuehl" w:hint="cs"/>
          <w:sz w:val="28"/>
          <w:szCs w:val="28"/>
          <w:rtl/>
        </w:rPr>
        <w:t xml:space="preserve">אחריות, </w:t>
      </w:r>
      <w:r>
        <w:rPr>
          <w:rFonts w:ascii="FrankRuehl" w:hAnsi="FrankRuehl" w:cs="FrankRuehl" w:hint="cs"/>
          <w:sz w:val="28"/>
          <w:szCs w:val="28"/>
          <w:rtl/>
        </w:rPr>
        <w:t>ה</w:t>
      </w:r>
      <w:r w:rsidRPr="001024CB">
        <w:rPr>
          <w:rFonts w:ascii="FrankRuehl" w:hAnsi="FrankRuehl" w:cs="FrankRuehl" w:hint="cs"/>
          <w:sz w:val="28"/>
          <w:szCs w:val="28"/>
          <w:rtl/>
        </w:rPr>
        <w:t>ח</w:t>
      </w:r>
      <w:r>
        <w:rPr>
          <w:rFonts w:ascii="FrankRuehl" w:hAnsi="FrankRuehl" w:cs="FrankRuehl" w:hint="cs"/>
          <w:sz w:val="28"/>
          <w:szCs w:val="28"/>
          <w:rtl/>
        </w:rPr>
        <w:t>י</w:t>
      </w:r>
      <w:r w:rsidRPr="001024CB">
        <w:rPr>
          <w:rFonts w:ascii="FrankRuehl" w:hAnsi="FrankRuehl" w:cs="FrankRuehl" w:hint="cs"/>
          <w:sz w:val="28"/>
          <w:szCs w:val="28"/>
          <w:rtl/>
        </w:rPr>
        <w:t>ס</w:t>
      </w:r>
      <w:r>
        <w:rPr>
          <w:rFonts w:ascii="FrankRuehl" w:hAnsi="FrankRuehl" w:cs="FrankRuehl" w:hint="cs"/>
          <w:sz w:val="28"/>
          <w:szCs w:val="28"/>
          <w:rtl/>
        </w:rPr>
        <w:t>כון</w:t>
      </w:r>
      <w:r w:rsidRPr="001024CB">
        <w:rPr>
          <w:rFonts w:ascii="FrankRuehl" w:hAnsi="FrankRuehl" w:cs="FrankRuehl" w:hint="cs"/>
          <w:sz w:val="28"/>
          <w:szCs w:val="28"/>
          <w:rtl/>
        </w:rPr>
        <w:t xml:space="preserve"> </w:t>
      </w:r>
      <w:r>
        <w:rPr>
          <w:rFonts w:ascii="FrankRuehl" w:hAnsi="FrankRuehl" w:cs="FrankRuehl" w:hint="cs"/>
          <w:sz w:val="28"/>
          <w:szCs w:val="28"/>
          <w:rtl/>
        </w:rPr>
        <w:t>בזמן השיפוטי</w:t>
      </w:r>
      <w:r w:rsidRPr="001024CB">
        <w:rPr>
          <w:rFonts w:ascii="FrankRuehl" w:hAnsi="FrankRuehl" w:cs="FrankRuehl" w:hint="cs"/>
          <w:sz w:val="28"/>
          <w:szCs w:val="28"/>
          <w:rtl/>
        </w:rPr>
        <w:t xml:space="preserve">, </w:t>
      </w:r>
      <w:r>
        <w:rPr>
          <w:rFonts w:ascii="FrankRuehl" w:hAnsi="FrankRuehl" w:cs="FrankRuehl" w:hint="cs"/>
          <w:sz w:val="28"/>
          <w:szCs w:val="28"/>
          <w:rtl/>
        </w:rPr>
        <w:t xml:space="preserve">ומאמציו לחזור </w:t>
      </w:r>
      <w:r w:rsidRPr="001024CB">
        <w:rPr>
          <w:rFonts w:ascii="FrankRuehl" w:hAnsi="FrankRuehl" w:cs="FrankRuehl" w:hint="cs"/>
          <w:sz w:val="28"/>
          <w:szCs w:val="28"/>
          <w:rtl/>
        </w:rPr>
        <w:t xml:space="preserve">לחיים נורמטיביים. </w:t>
      </w:r>
      <w:r>
        <w:rPr>
          <w:rFonts w:ascii="FrankRuehl" w:hAnsi="FrankRuehl" w:cs="FrankRuehl" w:hint="cs"/>
          <w:sz w:val="28"/>
          <w:szCs w:val="28"/>
          <w:rtl/>
        </w:rPr>
        <w:t xml:space="preserve">לדבריהם, </w:t>
      </w:r>
      <w:r w:rsidRPr="001024CB">
        <w:rPr>
          <w:rFonts w:ascii="FrankRuehl" w:hAnsi="FrankRuehl" w:cs="FrankRuehl" w:hint="cs"/>
          <w:sz w:val="28"/>
          <w:szCs w:val="28"/>
          <w:rtl/>
        </w:rPr>
        <w:t>המניע לביצוע העבירות היה דוחק כלכלי</w:t>
      </w:r>
      <w:r>
        <w:rPr>
          <w:rFonts w:ascii="FrankRuehl" w:hAnsi="FrankRuehl" w:cs="FrankRuehl" w:hint="cs"/>
          <w:sz w:val="28"/>
          <w:szCs w:val="28"/>
          <w:rtl/>
        </w:rPr>
        <w:t xml:space="preserve"> של הנאשם</w:t>
      </w:r>
      <w:r w:rsidRPr="001024CB">
        <w:rPr>
          <w:rFonts w:ascii="FrankRuehl" w:hAnsi="FrankRuehl" w:cs="FrankRuehl" w:hint="cs"/>
          <w:sz w:val="28"/>
          <w:szCs w:val="28"/>
          <w:rtl/>
        </w:rPr>
        <w:t xml:space="preserve">. הנאשם סובל ממחלת הסוכרת, איבד את מקום עבודתו בדואר ישראל, עמד בהליכי המעצר השונים, </w:t>
      </w:r>
      <w:r>
        <w:rPr>
          <w:rFonts w:ascii="FrankRuehl" w:hAnsi="FrankRuehl" w:cs="FrankRuehl" w:hint="cs"/>
          <w:sz w:val="28"/>
          <w:szCs w:val="28"/>
          <w:rtl/>
        </w:rPr>
        <w:t>ו</w:t>
      </w:r>
      <w:r w:rsidRPr="001024CB">
        <w:rPr>
          <w:rFonts w:ascii="FrankRuehl" w:hAnsi="FrankRuehl" w:cs="FrankRuehl" w:hint="cs"/>
          <w:sz w:val="28"/>
          <w:szCs w:val="28"/>
          <w:rtl/>
        </w:rPr>
        <w:t xml:space="preserve">עתה זקוק לעבודה חדשה. </w:t>
      </w:r>
      <w:r>
        <w:rPr>
          <w:rFonts w:ascii="FrankRuehl" w:hAnsi="FrankRuehl" w:cs="FrankRuehl" w:hint="cs"/>
          <w:sz w:val="28"/>
          <w:szCs w:val="28"/>
          <w:rtl/>
        </w:rPr>
        <w:t xml:space="preserve">לשיטתה של ההגנה, </w:t>
      </w:r>
      <w:r w:rsidRPr="001024CB">
        <w:rPr>
          <w:rFonts w:ascii="FrankRuehl" w:hAnsi="FrankRuehl" w:cs="FrankRuehl" w:hint="cs"/>
          <w:sz w:val="28"/>
          <w:szCs w:val="28"/>
          <w:rtl/>
        </w:rPr>
        <w:t>מדובר במעידה חד פעמית</w:t>
      </w:r>
      <w:r>
        <w:rPr>
          <w:rFonts w:ascii="FrankRuehl" w:hAnsi="FrankRuehl" w:cs="FrankRuehl" w:hint="cs"/>
          <w:sz w:val="28"/>
          <w:szCs w:val="28"/>
          <w:rtl/>
        </w:rPr>
        <w:t>, כאשר</w:t>
      </w:r>
      <w:r w:rsidRPr="001024CB">
        <w:rPr>
          <w:rFonts w:ascii="FrankRuehl" w:hAnsi="FrankRuehl" w:cs="FrankRuehl" w:hint="cs"/>
          <w:sz w:val="28"/>
          <w:szCs w:val="28"/>
          <w:rtl/>
        </w:rPr>
        <w:t xml:space="preserve"> במשך חודש וחצי</w:t>
      </w:r>
      <w:r w:rsidRPr="00E009B8">
        <w:rPr>
          <w:rFonts w:ascii="FrankRuehl" w:hAnsi="FrankRuehl" w:cs="FrankRuehl" w:hint="cs"/>
          <w:sz w:val="28"/>
          <w:szCs w:val="28"/>
          <w:rtl/>
        </w:rPr>
        <w:t>, בין האירוע האחרון לבין מעצרו, לא חזר הנאשם על מעשיו.</w:t>
      </w:r>
      <w:r w:rsidRPr="001024CB">
        <w:rPr>
          <w:rFonts w:ascii="FrankRuehl" w:hAnsi="FrankRuehl" w:cs="FrankRuehl" w:hint="cs"/>
          <w:sz w:val="28"/>
          <w:szCs w:val="28"/>
          <w:rtl/>
        </w:rPr>
        <w:t xml:space="preserve"> </w:t>
      </w:r>
    </w:p>
    <w:p w14:paraId="6D83AC6E" w14:textId="77777777" w:rsidR="00725069" w:rsidRDefault="00725069" w:rsidP="00725069">
      <w:pPr>
        <w:spacing w:line="360" w:lineRule="auto"/>
        <w:jc w:val="both"/>
        <w:rPr>
          <w:rFonts w:ascii="FrankRuehl" w:hAnsi="FrankRuehl" w:cs="FrankRuehl"/>
          <w:sz w:val="28"/>
          <w:szCs w:val="28"/>
          <w:rtl/>
        </w:rPr>
      </w:pPr>
    </w:p>
    <w:p w14:paraId="6F7AF217" w14:textId="77777777" w:rsidR="00725069" w:rsidRPr="00E80AC8"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מטעם המאשימה וההגנה הוגשו מספר פסקי דין, אליהם אתייחס בהמשך.</w:t>
      </w:r>
    </w:p>
    <w:p w14:paraId="5AA65F8E" w14:textId="77777777" w:rsidR="00725069" w:rsidRDefault="00725069" w:rsidP="00725069">
      <w:pPr>
        <w:spacing w:line="360" w:lineRule="auto"/>
        <w:jc w:val="both"/>
        <w:rPr>
          <w:rFonts w:ascii="FrankRuehl" w:hAnsi="FrankRuehl" w:cs="FrankRuehl"/>
          <w:sz w:val="28"/>
          <w:szCs w:val="28"/>
          <w:rtl/>
        </w:rPr>
      </w:pPr>
    </w:p>
    <w:p w14:paraId="3BACA686"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10.</w:t>
      </w:r>
      <w:r>
        <w:rPr>
          <w:rFonts w:ascii="FrankRuehl" w:hAnsi="FrankRuehl" w:cs="FrankRuehl" w:hint="cs"/>
          <w:sz w:val="28"/>
          <w:szCs w:val="28"/>
          <w:rtl/>
        </w:rPr>
        <w:tab/>
        <w:t>הנאשם ניצל את זכות המילה האחרונה. לדבריו הוא חש בושה, ומעולם לא עבר על החוק, אף לא בעבירת מהירות. הנאשם סיפר שהוא אינו חש עבריין שכן, לדבריו, "עבריין לא מתנדב לצבא, תורם לילדים ועושה להם פעילויות, עבריין לא עובד בעבודה ממשלתית 5.5 שנים." עוד הסביר שבזמן שעבר את העבירות הוריו עברו לגור עמו במפתיע, אשתו הייתה בחופשת לידה, הוא היה רגיל לחיות חיים פזרניים ובשל כל אלו נקלע לקשיים כלכליים. הנאשם הביע צער על מעשיו, הודה בטעותו וסיפר על רצונו להשתקם. לדבריו, כיום הוא עובד במסעדה ומנהל שני מטבחים, והוא אינו יודע במה יתרום עונש מאסר להמשך חייו.</w:t>
      </w:r>
    </w:p>
    <w:p w14:paraId="697D37A5" w14:textId="77777777" w:rsidR="00725069" w:rsidRDefault="00725069" w:rsidP="00725069">
      <w:pPr>
        <w:spacing w:line="360" w:lineRule="auto"/>
        <w:ind w:left="65"/>
        <w:jc w:val="both"/>
        <w:rPr>
          <w:rFonts w:ascii="FrankRuehl" w:hAnsi="FrankRuehl" w:cs="FrankRuehl"/>
          <w:sz w:val="28"/>
          <w:szCs w:val="28"/>
        </w:rPr>
      </w:pPr>
    </w:p>
    <w:p w14:paraId="03CCB466" w14:textId="77777777" w:rsidR="00725069" w:rsidRDefault="00725069" w:rsidP="00725069">
      <w:pPr>
        <w:spacing w:line="360" w:lineRule="auto"/>
        <w:jc w:val="both"/>
        <w:rPr>
          <w:rFonts w:ascii="FrankRuehl" w:hAnsi="FrankRuehl" w:cs="FrankRuehl"/>
          <w:sz w:val="28"/>
          <w:szCs w:val="28"/>
          <w:rtl/>
        </w:rPr>
      </w:pPr>
      <w:r>
        <w:rPr>
          <w:rFonts w:ascii="Miriam" w:hAnsi="Miriam" w:cs="Miriam" w:hint="cs"/>
          <w:sz w:val="28"/>
          <w:szCs w:val="28"/>
          <w:rtl/>
        </w:rPr>
        <w:t>קביעת מתחם העונש ההולם</w:t>
      </w:r>
    </w:p>
    <w:p w14:paraId="5F315F68" w14:textId="77777777" w:rsidR="00725069" w:rsidRDefault="00725069" w:rsidP="00725069">
      <w:pPr>
        <w:spacing w:line="360" w:lineRule="auto"/>
        <w:ind w:left="65" w:firstLine="60"/>
        <w:jc w:val="both"/>
        <w:rPr>
          <w:rFonts w:ascii="FrankRuehl" w:hAnsi="FrankRuehl" w:cs="FrankRuehl"/>
          <w:sz w:val="28"/>
          <w:szCs w:val="28"/>
          <w:rtl/>
        </w:rPr>
      </w:pPr>
    </w:p>
    <w:p w14:paraId="0425F506"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11.</w:t>
      </w:r>
      <w:r>
        <w:rPr>
          <w:rFonts w:ascii="FrankRuehl" w:hAnsi="FrankRuehl" w:cs="FrankRuehl" w:hint="cs"/>
          <w:sz w:val="28"/>
          <w:szCs w:val="28"/>
          <w:rtl/>
        </w:rPr>
        <w:tab/>
        <w:t>בקביעת מתחם העונש ההולם למעשה העבירה יש לתת את הדעת לעיקרון המנחה בענישה,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3F358B4C" w14:textId="77777777" w:rsidR="00725069" w:rsidRDefault="00725069" w:rsidP="00725069">
      <w:pPr>
        <w:pStyle w:val="ae"/>
        <w:spacing w:line="360" w:lineRule="auto"/>
        <w:jc w:val="both"/>
        <w:rPr>
          <w:rFonts w:ascii="FrankRuehl" w:hAnsi="FrankRuehl" w:cs="FrankRuehl"/>
          <w:b/>
          <w:bCs/>
          <w:sz w:val="28"/>
          <w:szCs w:val="28"/>
        </w:rPr>
      </w:pPr>
    </w:p>
    <w:p w14:paraId="042DAB38" w14:textId="77777777" w:rsidR="00725069" w:rsidRPr="002C30BC" w:rsidRDefault="00725069" w:rsidP="00725069">
      <w:pPr>
        <w:spacing w:line="360" w:lineRule="auto"/>
        <w:jc w:val="both"/>
        <w:rPr>
          <w:rFonts w:ascii="FrankRuehl" w:hAnsi="FrankRuehl" w:cs="FrankRuehl"/>
          <w:b/>
          <w:bCs/>
          <w:sz w:val="28"/>
          <w:szCs w:val="28"/>
        </w:rPr>
      </w:pPr>
      <w:r w:rsidRPr="002C30BC">
        <w:rPr>
          <w:rFonts w:ascii="FrankRuehl" w:hAnsi="FrankRuehl" w:cs="FrankRuehl" w:hint="cs"/>
          <w:b/>
          <w:bCs/>
          <w:sz w:val="28"/>
          <w:szCs w:val="28"/>
          <w:rtl/>
        </w:rPr>
        <w:t>אירוע עברייני אחד או מספר אירועים נפרדים</w:t>
      </w:r>
    </w:p>
    <w:p w14:paraId="670E3731" w14:textId="77777777" w:rsidR="00725069" w:rsidRPr="002C30BC" w:rsidRDefault="00725069" w:rsidP="00725069">
      <w:pPr>
        <w:pStyle w:val="ae"/>
        <w:spacing w:line="360" w:lineRule="auto"/>
        <w:jc w:val="both"/>
        <w:rPr>
          <w:rFonts w:ascii="FrankRuehl" w:hAnsi="FrankRuehl" w:cs="FrankRuehl"/>
          <w:b/>
          <w:bCs/>
          <w:sz w:val="28"/>
          <w:szCs w:val="28"/>
          <w:rtl/>
        </w:rPr>
      </w:pPr>
    </w:p>
    <w:p w14:paraId="27684751" w14:textId="77777777" w:rsidR="00725069" w:rsidRDefault="00725069" w:rsidP="00725069">
      <w:pPr>
        <w:spacing w:line="360" w:lineRule="auto"/>
        <w:jc w:val="both"/>
        <w:rPr>
          <w:rFonts w:cs="FrankRuehl"/>
          <w:sz w:val="28"/>
          <w:szCs w:val="28"/>
          <w:rtl/>
        </w:rPr>
      </w:pPr>
      <w:r>
        <w:rPr>
          <w:rFonts w:ascii="Century" w:hAnsi="Century" w:cs="FrankRuehl" w:hint="cs"/>
          <w:sz w:val="28"/>
          <w:szCs w:val="28"/>
          <w:rtl/>
        </w:rPr>
        <w:t>12.</w:t>
      </w:r>
      <w:r>
        <w:rPr>
          <w:rFonts w:ascii="Century" w:hAnsi="Century" w:cs="FrankRuehl" w:hint="cs"/>
          <w:sz w:val="28"/>
          <w:szCs w:val="28"/>
          <w:rtl/>
        </w:rPr>
        <w:tab/>
      </w:r>
      <w:r w:rsidRPr="002C30BC">
        <w:rPr>
          <w:rFonts w:ascii="Century" w:hAnsi="Century" w:cs="FrankRuehl" w:hint="cs"/>
          <w:sz w:val="28"/>
          <w:szCs w:val="28"/>
          <w:rtl/>
        </w:rPr>
        <w:t xml:space="preserve">בפתח הדברים יש לקבוע האם </w:t>
      </w:r>
      <w:r>
        <w:rPr>
          <w:rFonts w:ascii="Century" w:hAnsi="Century" w:cs="FrankRuehl" w:hint="cs"/>
          <w:sz w:val="28"/>
          <w:szCs w:val="28"/>
          <w:rtl/>
        </w:rPr>
        <w:t>מעשי הנאשם מ</w:t>
      </w:r>
      <w:r w:rsidRPr="00FE150F">
        <w:rPr>
          <w:rFonts w:ascii="Century" w:hAnsi="Century" w:cs="FrankRuehl" w:hint="cs"/>
          <w:sz w:val="28"/>
          <w:szCs w:val="28"/>
          <w:rtl/>
        </w:rPr>
        <w:t xml:space="preserve">הווים אירוע אחד, או שמא שלושה אירועים נפרדים, בהתאם להוראות </w:t>
      </w:r>
      <w:hyperlink r:id="rId15" w:history="1">
        <w:r w:rsidR="00C213DD" w:rsidRPr="00C213DD">
          <w:rPr>
            <w:rFonts w:ascii="Century" w:hAnsi="Century" w:cs="FrankRuehl" w:hint="eastAsia"/>
            <w:color w:val="0000FF"/>
            <w:sz w:val="28"/>
            <w:szCs w:val="28"/>
            <w:u w:val="single"/>
            <w:rtl/>
          </w:rPr>
          <w:t>סעיף</w:t>
        </w:r>
        <w:r w:rsidR="00C213DD" w:rsidRPr="00C213DD">
          <w:rPr>
            <w:rFonts w:ascii="Century" w:hAnsi="Century" w:cs="FrankRuehl"/>
            <w:color w:val="0000FF"/>
            <w:sz w:val="28"/>
            <w:szCs w:val="28"/>
            <w:u w:val="single"/>
            <w:rtl/>
          </w:rPr>
          <w:t xml:space="preserve"> 40</w:t>
        </w:r>
        <w:r w:rsidR="00C213DD" w:rsidRPr="00C213DD">
          <w:rPr>
            <w:rFonts w:ascii="Century" w:hAnsi="Century" w:cs="FrankRuehl" w:hint="eastAsia"/>
            <w:color w:val="0000FF"/>
            <w:sz w:val="28"/>
            <w:szCs w:val="28"/>
            <w:u w:val="single"/>
            <w:rtl/>
          </w:rPr>
          <w:t>יג</w:t>
        </w:r>
      </w:hyperlink>
      <w:r w:rsidRPr="00FE150F">
        <w:rPr>
          <w:rFonts w:ascii="Century" w:hAnsi="Century" w:cs="FrankRuehl" w:hint="cs"/>
          <w:sz w:val="28"/>
          <w:szCs w:val="28"/>
          <w:rtl/>
        </w:rPr>
        <w:t xml:space="preserve"> לחוק, ובמידה שמדובר במספר אירועים – האם יש לגזור עונש נפרד לכל אחד או עונש כולל [</w:t>
      </w:r>
      <w:hyperlink r:id="rId16" w:history="1">
        <w:r w:rsidR="005A3CEB" w:rsidRPr="005A3CEB">
          <w:rPr>
            <w:rFonts w:ascii="Century" w:hAnsi="Century" w:cs="FrankRuehl" w:hint="eastAsia"/>
            <w:color w:val="0000FF"/>
            <w:sz w:val="28"/>
            <w:szCs w:val="28"/>
            <w:u w:val="single"/>
            <w:rtl/>
          </w:rPr>
          <w:t>ע</w:t>
        </w:r>
        <w:r w:rsidR="005A3CEB" w:rsidRPr="005A3CEB">
          <w:rPr>
            <w:rFonts w:ascii="Century" w:hAnsi="Century" w:cs="FrankRuehl"/>
            <w:color w:val="0000FF"/>
            <w:sz w:val="28"/>
            <w:szCs w:val="28"/>
            <w:u w:val="single"/>
            <w:rtl/>
          </w:rPr>
          <w:t>"</w:t>
        </w:r>
        <w:r w:rsidR="005A3CEB" w:rsidRPr="005A3CEB">
          <w:rPr>
            <w:rFonts w:ascii="Century" w:hAnsi="Century" w:cs="FrankRuehl" w:hint="eastAsia"/>
            <w:color w:val="0000FF"/>
            <w:sz w:val="28"/>
            <w:szCs w:val="28"/>
            <w:u w:val="single"/>
            <w:rtl/>
          </w:rPr>
          <w:t>פ</w:t>
        </w:r>
        <w:r w:rsidR="005A3CEB" w:rsidRPr="005A3CEB">
          <w:rPr>
            <w:rFonts w:ascii="Century" w:hAnsi="Century" w:cs="FrankRuehl"/>
            <w:color w:val="0000FF"/>
            <w:sz w:val="28"/>
            <w:szCs w:val="28"/>
            <w:u w:val="single"/>
            <w:rtl/>
          </w:rPr>
          <w:t xml:space="preserve"> 8641/12</w:t>
        </w:r>
      </w:hyperlink>
      <w:r w:rsidRPr="00FE150F">
        <w:rPr>
          <w:rFonts w:ascii="Century" w:hAnsi="Century" w:cs="Times New Roman"/>
          <w:rtl/>
        </w:rPr>
        <w:t xml:space="preserve"> </w:t>
      </w:r>
      <w:r w:rsidRPr="00FE150F">
        <w:rPr>
          <w:rFonts w:ascii="Century" w:hAnsi="Century" w:cs="Miriam" w:hint="cs"/>
          <w:b/>
          <w:rtl/>
        </w:rPr>
        <w:t>סעד נ' מדינת ישראל</w:t>
      </w:r>
      <w:r w:rsidRPr="00FE150F">
        <w:rPr>
          <w:rFonts w:ascii="Century" w:hAnsi="Century" w:cs="Times New Roman" w:hint="cs"/>
          <w:rtl/>
        </w:rPr>
        <w:t xml:space="preserve"> </w:t>
      </w:r>
      <w:r w:rsidRPr="00FE150F">
        <w:rPr>
          <w:rFonts w:ascii="Century" w:hAnsi="Century" w:cs="FrankRuehl" w:hint="cs"/>
          <w:sz w:val="28"/>
          <w:szCs w:val="28"/>
          <w:rtl/>
        </w:rPr>
        <w:t>(5.8.2013)]</w:t>
      </w:r>
      <w:r w:rsidRPr="00FE150F">
        <w:rPr>
          <w:rFonts w:ascii="Century" w:hAnsi="Century" w:cs="Times New Roman" w:hint="cs"/>
          <w:rtl/>
        </w:rPr>
        <w:t xml:space="preserve">. </w:t>
      </w:r>
      <w:r w:rsidRPr="00FE150F">
        <w:rPr>
          <w:rFonts w:ascii="Century" w:hAnsi="Century" w:cs="FrankRuehl" w:hint="cs"/>
          <w:sz w:val="28"/>
          <w:szCs w:val="28"/>
          <w:rtl/>
        </w:rPr>
        <w:t>המבחן לזיהוי מספר האירועים הוא מבחן "הקשר ההדוק" [</w:t>
      </w:r>
      <w:hyperlink r:id="rId17" w:history="1">
        <w:r w:rsidR="005A3CEB" w:rsidRPr="005A3CEB">
          <w:rPr>
            <w:rFonts w:ascii="Century" w:hAnsi="Century" w:cs="FrankRuehl" w:hint="eastAsia"/>
            <w:color w:val="0000FF"/>
            <w:sz w:val="28"/>
            <w:szCs w:val="28"/>
            <w:u w:val="single"/>
            <w:rtl/>
          </w:rPr>
          <w:t>ע</w:t>
        </w:r>
        <w:r w:rsidR="005A3CEB" w:rsidRPr="005A3CEB">
          <w:rPr>
            <w:rFonts w:ascii="Century" w:hAnsi="Century" w:cs="FrankRuehl"/>
            <w:color w:val="0000FF"/>
            <w:sz w:val="28"/>
            <w:szCs w:val="28"/>
            <w:u w:val="single"/>
            <w:rtl/>
          </w:rPr>
          <w:t>"</w:t>
        </w:r>
        <w:r w:rsidR="005A3CEB" w:rsidRPr="005A3CEB">
          <w:rPr>
            <w:rFonts w:ascii="Century" w:hAnsi="Century" w:cs="FrankRuehl" w:hint="eastAsia"/>
            <w:color w:val="0000FF"/>
            <w:sz w:val="28"/>
            <w:szCs w:val="28"/>
            <w:u w:val="single"/>
            <w:rtl/>
          </w:rPr>
          <w:t>פ</w:t>
        </w:r>
        <w:r w:rsidR="005A3CEB" w:rsidRPr="005A3CEB">
          <w:rPr>
            <w:rFonts w:ascii="Century" w:hAnsi="Century" w:cs="FrankRuehl"/>
            <w:color w:val="0000FF"/>
            <w:sz w:val="28"/>
            <w:szCs w:val="28"/>
            <w:u w:val="single"/>
            <w:rtl/>
          </w:rPr>
          <w:t xml:space="preserve"> 4910/13</w:t>
        </w:r>
      </w:hyperlink>
      <w:r w:rsidRPr="00FE150F">
        <w:rPr>
          <w:rFonts w:ascii="Century" w:hAnsi="Century" w:cs="FrankRuehl" w:hint="cs"/>
          <w:sz w:val="28"/>
          <w:szCs w:val="28"/>
          <w:rtl/>
        </w:rPr>
        <w:t xml:space="preserve"> </w:t>
      </w:r>
      <w:r w:rsidRPr="00FE150F">
        <w:rPr>
          <w:rFonts w:ascii="Century" w:hAnsi="Century" w:cs="Miriam" w:hint="cs"/>
          <w:b/>
          <w:rtl/>
        </w:rPr>
        <w:t>ג'אבר נ' מדינת ישראל</w:t>
      </w:r>
      <w:r w:rsidRPr="00FE150F">
        <w:rPr>
          <w:rFonts w:ascii="Century" w:hAnsi="Century" w:cs="Times New Roman" w:hint="cs"/>
          <w:rtl/>
        </w:rPr>
        <w:t xml:space="preserve"> </w:t>
      </w:r>
      <w:r w:rsidRPr="00FE150F">
        <w:rPr>
          <w:rFonts w:ascii="Century" w:hAnsi="Century" w:cs="FrankRuehl" w:hint="cs"/>
          <w:sz w:val="28"/>
          <w:szCs w:val="28"/>
          <w:rtl/>
        </w:rPr>
        <w:t xml:space="preserve">(29.10.2014) (להלן: עניין </w:t>
      </w:r>
      <w:r w:rsidRPr="00FE150F">
        <w:rPr>
          <w:rFonts w:ascii="Century" w:hAnsi="Century" w:cs="Miriam" w:hint="cs"/>
          <w:rtl/>
        </w:rPr>
        <w:t>ג'אבר</w:t>
      </w:r>
      <w:r w:rsidRPr="00FE150F">
        <w:rPr>
          <w:rFonts w:ascii="Century" w:hAnsi="Century" w:cs="FrankRuehl" w:hint="cs"/>
          <w:sz w:val="28"/>
          <w:szCs w:val="28"/>
          <w:rtl/>
        </w:rPr>
        <w:t xml:space="preserve">); </w:t>
      </w:r>
      <w:hyperlink r:id="rId18" w:history="1">
        <w:r w:rsidR="005A3CEB" w:rsidRPr="005A3CEB">
          <w:rPr>
            <w:rFonts w:ascii="Century" w:hAnsi="Century" w:cs="FrankRuehl" w:hint="eastAsia"/>
            <w:color w:val="0000FF"/>
            <w:sz w:val="28"/>
            <w:szCs w:val="28"/>
            <w:u w:val="single"/>
            <w:rtl/>
          </w:rPr>
          <w:t>ע</w:t>
        </w:r>
        <w:r w:rsidR="005A3CEB" w:rsidRPr="005A3CEB">
          <w:rPr>
            <w:rFonts w:ascii="Century" w:hAnsi="Century" w:cs="FrankRuehl"/>
            <w:color w:val="0000FF"/>
            <w:sz w:val="28"/>
            <w:szCs w:val="28"/>
            <w:u w:val="single"/>
            <w:rtl/>
          </w:rPr>
          <w:t>"</w:t>
        </w:r>
        <w:r w:rsidR="005A3CEB" w:rsidRPr="005A3CEB">
          <w:rPr>
            <w:rFonts w:ascii="Century" w:hAnsi="Century" w:cs="FrankRuehl" w:hint="eastAsia"/>
            <w:color w:val="0000FF"/>
            <w:sz w:val="28"/>
            <w:szCs w:val="28"/>
            <w:u w:val="single"/>
            <w:rtl/>
          </w:rPr>
          <w:t>פ</w:t>
        </w:r>
        <w:r w:rsidR="005A3CEB" w:rsidRPr="005A3CEB">
          <w:rPr>
            <w:rFonts w:ascii="Century" w:hAnsi="Century" w:cs="FrankRuehl"/>
            <w:color w:val="0000FF"/>
            <w:sz w:val="28"/>
            <w:szCs w:val="28"/>
            <w:u w:val="single"/>
            <w:rtl/>
          </w:rPr>
          <w:t xml:space="preserve"> 1261/15</w:t>
        </w:r>
      </w:hyperlink>
      <w:r w:rsidRPr="00FE150F">
        <w:rPr>
          <w:rFonts w:ascii="Century" w:hAnsi="Century" w:cs="FrankRuehl" w:hint="cs"/>
          <w:sz w:val="28"/>
          <w:szCs w:val="28"/>
          <w:rtl/>
        </w:rPr>
        <w:t xml:space="preserve"> </w:t>
      </w:r>
      <w:r w:rsidRPr="00FE150F">
        <w:rPr>
          <w:rFonts w:ascii="Century" w:hAnsi="Century" w:cs="Miriam" w:hint="cs"/>
          <w:b/>
          <w:rtl/>
        </w:rPr>
        <w:t>מדינת ישראל נ' דלאל</w:t>
      </w:r>
      <w:r w:rsidRPr="00FE150F">
        <w:rPr>
          <w:rFonts w:ascii="Century" w:hAnsi="Century" w:cs="Times New Roman" w:hint="cs"/>
          <w:rtl/>
        </w:rPr>
        <w:t xml:space="preserve"> </w:t>
      </w:r>
      <w:r w:rsidRPr="00FE150F">
        <w:rPr>
          <w:rFonts w:ascii="Century" w:hAnsi="Century" w:cs="FrankRuehl" w:hint="cs"/>
          <w:sz w:val="28"/>
          <w:szCs w:val="28"/>
          <w:rtl/>
        </w:rPr>
        <w:t xml:space="preserve">(3.9.2015); </w:t>
      </w:r>
      <w:hyperlink r:id="rId19" w:history="1">
        <w:r w:rsidR="005A3CEB" w:rsidRPr="005A3CEB">
          <w:rPr>
            <w:rFonts w:ascii="Century" w:hAnsi="Century" w:cs="FrankRuehl" w:hint="eastAsia"/>
            <w:color w:val="0000FF"/>
            <w:sz w:val="28"/>
            <w:szCs w:val="28"/>
            <w:u w:val="single"/>
            <w:rtl/>
          </w:rPr>
          <w:t>ע</w:t>
        </w:r>
        <w:r w:rsidR="005A3CEB" w:rsidRPr="005A3CEB">
          <w:rPr>
            <w:rFonts w:ascii="Century" w:hAnsi="Century" w:cs="FrankRuehl"/>
            <w:color w:val="0000FF"/>
            <w:sz w:val="28"/>
            <w:szCs w:val="28"/>
            <w:u w:val="single"/>
            <w:rtl/>
          </w:rPr>
          <w:t>"</w:t>
        </w:r>
        <w:r w:rsidR="005A3CEB" w:rsidRPr="005A3CEB">
          <w:rPr>
            <w:rFonts w:ascii="Century" w:hAnsi="Century" w:cs="FrankRuehl" w:hint="eastAsia"/>
            <w:color w:val="0000FF"/>
            <w:sz w:val="28"/>
            <w:szCs w:val="28"/>
            <w:u w:val="single"/>
            <w:rtl/>
          </w:rPr>
          <w:t>פ</w:t>
        </w:r>
        <w:r w:rsidR="005A3CEB" w:rsidRPr="005A3CEB">
          <w:rPr>
            <w:rFonts w:ascii="Century" w:hAnsi="Century" w:cs="FrankRuehl"/>
            <w:color w:val="0000FF"/>
            <w:sz w:val="28"/>
            <w:szCs w:val="28"/>
            <w:u w:val="single"/>
            <w:rtl/>
          </w:rPr>
          <w:t xml:space="preserve"> 5668/13</w:t>
        </w:r>
      </w:hyperlink>
      <w:r w:rsidRPr="00FE150F">
        <w:rPr>
          <w:rFonts w:ascii="Century" w:hAnsi="Century" w:cs="Times New Roman"/>
          <w:rtl/>
        </w:rPr>
        <w:t xml:space="preserve"> </w:t>
      </w:r>
      <w:r w:rsidRPr="00FE150F">
        <w:rPr>
          <w:rFonts w:ascii="Century" w:hAnsi="Century" w:cs="Miriam" w:hint="cs"/>
          <w:b/>
          <w:rtl/>
        </w:rPr>
        <w:t>מזרחי נ' מדינת ישראל</w:t>
      </w:r>
      <w:r w:rsidRPr="00FE150F">
        <w:rPr>
          <w:rFonts w:ascii="Century" w:hAnsi="Century" w:cs="Times New Roman" w:hint="cs"/>
          <w:rtl/>
        </w:rPr>
        <w:t xml:space="preserve"> </w:t>
      </w:r>
      <w:r w:rsidRPr="00FE150F">
        <w:rPr>
          <w:rFonts w:ascii="Century" w:hAnsi="Century" w:cs="FrankRuehl" w:hint="cs"/>
          <w:sz w:val="28"/>
          <w:szCs w:val="28"/>
          <w:rtl/>
        </w:rPr>
        <w:t xml:space="preserve">(17.3.2016)]. </w:t>
      </w:r>
      <w:r w:rsidRPr="00FE150F">
        <w:rPr>
          <w:rFonts w:cs="FrankRuehl" w:hint="cs"/>
          <w:sz w:val="28"/>
          <w:szCs w:val="28"/>
          <w:rtl/>
        </w:rPr>
        <w:t>בח</w:t>
      </w:r>
      <w:r w:rsidRPr="002C30BC">
        <w:rPr>
          <w:rFonts w:cs="FrankRuehl" w:hint="cs"/>
          <w:sz w:val="28"/>
          <w:szCs w:val="28"/>
          <w:rtl/>
        </w:rPr>
        <w:t>ינת מכלול הנסיבות מוביל למסקנה לפיה במקרה זה מדובר באירוע</w:t>
      </w:r>
      <w:r>
        <w:rPr>
          <w:rFonts w:cs="FrankRuehl" w:hint="cs"/>
          <w:sz w:val="28"/>
          <w:szCs w:val="28"/>
          <w:rtl/>
        </w:rPr>
        <w:t>ים נפרדים.</w:t>
      </w:r>
      <w:r w:rsidRPr="002C30BC">
        <w:rPr>
          <w:rFonts w:cs="FrankRuehl" w:hint="cs"/>
          <w:sz w:val="28"/>
          <w:szCs w:val="28"/>
          <w:rtl/>
        </w:rPr>
        <w:t xml:space="preserve"> </w:t>
      </w:r>
      <w:r>
        <w:rPr>
          <w:rFonts w:cs="FrankRuehl" w:hint="cs"/>
          <w:sz w:val="28"/>
          <w:szCs w:val="28"/>
          <w:rtl/>
        </w:rPr>
        <w:t>קווי הדמיון בין העסקאות הוא זהות הקונה</w:t>
      </w:r>
      <w:r w:rsidRPr="002C30BC">
        <w:rPr>
          <w:rFonts w:cs="FrankRuehl" w:hint="cs"/>
          <w:sz w:val="28"/>
          <w:szCs w:val="28"/>
          <w:rtl/>
        </w:rPr>
        <w:t xml:space="preserve">, אופן ההתקשרות ומקום ביצוע העבירות. </w:t>
      </w:r>
      <w:r>
        <w:rPr>
          <w:rFonts w:cs="FrankRuehl" w:hint="cs"/>
          <w:sz w:val="28"/>
          <w:szCs w:val="28"/>
          <w:rtl/>
        </w:rPr>
        <w:t xml:space="preserve">מנגד, מדובר בעסקאות נפרדות ומובחנות זו מזו בזמן, שבוצעו בחודשים יוני </w:t>
      </w:r>
      <w:r>
        <w:rPr>
          <w:rFonts w:cs="FrankRuehl"/>
          <w:sz w:val="28"/>
          <w:szCs w:val="28"/>
          <w:rtl/>
        </w:rPr>
        <w:t>–</w:t>
      </w:r>
      <w:r>
        <w:rPr>
          <w:rFonts w:cs="FrankRuehl" w:hint="cs"/>
          <w:sz w:val="28"/>
          <w:szCs w:val="28"/>
          <w:rtl/>
        </w:rPr>
        <w:t xml:space="preserve"> אוגוסט; התשלום שולם עבור כל עסקה בנפרד; בשתיים מהעסקאות היה מדובר בסם מסוג קוקאין ובעסקה אחת היה מדובר בסם מסוכן שונה, מסוג </w:t>
      </w:r>
      <w:r w:rsidRPr="00813F54">
        <w:rPr>
          <w:rFonts w:ascii="FrankRuehl" w:hAnsi="FrankRuehl" w:cs="FrankRuehl" w:hint="cs"/>
        </w:rPr>
        <w:t>MDMA</w:t>
      </w:r>
      <w:r w:rsidRPr="00876C7B">
        <w:rPr>
          <w:rFonts w:ascii="FrankRuehl" w:eastAsia="FrankRuehl" w:hAnsi="FrankRuehl" w:cs="FrankRuehl" w:hint="cs"/>
          <w:sz w:val="28"/>
          <w:szCs w:val="28"/>
          <w:rtl/>
        </w:rPr>
        <w:t xml:space="preserve"> </w:t>
      </w:r>
      <w:r>
        <w:rPr>
          <w:rFonts w:ascii="FrankRuehl" w:eastAsia="FrankRuehl" w:hAnsi="FrankRuehl" w:cs="FrankRuehl" w:hint="cs"/>
          <w:sz w:val="28"/>
          <w:szCs w:val="28"/>
          <w:rtl/>
        </w:rPr>
        <w:t xml:space="preserve">[ראו והשוו: </w:t>
      </w:r>
      <w:hyperlink r:id="rId20" w:history="1">
        <w:r w:rsidR="005A3CEB" w:rsidRPr="005A3CEB">
          <w:rPr>
            <w:rFonts w:ascii="FrankRuehl" w:eastAsia="FrankRuehl" w:hAnsi="FrankRuehl" w:cs="FrankRuehl"/>
            <w:color w:val="0000FF"/>
            <w:sz w:val="28"/>
            <w:szCs w:val="28"/>
            <w:u w:val="single"/>
            <w:rtl/>
          </w:rPr>
          <w:t>עפ"ג (מרכז-לוד) 5501-09-17</w:t>
        </w:r>
      </w:hyperlink>
      <w:r>
        <w:rPr>
          <w:rFonts w:ascii="FrankRuehl" w:eastAsia="FrankRuehl" w:hAnsi="FrankRuehl" w:cs="FrankRuehl" w:hint="cs"/>
          <w:sz w:val="28"/>
          <w:szCs w:val="28"/>
          <w:rtl/>
        </w:rPr>
        <w:t xml:space="preserve"> </w:t>
      </w:r>
      <w:r>
        <w:rPr>
          <w:rFonts w:ascii="Miriam" w:eastAsia="FrankRuehl" w:hAnsi="Miriam" w:cs="Miriam" w:hint="cs"/>
          <w:rtl/>
        </w:rPr>
        <w:t>סמאדה נ' מדינת ישראל</w:t>
      </w:r>
      <w:r>
        <w:rPr>
          <w:rFonts w:ascii="FrankRuehl" w:eastAsia="FrankRuehl" w:hAnsi="FrankRuehl" w:cs="FrankRuehl" w:hint="cs"/>
          <w:sz w:val="28"/>
          <w:szCs w:val="28"/>
          <w:rtl/>
        </w:rPr>
        <w:t xml:space="preserve"> (6.2.2018)</w:t>
      </w:r>
      <w:r>
        <w:rPr>
          <w:rFonts w:cs="FrankRuehl" w:hint="cs"/>
          <w:sz w:val="28"/>
          <w:szCs w:val="28"/>
          <w:rtl/>
        </w:rPr>
        <w:t xml:space="preserve"> (להלן: </w:t>
      </w:r>
      <w:r w:rsidRPr="00651021">
        <w:rPr>
          <w:rFonts w:ascii="Miriam" w:eastAsia="FrankRuehl" w:hAnsi="Miriam" w:cs="Miriam" w:hint="cs"/>
          <w:rtl/>
        </w:rPr>
        <w:t>עניין</w:t>
      </w:r>
      <w:r>
        <w:rPr>
          <w:rFonts w:cs="FrankRuehl" w:hint="cs"/>
          <w:sz w:val="28"/>
          <w:szCs w:val="28"/>
          <w:rtl/>
        </w:rPr>
        <w:t xml:space="preserve"> </w:t>
      </w:r>
      <w:r>
        <w:rPr>
          <w:rFonts w:ascii="Miriam" w:eastAsia="FrankRuehl" w:hAnsi="Miriam" w:cs="Miriam" w:hint="cs"/>
          <w:rtl/>
        </w:rPr>
        <w:t>סמאדה</w:t>
      </w:r>
      <w:r>
        <w:rPr>
          <w:rFonts w:cs="FrankRuehl" w:hint="cs"/>
          <w:sz w:val="28"/>
          <w:szCs w:val="28"/>
          <w:rtl/>
        </w:rPr>
        <w:t>].</w:t>
      </w:r>
    </w:p>
    <w:p w14:paraId="6684B335" w14:textId="77777777" w:rsidR="00725069" w:rsidRDefault="00725069" w:rsidP="00725069">
      <w:pPr>
        <w:spacing w:line="360" w:lineRule="auto"/>
        <w:jc w:val="both"/>
        <w:rPr>
          <w:rFonts w:cs="FrankRuehl"/>
          <w:sz w:val="28"/>
          <w:szCs w:val="28"/>
          <w:rtl/>
        </w:rPr>
      </w:pPr>
    </w:p>
    <w:p w14:paraId="0BDBEEB8" w14:textId="77777777" w:rsidR="00725069" w:rsidRDefault="00725069" w:rsidP="00725069">
      <w:pPr>
        <w:spacing w:line="360" w:lineRule="auto"/>
        <w:jc w:val="both"/>
        <w:rPr>
          <w:rFonts w:ascii="Century" w:hAnsi="Century" w:cs="FrankRuehl"/>
          <w:sz w:val="28"/>
          <w:szCs w:val="28"/>
          <w:rtl/>
        </w:rPr>
      </w:pPr>
      <w:r>
        <w:rPr>
          <w:rFonts w:ascii="Century" w:hAnsi="Century" w:cs="FrankRuehl" w:hint="cs"/>
          <w:sz w:val="28"/>
          <w:szCs w:val="28"/>
          <w:rtl/>
        </w:rPr>
        <w:t>במאמר מוסגר אציין</w:t>
      </w:r>
      <w:r w:rsidRPr="002C30BC">
        <w:rPr>
          <w:rFonts w:ascii="Century" w:hAnsi="Century" w:cs="FrankRuehl" w:hint="cs"/>
          <w:sz w:val="28"/>
          <w:szCs w:val="28"/>
          <w:rtl/>
        </w:rPr>
        <w:t xml:space="preserve"> </w:t>
      </w:r>
      <w:r>
        <w:rPr>
          <w:rFonts w:ascii="Century" w:hAnsi="Century" w:cs="FrankRuehl" w:hint="cs"/>
          <w:sz w:val="28"/>
          <w:szCs w:val="28"/>
          <w:rtl/>
        </w:rPr>
        <w:t>ש</w:t>
      </w:r>
      <w:r w:rsidRPr="002C30BC">
        <w:rPr>
          <w:rFonts w:ascii="Century" w:hAnsi="Century" w:cs="FrankRuehl" w:hint="cs"/>
          <w:sz w:val="28"/>
          <w:szCs w:val="28"/>
          <w:rtl/>
        </w:rPr>
        <w:t>גם אם היה נקבע שאכן מדובר באירוע עברייני</w:t>
      </w:r>
      <w:r>
        <w:rPr>
          <w:rFonts w:ascii="Century" w:hAnsi="Century" w:cs="FrankRuehl" w:hint="cs"/>
          <w:sz w:val="28"/>
          <w:szCs w:val="28"/>
          <w:rtl/>
        </w:rPr>
        <w:t xml:space="preserve"> אחד</w:t>
      </w:r>
      <w:r w:rsidRPr="002C30BC">
        <w:rPr>
          <w:rFonts w:ascii="Century" w:hAnsi="Century" w:cs="FrankRuehl" w:hint="cs"/>
          <w:sz w:val="28"/>
          <w:szCs w:val="28"/>
          <w:rtl/>
        </w:rPr>
        <w:t>, לא היה בכך כדי לה</w:t>
      </w:r>
      <w:r>
        <w:rPr>
          <w:rFonts w:ascii="Century" w:hAnsi="Century" w:cs="FrankRuehl" w:hint="cs"/>
          <w:sz w:val="28"/>
          <w:szCs w:val="28"/>
          <w:rtl/>
        </w:rPr>
        <w:t>שפיע על עונשו הסופי של הנאשם,</w:t>
      </w:r>
      <w:r w:rsidRPr="002C30BC">
        <w:rPr>
          <w:rFonts w:ascii="Century" w:hAnsi="Century" w:cs="FrankRuehl" w:hint="cs"/>
          <w:sz w:val="28"/>
          <w:szCs w:val="28"/>
          <w:rtl/>
        </w:rPr>
        <w:t xml:space="preserve"> זאת בשל העובדה שממילא </w:t>
      </w:r>
      <w:r>
        <w:rPr>
          <w:rFonts w:ascii="Century" w:hAnsi="Century" w:cs="FrankRuehl" w:hint="cs"/>
          <w:sz w:val="28"/>
          <w:szCs w:val="28"/>
          <w:rtl/>
        </w:rPr>
        <w:t xml:space="preserve">לצורך </w:t>
      </w:r>
      <w:r w:rsidRPr="002C30BC">
        <w:rPr>
          <w:rFonts w:ascii="Century" w:hAnsi="Century" w:cs="FrankRuehl" w:hint="cs"/>
          <w:sz w:val="28"/>
          <w:szCs w:val="28"/>
          <w:rtl/>
        </w:rPr>
        <w:t>קביעת</w:t>
      </w:r>
      <w:r>
        <w:rPr>
          <w:rFonts w:ascii="Century" w:hAnsi="Century" w:cs="FrankRuehl" w:hint="cs"/>
          <w:sz w:val="28"/>
          <w:szCs w:val="28"/>
          <w:rtl/>
        </w:rPr>
        <w:t xml:space="preserve"> מתחם העונש, היה מקום להתחשב </w:t>
      </w:r>
      <w:r w:rsidRPr="002C30BC">
        <w:rPr>
          <w:rFonts w:ascii="Century" w:hAnsi="Century" w:cs="FrankRuehl" w:hint="cs"/>
          <w:sz w:val="28"/>
          <w:szCs w:val="28"/>
          <w:rtl/>
        </w:rPr>
        <w:t>במספר המעשי</w:t>
      </w:r>
      <w:r w:rsidRPr="00303240">
        <w:rPr>
          <w:rFonts w:ascii="Century" w:hAnsi="Century" w:cs="FrankRuehl" w:hint="cs"/>
          <w:sz w:val="28"/>
          <w:szCs w:val="28"/>
          <w:rtl/>
        </w:rPr>
        <w:t xml:space="preserve">ם העברייניים </w:t>
      </w:r>
      <w:r w:rsidRPr="00303240">
        <w:rPr>
          <w:rFonts w:ascii="Century" w:hAnsi="Century" w:cs="FrankRuehl" w:hint="cs"/>
          <w:b/>
          <w:sz w:val="28"/>
          <w:szCs w:val="28"/>
          <w:rtl/>
        </w:rPr>
        <w:t>[</w:t>
      </w:r>
      <w:r w:rsidRPr="00AA28A1">
        <w:rPr>
          <w:rFonts w:ascii="Century" w:hAnsi="Century" w:cs="Miriam" w:hint="cs"/>
          <w:rtl/>
        </w:rPr>
        <w:t>עניין</w:t>
      </w:r>
      <w:r w:rsidRPr="00303240">
        <w:rPr>
          <w:rFonts w:ascii="Century" w:hAnsi="Century" w:cs="FrankRuehl" w:hint="cs"/>
          <w:b/>
          <w:sz w:val="28"/>
          <w:szCs w:val="28"/>
          <w:rtl/>
        </w:rPr>
        <w:t xml:space="preserve"> </w:t>
      </w:r>
      <w:r w:rsidRPr="00303240">
        <w:rPr>
          <w:rFonts w:ascii="Century" w:hAnsi="Century" w:cs="Miriam" w:hint="cs"/>
          <w:b/>
          <w:rtl/>
        </w:rPr>
        <w:t>ג'אבר</w:t>
      </w:r>
      <w:r w:rsidRPr="00303240">
        <w:rPr>
          <w:rFonts w:ascii="Century" w:hAnsi="Century" w:cs="FrankRuehl" w:hint="cs"/>
          <w:rtl/>
        </w:rPr>
        <w:t>,</w:t>
      </w:r>
      <w:r w:rsidRPr="00303240">
        <w:rPr>
          <w:rFonts w:ascii="Century" w:hAnsi="Century" w:cs="FrankRuehl" w:hint="cs"/>
          <w:sz w:val="28"/>
          <w:szCs w:val="28"/>
          <w:rtl/>
        </w:rPr>
        <w:t xml:space="preserve"> פסקה 10 לפסק דינה של השופטת </w:t>
      </w:r>
      <w:r w:rsidRPr="00303240">
        <w:rPr>
          <w:rFonts w:ascii="Century" w:hAnsi="Century" w:cs="Miriam" w:hint="cs"/>
          <w:b/>
          <w:rtl/>
        </w:rPr>
        <w:t>ד' ברק-ארז</w:t>
      </w:r>
      <w:r w:rsidRPr="00303240">
        <w:rPr>
          <w:rFonts w:ascii="Century" w:hAnsi="Century" w:cs="FrankRuehl" w:hint="cs"/>
          <w:sz w:val="28"/>
          <w:szCs w:val="28"/>
          <w:rtl/>
        </w:rPr>
        <w:t xml:space="preserve">; </w:t>
      </w:r>
      <w:hyperlink r:id="rId21" w:history="1">
        <w:r w:rsidR="005A3CEB" w:rsidRPr="005A3CEB">
          <w:rPr>
            <w:rFonts w:ascii="Century" w:hAnsi="Century" w:cs="FrankRuehl" w:hint="eastAsia"/>
            <w:color w:val="0000FF"/>
            <w:sz w:val="28"/>
            <w:szCs w:val="28"/>
            <w:u w:val="single"/>
            <w:rtl/>
          </w:rPr>
          <w:t>ע</w:t>
        </w:r>
        <w:r w:rsidR="005A3CEB" w:rsidRPr="005A3CEB">
          <w:rPr>
            <w:rFonts w:ascii="Century" w:hAnsi="Century" w:cs="FrankRuehl"/>
            <w:color w:val="0000FF"/>
            <w:sz w:val="28"/>
            <w:szCs w:val="28"/>
            <w:u w:val="single"/>
            <w:rtl/>
          </w:rPr>
          <w:t>"</w:t>
        </w:r>
        <w:r w:rsidR="005A3CEB" w:rsidRPr="005A3CEB">
          <w:rPr>
            <w:rFonts w:ascii="Century" w:hAnsi="Century" w:cs="FrankRuehl" w:hint="eastAsia"/>
            <w:color w:val="0000FF"/>
            <w:sz w:val="28"/>
            <w:szCs w:val="28"/>
            <w:u w:val="single"/>
            <w:rtl/>
          </w:rPr>
          <w:t>פ</w:t>
        </w:r>
        <w:r w:rsidR="005A3CEB" w:rsidRPr="005A3CEB">
          <w:rPr>
            <w:rFonts w:ascii="Century" w:hAnsi="Century" w:cs="FrankRuehl"/>
            <w:color w:val="0000FF"/>
            <w:sz w:val="28"/>
            <w:szCs w:val="28"/>
            <w:u w:val="single"/>
            <w:rtl/>
          </w:rPr>
          <w:t xml:space="preserve"> 2454/18</w:t>
        </w:r>
      </w:hyperlink>
      <w:r w:rsidRPr="00303240">
        <w:rPr>
          <w:rFonts w:ascii="Century" w:hAnsi="Century" w:cs="FrankRuehl" w:hint="cs"/>
          <w:sz w:val="28"/>
          <w:szCs w:val="28"/>
          <w:rtl/>
        </w:rPr>
        <w:t xml:space="preserve"> </w:t>
      </w:r>
      <w:r w:rsidRPr="00303240">
        <w:rPr>
          <w:rFonts w:ascii="Century" w:hAnsi="Century" w:cs="Miriam" w:hint="cs"/>
          <w:b/>
          <w:rtl/>
        </w:rPr>
        <w:t>עזרא ש</w:t>
      </w:r>
      <w:r w:rsidRPr="002C30BC">
        <w:rPr>
          <w:rFonts w:ascii="Century" w:hAnsi="Century" w:cs="Miriam" w:hint="cs"/>
          <w:b/>
          <w:rtl/>
        </w:rPr>
        <w:t>יינברג נ' מדינת ישראל</w:t>
      </w:r>
      <w:r w:rsidRPr="002C30BC">
        <w:rPr>
          <w:rFonts w:ascii="Century" w:hAnsi="Century" w:cs="FrankRuehl" w:hint="cs"/>
          <w:sz w:val="28"/>
          <w:szCs w:val="28"/>
          <w:rtl/>
        </w:rPr>
        <w:t xml:space="preserve"> (2.12.2018) פסקה 20 לפסק דינו של השופט </w:t>
      </w:r>
      <w:r w:rsidRPr="002C30BC">
        <w:rPr>
          <w:rFonts w:ascii="Century" w:hAnsi="Century" w:cs="Miriam" w:hint="cs"/>
          <w:rtl/>
        </w:rPr>
        <w:t>ע. פוגלמן</w:t>
      </w:r>
      <w:r w:rsidRPr="002C30BC">
        <w:rPr>
          <w:rFonts w:ascii="Century" w:hAnsi="Century" w:cs="FrankRuehl" w:hint="cs"/>
          <w:sz w:val="28"/>
          <w:szCs w:val="28"/>
          <w:rtl/>
        </w:rPr>
        <w:t xml:space="preserve"> (להלן: </w:t>
      </w:r>
      <w:r w:rsidRPr="00AA28A1">
        <w:rPr>
          <w:rFonts w:ascii="Century" w:hAnsi="Century" w:cs="Miriam" w:hint="cs"/>
          <w:rtl/>
        </w:rPr>
        <w:t>עניין</w:t>
      </w:r>
      <w:r w:rsidRPr="002C30BC">
        <w:rPr>
          <w:rFonts w:ascii="Century" w:hAnsi="Century" w:cs="FrankRuehl" w:hint="cs"/>
          <w:sz w:val="28"/>
          <w:szCs w:val="28"/>
          <w:rtl/>
        </w:rPr>
        <w:t xml:space="preserve"> </w:t>
      </w:r>
      <w:r w:rsidRPr="002C30BC">
        <w:rPr>
          <w:rFonts w:ascii="Century" w:hAnsi="Century" w:cs="Miriam" w:hint="cs"/>
          <w:rtl/>
        </w:rPr>
        <w:t>שיינברג</w:t>
      </w:r>
      <w:r w:rsidRPr="002C30BC">
        <w:rPr>
          <w:rFonts w:ascii="Century" w:hAnsi="Century" w:cs="FrankRuehl" w:hint="cs"/>
          <w:sz w:val="28"/>
          <w:szCs w:val="28"/>
          <w:rtl/>
        </w:rPr>
        <w:t>)]</w:t>
      </w:r>
      <w:r>
        <w:rPr>
          <w:rFonts w:ascii="Century" w:hAnsi="Century" w:cs="FrankRuehl" w:hint="cs"/>
          <w:sz w:val="28"/>
          <w:szCs w:val="28"/>
          <w:rtl/>
        </w:rPr>
        <w:t>, ולקבוע מתחם עונשי גבוה מהמתחם שבכוונתי לקבוע לגבי כל אירוע בנפרד.</w:t>
      </w:r>
      <w:r w:rsidRPr="002C30BC">
        <w:rPr>
          <w:rFonts w:ascii="Century" w:hAnsi="Century" w:cs="FrankRuehl" w:hint="cs"/>
          <w:sz w:val="28"/>
          <w:szCs w:val="28"/>
          <w:rtl/>
        </w:rPr>
        <w:t xml:space="preserve"> </w:t>
      </w:r>
    </w:p>
    <w:p w14:paraId="0F61C2FE" w14:textId="77777777" w:rsidR="00725069" w:rsidRDefault="00725069" w:rsidP="00725069">
      <w:pPr>
        <w:spacing w:line="360" w:lineRule="auto"/>
        <w:jc w:val="both"/>
        <w:rPr>
          <w:rFonts w:cs="FrankRuehl"/>
          <w:sz w:val="28"/>
          <w:szCs w:val="28"/>
          <w:rtl/>
        </w:rPr>
      </w:pPr>
    </w:p>
    <w:p w14:paraId="34823BF4" w14:textId="77777777" w:rsidR="00725069" w:rsidRDefault="00725069" w:rsidP="00725069">
      <w:pPr>
        <w:spacing w:line="360" w:lineRule="auto"/>
        <w:jc w:val="both"/>
        <w:rPr>
          <w:rFonts w:cs="FrankRuehl"/>
          <w:sz w:val="28"/>
          <w:szCs w:val="28"/>
          <w:rtl/>
        </w:rPr>
      </w:pPr>
      <w:r>
        <w:rPr>
          <w:rFonts w:cs="FrankRuehl" w:hint="cs"/>
          <w:sz w:val="28"/>
          <w:szCs w:val="28"/>
          <w:rtl/>
        </w:rPr>
        <w:t>נוכח הדמיון הקיים בין העבירות, מן הראוי לגזור על הנאשם עונש כולל.</w:t>
      </w:r>
    </w:p>
    <w:p w14:paraId="0342C388" w14:textId="77777777" w:rsidR="00725069" w:rsidRDefault="00725069" w:rsidP="00725069">
      <w:pPr>
        <w:spacing w:line="360" w:lineRule="auto"/>
        <w:ind w:left="425"/>
        <w:jc w:val="both"/>
        <w:rPr>
          <w:rFonts w:ascii="FrankRuehl" w:hAnsi="FrankRuehl" w:cs="FrankRuehl"/>
          <w:b/>
          <w:bCs/>
          <w:sz w:val="28"/>
          <w:szCs w:val="28"/>
          <w:rtl/>
        </w:rPr>
      </w:pPr>
    </w:p>
    <w:p w14:paraId="3353DB40" w14:textId="77777777" w:rsidR="00725069" w:rsidRDefault="00725069" w:rsidP="00725069">
      <w:pPr>
        <w:spacing w:line="360" w:lineRule="auto"/>
        <w:ind w:left="425"/>
        <w:jc w:val="both"/>
        <w:rPr>
          <w:rFonts w:ascii="FrankRuehl" w:hAnsi="FrankRuehl" w:cs="FrankRuehl"/>
          <w:b/>
          <w:bCs/>
          <w:sz w:val="28"/>
          <w:szCs w:val="28"/>
          <w:rtl/>
        </w:rPr>
      </w:pPr>
    </w:p>
    <w:p w14:paraId="330EEB7D" w14:textId="77777777" w:rsidR="00725069" w:rsidRDefault="00725069" w:rsidP="00725069">
      <w:pPr>
        <w:spacing w:line="360" w:lineRule="auto"/>
        <w:ind w:left="425"/>
        <w:jc w:val="both"/>
        <w:rPr>
          <w:rFonts w:ascii="FrankRuehl" w:hAnsi="FrankRuehl" w:cs="FrankRuehl"/>
          <w:b/>
          <w:bCs/>
          <w:sz w:val="28"/>
          <w:szCs w:val="28"/>
        </w:rPr>
      </w:pPr>
    </w:p>
    <w:p w14:paraId="5E6CDE98" w14:textId="77777777" w:rsidR="00725069" w:rsidRPr="00303240" w:rsidRDefault="00725069" w:rsidP="00725069">
      <w:pPr>
        <w:spacing w:line="360" w:lineRule="auto"/>
        <w:jc w:val="both"/>
        <w:rPr>
          <w:rFonts w:ascii="FrankRuehl" w:hAnsi="FrankRuehl" w:cs="FrankRuehl"/>
          <w:b/>
          <w:bCs/>
          <w:sz w:val="28"/>
          <w:szCs w:val="28"/>
          <w:rtl/>
        </w:rPr>
      </w:pPr>
      <w:r w:rsidRPr="00303240">
        <w:rPr>
          <w:rFonts w:ascii="FrankRuehl" w:hAnsi="FrankRuehl" w:cs="FrankRuehl" w:hint="cs"/>
          <w:b/>
          <w:bCs/>
          <w:sz w:val="28"/>
          <w:szCs w:val="28"/>
          <w:rtl/>
        </w:rPr>
        <w:t>הערך החברתי שנפגע כתוצאה מביצוע העבירה</w:t>
      </w:r>
    </w:p>
    <w:p w14:paraId="11A4524D" w14:textId="77777777" w:rsidR="00725069" w:rsidRDefault="00725069" w:rsidP="00725069">
      <w:pPr>
        <w:spacing w:line="360" w:lineRule="auto"/>
        <w:ind w:left="425"/>
        <w:jc w:val="both"/>
        <w:rPr>
          <w:rFonts w:ascii="FrankRuehl" w:hAnsi="FrankRuehl" w:cs="FrankRuehl"/>
          <w:sz w:val="28"/>
          <w:szCs w:val="28"/>
        </w:rPr>
      </w:pPr>
    </w:p>
    <w:p w14:paraId="67F608B8"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t>הנאשם פגע בערכים החברתיים שעניינם הגנה על שלום הציבור, בריאותו, בטחונו האישי ורכושו. כפי שנראה מיד, הנזק הנגרם מעבירות הסמים אינו מסתכם בנזק הישיר הנגרם לגופם ולנפשם של המשתמשים בלבד, אלא בנזק לציבור בכללותו, בשים לב לכך שלא אחת גורר אחריו השימוש בסמים גם ביצוע עבירות נלוות לצורך מימון הסם, כמו למשל עבירות רכוש.</w:t>
      </w:r>
    </w:p>
    <w:p w14:paraId="64B97640"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נוכח סוג וכמות הסמים, מידת הפגיעה בערך המוגן היא משמעותית.</w:t>
      </w:r>
    </w:p>
    <w:p w14:paraId="39FA554F" w14:textId="77777777" w:rsidR="00725069" w:rsidRDefault="00725069" w:rsidP="00725069">
      <w:pPr>
        <w:spacing w:line="360" w:lineRule="auto"/>
        <w:ind w:left="720"/>
        <w:jc w:val="both"/>
        <w:rPr>
          <w:rFonts w:ascii="FrankRuehl" w:hAnsi="FrankRuehl" w:cs="FrankRuehl"/>
          <w:sz w:val="28"/>
          <w:szCs w:val="28"/>
        </w:rPr>
      </w:pPr>
    </w:p>
    <w:p w14:paraId="53A78C4B" w14:textId="77777777" w:rsidR="00725069" w:rsidRPr="00572764" w:rsidRDefault="00725069" w:rsidP="00725069">
      <w:pPr>
        <w:spacing w:line="360" w:lineRule="auto"/>
        <w:jc w:val="both"/>
        <w:rPr>
          <w:rFonts w:ascii="FrankRuehl" w:eastAsia="David" w:hAnsi="FrankRuehl" w:cs="FrankRuehl"/>
          <w:b/>
          <w:sz w:val="28"/>
          <w:szCs w:val="28"/>
        </w:rPr>
      </w:pPr>
      <w:r>
        <w:rPr>
          <w:rFonts w:ascii="FrankRuehl" w:hAnsi="FrankRuehl" w:cs="FrankRuehl" w:hint="cs"/>
          <w:sz w:val="28"/>
          <w:szCs w:val="28"/>
          <w:rtl/>
        </w:rPr>
        <w:t>14.</w:t>
      </w:r>
      <w:r>
        <w:rPr>
          <w:rFonts w:ascii="FrankRuehl" w:hAnsi="FrankRuehl" w:cs="FrankRuehl" w:hint="cs"/>
          <w:sz w:val="28"/>
          <w:szCs w:val="28"/>
          <w:rtl/>
        </w:rPr>
        <w:tab/>
      </w:r>
      <w:r w:rsidRPr="00572764">
        <w:rPr>
          <w:rFonts w:ascii="FrankRuehl" w:hAnsi="FrankRuehl" w:cs="FrankRuehl" w:hint="cs"/>
          <w:sz w:val="28"/>
          <w:szCs w:val="28"/>
          <w:rtl/>
        </w:rPr>
        <w:t xml:space="preserve">על הנזקים הטמונים בשימוש בסמים ועל הצורך לנקוט יד קשה עם העבריינים, </w:t>
      </w:r>
      <w:r>
        <w:rPr>
          <w:rFonts w:ascii="FrankRuehl" w:hAnsi="FrankRuehl" w:cs="FrankRuehl" w:hint="cs"/>
          <w:sz w:val="28"/>
          <w:szCs w:val="28"/>
          <w:rtl/>
        </w:rPr>
        <w:t>לרבות מי שרואים עצמם כ"שליחים" ,</w:t>
      </w:r>
      <w:r w:rsidRPr="00572764">
        <w:rPr>
          <w:rFonts w:ascii="FrankRuehl" w:hAnsi="FrankRuehl" w:cs="FrankRuehl" w:hint="cs"/>
          <w:sz w:val="28"/>
          <w:szCs w:val="28"/>
          <w:rtl/>
        </w:rPr>
        <w:t>עמד השופט</w:t>
      </w:r>
      <w:r w:rsidRPr="00572764">
        <w:rPr>
          <w:rFonts w:ascii="FrankRuehl" w:eastAsia="David" w:hAnsi="FrankRuehl" w:cs="FrankRuehl" w:hint="cs"/>
          <w:b/>
          <w:sz w:val="28"/>
          <w:szCs w:val="28"/>
          <w:rtl/>
        </w:rPr>
        <w:t xml:space="preserve"> </w:t>
      </w:r>
      <w:r w:rsidRPr="00572764">
        <w:rPr>
          <w:rFonts w:ascii="Miriam" w:eastAsia="David" w:hAnsi="Miriam" w:cs="Miriam" w:hint="cs"/>
          <w:b/>
          <w:rtl/>
        </w:rPr>
        <w:t>נ. הנדל</w:t>
      </w:r>
      <w:r w:rsidRPr="00572764">
        <w:rPr>
          <w:rFonts w:ascii="FrankRuehl" w:eastAsia="David" w:hAnsi="FrankRuehl" w:cs="FrankRuehl" w:hint="cs"/>
          <w:b/>
          <w:sz w:val="28"/>
          <w:szCs w:val="28"/>
          <w:rtl/>
        </w:rPr>
        <w:t xml:space="preserve"> ב</w:t>
      </w:r>
      <w:hyperlink r:id="rId22" w:history="1">
        <w:r w:rsidR="005A3CEB" w:rsidRPr="005A3CEB">
          <w:rPr>
            <w:rFonts w:ascii="FrankRuehl" w:eastAsia="David" w:hAnsi="FrankRuehl" w:cs="FrankRuehl"/>
            <w:b/>
            <w:color w:val="0000FF"/>
            <w:sz w:val="28"/>
            <w:szCs w:val="28"/>
            <w:u w:val="single"/>
            <w:rtl/>
          </w:rPr>
          <w:t>ע"פ 972/11</w:t>
        </w:r>
      </w:hyperlink>
      <w:r w:rsidRPr="00572764">
        <w:rPr>
          <w:rFonts w:ascii="FrankRuehl" w:eastAsia="David" w:hAnsi="FrankRuehl" w:cs="FrankRuehl" w:hint="cs"/>
          <w:b/>
          <w:sz w:val="28"/>
          <w:szCs w:val="28"/>
          <w:rtl/>
        </w:rPr>
        <w:t xml:space="preserve"> </w:t>
      </w:r>
      <w:r w:rsidRPr="00572764">
        <w:rPr>
          <w:rFonts w:ascii="Miriam" w:eastAsia="David" w:hAnsi="Miriam" w:cs="Miriam" w:hint="cs"/>
          <w:b/>
          <w:rtl/>
        </w:rPr>
        <w:t>מדינת ישראל נ' יונה</w:t>
      </w:r>
      <w:r w:rsidRPr="00572764">
        <w:rPr>
          <w:rFonts w:ascii="FrankRuehl" w:eastAsia="David" w:hAnsi="FrankRuehl" w:cs="FrankRuehl" w:hint="cs"/>
          <w:b/>
          <w:sz w:val="28"/>
          <w:szCs w:val="28"/>
          <w:rtl/>
        </w:rPr>
        <w:t xml:space="preserve"> (4.7.2012), בפסקה 2:</w:t>
      </w:r>
    </w:p>
    <w:p w14:paraId="5DBDF5DB" w14:textId="77777777" w:rsidR="00725069" w:rsidRDefault="00725069" w:rsidP="00725069">
      <w:pPr>
        <w:pStyle w:val="Ruller4"/>
        <w:tabs>
          <w:tab w:val="clear" w:pos="800"/>
          <w:tab w:val="left" w:pos="1076"/>
        </w:tabs>
        <w:ind w:left="1440" w:right="851"/>
      </w:pPr>
      <w:r>
        <w:rPr>
          <w:rFonts w:hint="cs"/>
          <w:rtl/>
        </w:rPr>
        <w:t>"בגזר דינו של בית המשפט המחוזי הודגש כי עבירות הסמים "היו לנגע של ממש שפשֹה במקומותינו", והן מסבות נזק כבד למשתמשים עצמם ולחברה בכללותה. אשר על כן נדרש בית המשפט להטיל עונש חמור ומרתיע. יש לנקוט בגישה מחמירה כלפי כל החוליות שבשרשרת ייבוא הסם והפצתו, לרבות מי שמכונים 'בלדרים'..."</w:t>
      </w:r>
    </w:p>
    <w:p w14:paraId="5B8DBFE1" w14:textId="77777777" w:rsidR="00725069" w:rsidRPr="00915ACF" w:rsidRDefault="00725069" w:rsidP="00725069">
      <w:pPr>
        <w:spacing w:line="360" w:lineRule="auto"/>
        <w:ind w:right="851"/>
        <w:jc w:val="both"/>
        <w:rPr>
          <w:rFonts w:ascii="FrankRuehl" w:eastAsia="David" w:hAnsi="FrankRuehl" w:cs="FrankRuehl"/>
          <w:sz w:val="28"/>
          <w:szCs w:val="28"/>
          <w:rtl/>
        </w:rPr>
      </w:pPr>
      <w:r w:rsidRPr="00915ACF">
        <w:rPr>
          <w:rFonts w:ascii="FrankRuehl" w:eastAsia="David" w:hAnsi="FrankRuehl" w:cs="FrankRuehl" w:hint="cs"/>
          <w:sz w:val="28"/>
          <w:szCs w:val="28"/>
          <w:rtl/>
        </w:rPr>
        <w:t>ובהמשך בפסקה 5:</w:t>
      </w:r>
    </w:p>
    <w:p w14:paraId="6806F51A" w14:textId="77777777" w:rsidR="00725069" w:rsidRDefault="00725069" w:rsidP="00725069">
      <w:pPr>
        <w:pStyle w:val="ae"/>
        <w:spacing w:line="360" w:lineRule="auto"/>
        <w:ind w:left="1440" w:right="851"/>
        <w:jc w:val="both"/>
        <w:rPr>
          <w:rFonts w:ascii="Arial TUR" w:eastAsia="Times New Roman" w:hAnsi="Arial TUR" w:cs="FrankRuehl"/>
          <w:spacing w:val="10"/>
          <w:szCs w:val="28"/>
          <w:rtl/>
        </w:rPr>
      </w:pPr>
      <w:r>
        <w:rPr>
          <w:rFonts w:ascii="Arial TUR" w:eastAsia="Times New Roman" w:hAnsi="Arial TUR" w:cs="FrankRuehl" w:hint="cs"/>
          <w:spacing w:val="10"/>
          <w:szCs w:val="28"/>
          <w:rtl/>
        </w:rPr>
        <w:t>"צו השעה הוא להחמיר בענישה בעבירות סמים."</w:t>
      </w:r>
    </w:p>
    <w:p w14:paraId="6DF5C288" w14:textId="77777777" w:rsidR="00725069" w:rsidRDefault="00725069" w:rsidP="00725069">
      <w:pPr>
        <w:pStyle w:val="ae"/>
        <w:spacing w:line="360" w:lineRule="auto"/>
        <w:ind w:left="651" w:right="851"/>
        <w:jc w:val="both"/>
        <w:rPr>
          <w:rFonts w:ascii="Arial TUR" w:eastAsia="Times New Roman" w:hAnsi="Arial TUR" w:cs="FrankRuehl"/>
          <w:spacing w:val="10"/>
          <w:szCs w:val="28"/>
          <w:rtl/>
        </w:rPr>
      </w:pPr>
    </w:p>
    <w:p w14:paraId="0834BE51" w14:textId="77777777" w:rsidR="00725069" w:rsidRPr="00915ACF" w:rsidRDefault="00725069" w:rsidP="00725069">
      <w:pPr>
        <w:spacing w:line="360" w:lineRule="auto"/>
        <w:jc w:val="both"/>
        <w:rPr>
          <w:rFonts w:ascii="Arial TUR" w:hAnsi="Arial TUR" w:cs="FrankRuehl"/>
          <w:spacing w:val="10"/>
          <w:szCs w:val="28"/>
          <w:rtl/>
        </w:rPr>
      </w:pPr>
      <w:r w:rsidRPr="00915ACF">
        <w:rPr>
          <w:rFonts w:ascii="Arial TUR" w:hAnsi="Arial TUR" w:cs="FrankRuehl" w:hint="cs"/>
          <w:spacing w:val="10"/>
          <w:szCs w:val="28"/>
          <w:rtl/>
        </w:rPr>
        <w:t>דברים ברוח דומה נאמרו אף ב</w:t>
      </w:r>
      <w:hyperlink r:id="rId23" w:history="1">
        <w:r w:rsidR="005A3CEB" w:rsidRPr="005A3CEB">
          <w:rPr>
            <w:rFonts w:ascii="Arial TUR" w:hAnsi="Arial TUR" w:cs="FrankRuehl"/>
            <w:color w:val="0000FF"/>
            <w:spacing w:val="10"/>
            <w:szCs w:val="28"/>
            <w:u w:val="single"/>
            <w:rtl/>
          </w:rPr>
          <w:t>ע"פ 3117/12</w:t>
        </w:r>
      </w:hyperlink>
      <w:r w:rsidRPr="00915ACF">
        <w:rPr>
          <w:rFonts w:ascii="Arial TUR" w:hAnsi="Arial TUR" w:cs="FrankRuehl" w:hint="cs"/>
          <w:spacing w:val="10"/>
          <w:szCs w:val="28"/>
          <w:rtl/>
        </w:rPr>
        <w:t xml:space="preserve"> </w:t>
      </w:r>
      <w:r w:rsidRPr="00915ACF">
        <w:rPr>
          <w:rFonts w:ascii="Miriam" w:hAnsi="Miriam" w:cs="Miriam" w:hint="cs"/>
          <w:spacing w:val="10"/>
          <w:rtl/>
        </w:rPr>
        <w:t>ארביב נ' מדינת ישראל</w:t>
      </w:r>
      <w:r w:rsidRPr="00915ACF">
        <w:rPr>
          <w:rFonts w:ascii="Arial TUR" w:hAnsi="Arial TUR" w:cs="FrankRuehl" w:hint="cs"/>
          <w:spacing w:val="10"/>
          <w:szCs w:val="28"/>
          <w:rtl/>
        </w:rPr>
        <w:t xml:space="preserve"> (6.9.2012), אליו הפנתה המאשימה.</w:t>
      </w:r>
    </w:p>
    <w:p w14:paraId="6A75D3E8" w14:textId="77777777" w:rsidR="00725069" w:rsidRDefault="00725069" w:rsidP="00725069">
      <w:pPr>
        <w:pStyle w:val="ae"/>
        <w:spacing w:line="360" w:lineRule="auto"/>
        <w:ind w:left="226" w:right="851"/>
        <w:jc w:val="both"/>
        <w:rPr>
          <w:rFonts w:ascii="Arial TUR" w:eastAsia="Times New Roman" w:hAnsi="Arial TUR" w:cs="FrankRuehl"/>
          <w:spacing w:val="10"/>
          <w:szCs w:val="28"/>
          <w:rtl/>
        </w:rPr>
      </w:pPr>
    </w:p>
    <w:p w14:paraId="454F6B1C" w14:textId="77777777" w:rsidR="00725069" w:rsidRPr="00915ACF" w:rsidRDefault="00725069" w:rsidP="00725069">
      <w:pPr>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r>
      <w:r w:rsidRPr="00915ACF">
        <w:rPr>
          <w:rFonts w:cs="FrankRuehl" w:hint="cs"/>
          <w:sz w:val="28"/>
          <w:szCs w:val="28"/>
          <w:rtl/>
        </w:rPr>
        <w:t xml:space="preserve">על חשיבות המלחמה בנגע הסמים עמד השופט </w:t>
      </w:r>
      <w:r w:rsidRPr="00915ACF">
        <w:rPr>
          <w:rFonts w:ascii="Miriam" w:hAnsi="Miriam" w:cs="Miriam" w:hint="cs"/>
          <w:rtl/>
        </w:rPr>
        <w:t>א. רובינשטיין</w:t>
      </w:r>
      <w:r w:rsidRPr="00915ACF">
        <w:rPr>
          <w:rFonts w:cs="FrankRuehl" w:hint="cs"/>
          <w:sz w:val="28"/>
          <w:szCs w:val="28"/>
          <w:rtl/>
        </w:rPr>
        <w:t xml:space="preserve"> ב</w:t>
      </w:r>
      <w:hyperlink r:id="rId24" w:history="1">
        <w:r w:rsidR="005A3CEB" w:rsidRPr="005A3CEB">
          <w:rPr>
            <w:rFonts w:cs="FrankRuehl"/>
            <w:color w:val="0000FF"/>
            <w:sz w:val="28"/>
            <w:szCs w:val="28"/>
            <w:u w:val="single"/>
            <w:rtl/>
          </w:rPr>
          <w:t>רע"פ 1720/11</w:t>
        </w:r>
      </w:hyperlink>
      <w:r w:rsidRPr="00915ACF">
        <w:rPr>
          <w:rFonts w:cs="FrankRuehl" w:hint="cs"/>
          <w:sz w:val="28"/>
          <w:szCs w:val="28"/>
          <w:rtl/>
        </w:rPr>
        <w:t xml:space="preserve"> </w:t>
      </w:r>
      <w:r w:rsidRPr="00915ACF">
        <w:rPr>
          <w:rFonts w:ascii="Miriam" w:hAnsi="Miriam" w:cs="Miriam" w:hint="cs"/>
          <w:rtl/>
        </w:rPr>
        <w:t xml:space="preserve">גליק נ' מדינת ישראל </w:t>
      </w:r>
      <w:r w:rsidRPr="00915ACF">
        <w:rPr>
          <w:rFonts w:cs="FrankRuehl" w:hint="cs"/>
          <w:sz w:val="28"/>
          <w:szCs w:val="28"/>
          <w:rtl/>
        </w:rPr>
        <w:t>(7.3.2011):</w:t>
      </w:r>
    </w:p>
    <w:p w14:paraId="12CCE65E" w14:textId="77777777" w:rsidR="00725069" w:rsidRDefault="00725069" w:rsidP="00725069">
      <w:pPr>
        <w:pStyle w:val="ae"/>
        <w:spacing w:after="120" w:line="360" w:lineRule="auto"/>
        <w:ind w:left="1440" w:right="851"/>
        <w:jc w:val="both"/>
        <w:rPr>
          <w:rFonts w:cs="FrankRuehl"/>
          <w:sz w:val="28"/>
          <w:szCs w:val="28"/>
          <w:rtl/>
        </w:rPr>
      </w:pPr>
    </w:p>
    <w:p w14:paraId="59AE6BC7" w14:textId="77777777" w:rsidR="00725069" w:rsidRDefault="00725069" w:rsidP="00725069">
      <w:pPr>
        <w:pStyle w:val="ae"/>
        <w:spacing w:after="120" w:line="360" w:lineRule="auto"/>
        <w:ind w:left="1440" w:right="851"/>
        <w:jc w:val="both"/>
        <w:rPr>
          <w:rFonts w:cs="FrankRuehl"/>
          <w:sz w:val="28"/>
          <w:szCs w:val="28"/>
          <w:rtl/>
        </w:rPr>
      </w:pPr>
      <w:r>
        <w:rPr>
          <w:rFonts w:cs="FrankRuehl" w:hint="cs"/>
          <w:sz w:val="28"/>
          <w:szCs w:val="28"/>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5" w:history="1">
        <w:r w:rsidR="005A3CEB" w:rsidRPr="005A3CEB">
          <w:rPr>
            <w:rFonts w:cs="FrankRuehl" w:hint="cs"/>
            <w:color w:val="0000FF"/>
            <w:sz w:val="28"/>
            <w:szCs w:val="28"/>
            <w:u w:val="single"/>
            <w:rtl/>
          </w:rPr>
          <w:t>ע</w:t>
        </w:r>
        <w:r w:rsidR="005A3CEB" w:rsidRPr="005A3CEB">
          <w:rPr>
            <w:rFonts w:cs="FrankRuehl"/>
            <w:color w:val="0000FF"/>
            <w:sz w:val="28"/>
            <w:szCs w:val="28"/>
            <w:u w:val="single"/>
            <w:rtl/>
          </w:rPr>
          <w:t>"</w:t>
        </w:r>
        <w:r w:rsidR="005A3CEB" w:rsidRPr="005A3CEB">
          <w:rPr>
            <w:rFonts w:cs="FrankRuehl" w:hint="cs"/>
            <w:color w:val="0000FF"/>
            <w:sz w:val="28"/>
            <w:szCs w:val="28"/>
            <w:u w:val="single"/>
            <w:rtl/>
          </w:rPr>
          <w:t>פ</w:t>
        </w:r>
        <w:r w:rsidR="005A3CEB" w:rsidRPr="005A3CEB">
          <w:rPr>
            <w:rFonts w:cs="FrankRuehl"/>
            <w:color w:val="0000FF"/>
            <w:sz w:val="28"/>
            <w:szCs w:val="28"/>
            <w:u w:val="single"/>
            <w:rtl/>
          </w:rPr>
          <w:t xml:space="preserve"> 4998/95 </w:t>
        </w:r>
        <w:r w:rsidR="005A3CEB" w:rsidRPr="005A3CEB">
          <w:rPr>
            <w:rFonts w:cs="FrankRuehl" w:hint="cs"/>
            <w:color w:val="0000FF"/>
            <w:sz w:val="28"/>
            <w:szCs w:val="28"/>
            <w:u w:val="single"/>
            <w:rtl/>
          </w:rPr>
          <w:t>מדינת</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ישראל</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נ</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אוקטביו</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פ</w:t>
        </w:r>
        <w:r w:rsidR="005A3CEB" w:rsidRPr="005A3CEB">
          <w:rPr>
            <w:rFonts w:cs="FrankRuehl"/>
            <w:color w:val="0000FF"/>
            <w:sz w:val="28"/>
            <w:szCs w:val="28"/>
            <w:u w:val="single"/>
            <w:rtl/>
          </w:rPr>
          <w:t>"</w:t>
        </w:r>
        <w:r w:rsidR="005A3CEB" w:rsidRPr="005A3CEB">
          <w:rPr>
            <w:rFonts w:cs="FrankRuehl" w:hint="cs"/>
            <w:color w:val="0000FF"/>
            <w:sz w:val="28"/>
            <w:szCs w:val="28"/>
            <w:u w:val="single"/>
            <w:rtl/>
          </w:rPr>
          <w:t>ד</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נא</w:t>
        </w:r>
      </w:hyperlink>
      <w:r>
        <w:rPr>
          <w:rFonts w:cs="FrankRuehl" w:hint="cs"/>
          <w:sz w:val="28"/>
          <w:szCs w:val="28"/>
          <w:rtl/>
        </w:rPr>
        <w:t>(3) 769, 787 השופט כתוארו אז – חשין)."</w:t>
      </w:r>
    </w:p>
    <w:p w14:paraId="1369A403" w14:textId="77777777" w:rsidR="00725069" w:rsidRDefault="00725069" w:rsidP="00725069">
      <w:pPr>
        <w:spacing w:after="120" w:line="360" w:lineRule="auto"/>
        <w:ind w:left="793" w:right="851"/>
        <w:jc w:val="both"/>
        <w:rPr>
          <w:rFonts w:ascii="Calibri" w:eastAsia="Calibri" w:hAnsi="Calibri" w:cs="FrankRuehl"/>
          <w:sz w:val="28"/>
          <w:szCs w:val="28"/>
          <w:rtl/>
        </w:rPr>
      </w:pPr>
    </w:p>
    <w:p w14:paraId="56C5BE16" w14:textId="77777777" w:rsidR="00725069" w:rsidRPr="00915ACF" w:rsidRDefault="00725069" w:rsidP="00725069">
      <w:pPr>
        <w:spacing w:after="120" w:line="360" w:lineRule="auto"/>
        <w:jc w:val="both"/>
        <w:rPr>
          <w:rFonts w:cs="FrankRuehl"/>
          <w:sz w:val="28"/>
          <w:szCs w:val="28"/>
          <w:rtl/>
        </w:rPr>
      </w:pPr>
      <w:r w:rsidRPr="00915ACF">
        <w:rPr>
          <w:rFonts w:cs="FrankRuehl" w:hint="cs"/>
          <w:sz w:val="28"/>
          <w:szCs w:val="28"/>
          <w:rtl/>
        </w:rPr>
        <w:t>וכן ב</w:t>
      </w:r>
      <w:hyperlink r:id="rId26" w:history="1">
        <w:r w:rsidR="005A3CEB" w:rsidRPr="005A3CEB">
          <w:rPr>
            <w:rFonts w:cs="FrankRuehl"/>
            <w:color w:val="0000FF"/>
            <w:sz w:val="28"/>
            <w:szCs w:val="28"/>
            <w:u w:val="single"/>
            <w:rtl/>
          </w:rPr>
          <w:t>ע"פ 4484/05</w:t>
        </w:r>
      </w:hyperlink>
      <w:r w:rsidRPr="00915ACF">
        <w:rPr>
          <w:rFonts w:cs="FrankRuehl" w:hint="cs"/>
          <w:sz w:val="28"/>
          <w:szCs w:val="28"/>
          <w:rtl/>
        </w:rPr>
        <w:t xml:space="preserve"> </w:t>
      </w:r>
      <w:r w:rsidRPr="00915ACF">
        <w:rPr>
          <w:rFonts w:ascii="Miriam" w:hAnsi="Miriam" w:cs="Miriam" w:hint="cs"/>
          <w:rtl/>
        </w:rPr>
        <w:t>גונן נ' מדינת ישראל</w:t>
      </w:r>
      <w:r w:rsidRPr="00915ACF">
        <w:rPr>
          <w:rFonts w:cs="FrankRuehl" w:hint="cs"/>
          <w:sz w:val="28"/>
          <w:szCs w:val="28"/>
          <w:rtl/>
        </w:rPr>
        <w:t xml:space="preserve"> (8.8.2006), אליו הפנ</w:t>
      </w:r>
      <w:r>
        <w:rPr>
          <w:rFonts w:cs="FrankRuehl" w:hint="cs"/>
          <w:sz w:val="28"/>
          <w:szCs w:val="28"/>
          <w:rtl/>
        </w:rPr>
        <w:t>ה</w:t>
      </w:r>
      <w:r w:rsidRPr="00915ACF">
        <w:rPr>
          <w:rFonts w:cs="FrankRuehl" w:hint="cs"/>
          <w:sz w:val="28"/>
          <w:szCs w:val="28"/>
          <w:rtl/>
        </w:rPr>
        <w:t xml:space="preserve"> ב"כ המאשימה,</w:t>
      </w:r>
      <w:r>
        <w:rPr>
          <w:rFonts w:cs="FrankRuehl" w:hint="cs"/>
          <w:sz w:val="28"/>
          <w:szCs w:val="28"/>
          <w:rtl/>
        </w:rPr>
        <w:t xml:space="preserve"> בו</w:t>
      </w:r>
      <w:r w:rsidRPr="00915ACF">
        <w:rPr>
          <w:rFonts w:cs="FrankRuehl" w:hint="cs"/>
          <w:sz w:val="28"/>
          <w:szCs w:val="28"/>
          <w:rtl/>
        </w:rPr>
        <w:t xml:space="preserve"> הדגישה השופטת </w:t>
      </w:r>
      <w:r w:rsidRPr="00915ACF">
        <w:rPr>
          <w:rFonts w:ascii="Miriam" w:hAnsi="Miriam" w:cs="Miriam" w:hint="cs"/>
          <w:rtl/>
        </w:rPr>
        <w:t>ד. ברלינר</w:t>
      </w:r>
      <w:r w:rsidRPr="00915ACF">
        <w:rPr>
          <w:rFonts w:cs="FrankRuehl" w:hint="cs"/>
          <w:sz w:val="28"/>
          <w:szCs w:val="28"/>
          <w:rtl/>
        </w:rPr>
        <w:t>:</w:t>
      </w:r>
    </w:p>
    <w:p w14:paraId="7B1A3844" w14:textId="77777777" w:rsidR="00725069" w:rsidRDefault="00725069" w:rsidP="00725069">
      <w:pPr>
        <w:spacing w:after="120" w:line="360" w:lineRule="auto"/>
        <w:ind w:left="84" w:right="851"/>
        <w:jc w:val="both"/>
        <w:rPr>
          <w:rFonts w:ascii="Calibri" w:eastAsia="Calibri" w:hAnsi="Calibri" w:cs="FrankRuehl"/>
          <w:sz w:val="28"/>
          <w:szCs w:val="28"/>
          <w:rtl/>
        </w:rPr>
      </w:pPr>
    </w:p>
    <w:p w14:paraId="37ED8695" w14:textId="77777777" w:rsidR="00725069" w:rsidRDefault="00725069" w:rsidP="00725069">
      <w:pPr>
        <w:pStyle w:val="ae"/>
        <w:spacing w:after="120" w:line="360" w:lineRule="auto"/>
        <w:ind w:left="1440" w:right="851"/>
        <w:jc w:val="both"/>
        <w:rPr>
          <w:rFonts w:cs="FrankRuehl"/>
          <w:sz w:val="28"/>
          <w:szCs w:val="28"/>
          <w:rtl/>
        </w:rPr>
      </w:pPr>
      <w:r>
        <w:rPr>
          <w:rFonts w:cs="FrankRuehl" w:hint="cs"/>
          <w:sz w:val="28"/>
          <w:szCs w:val="28"/>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2E50E1F7" w14:textId="77777777" w:rsidR="00725069" w:rsidRDefault="00725069" w:rsidP="00725069">
      <w:pPr>
        <w:spacing w:line="360" w:lineRule="auto"/>
        <w:jc w:val="both"/>
        <w:rPr>
          <w:rFonts w:ascii="Calibri" w:hAnsi="Calibri"/>
          <w:rtl/>
        </w:rPr>
      </w:pPr>
    </w:p>
    <w:p w14:paraId="6FF9806B" w14:textId="77777777" w:rsidR="00725069" w:rsidRDefault="00725069" w:rsidP="00725069">
      <w:pPr>
        <w:spacing w:line="360" w:lineRule="auto"/>
        <w:jc w:val="both"/>
        <w:rPr>
          <w:rFonts w:ascii="Calibri" w:hAnsi="Calibri" w:cs="FrankRuehl"/>
          <w:sz w:val="28"/>
          <w:szCs w:val="28"/>
          <w:rtl/>
        </w:rPr>
      </w:pPr>
      <w:r w:rsidRPr="00574A5C">
        <w:rPr>
          <w:rFonts w:ascii="Calibri" w:hAnsi="Calibri" w:cs="FrankRuehl" w:hint="eastAsia"/>
          <w:sz w:val="28"/>
          <w:szCs w:val="28"/>
          <w:rtl/>
        </w:rPr>
        <w:t>ב</w:t>
      </w:r>
      <w:hyperlink r:id="rId27" w:history="1">
        <w:r w:rsidR="005A3CEB" w:rsidRPr="005A3CEB">
          <w:rPr>
            <w:rFonts w:ascii="Calibri" w:hAnsi="Calibri" w:cs="FrankRuehl" w:hint="eastAsia"/>
            <w:color w:val="0000FF"/>
            <w:sz w:val="28"/>
            <w:szCs w:val="28"/>
            <w:u w:val="single"/>
            <w:rtl/>
          </w:rPr>
          <w:t>ע</w:t>
        </w:r>
        <w:r w:rsidR="005A3CEB" w:rsidRPr="005A3CEB">
          <w:rPr>
            <w:rFonts w:ascii="Calibri" w:hAnsi="Calibri" w:cs="FrankRuehl"/>
            <w:color w:val="0000FF"/>
            <w:sz w:val="28"/>
            <w:szCs w:val="28"/>
            <w:u w:val="single"/>
            <w:rtl/>
          </w:rPr>
          <w:t>"</w:t>
        </w:r>
        <w:r w:rsidR="005A3CEB" w:rsidRPr="005A3CEB">
          <w:rPr>
            <w:rFonts w:ascii="Calibri" w:hAnsi="Calibri" w:cs="FrankRuehl" w:hint="eastAsia"/>
            <w:color w:val="0000FF"/>
            <w:sz w:val="28"/>
            <w:szCs w:val="28"/>
            <w:u w:val="single"/>
            <w:rtl/>
          </w:rPr>
          <w:t>פ</w:t>
        </w:r>
        <w:r w:rsidR="005A3CEB" w:rsidRPr="005A3CEB">
          <w:rPr>
            <w:rFonts w:ascii="Calibri" w:hAnsi="Calibri" w:cs="FrankRuehl"/>
            <w:color w:val="0000FF"/>
            <w:sz w:val="28"/>
            <w:szCs w:val="28"/>
            <w:u w:val="single"/>
            <w:rtl/>
          </w:rPr>
          <w:t xml:space="preserve"> 6747/11</w:t>
        </w:r>
      </w:hyperlink>
      <w:r w:rsidRPr="00574A5C">
        <w:rPr>
          <w:rFonts w:ascii="Calibri" w:hAnsi="Calibri" w:cs="FrankRuehl"/>
          <w:sz w:val="28"/>
          <w:szCs w:val="28"/>
          <w:rtl/>
        </w:rPr>
        <w:t xml:space="preserve"> </w:t>
      </w:r>
      <w:r w:rsidRPr="00574A5C">
        <w:rPr>
          <w:rFonts w:ascii="Calibri" w:hAnsi="Calibri" w:cs="Miriam" w:hint="eastAsia"/>
          <w:rtl/>
        </w:rPr>
        <w:t>מדינת</w:t>
      </w:r>
      <w:r w:rsidRPr="00574A5C">
        <w:rPr>
          <w:rFonts w:ascii="Calibri" w:hAnsi="Calibri" w:cs="Miriam"/>
          <w:rtl/>
        </w:rPr>
        <w:t xml:space="preserve"> </w:t>
      </w:r>
      <w:r w:rsidRPr="00574A5C">
        <w:rPr>
          <w:rFonts w:ascii="Calibri" w:hAnsi="Calibri" w:cs="Miriam" w:hint="eastAsia"/>
          <w:rtl/>
        </w:rPr>
        <w:t>ישראל</w:t>
      </w:r>
      <w:r w:rsidRPr="00574A5C">
        <w:rPr>
          <w:rFonts w:ascii="Calibri" w:hAnsi="Calibri" w:cs="Miriam"/>
          <w:rtl/>
        </w:rPr>
        <w:t xml:space="preserve"> </w:t>
      </w:r>
      <w:r w:rsidRPr="00574A5C">
        <w:rPr>
          <w:rFonts w:ascii="Calibri" w:hAnsi="Calibri" w:cs="Miriam" w:hint="eastAsia"/>
          <w:rtl/>
        </w:rPr>
        <w:t>נ</w:t>
      </w:r>
      <w:r w:rsidRPr="00574A5C">
        <w:rPr>
          <w:rFonts w:ascii="Calibri" w:hAnsi="Calibri" w:cs="Miriam"/>
          <w:rtl/>
        </w:rPr>
        <w:t xml:space="preserve">' </w:t>
      </w:r>
      <w:r w:rsidRPr="00574A5C">
        <w:rPr>
          <w:rFonts w:ascii="Calibri" w:hAnsi="Calibri" w:cs="Miriam" w:hint="eastAsia"/>
          <w:rtl/>
        </w:rPr>
        <w:t>אבו</w:t>
      </w:r>
      <w:r w:rsidRPr="00574A5C">
        <w:rPr>
          <w:rFonts w:ascii="Calibri" w:hAnsi="Calibri" w:cs="Miriam"/>
          <w:rtl/>
        </w:rPr>
        <w:t xml:space="preserve"> </w:t>
      </w:r>
      <w:r w:rsidRPr="00574A5C">
        <w:rPr>
          <w:rFonts w:ascii="Calibri" w:hAnsi="Calibri" w:cs="Miriam" w:hint="eastAsia"/>
          <w:rtl/>
        </w:rPr>
        <w:t>רקייק</w:t>
      </w:r>
      <w:r w:rsidRPr="00574A5C">
        <w:rPr>
          <w:rFonts w:ascii="Calibri" w:hAnsi="Calibri" w:cs="FrankRuehl"/>
          <w:sz w:val="28"/>
          <w:szCs w:val="28"/>
          <w:rtl/>
        </w:rPr>
        <w:t xml:space="preserve"> (3.1.13), </w:t>
      </w:r>
      <w:r w:rsidRPr="00574A5C">
        <w:rPr>
          <w:rFonts w:ascii="Calibri" w:hAnsi="Calibri" w:cs="FrankRuehl" w:hint="cs"/>
          <w:sz w:val="28"/>
          <w:szCs w:val="28"/>
          <w:rtl/>
        </w:rPr>
        <w:t>הדגיש</w:t>
      </w:r>
      <w:r w:rsidRPr="00574A5C">
        <w:rPr>
          <w:rFonts w:ascii="Calibri" w:hAnsi="Calibri" w:cs="FrankRuehl"/>
          <w:sz w:val="28"/>
          <w:szCs w:val="28"/>
          <w:rtl/>
        </w:rPr>
        <w:t xml:space="preserve"> </w:t>
      </w:r>
      <w:r w:rsidRPr="00574A5C">
        <w:rPr>
          <w:rFonts w:ascii="Calibri" w:hAnsi="Calibri" w:cs="FrankRuehl" w:hint="eastAsia"/>
          <w:sz w:val="28"/>
          <w:szCs w:val="28"/>
          <w:rtl/>
        </w:rPr>
        <w:t>בית</w:t>
      </w:r>
      <w:r w:rsidRPr="00574A5C">
        <w:rPr>
          <w:rFonts w:ascii="Calibri" w:hAnsi="Calibri" w:cs="FrankRuehl"/>
          <w:sz w:val="28"/>
          <w:szCs w:val="28"/>
          <w:rtl/>
        </w:rPr>
        <w:t xml:space="preserve"> </w:t>
      </w:r>
      <w:r w:rsidRPr="00574A5C">
        <w:rPr>
          <w:rFonts w:ascii="Calibri" w:hAnsi="Calibri" w:cs="FrankRuehl" w:hint="eastAsia"/>
          <w:sz w:val="28"/>
          <w:szCs w:val="28"/>
          <w:rtl/>
        </w:rPr>
        <w:t>המשפט</w:t>
      </w:r>
      <w:r w:rsidRPr="00574A5C">
        <w:rPr>
          <w:rFonts w:ascii="Calibri" w:hAnsi="Calibri" w:cs="FrankRuehl"/>
          <w:sz w:val="28"/>
          <w:szCs w:val="28"/>
          <w:rtl/>
        </w:rPr>
        <w:t xml:space="preserve"> </w:t>
      </w:r>
      <w:r w:rsidRPr="00574A5C">
        <w:rPr>
          <w:rFonts w:ascii="Calibri" w:hAnsi="Calibri" w:cs="FrankRuehl" w:hint="eastAsia"/>
          <w:sz w:val="28"/>
          <w:szCs w:val="28"/>
          <w:rtl/>
        </w:rPr>
        <w:t>העליון</w:t>
      </w:r>
      <w:r w:rsidRPr="00574A5C">
        <w:rPr>
          <w:rFonts w:ascii="Calibri" w:hAnsi="Calibri" w:cs="FrankRuehl"/>
          <w:sz w:val="28"/>
          <w:szCs w:val="28"/>
          <w:rtl/>
        </w:rPr>
        <w:t xml:space="preserve"> </w:t>
      </w:r>
      <w:r w:rsidRPr="00574A5C">
        <w:rPr>
          <w:rFonts w:ascii="Calibri" w:hAnsi="Calibri" w:cs="FrankRuehl" w:hint="cs"/>
          <w:sz w:val="28"/>
          <w:szCs w:val="28"/>
          <w:rtl/>
        </w:rPr>
        <w:t>את מטרות הענישה בעבירות סמים:</w:t>
      </w:r>
    </w:p>
    <w:p w14:paraId="51C071D8" w14:textId="77777777" w:rsidR="00725069" w:rsidRPr="00574A5C" w:rsidRDefault="00725069" w:rsidP="00725069">
      <w:pPr>
        <w:spacing w:line="360" w:lineRule="auto"/>
        <w:jc w:val="both"/>
        <w:rPr>
          <w:rFonts w:ascii="Calibri" w:hAnsi="Calibri" w:cs="FrankRuehl"/>
          <w:sz w:val="28"/>
          <w:szCs w:val="28"/>
        </w:rPr>
      </w:pPr>
    </w:p>
    <w:p w14:paraId="5EDC57BD" w14:textId="77777777" w:rsidR="00725069" w:rsidRPr="00574A5C" w:rsidRDefault="00725069" w:rsidP="00725069">
      <w:pPr>
        <w:pStyle w:val="ae"/>
        <w:spacing w:after="120" w:line="360" w:lineRule="auto"/>
        <w:ind w:left="1440" w:right="851"/>
        <w:jc w:val="both"/>
        <w:rPr>
          <w:rFonts w:cs="FrankRuehl"/>
          <w:sz w:val="28"/>
          <w:szCs w:val="28"/>
          <w:rtl/>
        </w:rPr>
      </w:pPr>
      <w:r w:rsidRPr="00574A5C">
        <w:rPr>
          <w:rFonts w:cs="FrankRuehl"/>
          <w:sz w:val="28"/>
          <w:szCs w:val="28"/>
          <w:rtl/>
        </w:rPr>
        <w:t xml:space="preserve">" </w:t>
      </w:r>
      <w:r w:rsidRPr="00574A5C">
        <w:rPr>
          <w:rFonts w:cs="FrankRuehl" w:hint="eastAsia"/>
          <w:sz w:val="28"/>
          <w:szCs w:val="28"/>
          <w:rtl/>
        </w:rPr>
        <w:t>הענישה</w:t>
      </w:r>
      <w:r w:rsidRPr="00574A5C">
        <w:rPr>
          <w:rFonts w:cs="FrankRuehl"/>
          <w:sz w:val="28"/>
          <w:szCs w:val="28"/>
          <w:rtl/>
        </w:rPr>
        <w:t xml:space="preserve"> </w:t>
      </w:r>
      <w:r w:rsidRPr="00574A5C">
        <w:rPr>
          <w:rFonts w:cs="FrankRuehl" w:hint="eastAsia"/>
          <w:sz w:val="28"/>
          <w:szCs w:val="28"/>
          <w:rtl/>
        </w:rPr>
        <w:t>בעבירות</w:t>
      </w:r>
      <w:r w:rsidRPr="00574A5C">
        <w:rPr>
          <w:rFonts w:cs="FrankRuehl"/>
          <w:sz w:val="28"/>
          <w:szCs w:val="28"/>
          <w:rtl/>
        </w:rPr>
        <w:t xml:space="preserve"> </w:t>
      </w:r>
      <w:r w:rsidRPr="00574A5C">
        <w:rPr>
          <w:rFonts w:cs="FrankRuehl" w:hint="eastAsia"/>
          <w:sz w:val="28"/>
          <w:szCs w:val="28"/>
          <w:rtl/>
        </w:rPr>
        <w:t>מסוג</w:t>
      </w:r>
      <w:r w:rsidRPr="00574A5C">
        <w:rPr>
          <w:rFonts w:cs="FrankRuehl"/>
          <w:sz w:val="28"/>
          <w:szCs w:val="28"/>
          <w:rtl/>
        </w:rPr>
        <w:t xml:space="preserve"> </w:t>
      </w:r>
      <w:r w:rsidRPr="00574A5C">
        <w:rPr>
          <w:rFonts w:cs="FrankRuehl" w:hint="eastAsia"/>
          <w:sz w:val="28"/>
          <w:szCs w:val="28"/>
          <w:rtl/>
        </w:rPr>
        <w:t>זה</w:t>
      </w:r>
      <w:r w:rsidRPr="00574A5C">
        <w:rPr>
          <w:rFonts w:cs="FrankRuehl"/>
          <w:sz w:val="28"/>
          <w:szCs w:val="28"/>
          <w:rtl/>
        </w:rPr>
        <w:t xml:space="preserve"> </w:t>
      </w:r>
      <w:r w:rsidRPr="00574A5C">
        <w:rPr>
          <w:rFonts w:cs="FrankRuehl" w:hint="eastAsia"/>
          <w:sz w:val="28"/>
          <w:szCs w:val="28"/>
          <w:rtl/>
        </w:rPr>
        <w:t>נועדה</w:t>
      </w:r>
      <w:r w:rsidRPr="00574A5C">
        <w:rPr>
          <w:rFonts w:cs="FrankRuehl"/>
          <w:sz w:val="28"/>
          <w:szCs w:val="28"/>
          <w:rtl/>
        </w:rPr>
        <w:t xml:space="preserve">, </w:t>
      </w:r>
      <w:r w:rsidRPr="00574A5C">
        <w:rPr>
          <w:rFonts w:cs="FrankRuehl" w:hint="eastAsia"/>
          <w:sz w:val="28"/>
          <w:szCs w:val="28"/>
          <w:rtl/>
        </w:rPr>
        <w:t>קודם</w:t>
      </w:r>
      <w:r w:rsidRPr="00574A5C">
        <w:rPr>
          <w:rFonts w:cs="FrankRuehl"/>
          <w:sz w:val="28"/>
          <w:szCs w:val="28"/>
          <w:rtl/>
        </w:rPr>
        <w:t xml:space="preserve"> </w:t>
      </w:r>
      <w:r w:rsidRPr="00574A5C">
        <w:rPr>
          <w:rFonts w:cs="FrankRuehl" w:hint="eastAsia"/>
          <w:sz w:val="28"/>
          <w:szCs w:val="28"/>
          <w:rtl/>
        </w:rPr>
        <w:t>לכל</w:t>
      </w:r>
      <w:r w:rsidRPr="00574A5C">
        <w:rPr>
          <w:rFonts w:cs="FrankRuehl"/>
          <w:sz w:val="28"/>
          <w:szCs w:val="28"/>
          <w:rtl/>
        </w:rPr>
        <w:t xml:space="preserve">, </w:t>
      </w:r>
      <w:r w:rsidRPr="00574A5C">
        <w:rPr>
          <w:rFonts w:cs="FrankRuehl" w:hint="eastAsia"/>
          <w:sz w:val="28"/>
          <w:szCs w:val="28"/>
          <w:rtl/>
        </w:rPr>
        <w:t>לשרת</w:t>
      </w:r>
      <w:r w:rsidRPr="00574A5C">
        <w:rPr>
          <w:rFonts w:cs="FrankRuehl"/>
          <w:sz w:val="28"/>
          <w:szCs w:val="28"/>
          <w:rtl/>
        </w:rPr>
        <w:t xml:space="preserve"> </w:t>
      </w:r>
      <w:r w:rsidRPr="00574A5C">
        <w:rPr>
          <w:rFonts w:cs="FrankRuehl" w:hint="eastAsia"/>
          <w:sz w:val="28"/>
          <w:szCs w:val="28"/>
          <w:rtl/>
        </w:rPr>
        <w:t>את</w:t>
      </w:r>
      <w:r w:rsidRPr="00574A5C">
        <w:rPr>
          <w:rFonts w:cs="FrankRuehl"/>
          <w:sz w:val="28"/>
          <w:szCs w:val="28"/>
          <w:rtl/>
        </w:rPr>
        <w:t xml:space="preserve"> </w:t>
      </w:r>
      <w:r w:rsidRPr="00574A5C">
        <w:rPr>
          <w:rFonts w:cs="FrankRuehl" w:hint="eastAsia"/>
          <w:sz w:val="28"/>
          <w:szCs w:val="28"/>
          <w:rtl/>
        </w:rPr>
        <w:t>מטרת</w:t>
      </w:r>
      <w:r w:rsidRPr="00574A5C">
        <w:rPr>
          <w:rFonts w:cs="FrankRuehl"/>
          <w:sz w:val="28"/>
          <w:szCs w:val="28"/>
          <w:rtl/>
        </w:rPr>
        <w:t xml:space="preserve"> </w:t>
      </w:r>
      <w:r w:rsidRPr="00574A5C">
        <w:rPr>
          <w:rFonts w:cs="FrankRuehl" w:hint="eastAsia"/>
          <w:sz w:val="28"/>
          <w:szCs w:val="28"/>
          <w:rtl/>
        </w:rPr>
        <w:t>הגמול</w:t>
      </w:r>
      <w:r w:rsidRPr="00574A5C">
        <w:rPr>
          <w:rFonts w:cs="FrankRuehl"/>
          <w:sz w:val="28"/>
          <w:szCs w:val="28"/>
          <w:rtl/>
        </w:rPr>
        <w:t xml:space="preserve"> </w:t>
      </w:r>
      <w:r w:rsidRPr="00574A5C">
        <w:rPr>
          <w:rFonts w:cs="FrankRuehl" w:hint="eastAsia"/>
          <w:sz w:val="28"/>
          <w:szCs w:val="28"/>
          <w:rtl/>
        </w:rPr>
        <w:t>לעבריין</w:t>
      </w:r>
      <w:r w:rsidRPr="00574A5C">
        <w:rPr>
          <w:rFonts w:cs="FrankRuehl"/>
          <w:sz w:val="28"/>
          <w:szCs w:val="28"/>
          <w:rtl/>
        </w:rPr>
        <w:t xml:space="preserve"> </w:t>
      </w:r>
      <w:r w:rsidRPr="00574A5C">
        <w:rPr>
          <w:rFonts w:cs="FrankRuehl" w:hint="eastAsia"/>
          <w:sz w:val="28"/>
          <w:szCs w:val="28"/>
          <w:rtl/>
        </w:rPr>
        <w:t>על</w:t>
      </w:r>
      <w:r w:rsidRPr="00574A5C">
        <w:rPr>
          <w:rFonts w:cs="FrankRuehl"/>
          <w:sz w:val="28"/>
          <w:szCs w:val="28"/>
          <w:rtl/>
        </w:rPr>
        <w:t xml:space="preserve"> </w:t>
      </w:r>
      <w:r w:rsidRPr="00574A5C">
        <w:rPr>
          <w:rFonts w:cs="FrankRuehl" w:hint="eastAsia"/>
          <w:sz w:val="28"/>
          <w:szCs w:val="28"/>
          <w:rtl/>
        </w:rPr>
        <w:t>עיסוק</w:t>
      </w:r>
      <w:r w:rsidRPr="00574A5C">
        <w:rPr>
          <w:rFonts w:cs="FrankRuehl"/>
          <w:sz w:val="28"/>
          <w:szCs w:val="28"/>
          <w:rtl/>
        </w:rPr>
        <w:t xml:space="preserve"> </w:t>
      </w:r>
      <w:r w:rsidRPr="00574A5C">
        <w:rPr>
          <w:rFonts w:cs="FrankRuehl" w:hint="eastAsia"/>
          <w:sz w:val="28"/>
          <w:szCs w:val="28"/>
          <w:rtl/>
        </w:rPr>
        <w:t>בסם</w:t>
      </w:r>
      <w:r w:rsidRPr="00574A5C">
        <w:rPr>
          <w:rFonts w:cs="FrankRuehl"/>
          <w:sz w:val="28"/>
          <w:szCs w:val="28"/>
          <w:rtl/>
        </w:rPr>
        <w:t xml:space="preserve"> </w:t>
      </w:r>
      <w:r w:rsidRPr="00574A5C">
        <w:rPr>
          <w:rFonts w:cs="FrankRuehl" w:hint="eastAsia"/>
          <w:sz w:val="28"/>
          <w:szCs w:val="28"/>
          <w:rtl/>
        </w:rPr>
        <w:t>העלול</w:t>
      </w:r>
      <w:r w:rsidRPr="00574A5C">
        <w:rPr>
          <w:rFonts w:cs="FrankRuehl"/>
          <w:sz w:val="28"/>
          <w:szCs w:val="28"/>
          <w:rtl/>
        </w:rPr>
        <w:t xml:space="preserve"> </w:t>
      </w:r>
      <w:r w:rsidRPr="00574A5C">
        <w:rPr>
          <w:rFonts w:cs="FrankRuehl" w:hint="eastAsia"/>
          <w:sz w:val="28"/>
          <w:szCs w:val="28"/>
          <w:rtl/>
        </w:rPr>
        <w:t>לסכן</w:t>
      </w:r>
      <w:r w:rsidRPr="00574A5C">
        <w:rPr>
          <w:rFonts w:cs="FrankRuehl"/>
          <w:sz w:val="28"/>
          <w:szCs w:val="28"/>
          <w:rtl/>
        </w:rPr>
        <w:t xml:space="preserve"> </w:t>
      </w:r>
      <w:r w:rsidRPr="00574A5C">
        <w:rPr>
          <w:rFonts w:cs="FrankRuehl" w:hint="eastAsia"/>
          <w:sz w:val="28"/>
          <w:szCs w:val="28"/>
          <w:rtl/>
        </w:rPr>
        <w:t>חיי</w:t>
      </w:r>
      <w:r w:rsidRPr="00574A5C">
        <w:rPr>
          <w:rFonts w:cs="FrankRuehl"/>
          <w:sz w:val="28"/>
          <w:szCs w:val="28"/>
          <w:rtl/>
        </w:rPr>
        <w:t xml:space="preserve"> </w:t>
      </w:r>
      <w:r w:rsidRPr="00574A5C">
        <w:rPr>
          <w:rFonts w:cs="FrankRuehl" w:hint="eastAsia"/>
          <w:sz w:val="28"/>
          <w:szCs w:val="28"/>
          <w:rtl/>
        </w:rPr>
        <w:t>אדם</w:t>
      </w:r>
      <w:r w:rsidRPr="00574A5C">
        <w:rPr>
          <w:rFonts w:cs="FrankRuehl"/>
          <w:sz w:val="28"/>
          <w:szCs w:val="28"/>
          <w:rtl/>
        </w:rPr>
        <w:t xml:space="preserve"> </w:t>
      </w:r>
      <w:r w:rsidRPr="00574A5C">
        <w:rPr>
          <w:rFonts w:cs="FrankRuehl" w:hint="eastAsia"/>
          <w:sz w:val="28"/>
          <w:szCs w:val="28"/>
          <w:rtl/>
        </w:rPr>
        <w:t>ולפגוע</w:t>
      </w:r>
      <w:r w:rsidRPr="00574A5C">
        <w:rPr>
          <w:rFonts w:cs="FrankRuehl"/>
          <w:sz w:val="28"/>
          <w:szCs w:val="28"/>
          <w:rtl/>
        </w:rPr>
        <w:t xml:space="preserve"> </w:t>
      </w:r>
      <w:r w:rsidRPr="00574A5C">
        <w:rPr>
          <w:rFonts w:cs="FrankRuehl" w:hint="eastAsia"/>
          <w:sz w:val="28"/>
          <w:szCs w:val="28"/>
          <w:rtl/>
        </w:rPr>
        <w:t>בבריאות</w:t>
      </w:r>
      <w:r w:rsidRPr="00574A5C">
        <w:rPr>
          <w:rFonts w:cs="FrankRuehl"/>
          <w:sz w:val="28"/>
          <w:szCs w:val="28"/>
          <w:rtl/>
        </w:rPr>
        <w:t xml:space="preserve"> </w:t>
      </w:r>
      <w:r w:rsidRPr="00574A5C">
        <w:rPr>
          <w:rFonts w:cs="FrankRuehl" w:hint="eastAsia"/>
          <w:sz w:val="28"/>
          <w:szCs w:val="28"/>
          <w:rtl/>
        </w:rPr>
        <w:t>המשתמשים</w:t>
      </w:r>
      <w:r w:rsidRPr="00574A5C">
        <w:rPr>
          <w:rFonts w:cs="FrankRuehl"/>
          <w:sz w:val="28"/>
          <w:szCs w:val="28"/>
          <w:rtl/>
        </w:rPr>
        <w:t xml:space="preserve"> </w:t>
      </w:r>
      <w:r w:rsidRPr="00574A5C">
        <w:rPr>
          <w:rFonts w:cs="FrankRuehl" w:hint="eastAsia"/>
          <w:sz w:val="28"/>
          <w:szCs w:val="28"/>
          <w:rtl/>
        </w:rPr>
        <w:t>בו</w:t>
      </w:r>
      <w:r w:rsidRPr="00574A5C">
        <w:rPr>
          <w:rFonts w:cs="FrankRuehl"/>
          <w:sz w:val="28"/>
          <w:szCs w:val="28"/>
          <w:rtl/>
        </w:rPr>
        <w:t xml:space="preserve">, </w:t>
      </w:r>
      <w:r w:rsidRPr="00574A5C">
        <w:rPr>
          <w:rFonts w:cs="FrankRuehl" w:hint="eastAsia"/>
          <w:sz w:val="28"/>
          <w:szCs w:val="28"/>
          <w:rtl/>
        </w:rPr>
        <w:t>שנית</w:t>
      </w:r>
      <w:r w:rsidRPr="00574A5C">
        <w:rPr>
          <w:rFonts w:cs="FrankRuehl"/>
          <w:sz w:val="28"/>
          <w:szCs w:val="28"/>
          <w:rtl/>
        </w:rPr>
        <w:t xml:space="preserve">, </w:t>
      </w:r>
      <w:r w:rsidRPr="00574A5C">
        <w:rPr>
          <w:rFonts w:cs="FrankRuehl" w:hint="eastAsia"/>
          <w:sz w:val="28"/>
          <w:szCs w:val="28"/>
          <w:rtl/>
        </w:rPr>
        <w:t>על</w:t>
      </w:r>
      <w:r w:rsidRPr="00574A5C">
        <w:rPr>
          <w:rFonts w:cs="FrankRuehl"/>
          <w:sz w:val="28"/>
          <w:szCs w:val="28"/>
          <w:rtl/>
        </w:rPr>
        <w:t xml:space="preserve"> </w:t>
      </w:r>
      <w:r w:rsidRPr="00574A5C">
        <w:rPr>
          <w:rFonts w:cs="FrankRuehl" w:hint="eastAsia"/>
          <w:sz w:val="28"/>
          <w:szCs w:val="28"/>
          <w:rtl/>
        </w:rPr>
        <w:t>העונש</w:t>
      </w:r>
      <w:r w:rsidRPr="00574A5C">
        <w:rPr>
          <w:rFonts w:cs="FrankRuehl"/>
          <w:sz w:val="28"/>
          <w:szCs w:val="28"/>
          <w:rtl/>
        </w:rPr>
        <w:t xml:space="preserve"> </w:t>
      </w:r>
      <w:r w:rsidRPr="00574A5C">
        <w:rPr>
          <w:rFonts w:cs="FrankRuehl" w:hint="eastAsia"/>
          <w:sz w:val="28"/>
          <w:szCs w:val="28"/>
          <w:rtl/>
        </w:rPr>
        <w:t>להעביר</w:t>
      </w:r>
      <w:r w:rsidRPr="00574A5C">
        <w:rPr>
          <w:rFonts w:cs="FrankRuehl"/>
          <w:sz w:val="28"/>
          <w:szCs w:val="28"/>
          <w:rtl/>
        </w:rPr>
        <w:t xml:space="preserve"> </w:t>
      </w:r>
      <w:r w:rsidRPr="00574A5C">
        <w:rPr>
          <w:rFonts w:cs="FrankRuehl" w:hint="eastAsia"/>
          <w:sz w:val="28"/>
          <w:szCs w:val="28"/>
          <w:rtl/>
        </w:rPr>
        <w:t>מסר</w:t>
      </w:r>
      <w:r w:rsidRPr="00574A5C">
        <w:rPr>
          <w:rFonts w:cs="FrankRuehl"/>
          <w:sz w:val="28"/>
          <w:szCs w:val="28"/>
          <w:rtl/>
        </w:rPr>
        <w:t xml:space="preserve"> </w:t>
      </w:r>
      <w:r w:rsidRPr="00574A5C">
        <w:rPr>
          <w:rFonts w:cs="FrankRuehl" w:hint="eastAsia"/>
          <w:sz w:val="28"/>
          <w:szCs w:val="28"/>
          <w:rtl/>
        </w:rPr>
        <w:t>חד</w:t>
      </w:r>
      <w:r w:rsidRPr="00574A5C">
        <w:rPr>
          <w:rFonts w:cs="FrankRuehl"/>
          <w:sz w:val="28"/>
          <w:szCs w:val="28"/>
          <w:rtl/>
        </w:rPr>
        <w:t>-</w:t>
      </w:r>
      <w:r w:rsidRPr="00574A5C">
        <w:rPr>
          <w:rFonts w:cs="FrankRuehl" w:hint="eastAsia"/>
          <w:sz w:val="28"/>
          <w:szCs w:val="28"/>
          <w:rtl/>
        </w:rPr>
        <w:t>משמעי</w:t>
      </w:r>
      <w:r w:rsidRPr="00574A5C">
        <w:rPr>
          <w:rFonts w:cs="FrankRuehl"/>
          <w:sz w:val="28"/>
          <w:szCs w:val="28"/>
          <w:rtl/>
        </w:rPr>
        <w:t xml:space="preserve"> </w:t>
      </w:r>
      <w:r w:rsidRPr="00574A5C">
        <w:rPr>
          <w:rFonts w:cs="FrankRuehl" w:hint="eastAsia"/>
          <w:sz w:val="28"/>
          <w:szCs w:val="28"/>
          <w:rtl/>
        </w:rPr>
        <w:t>של</w:t>
      </w:r>
      <w:r w:rsidRPr="00574A5C">
        <w:rPr>
          <w:rFonts w:cs="FrankRuehl"/>
          <w:sz w:val="28"/>
          <w:szCs w:val="28"/>
          <w:rtl/>
        </w:rPr>
        <w:t xml:space="preserve"> </w:t>
      </w:r>
      <w:r w:rsidRPr="00574A5C">
        <w:rPr>
          <w:rFonts w:cs="FrankRuehl" w:hint="eastAsia"/>
          <w:sz w:val="28"/>
          <w:szCs w:val="28"/>
          <w:rtl/>
        </w:rPr>
        <w:t>הרתעה</w:t>
      </w:r>
      <w:r w:rsidRPr="00574A5C">
        <w:rPr>
          <w:rFonts w:cs="FrankRuehl"/>
          <w:sz w:val="28"/>
          <w:szCs w:val="28"/>
          <w:rtl/>
        </w:rPr>
        <w:t xml:space="preserve"> </w:t>
      </w:r>
      <w:r w:rsidRPr="00574A5C">
        <w:rPr>
          <w:rFonts w:cs="FrankRuehl" w:hint="eastAsia"/>
          <w:sz w:val="28"/>
          <w:szCs w:val="28"/>
          <w:rtl/>
        </w:rPr>
        <w:t>ביחס</w:t>
      </w:r>
      <w:r w:rsidRPr="00574A5C">
        <w:rPr>
          <w:rFonts w:cs="FrankRuehl"/>
          <w:sz w:val="28"/>
          <w:szCs w:val="28"/>
          <w:rtl/>
        </w:rPr>
        <w:t xml:space="preserve"> </w:t>
      </w:r>
      <w:r w:rsidRPr="00574A5C">
        <w:rPr>
          <w:rFonts w:cs="FrankRuehl" w:hint="eastAsia"/>
          <w:sz w:val="28"/>
          <w:szCs w:val="28"/>
          <w:rtl/>
        </w:rPr>
        <w:t>לעבריינים</w:t>
      </w:r>
      <w:r w:rsidRPr="00574A5C">
        <w:rPr>
          <w:rFonts w:cs="FrankRuehl"/>
          <w:sz w:val="28"/>
          <w:szCs w:val="28"/>
          <w:rtl/>
        </w:rPr>
        <w:t xml:space="preserve"> </w:t>
      </w:r>
      <w:r w:rsidRPr="00574A5C">
        <w:rPr>
          <w:rFonts w:cs="FrankRuehl" w:hint="eastAsia"/>
          <w:sz w:val="28"/>
          <w:szCs w:val="28"/>
          <w:rtl/>
        </w:rPr>
        <w:t>פוטנציאליים</w:t>
      </w:r>
      <w:r w:rsidRPr="00574A5C">
        <w:rPr>
          <w:rFonts w:cs="FrankRuehl"/>
          <w:sz w:val="28"/>
          <w:szCs w:val="28"/>
          <w:rtl/>
        </w:rPr>
        <w:t xml:space="preserve">, </w:t>
      </w:r>
      <w:r w:rsidRPr="00574A5C">
        <w:rPr>
          <w:rFonts w:cs="FrankRuehl" w:hint="eastAsia"/>
          <w:sz w:val="28"/>
          <w:szCs w:val="28"/>
          <w:rtl/>
        </w:rPr>
        <w:t>ולשמש</w:t>
      </w:r>
      <w:r w:rsidRPr="00574A5C">
        <w:rPr>
          <w:rFonts w:cs="FrankRuehl"/>
          <w:sz w:val="28"/>
          <w:szCs w:val="28"/>
          <w:rtl/>
        </w:rPr>
        <w:t xml:space="preserve"> </w:t>
      </w:r>
      <w:r w:rsidRPr="00574A5C">
        <w:rPr>
          <w:rFonts w:cs="FrankRuehl" w:hint="eastAsia"/>
          <w:sz w:val="28"/>
          <w:szCs w:val="28"/>
          <w:rtl/>
        </w:rPr>
        <w:t>אות</w:t>
      </w:r>
      <w:r w:rsidRPr="00574A5C">
        <w:rPr>
          <w:rFonts w:cs="FrankRuehl"/>
          <w:sz w:val="28"/>
          <w:szCs w:val="28"/>
          <w:rtl/>
        </w:rPr>
        <w:t xml:space="preserve"> </w:t>
      </w:r>
      <w:r w:rsidRPr="00574A5C">
        <w:rPr>
          <w:rFonts w:cs="FrankRuehl" w:hint="eastAsia"/>
          <w:sz w:val="28"/>
          <w:szCs w:val="28"/>
          <w:rtl/>
        </w:rPr>
        <w:t>אזהרה</w:t>
      </w:r>
      <w:r w:rsidRPr="00574A5C">
        <w:rPr>
          <w:rFonts w:cs="FrankRuehl"/>
          <w:sz w:val="28"/>
          <w:szCs w:val="28"/>
          <w:rtl/>
        </w:rPr>
        <w:t xml:space="preserve"> </w:t>
      </w:r>
      <w:r w:rsidRPr="00574A5C">
        <w:rPr>
          <w:rFonts w:cs="FrankRuehl" w:hint="eastAsia"/>
          <w:sz w:val="28"/>
          <w:szCs w:val="28"/>
          <w:rtl/>
        </w:rPr>
        <w:t>אפקטיבי</w:t>
      </w:r>
      <w:r w:rsidRPr="00574A5C">
        <w:rPr>
          <w:rFonts w:cs="FrankRuehl"/>
          <w:sz w:val="28"/>
          <w:szCs w:val="28"/>
          <w:rtl/>
        </w:rPr>
        <w:t xml:space="preserve"> </w:t>
      </w:r>
      <w:r w:rsidRPr="00574A5C">
        <w:rPr>
          <w:rFonts w:cs="FrankRuehl" w:hint="eastAsia"/>
          <w:sz w:val="28"/>
          <w:szCs w:val="28"/>
          <w:rtl/>
        </w:rPr>
        <w:t>לכל</w:t>
      </w:r>
      <w:r w:rsidRPr="00574A5C">
        <w:rPr>
          <w:rFonts w:cs="FrankRuehl"/>
          <w:sz w:val="28"/>
          <w:szCs w:val="28"/>
          <w:rtl/>
        </w:rPr>
        <w:t xml:space="preserve"> </w:t>
      </w:r>
      <w:r w:rsidRPr="00574A5C">
        <w:rPr>
          <w:rFonts w:cs="FrankRuehl" w:hint="eastAsia"/>
          <w:sz w:val="28"/>
          <w:szCs w:val="28"/>
          <w:rtl/>
        </w:rPr>
        <w:t>מי</w:t>
      </w:r>
      <w:r w:rsidRPr="00574A5C">
        <w:rPr>
          <w:rFonts w:cs="FrankRuehl"/>
          <w:sz w:val="28"/>
          <w:szCs w:val="28"/>
          <w:rtl/>
        </w:rPr>
        <w:t xml:space="preserve"> </w:t>
      </w:r>
      <w:r w:rsidRPr="00574A5C">
        <w:rPr>
          <w:rFonts w:cs="FrankRuehl" w:hint="eastAsia"/>
          <w:sz w:val="28"/>
          <w:szCs w:val="28"/>
          <w:rtl/>
        </w:rPr>
        <w:t>שמתכוון</w:t>
      </w:r>
      <w:r w:rsidRPr="00574A5C">
        <w:rPr>
          <w:rFonts w:cs="FrankRuehl"/>
          <w:sz w:val="28"/>
          <w:szCs w:val="28"/>
          <w:rtl/>
        </w:rPr>
        <w:t xml:space="preserve"> </w:t>
      </w:r>
      <w:r w:rsidRPr="00574A5C">
        <w:rPr>
          <w:rFonts w:cs="FrankRuehl" w:hint="eastAsia"/>
          <w:sz w:val="28"/>
          <w:szCs w:val="28"/>
          <w:rtl/>
        </w:rPr>
        <w:t>לקחת</w:t>
      </w:r>
      <w:r w:rsidRPr="00574A5C">
        <w:rPr>
          <w:rFonts w:cs="FrankRuehl"/>
          <w:sz w:val="28"/>
          <w:szCs w:val="28"/>
          <w:rtl/>
        </w:rPr>
        <w:t xml:space="preserve"> </w:t>
      </w:r>
      <w:r w:rsidRPr="00574A5C">
        <w:rPr>
          <w:rFonts w:cs="FrankRuehl" w:hint="eastAsia"/>
          <w:sz w:val="28"/>
          <w:szCs w:val="28"/>
          <w:rtl/>
        </w:rPr>
        <w:t>חלק</w:t>
      </w:r>
      <w:r w:rsidRPr="00574A5C">
        <w:rPr>
          <w:rFonts w:cs="FrankRuehl"/>
          <w:sz w:val="28"/>
          <w:szCs w:val="28"/>
          <w:rtl/>
        </w:rPr>
        <w:t xml:space="preserve"> </w:t>
      </w:r>
      <w:r w:rsidRPr="00574A5C">
        <w:rPr>
          <w:rFonts w:cs="FrankRuehl" w:hint="eastAsia"/>
          <w:sz w:val="28"/>
          <w:szCs w:val="28"/>
          <w:rtl/>
        </w:rPr>
        <w:t>במערכת</w:t>
      </w:r>
      <w:r w:rsidRPr="00574A5C">
        <w:rPr>
          <w:rFonts w:cs="FrankRuehl"/>
          <w:sz w:val="28"/>
          <w:szCs w:val="28"/>
          <w:rtl/>
        </w:rPr>
        <w:t xml:space="preserve"> </w:t>
      </w:r>
      <w:r w:rsidRPr="00574A5C">
        <w:rPr>
          <w:rFonts w:cs="FrankRuehl" w:hint="eastAsia"/>
          <w:sz w:val="28"/>
          <w:szCs w:val="28"/>
          <w:rtl/>
        </w:rPr>
        <w:t>ההעברות</w:t>
      </w:r>
      <w:r w:rsidRPr="00574A5C">
        <w:rPr>
          <w:rFonts w:cs="FrankRuehl"/>
          <w:sz w:val="28"/>
          <w:szCs w:val="28"/>
          <w:rtl/>
        </w:rPr>
        <w:t xml:space="preserve"> </w:t>
      </w:r>
      <w:r w:rsidRPr="00574A5C">
        <w:rPr>
          <w:rFonts w:cs="FrankRuehl" w:hint="eastAsia"/>
          <w:sz w:val="28"/>
          <w:szCs w:val="28"/>
          <w:rtl/>
        </w:rPr>
        <w:t>והסחר</w:t>
      </w:r>
      <w:r w:rsidRPr="00574A5C">
        <w:rPr>
          <w:rFonts w:cs="FrankRuehl"/>
          <w:sz w:val="28"/>
          <w:szCs w:val="28"/>
          <w:rtl/>
        </w:rPr>
        <w:t xml:space="preserve"> </w:t>
      </w:r>
      <w:r w:rsidRPr="00574A5C">
        <w:rPr>
          <w:rFonts w:cs="FrankRuehl" w:hint="eastAsia"/>
          <w:sz w:val="28"/>
          <w:szCs w:val="28"/>
          <w:rtl/>
        </w:rPr>
        <w:t>בסמים</w:t>
      </w:r>
      <w:r w:rsidRPr="00574A5C">
        <w:rPr>
          <w:rFonts w:cs="FrankRuehl"/>
          <w:sz w:val="28"/>
          <w:szCs w:val="28"/>
          <w:rtl/>
        </w:rPr>
        <w:t>..."</w:t>
      </w:r>
    </w:p>
    <w:p w14:paraId="461ED98F" w14:textId="77777777" w:rsidR="00725069" w:rsidRDefault="00725069" w:rsidP="00725069">
      <w:pPr>
        <w:spacing w:line="360" w:lineRule="auto"/>
        <w:contextualSpacing/>
        <w:jc w:val="both"/>
        <w:rPr>
          <w:rFonts w:ascii="Calibri" w:hAnsi="Calibri" w:cs="FrankRuehl"/>
          <w:sz w:val="28"/>
          <w:szCs w:val="28"/>
          <w:rtl/>
        </w:rPr>
      </w:pPr>
    </w:p>
    <w:p w14:paraId="288D0C02" w14:textId="77777777" w:rsidR="00725069" w:rsidRDefault="00725069" w:rsidP="00725069">
      <w:pPr>
        <w:spacing w:line="360" w:lineRule="auto"/>
        <w:contextualSpacing/>
        <w:jc w:val="both"/>
        <w:rPr>
          <w:rFonts w:ascii="Calibri" w:hAnsi="Calibri" w:cs="FrankRuehl"/>
          <w:sz w:val="28"/>
          <w:szCs w:val="28"/>
          <w:rtl/>
        </w:rPr>
      </w:pPr>
    </w:p>
    <w:p w14:paraId="46126006" w14:textId="77777777" w:rsidR="00725069" w:rsidRDefault="00725069" w:rsidP="00725069">
      <w:pPr>
        <w:spacing w:line="360" w:lineRule="auto"/>
        <w:contextualSpacing/>
        <w:jc w:val="both"/>
        <w:rPr>
          <w:rFonts w:ascii="Calibri" w:hAnsi="Calibri" w:cs="FrankRuehl"/>
          <w:sz w:val="28"/>
          <w:szCs w:val="28"/>
          <w:rtl/>
        </w:rPr>
      </w:pPr>
    </w:p>
    <w:p w14:paraId="49FAA1F7" w14:textId="77777777" w:rsidR="00725069" w:rsidRDefault="00725069" w:rsidP="00725069">
      <w:pPr>
        <w:spacing w:line="360" w:lineRule="auto"/>
        <w:contextualSpacing/>
        <w:jc w:val="both"/>
        <w:rPr>
          <w:rFonts w:ascii="Calibri" w:hAnsi="Calibri" w:cs="FrankRuehl"/>
          <w:sz w:val="28"/>
          <w:szCs w:val="28"/>
          <w:rtl/>
        </w:rPr>
      </w:pPr>
      <w:r w:rsidRPr="00574A5C">
        <w:rPr>
          <w:rFonts w:ascii="Calibri" w:hAnsi="Calibri" w:cs="FrankRuehl" w:hint="eastAsia"/>
          <w:sz w:val="28"/>
          <w:szCs w:val="28"/>
          <w:rtl/>
        </w:rPr>
        <w:t>על</w:t>
      </w:r>
      <w:r w:rsidRPr="00574A5C">
        <w:rPr>
          <w:rFonts w:ascii="Calibri" w:hAnsi="Calibri" w:cs="FrankRuehl"/>
          <w:sz w:val="28"/>
          <w:szCs w:val="28"/>
          <w:rtl/>
        </w:rPr>
        <w:t xml:space="preserve"> </w:t>
      </w:r>
      <w:r w:rsidRPr="00574A5C">
        <w:rPr>
          <w:rFonts w:ascii="Calibri" w:hAnsi="Calibri" w:cs="FrankRuehl" w:hint="eastAsia"/>
          <w:sz w:val="28"/>
          <w:szCs w:val="28"/>
          <w:rtl/>
        </w:rPr>
        <w:t>החומרה</w:t>
      </w:r>
      <w:r w:rsidRPr="00574A5C">
        <w:rPr>
          <w:rFonts w:ascii="Calibri" w:hAnsi="Calibri" w:cs="FrankRuehl"/>
          <w:sz w:val="28"/>
          <w:szCs w:val="28"/>
          <w:rtl/>
        </w:rPr>
        <w:t xml:space="preserve"> </w:t>
      </w:r>
      <w:r w:rsidRPr="00574A5C">
        <w:rPr>
          <w:rFonts w:ascii="Calibri" w:hAnsi="Calibri" w:cs="FrankRuehl" w:hint="eastAsia"/>
          <w:sz w:val="28"/>
          <w:szCs w:val="28"/>
          <w:rtl/>
        </w:rPr>
        <w:t>היתרה</w:t>
      </w:r>
      <w:r w:rsidRPr="00574A5C">
        <w:rPr>
          <w:rFonts w:ascii="Calibri" w:hAnsi="Calibri" w:cs="FrankRuehl"/>
          <w:sz w:val="28"/>
          <w:szCs w:val="28"/>
          <w:rtl/>
        </w:rPr>
        <w:t xml:space="preserve"> </w:t>
      </w:r>
      <w:r w:rsidRPr="00574A5C">
        <w:rPr>
          <w:rFonts w:ascii="Calibri" w:hAnsi="Calibri" w:cs="FrankRuehl" w:hint="eastAsia"/>
          <w:sz w:val="28"/>
          <w:szCs w:val="28"/>
          <w:rtl/>
        </w:rPr>
        <w:t>הטמונה</w:t>
      </w:r>
      <w:r w:rsidRPr="00574A5C">
        <w:rPr>
          <w:rFonts w:ascii="Calibri" w:hAnsi="Calibri" w:cs="FrankRuehl"/>
          <w:sz w:val="28"/>
          <w:szCs w:val="28"/>
          <w:rtl/>
        </w:rPr>
        <w:t xml:space="preserve"> </w:t>
      </w:r>
      <w:r w:rsidRPr="00574A5C">
        <w:rPr>
          <w:rFonts w:ascii="Calibri" w:hAnsi="Calibri" w:cs="FrankRuehl" w:hint="eastAsia"/>
          <w:sz w:val="28"/>
          <w:szCs w:val="28"/>
          <w:rtl/>
        </w:rPr>
        <w:t>בעבירות</w:t>
      </w:r>
      <w:r w:rsidRPr="00574A5C">
        <w:rPr>
          <w:rFonts w:ascii="Calibri" w:hAnsi="Calibri" w:cs="FrankRuehl"/>
          <w:sz w:val="28"/>
          <w:szCs w:val="28"/>
          <w:rtl/>
        </w:rPr>
        <w:t xml:space="preserve"> </w:t>
      </w:r>
      <w:r w:rsidRPr="00574A5C">
        <w:rPr>
          <w:rFonts w:ascii="Calibri" w:hAnsi="Calibri" w:cs="FrankRuehl" w:hint="eastAsia"/>
          <w:sz w:val="28"/>
          <w:szCs w:val="28"/>
          <w:rtl/>
        </w:rPr>
        <w:t>של</w:t>
      </w:r>
      <w:r w:rsidRPr="00574A5C">
        <w:rPr>
          <w:rFonts w:ascii="Calibri" w:hAnsi="Calibri" w:cs="FrankRuehl"/>
          <w:sz w:val="28"/>
          <w:szCs w:val="28"/>
          <w:rtl/>
        </w:rPr>
        <w:t xml:space="preserve"> </w:t>
      </w:r>
      <w:r w:rsidRPr="00574A5C">
        <w:rPr>
          <w:rFonts w:ascii="Calibri" w:hAnsi="Calibri" w:cs="FrankRuehl" w:hint="eastAsia"/>
          <w:sz w:val="28"/>
          <w:szCs w:val="28"/>
          <w:rtl/>
        </w:rPr>
        <w:t>סחר</w:t>
      </w:r>
      <w:r w:rsidRPr="00574A5C">
        <w:rPr>
          <w:rFonts w:ascii="Calibri" w:hAnsi="Calibri" w:cs="FrankRuehl"/>
          <w:sz w:val="28"/>
          <w:szCs w:val="28"/>
          <w:rtl/>
        </w:rPr>
        <w:t xml:space="preserve"> </w:t>
      </w:r>
      <w:r w:rsidRPr="00574A5C">
        <w:rPr>
          <w:rFonts w:ascii="Calibri" w:hAnsi="Calibri" w:cs="FrankRuehl" w:hint="eastAsia"/>
          <w:sz w:val="28"/>
          <w:szCs w:val="28"/>
          <w:rtl/>
        </w:rPr>
        <w:t>בסמים</w:t>
      </w:r>
      <w:r w:rsidRPr="00574A5C">
        <w:rPr>
          <w:rFonts w:ascii="Calibri" w:hAnsi="Calibri" w:cs="FrankRuehl"/>
          <w:sz w:val="28"/>
          <w:szCs w:val="28"/>
          <w:rtl/>
        </w:rPr>
        <w:t xml:space="preserve"> </w:t>
      </w:r>
      <w:r>
        <w:rPr>
          <w:rFonts w:ascii="Calibri" w:hAnsi="Calibri" w:cs="FrankRuehl" w:hint="cs"/>
          <w:sz w:val="28"/>
          <w:szCs w:val="28"/>
          <w:rtl/>
        </w:rPr>
        <w:t xml:space="preserve">ועל תפקיד בית המשפט במלחמה בסוחרי הסמים </w:t>
      </w:r>
      <w:r w:rsidRPr="00574A5C">
        <w:rPr>
          <w:rFonts w:ascii="Calibri" w:hAnsi="Calibri" w:cs="FrankRuehl" w:hint="eastAsia"/>
          <w:sz w:val="28"/>
          <w:szCs w:val="28"/>
          <w:rtl/>
        </w:rPr>
        <w:t>עמד</w:t>
      </w:r>
      <w:r w:rsidRPr="00574A5C">
        <w:rPr>
          <w:rFonts w:ascii="Calibri" w:hAnsi="Calibri" w:cs="FrankRuehl"/>
          <w:sz w:val="28"/>
          <w:szCs w:val="28"/>
          <w:rtl/>
        </w:rPr>
        <w:t xml:space="preserve"> </w:t>
      </w:r>
      <w:r>
        <w:rPr>
          <w:rFonts w:ascii="Calibri" w:hAnsi="Calibri" w:cs="FrankRuehl" w:hint="cs"/>
          <w:sz w:val="28"/>
          <w:szCs w:val="28"/>
          <w:rtl/>
        </w:rPr>
        <w:t>גם</w:t>
      </w:r>
      <w:r w:rsidRPr="00574A5C">
        <w:rPr>
          <w:rFonts w:ascii="Calibri" w:hAnsi="Calibri" w:cs="FrankRuehl"/>
          <w:sz w:val="28"/>
          <w:szCs w:val="28"/>
          <w:rtl/>
        </w:rPr>
        <w:t xml:space="preserve"> </w:t>
      </w:r>
      <w:r w:rsidRPr="00574A5C">
        <w:rPr>
          <w:rFonts w:ascii="Calibri" w:hAnsi="Calibri" w:cs="FrankRuehl" w:hint="eastAsia"/>
          <w:sz w:val="28"/>
          <w:szCs w:val="28"/>
          <w:rtl/>
        </w:rPr>
        <w:t>השופט</w:t>
      </w:r>
      <w:r w:rsidRPr="00574A5C">
        <w:rPr>
          <w:rFonts w:ascii="Calibri" w:hAnsi="Calibri" w:cs="FrankRuehl"/>
          <w:sz w:val="28"/>
          <w:szCs w:val="28"/>
          <w:rtl/>
        </w:rPr>
        <w:t xml:space="preserve"> </w:t>
      </w:r>
      <w:r w:rsidRPr="00574A5C">
        <w:rPr>
          <w:rFonts w:ascii="Calibri" w:hAnsi="Calibri" w:cs="Miriam" w:hint="eastAsia"/>
          <w:rtl/>
        </w:rPr>
        <w:t>מ</w:t>
      </w:r>
      <w:r w:rsidRPr="00574A5C">
        <w:rPr>
          <w:rFonts w:ascii="Calibri" w:hAnsi="Calibri" w:cs="Miriam"/>
          <w:rtl/>
        </w:rPr>
        <w:t xml:space="preserve">' </w:t>
      </w:r>
      <w:r w:rsidRPr="00574A5C">
        <w:rPr>
          <w:rFonts w:ascii="Calibri" w:hAnsi="Calibri" w:cs="Miriam" w:hint="eastAsia"/>
          <w:rtl/>
        </w:rPr>
        <w:t>חשין</w:t>
      </w:r>
      <w:r w:rsidRPr="00574A5C">
        <w:rPr>
          <w:rFonts w:ascii="Calibri" w:hAnsi="Calibri" w:cs="FrankRuehl"/>
          <w:sz w:val="28"/>
          <w:szCs w:val="28"/>
          <w:rtl/>
        </w:rPr>
        <w:t xml:space="preserve"> </w:t>
      </w:r>
      <w:r w:rsidRPr="00574A5C">
        <w:rPr>
          <w:rFonts w:ascii="Calibri" w:hAnsi="Calibri" w:cs="FrankRuehl" w:hint="eastAsia"/>
          <w:sz w:val="28"/>
          <w:szCs w:val="28"/>
          <w:rtl/>
        </w:rPr>
        <w:t>ב</w:t>
      </w:r>
      <w:hyperlink r:id="rId28" w:history="1">
        <w:r w:rsidR="005A3CEB" w:rsidRPr="005A3CEB">
          <w:rPr>
            <w:rFonts w:ascii="Calibri" w:hAnsi="Calibri" w:cs="FrankRuehl" w:hint="eastAsia"/>
            <w:color w:val="0000FF"/>
            <w:sz w:val="28"/>
            <w:szCs w:val="28"/>
            <w:u w:val="single"/>
            <w:rtl/>
          </w:rPr>
          <w:t>ע</w:t>
        </w:r>
        <w:r w:rsidR="005A3CEB" w:rsidRPr="005A3CEB">
          <w:rPr>
            <w:rFonts w:ascii="Calibri" w:hAnsi="Calibri" w:cs="FrankRuehl"/>
            <w:color w:val="0000FF"/>
            <w:sz w:val="28"/>
            <w:szCs w:val="28"/>
            <w:u w:val="single"/>
            <w:rtl/>
          </w:rPr>
          <w:t>"</w:t>
        </w:r>
        <w:r w:rsidR="005A3CEB" w:rsidRPr="005A3CEB">
          <w:rPr>
            <w:rFonts w:ascii="Calibri" w:hAnsi="Calibri" w:cs="FrankRuehl" w:hint="eastAsia"/>
            <w:color w:val="0000FF"/>
            <w:sz w:val="28"/>
            <w:szCs w:val="28"/>
            <w:u w:val="single"/>
            <w:rtl/>
          </w:rPr>
          <w:t>פ</w:t>
        </w:r>
        <w:r w:rsidR="005A3CEB" w:rsidRPr="005A3CEB">
          <w:rPr>
            <w:rFonts w:ascii="Calibri" w:hAnsi="Calibri" w:cs="FrankRuehl"/>
            <w:color w:val="0000FF"/>
            <w:sz w:val="28"/>
            <w:szCs w:val="28"/>
            <w:u w:val="single"/>
            <w:rtl/>
          </w:rPr>
          <w:t xml:space="preserve"> 6029/03</w:t>
        </w:r>
      </w:hyperlink>
      <w:r w:rsidRPr="00574A5C">
        <w:rPr>
          <w:rFonts w:ascii="Calibri" w:hAnsi="Calibri" w:cs="FrankRuehl"/>
          <w:sz w:val="28"/>
          <w:szCs w:val="28"/>
          <w:rtl/>
        </w:rPr>
        <w:t xml:space="preserve"> </w:t>
      </w:r>
      <w:r w:rsidRPr="00574A5C">
        <w:rPr>
          <w:rFonts w:ascii="Calibri" w:hAnsi="Calibri" w:cs="Miriam" w:hint="eastAsia"/>
          <w:rtl/>
        </w:rPr>
        <w:t>מדינת</w:t>
      </w:r>
      <w:r w:rsidRPr="00574A5C">
        <w:rPr>
          <w:rFonts w:ascii="Calibri" w:hAnsi="Calibri" w:cs="Miriam"/>
          <w:rtl/>
        </w:rPr>
        <w:t xml:space="preserve"> </w:t>
      </w:r>
      <w:r w:rsidRPr="00574A5C">
        <w:rPr>
          <w:rFonts w:ascii="Calibri" w:hAnsi="Calibri" w:cs="Miriam" w:hint="eastAsia"/>
          <w:rtl/>
        </w:rPr>
        <w:t>ישראל</w:t>
      </w:r>
      <w:r w:rsidRPr="00574A5C">
        <w:rPr>
          <w:rFonts w:ascii="Calibri" w:hAnsi="Calibri" w:cs="Miriam"/>
          <w:rtl/>
        </w:rPr>
        <w:t xml:space="preserve"> </w:t>
      </w:r>
      <w:r w:rsidRPr="00574A5C">
        <w:rPr>
          <w:rFonts w:ascii="Calibri" w:hAnsi="Calibri" w:cs="Miriam" w:hint="eastAsia"/>
          <w:rtl/>
        </w:rPr>
        <w:t>נ</w:t>
      </w:r>
      <w:r w:rsidRPr="00574A5C">
        <w:rPr>
          <w:rFonts w:ascii="Calibri" w:hAnsi="Calibri" w:cs="Miriam"/>
          <w:rtl/>
        </w:rPr>
        <w:t xml:space="preserve">' </w:t>
      </w:r>
      <w:r w:rsidRPr="00574A5C">
        <w:rPr>
          <w:rFonts w:ascii="Calibri" w:hAnsi="Calibri" w:cs="Miriam" w:hint="eastAsia"/>
          <w:rtl/>
        </w:rPr>
        <w:t>שמאי</w:t>
      </w:r>
      <w:r w:rsidRPr="00574A5C">
        <w:rPr>
          <w:rFonts w:ascii="Calibri" w:hAnsi="Calibri"/>
          <w:rtl/>
        </w:rPr>
        <w:t xml:space="preserve"> </w:t>
      </w:r>
      <w:r>
        <w:rPr>
          <w:rFonts w:ascii="Calibri" w:hAnsi="Calibri" w:cs="FrankRuehl"/>
          <w:sz w:val="28"/>
          <w:szCs w:val="28"/>
          <w:rtl/>
        </w:rPr>
        <w:t>(9.2.2004)</w:t>
      </w:r>
      <w:r>
        <w:rPr>
          <w:rFonts w:ascii="Calibri" w:hAnsi="Calibri" w:cs="FrankRuehl" w:hint="cs"/>
          <w:sz w:val="28"/>
          <w:szCs w:val="28"/>
          <w:rtl/>
        </w:rPr>
        <w:t>:</w:t>
      </w:r>
    </w:p>
    <w:p w14:paraId="2F246E21" w14:textId="77777777" w:rsidR="00725069" w:rsidRPr="00574A5C" w:rsidRDefault="00725069" w:rsidP="00725069">
      <w:pPr>
        <w:spacing w:line="360" w:lineRule="auto"/>
        <w:contextualSpacing/>
        <w:jc w:val="both"/>
        <w:rPr>
          <w:rFonts w:ascii="Calibri" w:hAnsi="Calibri" w:cs="FrankRuehl"/>
          <w:sz w:val="28"/>
          <w:szCs w:val="28"/>
        </w:rPr>
      </w:pPr>
    </w:p>
    <w:p w14:paraId="23A1A2F5" w14:textId="77777777" w:rsidR="00725069" w:rsidRPr="00574A5C" w:rsidRDefault="00725069" w:rsidP="00725069">
      <w:pPr>
        <w:pStyle w:val="ae"/>
        <w:spacing w:after="120" w:line="360" w:lineRule="auto"/>
        <w:ind w:left="1440" w:right="851"/>
        <w:jc w:val="both"/>
        <w:rPr>
          <w:rFonts w:cs="FrankRuehl"/>
          <w:sz w:val="28"/>
          <w:szCs w:val="28"/>
          <w:rtl/>
        </w:rPr>
      </w:pPr>
      <w:r w:rsidRPr="00574A5C">
        <w:rPr>
          <w:rFonts w:cs="FrankRuehl"/>
          <w:sz w:val="28"/>
          <w:szCs w:val="28"/>
          <w:rtl/>
        </w:rPr>
        <w:t>"</w:t>
      </w:r>
      <w:r w:rsidRPr="00574A5C">
        <w:rPr>
          <w:rFonts w:cs="FrankRuehl" w:hint="eastAsia"/>
          <w:sz w:val="28"/>
          <w:szCs w:val="28"/>
          <w:rtl/>
        </w:rPr>
        <w:t>בבואו</w:t>
      </w:r>
      <w:r w:rsidRPr="00574A5C">
        <w:rPr>
          <w:rFonts w:cs="FrankRuehl"/>
          <w:sz w:val="28"/>
          <w:szCs w:val="28"/>
          <w:rtl/>
        </w:rPr>
        <w:t xml:space="preserve"> </w:t>
      </w:r>
      <w:r w:rsidRPr="00574A5C">
        <w:rPr>
          <w:rFonts w:cs="FrankRuehl" w:hint="eastAsia"/>
          <w:sz w:val="28"/>
          <w:szCs w:val="28"/>
          <w:rtl/>
        </w:rPr>
        <w:t>לגזור</w:t>
      </w:r>
      <w:r w:rsidRPr="00574A5C">
        <w:rPr>
          <w:rFonts w:cs="FrankRuehl"/>
          <w:sz w:val="28"/>
          <w:szCs w:val="28"/>
          <w:rtl/>
        </w:rPr>
        <w:t xml:space="preserve"> </w:t>
      </w:r>
      <w:r w:rsidRPr="00574A5C">
        <w:rPr>
          <w:rFonts w:cs="FrankRuehl" w:hint="eastAsia"/>
          <w:sz w:val="28"/>
          <w:szCs w:val="28"/>
          <w:rtl/>
        </w:rPr>
        <w:t>עונשים</w:t>
      </w:r>
      <w:r w:rsidRPr="00574A5C">
        <w:rPr>
          <w:rFonts w:cs="FrankRuehl"/>
          <w:sz w:val="28"/>
          <w:szCs w:val="28"/>
          <w:rtl/>
        </w:rPr>
        <w:t xml:space="preserve"> </w:t>
      </w:r>
      <w:r w:rsidRPr="00574A5C">
        <w:rPr>
          <w:rFonts w:cs="FrankRuehl" w:hint="eastAsia"/>
          <w:sz w:val="28"/>
          <w:szCs w:val="28"/>
          <w:rtl/>
        </w:rPr>
        <w:t>על</w:t>
      </w:r>
      <w:r w:rsidRPr="00574A5C">
        <w:rPr>
          <w:rFonts w:cs="FrankRuehl"/>
          <w:sz w:val="28"/>
          <w:szCs w:val="28"/>
          <w:rtl/>
        </w:rPr>
        <w:t xml:space="preserve"> </w:t>
      </w:r>
      <w:r w:rsidRPr="00574A5C">
        <w:rPr>
          <w:rFonts w:cs="FrankRuehl" w:hint="eastAsia"/>
          <w:sz w:val="28"/>
          <w:szCs w:val="28"/>
          <w:rtl/>
        </w:rPr>
        <w:t>סוחרי</w:t>
      </w:r>
      <w:r w:rsidRPr="00574A5C">
        <w:rPr>
          <w:rFonts w:cs="FrankRuehl"/>
          <w:sz w:val="28"/>
          <w:szCs w:val="28"/>
          <w:rtl/>
        </w:rPr>
        <w:t xml:space="preserve"> </w:t>
      </w:r>
      <w:r w:rsidRPr="00574A5C">
        <w:rPr>
          <w:rFonts w:cs="FrankRuehl" w:hint="eastAsia"/>
          <w:sz w:val="28"/>
          <w:szCs w:val="28"/>
          <w:rtl/>
        </w:rPr>
        <w:t>הסמים</w:t>
      </w:r>
      <w:r w:rsidRPr="00574A5C">
        <w:rPr>
          <w:rFonts w:cs="FrankRuehl"/>
          <w:sz w:val="28"/>
          <w:szCs w:val="28"/>
          <w:rtl/>
        </w:rPr>
        <w:t xml:space="preserve"> </w:t>
      </w:r>
      <w:r w:rsidRPr="00574A5C">
        <w:rPr>
          <w:rFonts w:cs="FrankRuehl" w:hint="eastAsia"/>
          <w:sz w:val="28"/>
          <w:szCs w:val="28"/>
          <w:rtl/>
        </w:rPr>
        <w:t>כמערערים</w:t>
      </w:r>
      <w:r w:rsidRPr="00574A5C">
        <w:rPr>
          <w:rFonts w:cs="FrankRuehl"/>
          <w:sz w:val="28"/>
          <w:szCs w:val="28"/>
          <w:rtl/>
        </w:rPr>
        <w:t xml:space="preserve"> </w:t>
      </w:r>
      <w:r w:rsidRPr="00574A5C">
        <w:rPr>
          <w:rFonts w:cs="FrankRuehl" w:hint="eastAsia"/>
          <w:sz w:val="28"/>
          <w:szCs w:val="28"/>
          <w:rtl/>
        </w:rPr>
        <w:t>שלפנינו</w:t>
      </w:r>
      <w:r w:rsidRPr="00574A5C">
        <w:rPr>
          <w:rFonts w:cs="FrankRuehl"/>
          <w:sz w:val="28"/>
          <w:szCs w:val="28"/>
          <w:rtl/>
        </w:rPr>
        <w:t xml:space="preserve">, </w:t>
      </w:r>
      <w:r w:rsidRPr="00574A5C">
        <w:rPr>
          <w:rFonts w:cs="Miriam" w:hint="eastAsia"/>
          <w:rtl/>
        </w:rPr>
        <w:t>שומה</w:t>
      </w:r>
      <w:r w:rsidRPr="00574A5C">
        <w:rPr>
          <w:rFonts w:cs="Miriam"/>
          <w:rtl/>
        </w:rPr>
        <w:t xml:space="preserve"> </w:t>
      </w:r>
      <w:r w:rsidRPr="00574A5C">
        <w:rPr>
          <w:rFonts w:cs="Miriam" w:hint="eastAsia"/>
          <w:rtl/>
        </w:rPr>
        <w:t>עלינו</w:t>
      </w:r>
      <w:r w:rsidRPr="00574A5C">
        <w:rPr>
          <w:rFonts w:cs="Miriam"/>
          <w:rtl/>
        </w:rPr>
        <w:t xml:space="preserve">, </w:t>
      </w:r>
      <w:r w:rsidRPr="00574A5C">
        <w:rPr>
          <w:rFonts w:cs="Miriam" w:hint="eastAsia"/>
          <w:rtl/>
        </w:rPr>
        <w:t>על</w:t>
      </w:r>
      <w:r w:rsidRPr="00574A5C">
        <w:rPr>
          <w:rFonts w:cs="Miriam"/>
          <w:rtl/>
        </w:rPr>
        <w:t xml:space="preserve"> </w:t>
      </w:r>
      <w:r w:rsidRPr="00574A5C">
        <w:rPr>
          <w:rFonts w:cs="Miriam" w:hint="eastAsia"/>
          <w:rtl/>
        </w:rPr>
        <w:t>בית</w:t>
      </w:r>
      <w:r w:rsidRPr="00574A5C">
        <w:rPr>
          <w:rFonts w:cs="Miriam"/>
          <w:rtl/>
        </w:rPr>
        <w:t xml:space="preserve"> </w:t>
      </w:r>
      <w:r w:rsidRPr="00574A5C">
        <w:rPr>
          <w:rFonts w:cs="Miriam" w:hint="eastAsia"/>
          <w:rtl/>
        </w:rPr>
        <w:t>המשפט</w:t>
      </w:r>
      <w:r w:rsidRPr="00574A5C">
        <w:rPr>
          <w:rFonts w:cs="Miriam"/>
          <w:rtl/>
        </w:rPr>
        <w:t xml:space="preserve">, </w:t>
      </w:r>
      <w:r w:rsidRPr="00574A5C">
        <w:rPr>
          <w:rFonts w:cs="Miriam" w:hint="eastAsia"/>
          <w:rtl/>
        </w:rPr>
        <w:t>לשוות</w:t>
      </w:r>
      <w:r w:rsidRPr="00574A5C">
        <w:rPr>
          <w:rFonts w:cs="Miriam"/>
          <w:rtl/>
        </w:rPr>
        <w:t xml:space="preserve"> </w:t>
      </w:r>
      <w:r w:rsidRPr="00574A5C">
        <w:rPr>
          <w:rFonts w:cs="Miriam" w:hint="eastAsia"/>
          <w:rtl/>
        </w:rPr>
        <w:t>נגד</w:t>
      </w:r>
      <w:r w:rsidRPr="00574A5C">
        <w:rPr>
          <w:rFonts w:cs="Miriam"/>
          <w:rtl/>
        </w:rPr>
        <w:t xml:space="preserve"> </w:t>
      </w:r>
      <w:r w:rsidRPr="00574A5C">
        <w:rPr>
          <w:rFonts w:cs="Miriam" w:hint="eastAsia"/>
          <w:rtl/>
        </w:rPr>
        <w:t>עיניו</w:t>
      </w:r>
      <w:r w:rsidRPr="00574A5C">
        <w:rPr>
          <w:rFonts w:cs="Miriam"/>
          <w:rtl/>
        </w:rPr>
        <w:t xml:space="preserve"> </w:t>
      </w:r>
      <w:r w:rsidRPr="00574A5C">
        <w:rPr>
          <w:rFonts w:cs="Miriam" w:hint="eastAsia"/>
          <w:rtl/>
        </w:rPr>
        <w:t>את</w:t>
      </w:r>
      <w:r w:rsidRPr="00574A5C">
        <w:rPr>
          <w:rFonts w:cs="Miriam"/>
          <w:rtl/>
        </w:rPr>
        <w:t xml:space="preserve"> </w:t>
      </w:r>
      <w:r w:rsidRPr="00574A5C">
        <w:rPr>
          <w:rFonts w:cs="Miriam" w:hint="eastAsia"/>
          <w:rtl/>
        </w:rPr>
        <w:t>צרכני</w:t>
      </w:r>
      <w:r w:rsidRPr="00574A5C">
        <w:rPr>
          <w:rFonts w:cs="Miriam"/>
          <w:rtl/>
        </w:rPr>
        <w:t xml:space="preserve"> </w:t>
      </w:r>
      <w:r w:rsidRPr="00574A5C">
        <w:rPr>
          <w:rFonts w:cs="Miriam" w:hint="eastAsia"/>
          <w:rtl/>
        </w:rPr>
        <w:t>הסמים</w:t>
      </w:r>
      <w:r w:rsidRPr="00574A5C">
        <w:rPr>
          <w:rFonts w:cs="Miriam"/>
          <w:rtl/>
        </w:rPr>
        <w:t xml:space="preserve"> </w:t>
      </w:r>
      <w:r w:rsidRPr="00574A5C">
        <w:rPr>
          <w:rFonts w:cs="Miriam" w:hint="eastAsia"/>
          <w:rtl/>
        </w:rPr>
        <w:t>הפגועים</w:t>
      </w:r>
      <w:r w:rsidRPr="00574A5C">
        <w:rPr>
          <w:rFonts w:cs="Miriam"/>
          <w:rtl/>
        </w:rPr>
        <w:t xml:space="preserve">, </w:t>
      </w:r>
      <w:r w:rsidRPr="00574A5C">
        <w:rPr>
          <w:rFonts w:cs="Miriam" w:hint="eastAsia"/>
          <w:rtl/>
        </w:rPr>
        <w:t>את</w:t>
      </w:r>
      <w:r w:rsidRPr="00574A5C">
        <w:rPr>
          <w:rFonts w:cs="Miriam"/>
          <w:rtl/>
        </w:rPr>
        <w:t xml:space="preserve"> </w:t>
      </w:r>
      <w:r w:rsidRPr="00574A5C">
        <w:rPr>
          <w:rFonts w:cs="Miriam" w:hint="eastAsia"/>
          <w:rtl/>
        </w:rPr>
        <w:t>משפחותיהם</w:t>
      </w:r>
      <w:r w:rsidRPr="00574A5C">
        <w:rPr>
          <w:rFonts w:cs="Miriam"/>
          <w:rtl/>
        </w:rPr>
        <w:t xml:space="preserve"> </w:t>
      </w:r>
      <w:r w:rsidRPr="00574A5C">
        <w:rPr>
          <w:rFonts w:cs="Miriam" w:hint="eastAsia"/>
          <w:rtl/>
        </w:rPr>
        <w:t>המפוררות</w:t>
      </w:r>
      <w:r w:rsidRPr="00574A5C">
        <w:rPr>
          <w:rFonts w:cs="Miriam"/>
          <w:rtl/>
        </w:rPr>
        <w:t xml:space="preserve"> </w:t>
      </w:r>
      <w:r w:rsidRPr="00574A5C">
        <w:rPr>
          <w:rFonts w:cs="FrankRuehl" w:hint="eastAsia"/>
          <w:sz w:val="28"/>
          <w:szCs w:val="28"/>
          <w:rtl/>
        </w:rPr>
        <w:t>ואת</w:t>
      </w:r>
      <w:r w:rsidRPr="00574A5C">
        <w:rPr>
          <w:rFonts w:cs="FrankRuehl"/>
          <w:sz w:val="28"/>
          <w:szCs w:val="28"/>
          <w:rtl/>
        </w:rPr>
        <w:t xml:space="preserve"> </w:t>
      </w:r>
      <w:r w:rsidRPr="00574A5C">
        <w:rPr>
          <w:rFonts w:cs="FrankRuehl" w:hint="eastAsia"/>
          <w:sz w:val="28"/>
          <w:szCs w:val="28"/>
          <w:rtl/>
        </w:rPr>
        <w:t>הנחיית</w:t>
      </w:r>
      <w:r w:rsidRPr="00574A5C">
        <w:rPr>
          <w:rFonts w:cs="FrankRuehl"/>
          <w:sz w:val="28"/>
          <w:szCs w:val="28"/>
          <w:rtl/>
        </w:rPr>
        <w:t xml:space="preserve"> </w:t>
      </w:r>
      <w:r w:rsidRPr="00574A5C">
        <w:rPr>
          <w:rFonts w:cs="FrankRuehl" w:hint="eastAsia"/>
          <w:sz w:val="28"/>
          <w:szCs w:val="28"/>
          <w:rtl/>
        </w:rPr>
        <w:t>המחוקק</w:t>
      </w:r>
      <w:r w:rsidRPr="00574A5C">
        <w:rPr>
          <w:rFonts w:cs="FrankRuehl"/>
          <w:sz w:val="28"/>
          <w:szCs w:val="28"/>
          <w:rtl/>
        </w:rPr>
        <w:t xml:space="preserve"> </w:t>
      </w:r>
      <w:r w:rsidRPr="00574A5C">
        <w:rPr>
          <w:rFonts w:cs="FrankRuehl" w:hint="eastAsia"/>
          <w:sz w:val="28"/>
          <w:szCs w:val="28"/>
          <w:rtl/>
        </w:rPr>
        <w:t>מה</w:t>
      </w:r>
      <w:r w:rsidRPr="00574A5C">
        <w:rPr>
          <w:rFonts w:cs="FrankRuehl"/>
          <w:sz w:val="28"/>
          <w:szCs w:val="28"/>
          <w:rtl/>
        </w:rPr>
        <w:t xml:space="preserve"> </w:t>
      </w:r>
      <w:r w:rsidRPr="00574A5C">
        <w:rPr>
          <w:rFonts w:cs="FrankRuehl" w:hint="eastAsia"/>
          <w:sz w:val="28"/>
          <w:szCs w:val="28"/>
          <w:rtl/>
        </w:rPr>
        <w:t>עונש</w:t>
      </w:r>
      <w:r w:rsidRPr="00574A5C">
        <w:rPr>
          <w:rFonts w:cs="FrankRuehl"/>
          <w:sz w:val="28"/>
          <w:szCs w:val="28"/>
          <w:rtl/>
        </w:rPr>
        <w:t xml:space="preserve"> </w:t>
      </w:r>
      <w:r w:rsidRPr="00574A5C">
        <w:rPr>
          <w:rFonts w:cs="FrankRuehl" w:hint="eastAsia"/>
          <w:sz w:val="28"/>
          <w:szCs w:val="28"/>
          <w:rtl/>
        </w:rPr>
        <w:t>ראוי</w:t>
      </w:r>
      <w:r w:rsidRPr="00574A5C">
        <w:rPr>
          <w:rFonts w:cs="FrankRuehl"/>
          <w:sz w:val="28"/>
          <w:szCs w:val="28"/>
          <w:rtl/>
        </w:rPr>
        <w:t xml:space="preserve"> </w:t>
      </w:r>
      <w:r w:rsidRPr="00574A5C">
        <w:rPr>
          <w:rFonts w:cs="FrankRuehl" w:hint="eastAsia"/>
          <w:sz w:val="28"/>
          <w:szCs w:val="28"/>
          <w:rtl/>
        </w:rPr>
        <w:t>להטיל</w:t>
      </w:r>
      <w:r w:rsidRPr="00574A5C">
        <w:rPr>
          <w:rFonts w:cs="FrankRuehl"/>
          <w:sz w:val="28"/>
          <w:szCs w:val="28"/>
          <w:rtl/>
        </w:rPr>
        <w:t xml:space="preserve"> </w:t>
      </w:r>
      <w:r w:rsidRPr="00574A5C">
        <w:rPr>
          <w:rFonts w:cs="FrankRuehl" w:hint="eastAsia"/>
          <w:sz w:val="28"/>
          <w:szCs w:val="28"/>
          <w:rtl/>
        </w:rPr>
        <w:t>על</w:t>
      </w:r>
      <w:r w:rsidRPr="00574A5C">
        <w:rPr>
          <w:rFonts w:cs="FrankRuehl"/>
          <w:sz w:val="28"/>
          <w:szCs w:val="28"/>
          <w:rtl/>
        </w:rPr>
        <w:t xml:space="preserve"> </w:t>
      </w:r>
      <w:r w:rsidRPr="00574A5C">
        <w:rPr>
          <w:rFonts w:cs="FrankRuehl" w:hint="eastAsia"/>
          <w:sz w:val="28"/>
          <w:szCs w:val="28"/>
          <w:rtl/>
        </w:rPr>
        <w:t>מי</w:t>
      </w:r>
      <w:r w:rsidRPr="00574A5C">
        <w:rPr>
          <w:rFonts w:cs="FrankRuehl"/>
          <w:sz w:val="28"/>
          <w:szCs w:val="28"/>
          <w:rtl/>
        </w:rPr>
        <w:t xml:space="preserve"> </w:t>
      </w:r>
      <w:r w:rsidRPr="00574A5C">
        <w:rPr>
          <w:rFonts w:cs="FrankRuehl" w:hint="eastAsia"/>
          <w:sz w:val="28"/>
          <w:szCs w:val="28"/>
          <w:rtl/>
        </w:rPr>
        <w:t>שהביא</w:t>
      </w:r>
      <w:r w:rsidRPr="00574A5C">
        <w:rPr>
          <w:rFonts w:cs="FrankRuehl"/>
          <w:sz w:val="28"/>
          <w:szCs w:val="28"/>
          <w:rtl/>
        </w:rPr>
        <w:t xml:space="preserve"> </w:t>
      </w:r>
      <w:r w:rsidRPr="00574A5C">
        <w:rPr>
          <w:rFonts w:cs="FrankRuehl" w:hint="eastAsia"/>
          <w:sz w:val="28"/>
          <w:szCs w:val="28"/>
          <w:rtl/>
        </w:rPr>
        <w:t>כל</w:t>
      </w:r>
      <w:r w:rsidRPr="00574A5C">
        <w:rPr>
          <w:rFonts w:cs="FrankRuehl"/>
          <w:sz w:val="28"/>
          <w:szCs w:val="28"/>
          <w:rtl/>
        </w:rPr>
        <w:t xml:space="preserve"> </w:t>
      </w:r>
      <w:r w:rsidRPr="00574A5C">
        <w:rPr>
          <w:rFonts w:cs="FrankRuehl" w:hint="eastAsia"/>
          <w:sz w:val="28"/>
          <w:szCs w:val="28"/>
          <w:rtl/>
        </w:rPr>
        <w:t>אלה</w:t>
      </w:r>
      <w:r w:rsidRPr="00574A5C">
        <w:rPr>
          <w:rFonts w:cs="FrankRuehl"/>
          <w:sz w:val="28"/>
          <w:szCs w:val="28"/>
          <w:rtl/>
        </w:rPr>
        <w:t xml:space="preserve">. </w:t>
      </w:r>
      <w:r w:rsidRPr="00574A5C">
        <w:rPr>
          <w:rFonts w:cs="FrankRuehl" w:hint="eastAsia"/>
          <w:sz w:val="28"/>
          <w:szCs w:val="28"/>
          <w:rtl/>
        </w:rPr>
        <w:t>לביעור</w:t>
      </w:r>
      <w:r w:rsidRPr="00574A5C">
        <w:rPr>
          <w:rFonts w:cs="FrankRuehl"/>
          <w:sz w:val="28"/>
          <w:szCs w:val="28"/>
          <w:rtl/>
        </w:rPr>
        <w:t xml:space="preserve"> </w:t>
      </w:r>
      <w:r w:rsidRPr="00574A5C">
        <w:rPr>
          <w:rFonts w:cs="FrankRuehl" w:hint="eastAsia"/>
          <w:sz w:val="28"/>
          <w:szCs w:val="28"/>
          <w:rtl/>
        </w:rPr>
        <w:t>נגע</w:t>
      </w:r>
      <w:r w:rsidRPr="00574A5C">
        <w:rPr>
          <w:rFonts w:cs="FrankRuehl"/>
          <w:sz w:val="28"/>
          <w:szCs w:val="28"/>
          <w:rtl/>
        </w:rPr>
        <w:t xml:space="preserve"> </w:t>
      </w:r>
      <w:r w:rsidRPr="00574A5C">
        <w:rPr>
          <w:rFonts w:cs="FrankRuehl" w:hint="eastAsia"/>
          <w:sz w:val="28"/>
          <w:szCs w:val="28"/>
          <w:rtl/>
        </w:rPr>
        <w:t>הסמים</w:t>
      </w:r>
      <w:r w:rsidRPr="00574A5C">
        <w:rPr>
          <w:rFonts w:cs="FrankRuehl"/>
          <w:sz w:val="28"/>
          <w:szCs w:val="28"/>
          <w:rtl/>
        </w:rPr>
        <w:t xml:space="preserve"> </w:t>
      </w:r>
      <w:r w:rsidRPr="00574A5C">
        <w:rPr>
          <w:rFonts w:cs="FrankRuehl" w:hint="eastAsia"/>
          <w:sz w:val="28"/>
          <w:szCs w:val="28"/>
          <w:rtl/>
        </w:rPr>
        <w:t>אין</w:t>
      </w:r>
      <w:r w:rsidRPr="00574A5C">
        <w:rPr>
          <w:rFonts w:cs="FrankRuehl"/>
          <w:sz w:val="28"/>
          <w:szCs w:val="28"/>
          <w:rtl/>
        </w:rPr>
        <w:t xml:space="preserve"> </w:t>
      </w:r>
      <w:r w:rsidRPr="00574A5C">
        <w:rPr>
          <w:rFonts w:cs="FrankRuehl" w:hint="eastAsia"/>
          <w:sz w:val="28"/>
          <w:szCs w:val="28"/>
          <w:rtl/>
        </w:rPr>
        <w:t>די</w:t>
      </w:r>
      <w:r w:rsidRPr="00574A5C">
        <w:rPr>
          <w:rFonts w:cs="FrankRuehl"/>
          <w:sz w:val="28"/>
          <w:szCs w:val="28"/>
          <w:rtl/>
        </w:rPr>
        <w:t xml:space="preserve"> </w:t>
      </w:r>
      <w:r w:rsidRPr="00574A5C">
        <w:rPr>
          <w:rFonts w:cs="FrankRuehl" w:hint="eastAsia"/>
          <w:sz w:val="28"/>
          <w:szCs w:val="28"/>
          <w:rtl/>
        </w:rPr>
        <w:t>ברטוריקה</w:t>
      </w:r>
      <w:r w:rsidRPr="00574A5C">
        <w:rPr>
          <w:rFonts w:cs="FrankRuehl"/>
          <w:sz w:val="28"/>
          <w:szCs w:val="28"/>
          <w:rtl/>
        </w:rPr>
        <w:t xml:space="preserve">. </w:t>
      </w:r>
      <w:r w:rsidRPr="00574A5C">
        <w:rPr>
          <w:rFonts w:cs="FrankRuehl" w:hint="eastAsia"/>
          <w:sz w:val="28"/>
          <w:szCs w:val="28"/>
          <w:rtl/>
        </w:rPr>
        <w:t>נדרשים</w:t>
      </w:r>
      <w:r w:rsidRPr="00574A5C">
        <w:rPr>
          <w:rFonts w:cs="FrankRuehl"/>
          <w:sz w:val="28"/>
          <w:szCs w:val="28"/>
          <w:rtl/>
        </w:rPr>
        <w:t xml:space="preserve"> </w:t>
      </w:r>
      <w:r w:rsidRPr="00574A5C">
        <w:rPr>
          <w:rFonts w:cs="FrankRuehl" w:hint="eastAsia"/>
          <w:sz w:val="28"/>
          <w:szCs w:val="28"/>
          <w:rtl/>
        </w:rPr>
        <w:t>אנו</w:t>
      </w:r>
      <w:r w:rsidRPr="00574A5C">
        <w:rPr>
          <w:rFonts w:cs="FrankRuehl"/>
          <w:sz w:val="28"/>
          <w:szCs w:val="28"/>
          <w:rtl/>
        </w:rPr>
        <w:t xml:space="preserve"> </w:t>
      </w:r>
      <w:r w:rsidRPr="00574A5C">
        <w:rPr>
          <w:rFonts w:cs="FrankRuehl" w:hint="eastAsia"/>
          <w:sz w:val="28"/>
          <w:szCs w:val="28"/>
          <w:rtl/>
        </w:rPr>
        <w:t>למעשים</w:t>
      </w:r>
      <w:r w:rsidRPr="00574A5C">
        <w:rPr>
          <w:rFonts w:cs="FrankRuehl"/>
          <w:sz w:val="28"/>
          <w:szCs w:val="28"/>
          <w:rtl/>
        </w:rPr>
        <w:t xml:space="preserve"> </w:t>
      </w:r>
      <w:r w:rsidRPr="00574A5C">
        <w:rPr>
          <w:rFonts w:cs="FrankRuehl" w:hint="eastAsia"/>
          <w:sz w:val="28"/>
          <w:szCs w:val="28"/>
          <w:rtl/>
        </w:rPr>
        <w:t>של</w:t>
      </w:r>
      <w:r w:rsidRPr="00574A5C">
        <w:rPr>
          <w:rFonts w:cs="FrankRuehl"/>
          <w:sz w:val="28"/>
          <w:szCs w:val="28"/>
          <w:rtl/>
        </w:rPr>
        <w:t xml:space="preserve"> </w:t>
      </w:r>
      <w:r w:rsidRPr="00574A5C">
        <w:rPr>
          <w:rFonts w:cs="FrankRuehl" w:hint="eastAsia"/>
          <w:sz w:val="28"/>
          <w:szCs w:val="28"/>
          <w:rtl/>
        </w:rPr>
        <w:t>ממש</w:t>
      </w:r>
      <w:r w:rsidRPr="00574A5C">
        <w:rPr>
          <w:rFonts w:cs="FrankRuehl"/>
          <w:sz w:val="28"/>
          <w:szCs w:val="28"/>
          <w:rtl/>
        </w:rPr>
        <w:t xml:space="preserve">. </w:t>
      </w:r>
      <w:r w:rsidRPr="00574A5C">
        <w:rPr>
          <w:rFonts w:cs="FrankRuehl" w:hint="eastAsia"/>
          <w:sz w:val="28"/>
          <w:szCs w:val="28"/>
          <w:rtl/>
        </w:rPr>
        <w:t>חובה</w:t>
      </w:r>
      <w:r w:rsidRPr="00574A5C">
        <w:rPr>
          <w:rFonts w:cs="FrankRuehl"/>
          <w:sz w:val="28"/>
          <w:szCs w:val="28"/>
          <w:rtl/>
        </w:rPr>
        <w:t xml:space="preserve"> </w:t>
      </w:r>
      <w:r w:rsidRPr="00574A5C">
        <w:rPr>
          <w:rFonts w:cs="FrankRuehl" w:hint="eastAsia"/>
          <w:sz w:val="28"/>
          <w:szCs w:val="28"/>
          <w:rtl/>
        </w:rPr>
        <w:t>היא</w:t>
      </w:r>
      <w:r w:rsidRPr="00574A5C">
        <w:rPr>
          <w:rFonts w:cs="FrankRuehl"/>
          <w:sz w:val="28"/>
          <w:szCs w:val="28"/>
          <w:rtl/>
        </w:rPr>
        <w:t xml:space="preserve"> </w:t>
      </w:r>
      <w:r w:rsidRPr="00574A5C">
        <w:rPr>
          <w:rFonts w:cs="FrankRuehl" w:hint="eastAsia"/>
          <w:sz w:val="28"/>
          <w:szCs w:val="28"/>
          <w:rtl/>
        </w:rPr>
        <w:t>המוטלת</w:t>
      </w:r>
      <w:r w:rsidRPr="00574A5C">
        <w:rPr>
          <w:rFonts w:cs="FrankRuehl"/>
          <w:sz w:val="28"/>
          <w:szCs w:val="28"/>
          <w:rtl/>
        </w:rPr>
        <w:t xml:space="preserve"> </w:t>
      </w:r>
      <w:r w:rsidRPr="00574A5C">
        <w:rPr>
          <w:rFonts w:cs="FrankRuehl" w:hint="eastAsia"/>
          <w:sz w:val="28"/>
          <w:szCs w:val="28"/>
          <w:rtl/>
        </w:rPr>
        <w:t>על</w:t>
      </w:r>
      <w:r w:rsidRPr="00574A5C">
        <w:rPr>
          <w:rFonts w:cs="FrankRuehl"/>
          <w:sz w:val="28"/>
          <w:szCs w:val="28"/>
          <w:rtl/>
        </w:rPr>
        <w:t xml:space="preserve"> </w:t>
      </w:r>
      <w:r w:rsidRPr="00574A5C">
        <w:rPr>
          <w:rFonts w:cs="FrankRuehl" w:hint="eastAsia"/>
          <w:sz w:val="28"/>
          <w:szCs w:val="28"/>
          <w:rtl/>
        </w:rPr>
        <w:t>בית</w:t>
      </w:r>
      <w:r w:rsidRPr="00574A5C">
        <w:rPr>
          <w:rFonts w:cs="FrankRuehl"/>
          <w:sz w:val="28"/>
          <w:szCs w:val="28"/>
          <w:rtl/>
        </w:rPr>
        <w:t xml:space="preserve"> </w:t>
      </w:r>
      <w:r w:rsidRPr="00574A5C">
        <w:rPr>
          <w:rFonts w:cs="FrankRuehl" w:hint="eastAsia"/>
          <w:sz w:val="28"/>
          <w:szCs w:val="28"/>
          <w:rtl/>
        </w:rPr>
        <w:t>המשפט</w:t>
      </w:r>
      <w:r w:rsidRPr="00574A5C">
        <w:rPr>
          <w:rFonts w:cs="FrankRuehl"/>
          <w:sz w:val="28"/>
          <w:szCs w:val="28"/>
          <w:rtl/>
        </w:rPr>
        <w:t xml:space="preserve"> </w:t>
      </w:r>
      <w:r w:rsidRPr="00574A5C">
        <w:rPr>
          <w:rFonts w:cs="FrankRuehl" w:hint="eastAsia"/>
          <w:sz w:val="28"/>
          <w:szCs w:val="28"/>
          <w:rtl/>
        </w:rPr>
        <w:t>להעלות</w:t>
      </w:r>
      <w:r w:rsidRPr="00574A5C">
        <w:rPr>
          <w:rFonts w:cs="FrankRuehl"/>
          <w:sz w:val="28"/>
          <w:szCs w:val="28"/>
          <w:rtl/>
        </w:rPr>
        <w:t xml:space="preserve"> </w:t>
      </w:r>
      <w:r w:rsidRPr="00574A5C">
        <w:rPr>
          <w:rFonts w:cs="FrankRuehl" w:hint="eastAsia"/>
          <w:sz w:val="28"/>
          <w:szCs w:val="28"/>
          <w:rtl/>
        </w:rPr>
        <w:t>את</w:t>
      </w:r>
      <w:r w:rsidRPr="00574A5C">
        <w:rPr>
          <w:rFonts w:cs="FrankRuehl"/>
          <w:sz w:val="28"/>
          <w:szCs w:val="28"/>
          <w:rtl/>
        </w:rPr>
        <w:t xml:space="preserve"> </w:t>
      </w:r>
      <w:r w:rsidRPr="00574A5C">
        <w:rPr>
          <w:rFonts w:cs="FrankRuehl" w:hint="eastAsia"/>
          <w:sz w:val="28"/>
          <w:szCs w:val="28"/>
          <w:rtl/>
        </w:rPr>
        <w:t>תרומתו</w:t>
      </w:r>
      <w:r w:rsidRPr="00574A5C">
        <w:rPr>
          <w:rFonts w:cs="FrankRuehl"/>
          <w:sz w:val="28"/>
          <w:szCs w:val="28"/>
          <w:rtl/>
        </w:rPr>
        <w:t xml:space="preserve"> </w:t>
      </w:r>
      <w:r w:rsidRPr="00574A5C">
        <w:rPr>
          <w:rFonts w:cs="FrankRuehl" w:hint="eastAsia"/>
          <w:sz w:val="28"/>
          <w:szCs w:val="28"/>
          <w:rtl/>
        </w:rPr>
        <w:t>למלחמה</w:t>
      </w:r>
      <w:r w:rsidRPr="00574A5C">
        <w:rPr>
          <w:rFonts w:cs="FrankRuehl"/>
          <w:sz w:val="28"/>
          <w:szCs w:val="28"/>
          <w:rtl/>
        </w:rPr>
        <w:t xml:space="preserve"> </w:t>
      </w:r>
      <w:r w:rsidRPr="00574A5C">
        <w:rPr>
          <w:rFonts w:cs="FrankRuehl" w:hint="eastAsia"/>
          <w:sz w:val="28"/>
          <w:szCs w:val="28"/>
          <w:rtl/>
        </w:rPr>
        <w:t>של</w:t>
      </w:r>
      <w:r w:rsidRPr="00574A5C">
        <w:rPr>
          <w:rFonts w:cs="FrankRuehl"/>
          <w:sz w:val="28"/>
          <w:szCs w:val="28"/>
          <w:rtl/>
        </w:rPr>
        <w:t xml:space="preserve"> </w:t>
      </w:r>
      <w:r w:rsidRPr="00574A5C">
        <w:rPr>
          <w:rFonts w:cs="FrankRuehl" w:hint="eastAsia"/>
          <w:sz w:val="28"/>
          <w:szCs w:val="28"/>
          <w:rtl/>
        </w:rPr>
        <w:t>החברה</w:t>
      </w:r>
      <w:r w:rsidRPr="00574A5C">
        <w:rPr>
          <w:rFonts w:cs="FrankRuehl"/>
          <w:sz w:val="28"/>
          <w:szCs w:val="28"/>
          <w:rtl/>
        </w:rPr>
        <w:t xml:space="preserve"> </w:t>
      </w:r>
      <w:r w:rsidRPr="00574A5C">
        <w:rPr>
          <w:rFonts w:cs="FrankRuehl" w:hint="eastAsia"/>
          <w:sz w:val="28"/>
          <w:szCs w:val="28"/>
          <w:rtl/>
        </w:rPr>
        <w:t>במשחיתיה</w:t>
      </w:r>
      <w:r w:rsidRPr="00574A5C">
        <w:rPr>
          <w:rFonts w:cs="FrankRuehl"/>
          <w:sz w:val="28"/>
          <w:szCs w:val="28"/>
          <w:rtl/>
        </w:rPr>
        <w:t>..." (</w:t>
      </w:r>
      <w:r w:rsidRPr="00574A5C">
        <w:rPr>
          <w:rFonts w:cs="FrankRuehl" w:hint="eastAsia"/>
          <w:sz w:val="28"/>
          <w:szCs w:val="28"/>
          <w:rtl/>
        </w:rPr>
        <w:t>ההדגשות</w:t>
      </w:r>
      <w:r w:rsidRPr="00574A5C">
        <w:rPr>
          <w:rFonts w:cs="FrankRuehl"/>
          <w:sz w:val="28"/>
          <w:szCs w:val="28"/>
          <w:rtl/>
        </w:rPr>
        <w:t xml:space="preserve"> </w:t>
      </w:r>
      <w:r w:rsidRPr="00574A5C">
        <w:rPr>
          <w:rFonts w:cs="FrankRuehl" w:hint="eastAsia"/>
          <w:sz w:val="28"/>
          <w:szCs w:val="28"/>
          <w:rtl/>
        </w:rPr>
        <w:t>אינן</w:t>
      </w:r>
      <w:r w:rsidRPr="00574A5C">
        <w:rPr>
          <w:rFonts w:cs="FrankRuehl"/>
          <w:sz w:val="28"/>
          <w:szCs w:val="28"/>
          <w:rtl/>
        </w:rPr>
        <w:t xml:space="preserve"> </w:t>
      </w:r>
      <w:r w:rsidRPr="00574A5C">
        <w:rPr>
          <w:rFonts w:cs="FrankRuehl" w:hint="eastAsia"/>
          <w:sz w:val="28"/>
          <w:szCs w:val="28"/>
          <w:rtl/>
        </w:rPr>
        <w:t>במקור</w:t>
      </w:r>
      <w:r w:rsidRPr="00574A5C">
        <w:rPr>
          <w:rFonts w:cs="FrankRuehl"/>
          <w:sz w:val="28"/>
          <w:szCs w:val="28"/>
          <w:rtl/>
        </w:rPr>
        <w:t xml:space="preserve"> – </w:t>
      </w:r>
      <w:r w:rsidRPr="00574A5C">
        <w:rPr>
          <w:rFonts w:cs="FrankRuehl" w:hint="eastAsia"/>
          <w:sz w:val="28"/>
          <w:szCs w:val="28"/>
          <w:rtl/>
        </w:rPr>
        <w:t>ע</w:t>
      </w:r>
      <w:r w:rsidRPr="00574A5C">
        <w:rPr>
          <w:rFonts w:cs="FrankRuehl"/>
          <w:sz w:val="28"/>
          <w:szCs w:val="28"/>
          <w:rtl/>
        </w:rPr>
        <w:t>.</w:t>
      </w:r>
      <w:r w:rsidRPr="00574A5C">
        <w:rPr>
          <w:rFonts w:cs="FrankRuehl" w:hint="eastAsia"/>
          <w:sz w:val="28"/>
          <w:szCs w:val="28"/>
          <w:rtl/>
        </w:rPr>
        <w:t>מ</w:t>
      </w:r>
      <w:r w:rsidRPr="00574A5C">
        <w:rPr>
          <w:rFonts w:cs="FrankRuehl"/>
          <w:sz w:val="28"/>
          <w:szCs w:val="28"/>
          <w:rtl/>
        </w:rPr>
        <w:t>).</w:t>
      </w:r>
    </w:p>
    <w:p w14:paraId="0AF568F9" w14:textId="77777777" w:rsidR="00725069" w:rsidRDefault="00725069" w:rsidP="00725069">
      <w:pPr>
        <w:spacing w:after="120" w:line="360" w:lineRule="auto"/>
        <w:jc w:val="both"/>
        <w:rPr>
          <w:rFonts w:ascii="FrankRuehl" w:hAnsi="FrankRuehl" w:cs="FrankRuehl"/>
          <w:sz w:val="28"/>
          <w:szCs w:val="28"/>
          <w:rtl/>
        </w:rPr>
      </w:pPr>
    </w:p>
    <w:p w14:paraId="03C8D561" w14:textId="77777777" w:rsidR="00725069" w:rsidRDefault="00725069" w:rsidP="00725069">
      <w:pPr>
        <w:spacing w:after="120" w:line="360" w:lineRule="auto"/>
        <w:jc w:val="both"/>
        <w:rPr>
          <w:rFonts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 xml:space="preserve">במקרה שלפנינו סחר הנאשם בסמים מסוג קוקאין ומסוג </w:t>
      </w:r>
      <w:r w:rsidRPr="00FF6F9C">
        <w:rPr>
          <w:rFonts w:cs="FrankRuehl"/>
          <w:spacing w:val="10"/>
        </w:rPr>
        <w:t>MDMA</w:t>
      </w:r>
      <w:r>
        <w:rPr>
          <w:rFonts w:ascii="FrankRuehl" w:hAnsi="FrankRuehl" w:cs="FrankRuehl" w:hint="cs"/>
          <w:sz w:val="28"/>
          <w:szCs w:val="28"/>
          <w:rtl/>
        </w:rPr>
        <w:t xml:space="preserve">, </w:t>
      </w:r>
      <w:r w:rsidRPr="00A00BA2">
        <w:rPr>
          <w:rFonts w:ascii="FrankRuehl" w:hAnsi="FrankRuehl" w:cs="FrankRuehl" w:hint="cs"/>
          <w:sz w:val="28"/>
          <w:szCs w:val="28"/>
          <w:rtl/>
        </w:rPr>
        <w:t>המכונים "</w:t>
      </w:r>
      <w:r>
        <w:rPr>
          <w:rFonts w:ascii="FrankRuehl" w:hAnsi="FrankRuehl" w:cs="FrankRuehl" w:hint="cs"/>
          <w:sz w:val="28"/>
          <w:szCs w:val="28"/>
          <w:rtl/>
        </w:rPr>
        <w:t>סמים קשים".</w:t>
      </w:r>
      <w:r w:rsidRPr="00A00BA2">
        <w:rPr>
          <w:rFonts w:ascii="FrankRuehl" w:hAnsi="FrankRuehl" w:cs="FrankRuehl" w:hint="cs"/>
          <w:sz w:val="28"/>
          <w:szCs w:val="28"/>
          <w:rtl/>
        </w:rPr>
        <w:t xml:space="preserve"> </w:t>
      </w:r>
      <w:r>
        <w:rPr>
          <w:rFonts w:ascii="FrankRuehl" w:hAnsi="FrankRuehl" w:cs="FrankRuehl" w:hint="cs"/>
          <w:sz w:val="28"/>
          <w:szCs w:val="28"/>
          <w:rtl/>
        </w:rPr>
        <w:t>על מדיניות ההחמרה בענישה ועל היד הקשה שיש לנקוט נגד הסוחרים בסמים מסוג זה עמד בית המשפט העליון</w:t>
      </w:r>
      <w:r w:rsidRPr="00A00BA2">
        <w:rPr>
          <w:rFonts w:ascii="FrankRuehl" w:hAnsi="FrankRuehl" w:cs="FrankRuehl" w:hint="cs"/>
          <w:sz w:val="28"/>
          <w:szCs w:val="28"/>
          <w:rtl/>
        </w:rPr>
        <w:t xml:space="preserve"> </w:t>
      </w:r>
      <w:r w:rsidRPr="00A00BA2">
        <w:rPr>
          <w:rFonts w:cs="FrankRuehl" w:hint="cs"/>
          <w:sz w:val="28"/>
          <w:szCs w:val="28"/>
          <w:rtl/>
        </w:rPr>
        <w:t>ב</w:t>
      </w:r>
      <w:hyperlink r:id="rId29" w:history="1">
        <w:r w:rsidR="005A3CEB" w:rsidRPr="005A3CEB">
          <w:rPr>
            <w:rFonts w:cs="FrankRuehl"/>
            <w:color w:val="0000FF"/>
            <w:sz w:val="28"/>
            <w:szCs w:val="28"/>
            <w:u w:val="single"/>
            <w:rtl/>
          </w:rPr>
          <w:t>ע"פ 7952/15</w:t>
        </w:r>
      </w:hyperlink>
      <w:r w:rsidRPr="00A00BA2">
        <w:rPr>
          <w:rFonts w:ascii="Miriam" w:hAnsi="Miriam" w:cs="Miriam" w:hint="cs"/>
          <w:rtl/>
        </w:rPr>
        <w:t xml:space="preserve"> מדינת ישראל נ' שץ </w:t>
      </w:r>
      <w:r w:rsidRPr="00A00BA2">
        <w:rPr>
          <w:rFonts w:cs="FrankRuehl" w:hint="cs"/>
          <w:sz w:val="28"/>
          <w:szCs w:val="28"/>
          <w:rtl/>
        </w:rPr>
        <w:t xml:space="preserve">(15.2.2016) , </w:t>
      </w:r>
      <w:r>
        <w:rPr>
          <w:rFonts w:cs="FrankRuehl" w:hint="cs"/>
          <w:sz w:val="28"/>
          <w:szCs w:val="28"/>
          <w:rtl/>
        </w:rPr>
        <w:t xml:space="preserve">בו קבע </w:t>
      </w:r>
      <w:r w:rsidRPr="00A00BA2">
        <w:rPr>
          <w:rFonts w:cs="FrankRuehl" w:hint="cs"/>
          <w:sz w:val="28"/>
          <w:szCs w:val="28"/>
          <w:rtl/>
        </w:rPr>
        <w:t xml:space="preserve">השופט </w:t>
      </w:r>
      <w:r w:rsidRPr="00A00BA2">
        <w:rPr>
          <w:rFonts w:ascii="Miriam" w:hAnsi="Miriam" w:cs="Miriam" w:hint="cs"/>
          <w:rtl/>
        </w:rPr>
        <w:t>נ. סולברג</w:t>
      </w:r>
      <w:r>
        <w:rPr>
          <w:rFonts w:cs="FrankRuehl" w:hint="cs"/>
          <w:sz w:val="28"/>
          <w:szCs w:val="28"/>
          <w:rtl/>
        </w:rPr>
        <w:t>, בפסקה 42:</w:t>
      </w:r>
    </w:p>
    <w:p w14:paraId="4AAE9133" w14:textId="77777777" w:rsidR="00725069" w:rsidRPr="00A00BA2" w:rsidRDefault="00725069" w:rsidP="00725069">
      <w:pPr>
        <w:spacing w:after="120" w:line="360" w:lineRule="auto"/>
        <w:jc w:val="both"/>
        <w:rPr>
          <w:rFonts w:cs="FrankRuehl"/>
          <w:sz w:val="28"/>
          <w:szCs w:val="28"/>
        </w:rPr>
      </w:pPr>
    </w:p>
    <w:p w14:paraId="26053CC0" w14:textId="77777777" w:rsidR="00725069" w:rsidRPr="00434831" w:rsidRDefault="00725069" w:rsidP="00725069">
      <w:pPr>
        <w:pStyle w:val="ae"/>
        <w:spacing w:line="360" w:lineRule="auto"/>
        <w:ind w:left="1440" w:right="851"/>
        <w:jc w:val="both"/>
        <w:rPr>
          <w:rFonts w:cs="FrankRuehl"/>
          <w:spacing w:val="10"/>
          <w:sz w:val="28"/>
          <w:szCs w:val="28"/>
          <w:rtl/>
        </w:rPr>
      </w:pPr>
      <w:r>
        <w:rPr>
          <w:rFonts w:cs="FrankRuehl" w:hint="cs"/>
          <w:spacing w:val="10"/>
          <w:sz w:val="28"/>
          <w:szCs w:val="28"/>
          <w:rtl/>
        </w:rPr>
        <w:t>"בית משפט זה עמד לא אחת על החומרה הרבה הטמונה בעבירות סחר והפצה של סמים</w:t>
      </w:r>
      <w:r w:rsidRPr="00434831">
        <w:rPr>
          <w:rFonts w:cs="FrankRuehl" w:hint="cs"/>
          <w:spacing w:val="10"/>
          <w:sz w:val="28"/>
          <w:szCs w:val="28"/>
          <w:rtl/>
        </w:rPr>
        <w:t xml:space="preserve">, לא כל שכן סמים מסוכנים המוגדרים 'קשים' (ראו למשל: </w:t>
      </w:r>
      <w:hyperlink r:id="rId30" w:history="1">
        <w:r w:rsidR="005A3CEB" w:rsidRPr="005A3CEB">
          <w:rPr>
            <w:rFonts w:cs="FrankRuehl" w:hint="cs"/>
            <w:color w:val="0000FF"/>
            <w:spacing w:val="10"/>
            <w:sz w:val="28"/>
            <w:szCs w:val="28"/>
            <w:u w:val="single"/>
            <w:rtl/>
          </w:rPr>
          <w:t>ע</w:t>
        </w:r>
        <w:r w:rsidR="005A3CEB" w:rsidRPr="005A3CEB">
          <w:rPr>
            <w:rFonts w:cs="FrankRuehl"/>
            <w:color w:val="0000FF"/>
            <w:spacing w:val="10"/>
            <w:sz w:val="28"/>
            <w:szCs w:val="28"/>
            <w:u w:val="single"/>
            <w:rtl/>
          </w:rPr>
          <w:t>"</w:t>
        </w:r>
        <w:r w:rsidR="005A3CEB" w:rsidRPr="005A3CEB">
          <w:rPr>
            <w:rFonts w:cs="FrankRuehl" w:hint="cs"/>
            <w:color w:val="0000FF"/>
            <w:spacing w:val="10"/>
            <w:sz w:val="28"/>
            <w:szCs w:val="28"/>
            <w:u w:val="single"/>
            <w:rtl/>
          </w:rPr>
          <w:t>פ</w:t>
        </w:r>
        <w:r w:rsidR="005A3CEB" w:rsidRPr="005A3CEB">
          <w:rPr>
            <w:rFonts w:cs="FrankRuehl"/>
            <w:color w:val="0000FF"/>
            <w:spacing w:val="10"/>
            <w:sz w:val="28"/>
            <w:szCs w:val="28"/>
            <w:u w:val="single"/>
            <w:rtl/>
          </w:rPr>
          <w:t xml:space="preserve"> 6747/11</w:t>
        </w:r>
      </w:hyperlink>
      <w:r w:rsidRPr="00434831">
        <w:rPr>
          <w:rFonts w:cs="FrankRuehl" w:hint="cs"/>
          <w:spacing w:val="10"/>
          <w:sz w:val="28"/>
          <w:szCs w:val="28"/>
          <w:rtl/>
        </w:rPr>
        <w:t xml:space="preserve"> </w:t>
      </w:r>
      <w:r w:rsidRPr="00434831">
        <w:rPr>
          <w:rFonts w:ascii="Miriam" w:hAnsi="Miriam" w:cs="Miriam" w:hint="cs"/>
          <w:sz w:val="24"/>
          <w:szCs w:val="24"/>
          <w:rtl/>
        </w:rPr>
        <w:t>מדינת ישראל נ' אבו רקיק</w:t>
      </w:r>
      <w:r w:rsidRPr="00434831">
        <w:rPr>
          <w:rFonts w:cs="FrankRuehl" w:hint="cs"/>
          <w:spacing w:val="10"/>
          <w:sz w:val="28"/>
          <w:szCs w:val="28"/>
          <w:rtl/>
        </w:rPr>
        <w:t xml:space="preserve"> [פורסם בנבו] (3.1.2013)), ועל הצורך להיאבק בהן באמצעות ענישה משמעותית ומרתיעה (</w:t>
      </w:r>
      <w:hyperlink r:id="rId31" w:history="1">
        <w:r w:rsidR="005A3CEB" w:rsidRPr="005A3CEB">
          <w:rPr>
            <w:rFonts w:cs="FrankRuehl" w:hint="cs"/>
            <w:color w:val="0000FF"/>
            <w:spacing w:val="10"/>
            <w:sz w:val="28"/>
            <w:szCs w:val="28"/>
            <w:u w:val="single"/>
            <w:rtl/>
          </w:rPr>
          <w:t>ע</w:t>
        </w:r>
        <w:r w:rsidR="005A3CEB" w:rsidRPr="005A3CEB">
          <w:rPr>
            <w:rFonts w:cs="FrankRuehl"/>
            <w:color w:val="0000FF"/>
            <w:spacing w:val="10"/>
            <w:sz w:val="28"/>
            <w:szCs w:val="28"/>
            <w:u w:val="single"/>
            <w:rtl/>
          </w:rPr>
          <w:t>"</w:t>
        </w:r>
        <w:r w:rsidR="005A3CEB" w:rsidRPr="005A3CEB">
          <w:rPr>
            <w:rFonts w:cs="FrankRuehl" w:hint="cs"/>
            <w:color w:val="0000FF"/>
            <w:spacing w:val="10"/>
            <w:sz w:val="28"/>
            <w:szCs w:val="28"/>
            <w:u w:val="single"/>
            <w:rtl/>
          </w:rPr>
          <w:t>פ</w:t>
        </w:r>
        <w:r w:rsidR="005A3CEB" w:rsidRPr="005A3CEB">
          <w:rPr>
            <w:rFonts w:cs="FrankRuehl"/>
            <w:color w:val="0000FF"/>
            <w:spacing w:val="10"/>
            <w:sz w:val="28"/>
            <w:szCs w:val="28"/>
            <w:u w:val="single"/>
            <w:rtl/>
          </w:rPr>
          <w:t xml:space="preserve"> 9482/09</w:t>
        </w:r>
      </w:hyperlink>
      <w:r w:rsidRPr="00434831">
        <w:rPr>
          <w:rFonts w:cs="FrankRuehl" w:hint="cs"/>
          <w:spacing w:val="10"/>
          <w:sz w:val="28"/>
          <w:szCs w:val="28"/>
          <w:rtl/>
        </w:rPr>
        <w:t xml:space="preserve"> </w:t>
      </w:r>
      <w:r w:rsidRPr="00434831">
        <w:rPr>
          <w:rFonts w:ascii="Miriam" w:hAnsi="Miriam" w:cs="Miriam" w:hint="cs"/>
          <w:sz w:val="24"/>
          <w:szCs w:val="24"/>
          <w:rtl/>
        </w:rPr>
        <w:t>ביטון נ' מדינת ישראל</w:t>
      </w:r>
      <w:r w:rsidRPr="00434831">
        <w:rPr>
          <w:rFonts w:cs="FrankRuehl" w:hint="cs"/>
          <w:spacing w:val="10"/>
          <w:sz w:val="24"/>
          <w:szCs w:val="24"/>
          <w:rtl/>
        </w:rPr>
        <w:t>,</w:t>
      </w:r>
      <w:r w:rsidRPr="00434831">
        <w:rPr>
          <w:rFonts w:cs="FrankRuehl" w:hint="cs"/>
          <w:spacing w:val="10"/>
          <w:sz w:val="28"/>
          <w:szCs w:val="28"/>
          <w:rtl/>
        </w:rPr>
        <w:t xml:space="preserve"> פסקה 24 [פורסם בנבו]</w:t>
      </w:r>
      <w:r>
        <w:rPr>
          <w:rFonts w:cs="FrankRuehl" w:hint="cs"/>
          <w:spacing w:val="10"/>
          <w:sz w:val="28"/>
          <w:szCs w:val="28"/>
          <w:rtl/>
        </w:rPr>
        <w:t xml:space="preserve"> (24.7.2011)). זאת, לאור הנזק הרב שהן מסבות לא אך למשתמשים הישירים בסם, אלא לחברה כולה, הסובלת מעבירות רכוש ואלימות מצד העוסקים בסחר ומלקוחות</w:t>
      </w:r>
      <w:r w:rsidRPr="00434831">
        <w:rPr>
          <w:rFonts w:cs="FrankRuehl" w:hint="cs"/>
          <w:spacing w:val="10"/>
          <w:sz w:val="28"/>
          <w:szCs w:val="28"/>
          <w:rtl/>
        </w:rPr>
        <w:t>יהם</w:t>
      </w:r>
      <w:r>
        <w:rPr>
          <w:rFonts w:cs="FrankRuehl" w:hint="cs"/>
          <w:spacing w:val="10"/>
          <w:sz w:val="28"/>
          <w:szCs w:val="28"/>
          <w:rtl/>
        </w:rPr>
        <w:t>...</w:t>
      </w:r>
      <w:r w:rsidRPr="00434831">
        <w:rPr>
          <w:rFonts w:cs="FrankRuehl" w:hint="cs"/>
          <w:spacing w:val="10"/>
          <w:sz w:val="28"/>
          <w:szCs w:val="28"/>
          <w:rtl/>
        </w:rPr>
        <w:t xml:space="preserve">" </w:t>
      </w:r>
    </w:p>
    <w:p w14:paraId="31F868D1" w14:textId="77777777" w:rsidR="00725069" w:rsidRPr="00434831" w:rsidRDefault="00725069" w:rsidP="00725069">
      <w:pPr>
        <w:spacing w:line="360" w:lineRule="auto"/>
        <w:ind w:left="793" w:right="851"/>
        <w:jc w:val="both"/>
        <w:rPr>
          <w:rFonts w:cs="FrankRuehl"/>
          <w:spacing w:val="10"/>
          <w:sz w:val="28"/>
          <w:szCs w:val="28"/>
          <w:rtl/>
        </w:rPr>
      </w:pPr>
    </w:p>
    <w:p w14:paraId="21D9F651" w14:textId="77777777" w:rsidR="00725069" w:rsidRPr="00FF6F9C" w:rsidRDefault="00725069" w:rsidP="00725069">
      <w:pPr>
        <w:spacing w:line="360" w:lineRule="auto"/>
        <w:jc w:val="both"/>
        <w:rPr>
          <w:rFonts w:cs="FrankRuehl"/>
          <w:spacing w:val="10"/>
          <w:sz w:val="28"/>
          <w:szCs w:val="28"/>
          <w:rtl/>
        </w:rPr>
      </w:pPr>
      <w:r w:rsidRPr="00FF6F9C">
        <w:rPr>
          <w:rFonts w:cs="FrankRuehl" w:hint="cs"/>
          <w:spacing w:val="10"/>
          <w:sz w:val="28"/>
          <w:szCs w:val="28"/>
          <w:rtl/>
        </w:rPr>
        <w:t>לפירוט התופעות הנלוות לשימוש בטבליות</w:t>
      </w:r>
      <w:r w:rsidRPr="00FF6F9C">
        <w:rPr>
          <w:rFonts w:cs="FrankRuehl" w:hint="cs"/>
          <w:spacing w:val="10"/>
          <w:rtl/>
        </w:rPr>
        <w:t xml:space="preserve"> </w:t>
      </w:r>
      <w:r w:rsidRPr="00FF6F9C">
        <w:rPr>
          <w:rFonts w:cs="FrankRuehl"/>
          <w:spacing w:val="10"/>
        </w:rPr>
        <w:t>MDMA</w:t>
      </w:r>
      <w:r w:rsidRPr="00FF6F9C">
        <w:rPr>
          <w:rFonts w:cs="FrankRuehl" w:hint="cs"/>
          <w:spacing w:val="10"/>
          <w:rtl/>
        </w:rPr>
        <w:t xml:space="preserve"> </w:t>
      </w:r>
      <w:r>
        <w:rPr>
          <w:rFonts w:cs="FrankRuehl" w:hint="cs"/>
          <w:spacing w:val="10"/>
          <w:sz w:val="28"/>
          <w:szCs w:val="28"/>
          <w:rtl/>
        </w:rPr>
        <w:t xml:space="preserve">ראו </w:t>
      </w:r>
      <w:r w:rsidRPr="00FF6F9C">
        <w:rPr>
          <w:rFonts w:cs="FrankRuehl" w:hint="cs"/>
          <w:spacing w:val="10"/>
          <w:sz w:val="28"/>
          <w:szCs w:val="28"/>
          <w:rtl/>
        </w:rPr>
        <w:t xml:space="preserve">ת"פ (מח' ב"ש) 8113/08 </w:t>
      </w:r>
      <w:r w:rsidRPr="00FF6F9C">
        <w:rPr>
          <w:rFonts w:ascii="Miriam" w:hAnsi="Miriam" w:cs="Miriam" w:hint="cs"/>
          <w:spacing w:val="10"/>
          <w:rtl/>
        </w:rPr>
        <w:t>מדינת ישראל נ' בודרם</w:t>
      </w:r>
      <w:r w:rsidRPr="00FF6F9C">
        <w:rPr>
          <w:rFonts w:cs="FrankRuehl" w:hint="cs"/>
          <w:spacing w:val="10"/>
          <w:sz w:val="28"/>
          <w:szCs w:val="28"/>
          <w:rtl/>
        </w:rPr>
        <w:t xml:space="preserve"> (30.11.2008), </w:t>
      </w:r>
      <w:r>
        <w:rPr>
          <w:rFonts w:cs="FrankRuehl" w:hint="cs"/>
          <w:spacing w:val="10"/>
          <w:sz w:val="28"/>
          <w:szCs w:val="28"/>
          <w:rtl/>
        </w:rPr>
        <w:t xml:space="preserve">שהוגש מטעם המאשימה, </w:t>
      </w:r>
      <w:r w:rsidRPr="00FF6F9C">
        <w:rPr>
          <w:rFonts w:cs="FrankRuehl" w:hint="cs"/>
          <w:spacing w:val="10"/>
          <w:sz w:val="28"/>
          <w:szCs w:val="28"/>
          <w:rtl/>
        </w:rPr>
        <w:t xml:space="preserve">פסקאות 1 ו-2 לפרק </w:t>
      </w:r>
      <w:r>
        <w:rPr>
          <w:rFonts w:cs="FrankRuehl" w:hint="cs"/>
          <w:spacing w:val="10"/>
          <w:sz w:val="28"/>
          <w:szCs w:val="28"/>
          <w:rtl/>
        </w:rPr>
        <w:t>"</w:t>
      </w:r>
      <w:r w:rsidRPr="00FF6F9C">
        <w:rPr>
          <w:rFonts w:cs="FrankRuehl" w:hint="cs"/>
          <w:spacing w:val="10"/>
          <w:sz w:val="28"/>
          <w:szCs w:val="28"/>
          <w:rtl/>
        </w:rPr>
        <w:t>הכרעה ודיון</w:t>
      </w:r>
      <w:r>
        <w:rPr>
          <w:rFonts w:cs="FrankRuehl" w:hint="cs"/>
          <w:spacing w:val="10"/>
          <w:sz w:val="28"/>
          <w:szCs w:val="28"/>
          <w:rtl/>
        </w:rPr>
        <w:t>".</w:t>
      </w:r>
    </w:p>
    <w:p w14:paraId="41CB337A" w14:textId="77777777" w:rsidR="00725069" w:rsidRDefault="00725069" w:rsidP="00725069">
      <w:pPr>
        <w:spacing w:line="360" w:lineRule="auto"/>
        <w:jc w:val="both"/>
        <w:rPr>
          <w:rFonts w:ascii="FrankRuehl" w:hAnsi="FrankRuehl" w:cs="FrankRuehl"/>
          <w:b/>
          <w:bCs/>
          <w:sz w:val="28"/>
          <w:szCs w:val="28"/>
          <w:rtl/>
        </w:rPr>
      </w:pPr>
    </w:p>
    <w:p w14:paraId="2B82B60C" w14:textId="77777777" w:rsidR="00725069" w:rsidRDefault="00725069" w:rsidP="00725069">
      <w:pPr>
        <w:spacing w:line="360" w:lineRule="auto"/>
        <w:jc w:val="both"/>
        <w:rPr>
          <w:rFonts w:ascii="Calibri" w:hAnsi="Calibri" w:cs="FrankRuehl"/>
          <w:sz w:val="28"/>
          <w:szCs w:val="28"/>
          <w:rtl/>
        </w:rPr>
      </w:pPr>
      <w:r>
        <w:rPr>
          <w:rFonts w:ascii="Calibri" w:hAnsi="Calibri" w:cs="FrankRuehl" w:hint="cs"/>
          <w:sz w:val="28"/>
          <w:szCs w:val="28"/>
          <w:rtl/>
        </w:rPr>
        <w:t>17.</w:t>
      </w:r>
      <w:r>
        <w:rPr>
          <w:rFonts w:ascii="Calibri" w:hAnsi="Calibri" w:cs="FrankRuehl" w:hint="cs"/>
          <w:sz w:val="28"/>
          <w:szCs w:val="28"/>
          <w:rtl/>
        </w:rPr>
        <w:tab/>
      </w:r>
      <w:r w:rsidRPr="002D244A">
        <w:rPr>
          <w:rFonts w:ascii="Calibri" w:hAnsi="Calibri" w:cs="FrankRuehl" w:hint="eastAsia"/>
          <w:sz w:val="28"/>
          <w:szCs w:val="28"/>
          <w:rtl/>
        </w:rPr>
        <w:t>בכל</w:t>
      </w:r>
      <w:r w:rsidRPr="002D244A">
        <w:rPr>
          <w:rFonts w:ascii="Calibri" w:hAnsi="Calibri" w:cs="FrankRuehl"/>
          <w:sz w:val="28"/>
          <w:szCs w:val="28"/>
          <w:rtl/>
        </w:rPr>
        <w:t xml:space="preserve"> </w:t>
      </w:r>
      <w:r w:rsidRPr="002D244A">
        <w:rPr>
          <w:rFonts w:ascii="Calibri" w:hAnsi="Calibri" w:cs="FrankRuehl" w:hint="eastAsia"/>
          <w:sz w:val="28"/>
          <w:szCs w:val="28"/>
          <w:rtl/>
        </w:rPr>
        <w:t>הנוגע</w:t>
      </w:r>
      <w:r w:rsidRPr="002D244A">
        <w:rPr>
          <w:rFonts w:ascii="Calibri" w:hAnsi="Calibri" w:cs="FrankRuehl"/>
          <w:sz w:val="28"/>
          <w:szCs w:val="28"/>
          <w:rtl/>
        </w:rPr>
        <w:t xml:space="preserve"> </w:t>
      </w:r>
      <w:r w:rsidRPr="002D244A">
        <w:rPr>
          <w:rFonts w:ascii="Calibri" w:hAnsi="Calibri" w:cs="FrankRuehl" w:hint="eastAsia"/>
          <w:sz w:val="28"/>
          <w:szCs w:val="28"/>
          <w:rtl/>
        </w:rPr>
        <w:t>למידת</w:t>
      </w:r>
      <w:r w:rsidRPr="002D244A">
        <w:rPr>
          <w:rFonts w:ascii="Calibri" w:hAnsi="Calibri" w:cs="FrankRuehl"/>
          <w:sz w:val="28"/>
          <w:szCs w:val="28"/>
          <w:rtl/>
        </w:rPr>
        <w:t xml:space="preserve"> </w:t>
      </w:r>
      <w:r w:rsidRPr="002D244A">
        <w:rPr>
          <w:rFonts w:ascii="Calibri" w:hAnsi="Calibri" w:cs="FrankRuehl" w:hint="eastAsia"/>
          <w:sz w:val="28"/>
          <w:szCs w:val="28"/>
          <w:rtl/>
        </w:rPr>
        <w:t>ההתחשבות</w:t>
      </w:r>
      <w:r w:rsidRPr="002D244A">
        <w:rPr>
          <w:rFonts w:ascii="Calibri" w:hAnsi="Calibri" w:cs="FrankRuehl"/>
          <w:sz w:val="28"/>
          <w:szCs w:val="28"/>
          <w:rtl/>
        </w:rPr>
        <w:t xml:space="preserve"> </w:t>
      </w:r>
      <w:r w:rsidRPr="002D244A">
        <w:rPr>
          <w:rFonts w:ascii="Calibri" w:hAnsi="Calibri" w:cs="FrankRuehl" w:hint="eastAsia"/>
          <w:sz w:val="28"/>
          <w:szCs w:val="28"/>
          <w:rtl/>
        </w:rPr>
        <w:t>בנסיבותיו</w:t>
      </w:r>
      <w:r w:rsidRPr="002D244A">
        <w:rPr>
          <w:rFonts w:ascii="Calibri" w:hAnsi="Calibri" w:cs="FrankRuehl"/>
          <w:sz w:val="28"/>
          <w:szCs w:val="28"/>
          <w:rtl/>
        </w:rPr>
        <w:t xml:space="preserve"> </w:t>
      </w:r>
      <w:r w:rsidRPr="002D244A">
        <w:rPr>
          <w:rFonts w:ascii="Calibri" w:hAnsi="Calibri" w:cs="FrankRuehl" w:hint="eastAsia"/>
          <w:sz w:val="28"/>
          <w:szCs w:val="28"/>
          <w:rtl/>
        </w:rPr>
        <w:t>האישיות</w:t>
      </w:r>
      <w:r w:rsidRPr="002D244A">
        <w:rPr>
          <w:rFonts w:ascii="Calibri" w:hAnsi="Calibri" w:cs="FrankRuehl"/>
          <w:sz w:val="28"/>
          <w:szCs w:val="28"/>
          <w:rtl/>
        </w:rPr>
        <w:t xml:space="preserve"> </w:t>
      </w:r>
      <w:r w:rsidRPr="002D244A">
        <w:rPr>
          <w:rFonts w:ascii="Calibri" w:hAnsi="Calibri" w:cs="FrankRuehl" w:hint="eastAsia"/>
          <w:sz w:val="28"/>
          <w:szCs w:val="28"/>
          <w:rtl/>
        </w:rPr>
        <w:t>של</w:t>
      </w:r>
      <w:r w:rsidRPr="002D244A">
        <w:rPr>
          <w:rFonts w:ascii="Calibri" w:hAnsi="Calibri" w:cs="FrankRuehl"/>
          <w:sz w:val="28"/>
          <w:szCs w:val="28"/>
          <w:rtl/>
        </w:rPr>
        <w:t xml:space="preserve"> </w:t>
      </w:r>
      <w:r w:rsidRPr="002D244A">
        <w:rPr>
          <w:rFonts w:ascii="Calibri" w:hAnsi="Calibri" w:cs="FrankRuehl" w:hint="eastAsia"/>
          <w:sz w:val="28"/>
          <w:szCs w:val="28"/>
          <w:rtl/>
        </w:rPr>
        <w:t>הנאשם</w:t>
      </w:r>
      <w:r w:rsidRPr="002D244A">
        <w:rPr>
          <w:rFonts w:ascii="Calibri" w:hAnsi="Calibri" w:cs="FrankRuehl"/>
          <w:sz w:val="28"/>
          <w:szCs w:val="28"/>
          <w:rtl/>
        </w:rPr>
        <w:t xml:space="preserve">, </w:t>
      </w:r>
      <w:r w:rsidRPr="002D244A">
        <w:rPr>
          <w:rFonts w:ascii="Calibri" w:hAnsi="Calibri" w:cs="FrankRuehl" w:hint="eastAsia"/>
          <w:sz w:val="28"/>
          <w:szCs w:val="28"/>
          <w:rtl/>
        </w:rPr>
        <w:t>נקבע</w:t>
      </w:r>
      <w:r w:rsidRPr="002D244A">
        <w:rPr>
          <w:rFonts w:ascii="Calibri" w:hAnsi="Calibri" w:cs="FrankRuehl"/>
          <w:sz w:val="28"/>
          <w:szCs w:val="28"/>
          <w:rtl/>
        </w:rPr>
        <w:t xml:space="preserve"> </w:t>
      </w:r>
      <w:r w:rsidRPr="002D244A">
        <w:rPr>
          <w:rFonts w:ascii="Calibri" w:hAnsi="Calibri" w:cs="FrankRuehl" w:hint="eastAsia"/>
          <w:sz w:val="28"/>
          <w:szCs w:val="28"/>
          <w:rtl/>
        </w:rPr>
        <w:t>ב</w:t>
      </w:r>
      <w:hyperlink r:id="rId32" w:history="1">
        <w:r w:rsidR="005A3CEB" w:rsidRPr="005A3CEB">
          <w:rPr>
            <w:rFonts w:ascii="Calibri" w:hAnsi="Calibri" w:cs="FrankRuehl" w:hint="eastAsia"/>
            <w:color w:val="0000FF"/>
            <w:sz w:val="28"/>
            <w:szCs w:val="28"/>
            <w:u w:val="single"/>
            <w:rtl/>
          </w:rPr>
          <w:t>ע</w:t>
        </w:r>
        <w:r w:rsidR="005A3CEB" w:rsidRPr="005A3CEB">
          <w:rPr>
            <w:rFonts w:ascii="Calibri" w:hAnsi="Calibri" w:cs="FrankRuehl"/>
            <w:color w:val="0000FF"/>
            <w:sz w:val="28"/>
            <w:szCs w:val="28"/>
            <w:u w:val="single"/>
            <w:rtl/>
          </w:rPr>
          <w:t>"</w:t>
        </w:r>
        <w:r w:rsidR="005A3CEB" w:rsidRPr="005A3CEB">
          <w:rPr>
            <w:rFonts w:ascii="Calibri" w:hAnsi="Calibri" w:cs="FrankRuehl" w:hint="eastAsia"/>
            <w:color w:val="0000FF"/>
            <w:sz w:val="28"/>
            <w:szCs w:val="28"/>
            <w:u w:val="single"/>
            <w:rtl/>
          </w:rPr>
          <w:t>פ</w:t>
        </w:r>
        <w:r w:rsidR="005A3CEB" w:rsidRPr="005A3CEB">
          <w:rPr>
            <w:rFonts w:ascii="Calibri" w:hAnsi="Calibri" w:cs="FrankRuehl"/>
            <w:color w:val="0000FF"/>
            <w:sz w:val="28"/>
            <w:szCs w:val="28"/>
            <w:u w:val="single"/>
            <w:rtl/>
          </w:rPr>
          <w:t xml:space="preserve"> 7070/03</w:t>
        </w:r>
      </w:hyperlink>
      <w:r w:rsidRPr="002D244A">
        <w:rPr>
          <w:rFonts w:ascii="Calibri" w:hAnsi="Calibri" w:cs="FrankRuehl"/>
          <w:b/>
          <w:bCs/>
          <w:sz w:val="28"/>
          <w:szCs w:val="28"/>
          <w:rtl/>
        </w:rPr>
        <w:t xml:space="preserve"> </w:t>
      </w:r>
      <w:r w:rsidRPr="002D244A">
        <w:rPr>
          <w:rFonts w:ascii="Calibri" w:hAnsi="Calibri" w:cs="Miriam" w:hint="eastAsia"/>
          <w:rtl/>
        </w:rPr>
        <w:t>זניד</w:t>
      </w:r>
      <w:r w:rsidRPr="002D244A">
        <w:rPr>
          <w:rFonts w:ascii="Calibri" w:hAnsi="Calibri" w:cs="Miriam"/>
          <w:rtl/>
        </w:rPr>
        <w:t xml:space="preserve"> </w:t>
      </w:r>
      <w:r w:rsidRPr="002D244A">
        <w:rPr>
          <w:rFonts w:ascii="Calibri" w:hAnsi="Calibri" w:cs="Miriam" w:hint="eastAsia"/>
          <w:rtl/>
        </w:rPr>
        <w:t>נ</w:t>
      </w:r>
      <w:r w:rsidRPr="002D244A">
        <w:rPr>
          <w:rFonts w:ascii="Calibri" w:hAnsi="Calibri" w:cs="Miriam"/>
          <w:rtl/>
        </w:rPr>
        <w:t xml:space="preserve">' </w:t>
      </w:r>
      <w:r w:rsidRPr="002D244A">
        <w:rPr>
          <w:rFonts w:ascii="Calibri" w:hAnsi="Calibri" w:cs="Miriam" w:hint="eastAsia"/>
          <w:rtl/>
        </w:rPr>
        <w:t>מדינת</w:t>
      </w:r>
      <w:r w:rsidRPr="002D244A">
        <w:rPr>
          <w:rFonts w:ascii="Calibri" w:hAnsi="Calibri" w:cs="Miriam"/>
          <w:rtl/>
        </w:rPr>
        <w:t xml:space="preserve"> </w:t>
      </w:r>
      <w:r w:rsidRPr="002D244A">
        <w:rPr>
          <w:rFonts w:ascii="Calibri" w:hAnsi="Calibri" w:cs="Miriam" w:hint="eastAsia"/>
          <w:rtl/>
        </w:rPr>
        <w:t>ישראל</w:t>
      </w:r>
      <w:r w:rsidRPr="002D244A">
        <w:rPr>
          <w:rFonts w:ascii="Calibri" w:hAnsi="Calibri" w:cs="FrankRuehl"/>
          <w:sz w:val="28"/>
          <w:szCs w:val="28"/>
          <w:rtl/>
        </w:rPr>
        <w:t xml:space="preserve"> (5.9.2005):</w:t>
      </w:r>
    </w:p>
    <w:p w14:paraId="508EC552" w14:textId="77777777" w:rsidR="00725069" w:rsidRPr="002D244A" w:rsidRDefault="00725069" w:rsidP="00725069">
      <w:pPr>
        <w:spacing w:line="360" w:lineRule="auto"/>
        <w:rPr>
          <w:rFonts w:ascii="Calibri" w:hAnsi="Calibri" w:cs="FrankRuehl"/>
          <w:sz w:val="28"/>
          <w:szCs w:val="28"/>
          <w:rtl/>
        </w:rPr>
      </w:pPr>
    </w:p>
    <w:p w14:paraId="1034C843" w14:textId="77777777" w:rsidR="00725069" w:rsidRPr="00574A5C" w:rsidRDefault="00725069" w:rsidP="00725069">
      <w:pPr>
        <w:pStyle w:val="ae"/>
        <w:spacing w:line="360" w:lineRule="auto"/>
        <w:ind w:left="1440" w:right="851"/>
        <w:jc w:val="both"/>
        <w:rPr>
          <w:rFonts w:cs="FrankRuehl"/>
          <w:sz w:val="28"/>
          <w:szCs w:val="28"/>
          <w:rtl/>
        </w:rPr>
      </w:pPr>
      <w:r w:rsidRPr="002D244A">
        <w:rPr>
          <w:rFonts w:cs="FrankRuehl"/>
          <w:sz w:val="28"/>
          <w:szCs w:val="28"/>
          <w:rtl/>
        </w:rPr>
        <w:t>"</w:t>
      </w:r>
      <w:r w:rsidRPr="002D244A">
        <w:rPr>
          <w:rFonts w:cs="FrankRuehl" w:hint="eastAsia"/>
          <w:sz w:val="28"/>
          <w:szCs w:val="28"/>
          <w:rtl/>
        </w:rPr>
        <w:t>החברה</w:t>
      </w:r>
      <w:r w:rsidRPr="002D244A">
        <w:rPr>
          <w:rFonts w:cs="FrankRuehl"/>
          <w:sz w:val="28"/>
          <w:szCs w:val="28"/>
          <w:rtl/>
        </w:rPr>
        <w:t xml:space="preserve"> </w:t>
      </w:r>
      <w:r w:rsidRPr="002D244A">
        <w:rPr>
          <w:rFonts w:cs="FrankRuehl" w:hint="eastAsia"/>
          <w:sz w:val="28"/>
          <w:szCs w:val="28"/>
          <w:rtl/>
        </w:rPr>
        <w:t>בישראל</w:t>
      </w:r>
      <w:r w:rsidRPr="002D244A">
        <w:rPr>
          <w:rFonts w:cs="FrankRuehl"/>
          <w:sz w:val="28"/>
          <w:szCs w:val="28"/>
          <w:rtl/>
        </w:rPr>
        <w:t xml:space="preserve"> </w:t>
      </w:r>
      <w:r w:rsidRPr="002D244A">
        <w:rPr>
          <w:rFonts w:cs="FrankRuehl" w:hint="eastAsia"/>
          <w:sz w:val="28"/>
          <w:szCs w:val="28"/>
          <w:rtl/>
        </w:rPr>
        <w:t>נאבקת</w:t>
      </w:r>
      <w:r w:rsidRPr="002D244A">
        <w:rPr>
          <w:rFonts w:cs="FrankRuehl"/>
          <w:sz w:val="28"/>
          <w:szCs w:val="28"/>
          <w:rtl/>
        </w:rPr>
        <w:t xml:space="preserve"> </w:t>
      </w:r>
      <w:r w:rsidRPr="002D244A">
        <w:rPr>
          <w:rFonts w:cs="FrankRuehl" w:hint="eastAsia"/>
          <w:sz w:val="28"/>
          <w:szCs w:val="28"/>
          <w:rtl/>
        </w:rPr>
        <w:t>מזה</w:t>
      </w:r>
      <w:r w:rsidRPr="002D244A">
        <w:rPr>
          <w:rFonts w:cs="FrankRuehl"/>
          <w:sz w:val="28"/>
          <w:szCs w:val="28"/>
          <w:rtl/>
        </w:rPr>
        <w:t xml:space="preserve"> </w:t>
      </w:r>
      <w:r w:rsidRPr="002D244A">
        <w:rPr>
          <w:rFonts w:cs="FrankRuehl" w:hint="eastAsia"/>
          <w:sz w:val="28"/>
          <w:szCs w:val="28"/>
          <w:rtl/>
        </w:rPr>
        <w:t>שנים</w:t>
      </w:r>
      <w:r w:rsidRPr="002D244A">
        <w:rPr>
          <w:rFonts w:cs="FrankRuehl"/>
          <w:sz w:val="28"/>
          <w:szCs w:val="28"/>
          <w:rtl/>
        </w:rPr>
        <w:t xml:space="preserve"> </w:t>
      </w:r>
      <w:r w:rsidRPr="002D244A">
        <w:rPr>
          <w:rFonts w:cs="FrankRuehl" w:hint="eastAsia"/>
          <w:sz w:val="28"/>
          <w:szCs w:val="28"/>
          <w:rtl/>
        </w:rPr>
        <w:t>רבות</w:t>
      </w:r>
      <w:r w:rsidRPr="002D244A">
        <w:rPr>
          <w:rFonts w:cs="FrankRuehl"/>
          <w:sz w:val="28"/>
          <w:szCs w:val="28"/>
          <w:rtl/>
        </w:rPr>
        <w:t xml:space="preserve"> </w:t>
      </w:r>
      <w:r w:rsidRPr="002D244A">
        <w:rPr>
          <w:rFonts w:cs="FrankRuehl" w:hint="eastAsia"/>
          <w:sz w:val="28"/>
          <w:szCs w:val="28"/>
          <w:rtl/>
        </w:rPr>
        <w:t>בהתפשטותו</w:t>
      </w:r>
      <w:r w:rsidRPr="002D244A">
        <w:rPr>
          <w:rFonts w:cs="FrankRuehl"/>
          <w:sz w:val="28"/>
          <w:szCs w:val="28"/>
          <w:rtl/>
        </w:rPr>
        <w:t xml:space="preserve"> </w:t>
      </w:r>
      <w:r w:rsidRPr="002D244A">
        <w:rPr>
          <w:rFonts w:cs="FrankRuehl" w:hint="eastAsia"/>
          <w:sz w:val="28"/>
          <w:szCs w:val="28"/>
          <w:rtl/>
        </w:rPr>
        <w:t>של</w:t>
      </w:r>
      <w:r w:rsidRPr="002D244A">
        <w:rPr>
          <w:rFonts w:cs="FrankRuehl"/>
          <w:sz w:val="28"/>
          <w:szCs w:val="28"/>
          <w:rtl/>
        </w:rPr>
        <w:t xml:space="preserve"> </w:t>
      </w:r>
      <w:r w:rsidRPr="002D244A">
        <w:rPr>
          <w:rFonts w:cs="FrankRuehl" w:hint="eastAsia"/>
          <w:sz w:val="28"/>
          <w:szCs w:val="28"/>
          <w:rtl/>
        </w:rPr>
        <w:t>נגע</w:t>
      </w:r>
      <w:r w:rsidRPr="002D244A">
        <w:rPr>
          <w:rFonts w:cs="FrankRuehl"/>
          <w:sz w:val="28"/>
          <w:szCs w:val="28"/>
          <w:rtl/>
        </w:rPr>
        <w:t xml:space="preserve"> </w:t>
      </w:r>
      <w:r w:rsidRPr="00365C49">
        <w:rPr>
          <w:rFonts w:cs="FrankRuehl" w:hint="eastAsia"/>
          <w:spacing w:val="10"/>
          <w:sz w:val="28"/>
          <w:szCs w:val="28"/>
          <w:rtl/>
        </w:rPr>
        <w:t>הסמים</w:t>
      </w:r>
      <w:r w:rsidRPr="002D244A">
        <w:rPr>
          <w:rFonts w:cs="FrankRuehl"/>
          <w:sz w:val="28"/>
          <w:szCs w:val="28"/>
          <w:rtl/>
        </w:rPr>
        <w:t xml:space="preserve"> </w:t>
      </w:r>
      <w:r w:rsidRPr="002D244A">
        <w:rPr>
          <w:rFonts w:cs="FrankRuehl" w:hint="eastAsia"/>
          <w:sz w:val="28"/>
          <w:szCs w:val="28"/>
          <w:rtl/>
        </w:rPr>
        <w:t>ולצורך</w:t>
      </w:r>
      <w:r w:rsidRPr="002D244A">
        <w:rPr>
          <w:rFonts w:cs="FrankRuehl"/>
          <w:sz w:val="28"/>
          <w:szCs w:val="28"/>
          <w:rtl/>
        </w:rPr>
        <w:t xml:space="preserve"> </w:t>
      </w:r>
      <w:r w:rsidRPr="002D244A">
        <w:rPr>
          <w:rFonts w:cs="FrankRuehl" w:hint="eastAsia"/>
          <w:sz w:val="28"/>
          <w:szCs w:val="28"/>
          <w:rtl/>
        </w:rPr>
        <w:t>כך</w:t>
      </w:r>
      <w:r w:rsidRPr="002D244A">
        <w:rPr>
          <w:rFonts w:cs="FrankRuehl"/>
          <w:sz w:val="28"/>
          <w:szCs w:val="28"/>
          <w:rtl/>
        </w:rPr>
        <w:t xml:space="preserve"> </w:t>
      </w:r>
      <w:r w:rsidRPr="002D244A">
        <w:rPr>
          <w:rFonts w:cs="FrankRuehl" w:hint="eastAsia"/>
          <w:sz w:val="28"/>
          <w:szCs w:val="28"/>
          <w:rtl/>
        </w:rPr>
        <w:t>היא</w:t>
      </w:r>
      <w:r w:rsidRPr="002D244A">
        <w:rPr>
          <w:rFonts w:cs="FrankRuehl"/>
          <w:sz w:val="28"/>
          <w:szCs w:val="28"/>
          <w:rtl/>
        </w:rPr>
        <w:t xml:space="preserve"> </w:t>
      </w:r>
      <w:r w:rsidRPr="002D244A">
        <w:rPr>
          <w:rFonts w:cs="FrankRuehl" w:hint="eastAsia"/>
          <w:sz w:val="28"/>
          <w:szCs w:val="28"/>
          <w:rtl/>
        </w:rPr>
        <w:t>משקיעה</w:t>
      </w:r>
      <w:r w:rsidRPr="002D244A">
        <w:rPr>
          <w:rFonts w:cs="FrankRuehl"/>
          <w:sz w:val="28"/>
          <w:szCs w:val="28"/>
          <w:rtl/>
        </w:rPr>
        <w:t xml:space="preserve"> </w:t>
      </w:r>
      <w:r w:rsidRPr="002D244A">
        <w:rPr>
          <w:rFonts w:cs="FrankRuehl" w:hint="eastAsia"/>
          <w:sz w:val="28"/>
          <w:szCs w:val="28"/>
          <w:rtl/>
        </w:rPr>
        <w:t>מאמצים</w:t>
      </w:r>
      <w:r w:rsidRPr="002D244A">
        <w:rPr>
          <w:rFonts w:cs="FrankRuehl"/>
          <w:sz w:val="28"/>
          <w:szCs w:val="28"/>
          <w:rtl/>
        </w:rPr>
        <w:t xml:space="preserve"> </w:t>
      </w:r>
      <w:r w:rsidRPr="002D244A">
        <w:rPr>
          <w:rFonts w:cs="FrankRuehl" w:hint="eastAsia"/>
          <w:sz w:val="28"/>
          <w:szCs w:val="28"/>
          <w:rtl/>
        </w:rPr>
        <w:t>רבים</w:t>
      </w:r>
      <w:r w:rsidRPr="002D244A">
        <w:rPr>
          <w:rFonts w:cs="FrankRuehl"/>
          <w:sz w:val="28"/>
          <w:szCs w:val="28"/>
          <w:rtl/>
        </w:rPr>
        <w:t xml:space="preserve"> </w:t>
      </w:r>
      <w:r w:rsidRPr="002D244A">
        <w:rPr>
          <w:rFonts w:cs="FrankRuehl" w:hint="eastAsia"/>
          <w:sz w:val="28"/>
          <w:szCs w:val="28"/>
          <w:rtl/>
        </w:rPr>
        <w:t>וממון</w:t>
      </w:r>
      <w:r w:rsidRPr="002D244A">
        <w:rPr>
          <w:rFonts w:cs="FrankRuehl"/>
          <w:sz w:val="28"/>
          <w:szCs w:val="28"/>
          <w:rtl/>
        </w:rPr>
        <w:t xml:space="preserve"> </w:t>
      </w:r>
      <w:r w:rsidRPr="002D244A">
        <w:rPr>
          <w:rFonts w:cs="FrankRuehl" w:hint="eastAsia"/>
          <w:sz w:val="28"/>
          <w:szCs w:val="28"/>
          <w:rtl/>
        </w:rPr>
        <w:t>רב</w:t>
      </w:r>
      <w:r w:rsidRPr="002D244A">
        <w:rPr>
          <w:rFonts w:cs="FrankRuehl"/>
          <w:sz w:val="28"/>
          <w:szCs w:val="28"/>
          <w:rtl/>
        </w:rPr>
        <w:t xml:space="preserve">. </w:t>
      </w:r>
      <w:r w:rsidRPr="002D244A">
        <w:rPr>
          <w:rFonts w:cs="FrankRuehl" w:hint="eastAsia"/>
          <w:sz w:val="28"/>
          <w:szCs w:val="28"/>
          <w:rtl/>
        </w:rPr>
        <w:t>המערער</w:t>
      </w:r>
      <w:r w:rsidRPr="002D244A">
        <w:rPr>
          <w:rFonts w:cs="FrankRuehl"/>
          <w:sz w:val="28"/>
          <w:szCs w:val="28"/>
          <w:rtl/>
        </w:rPr>
        <w:t xml:space="preserve"> </w:t>
      </w:r>
      <w:r w:rsidRPr="002D244A">
        <w:rPr>
          <w:rFonts w:cs="FrankRuehl" w:hint="eastAsia"/>
          <w:sz w:val="28"/>
          <w:szCs w:val="28"/>
          <w:rtl/>
        </w:rPr>
        <w:t>ואחיו</w:t>
      </w:r>
      <w:r w:rsidRPr="002D244A">
        <w:rPr>
          <w:rFonts w:cs="FrankRuehl"/>
          <w:sz w:val="28"/>
          <w:szCs w:val="28"/>
          <w:rtl/>
        </w:rPr>
        <w:t xml:space="preserve"> </w:t>
      </w:r>
      <w:r w:rsidRPr="002D244A">
        <w:rPr>
          <w:rFonts w:cs="FrankRuehl" w:hint="eastAsia"/>
          <w:sz w:val="28"/>
          <w:szCs w:val="28"/>
          <w:rtl/>
        </w:rPr>
        <w:t>דוגמתו</w:t>
      </w:r>
      <w:r w:rsidRPr="002D244A">
        <w:rPr>
          <w:rFonts w:cs="FrankRuehl"/>
          <w:sz w:val="28"/>
          <w:szCs w:val="28"/>
          <w:rtl/>
        </w:rPr>
        <w:t xml:space="preserve"> </w:t>
      </w:r>
      <w:r w:rsidRPr="002D244A">
        <w:rPr>
          <w:rFonts w:cs="FrankRuehl" w:hint="eastAsia"/>
          <w:sz w:val="28"/>
          <w:szCs w:val="28"/>
          <w:rtl/>
        </w:rPr>
        <w:t>מבקשים</w:t>
      </w:r>
      <w:r w:rsidRPr="002D244A">
        <w:rPr>
          <w:rFonts w:cs="FrankRuehl"/>
          <w:sz w:val="28"/>
          <w:szCs w:val="28"/>
          <w:rtl/>
        </w:rPr>
        <w:t xml:space="preserve"> </w:t>
      </w:r>
      <w:r w:rsidRPr="002D244A">
        <w:rPr>
          <w:rFonts w:cs="FrankRuehl" w:hint="eastAsia"/>
          <w:sz w:val="28"/>
          <w:szCs w:val="28"/>
          <w:rtl/>
        </w:rPr>
        <w:t>לסכל</w:t>
      </w:r>
      <w:r w:rsidRPr="002D244A">
        <w:rPr>
          <w:rFonts w:cs="FrankRuehl"/>
          <w:sz w:val="28"/>
          <w:szCs w:val="28"/>
          <w:rtl/>
        </w:rPr>
        <w:t xml:space="preserve"> </w:t>
      </w:r>
      <w:r w:rsidRPr="002D244A">
        <w:rPr>
          <w:rFonts w:cs="FrankRuehl" w:hint="eastAsia"/>
          <w:sz w:val="28"/>
          <w:szCs w:val="28"/>
          <w:rtl/>
        </w:rPr>
        <w:t>מאמץ</w:t>
      </w:r>
      <w:r w:rsidRPr="002D244A">
        <w:rPr>
          <w:rFonts w:cs="FrankRuehl"/>
          <w:sz w:val="28"/>
          <w:szCs w:val="28"/>
          <w:rtl/>
        </w:rPr>
        <w:t xml:space="preserve"> </w:t>
      </w:r>
      <w:r w:rsidRPr="002D244A">
        <w:rPr>
          <w:rFonts w:cs="FrankRuehl" w:hint="eastAsia"/>
          <w:sz w:val="28"/>
          <w:szCs w:val="28"/>
          <w:rtl/>
        </w:rPr>
        <w:t>זה</w:t>
      </w:r>
      <w:r w:rsidRPr="002D244A">
        <w:rPr>
          <w:rFonts w:cs="FrankRuehl"/>
          <w:sz w:val="28"/>
          <w:szCs w:val="28"/>
          <w:rtl/>
        </w:rPr>
        <w:t xml:space="preserve"> </w:t>
      </w:r>
      <w:r w:rsidRPr="002D244A">
        <w:rPr>
          <w:rFonts w:cs="FrankRuehl" w:hint="eastAsia"/>
          <w:sz w:val="28"/>
          <w:szCs w:val="28"/>
          <w:rtl/>
        </w:rPr>
        <w:t>ומכאן</w:t>
      </w:r>
      <w:r w:rsidRPr="002D244A">
        <w:rPr>
          <w:rFonts w:cs="FrankRuehl"/>
          <w:sz w:val="28"/>
          <w:szCs w:val="28"/>
          <w:rtl/>
        </w:rPr>
        <w:t xml:space="preserve"> </w:t>
      </w:r>
      <w:r w:rsidRPr="002D244A">
        <w:rPr>
          <w:rFonts w:cs="FrankRuehl" w:hint="eastAsia"/>
          <w:sz w:val="28"/>
          <w:szCs w:val="28"/>
          <w:rtl/>
        </w:rPr>
        <w:t>הצורך</w:t>
      </w:r>
      <w:r w:rsidRPr="002D244A">
        <w:rPr>
          <w:rFonts w:cs="FrankRuehl"/>
          <w:sz w:val="28"/>
          <w:szCs w:val="28"/>
          <w:rtl/>
        </w:rPr>
        <w:t xml:space="preserve"> </w:t>
      </w:r>
      <w:r w:rsidRPr="002D244A">
        <w:rPr>
          <w:rFonts w:cs="FrankRuehl" w:hint="eastAsia"/>
          <w:sz w:val="28"/>
          <w:szCs w:val="28"/>
          <w:rtl/>
        </w:rPr>
        <w:t>לנהוג</w:t>
      </w:r>
      <w:r w:rsidRPr="002D244A">
        <w:rPr>
          <w:rFonts w:cs="FrankRuehl"/>
          <w:sz w:val="28"/>
          <w:szCs w:val="28"/>
          <w:rtl/>
        </w:rPr>
        <w:t xml:space="preserve"> </w:t>
      </w:r>
      <w:r w:rsidRPr="002D244A">
        <w:rPr>
          <w:rFonts w:cs="FrankRuehl" w:hint="eastAsia"/>
          <w:sz w:val="28"/>
          <w:szCs w:val="28"/>
          <w:rtl/>
        </w:rPr>
        <w:t>בהם</w:t>
      </w:r>
      <w:r w:rsidRPr="002D244A">
        <w:rPr>
          <w:rFonts w:cs="FrankRuehl"/>
          <w:sz w:val="28"/>
          <w:szCs w:val="28"/>
          <w:rtl/>
        </w:rPr>
        <w:t xml:space="preserve"> </w:t>
      </w:r>
      <w:r w:rsidRPr="002D244A">
        <w:rPr>
          <w:rFonts w:cs="FrankRuehl" w:hint="eastAsia"/>
          <w:sz w:val="28"/>
          <w:szCs w:val="28"/>
          <w:rtl/>
        </w:rPr>
        <w:t>וכנגד</w:t>
      </w:r>
      <w:r w:rsidRPr="002D244A">
        <w:rPr>
          <w:rFonts w:cs="FrankRuehl"/>
          <w:sz w:val="28"/>
          <w:szCs w:val="28"/>
          <w:rtl/>
        </w:rPr>
        <w:t xml:space="preserve"> </w:t>
      </w:r>
      <w:r w:rsidRPr="002D244A">
        <w:rPr>
          <w:rFonts w:cs="FrankRuehl" w:hint="eastAsia"/>
          <w:sz w:val="28"/>
          <w:szCs w:val="28"/>
          <w:rtl/>
        </w:rPr>
        <w:t>כל</w:t>
      </w:r>
      <w:r w:rsidRPr="002D244A">
        <w:rPr>
          <w:rFonts w:cs="FrankRuehl"/>
          <w:sz w:val="28"/>
          <w:szCs w:val="28"/>
          <w:rtl/>
        </w:rPr>
        <w:t xml:space="preserve"> </w:t>
      </w:r>
      <w:r w:rsidRPr="002D244A">
        <w:rPr>
          <w:rFonts w:cs="FrankRuehl" w:hint="eastAsia"/>
          <w:sz w:val="28"/>
          <w:szCs w:val="28"/>
          <w:rtl/>
        </w:rPr>
        <w:t>חוליותיה</w:t>
      </w:r>
      <w:r w:rsidRPr="002D244A">
        <w:rPr>
          <w:rFonts w:cs="FrankRuehl"/>
          <w:sz w:val="28"/>
          <w:szCs w:val="28"/>
          <w:rtl/>
        </w:rPr>
        <w:t xml:space="preserve"> </w:t>
      </w:r>
      <w:r w:rsidRPr="002D244A">
        <w:rPr>
          <w:rFonts w:cs="FrankRuehl" w:hint="eastAsia"/>
          <w:sz w:val="28"/>
          <w:szCs w:val="28"/>
          <w:rtl/>
        </w:rPr>
        <w:t>של</w:t>
      </w:r>
      <w:r w:rsidRPr="002D244A">
        <w:rPr>
          <w:rFonts w:cs="FrankRuehl"/>
          <w:sz w:val="28"/>
          <w:szCs w:val="28"/>
          <w:rtl/>
        </w:rPr>
        <w:t xml:space="preserve"> </w:t>
      </w:r>
      <w:r w:rsidRPr="002D244A">
        <w:rPr>
          <w:rFonts w:cs="FrankRuehl" w:hint="eastAsia"/>
          <w:sz w:val="28"/>
          <w:szCs w:val="28"/>
          <w:rtl/>
        </w:rPr>
        <w:t>שרשרת</w:t>
      </w:r>
      <w:r w:rsidRPr="002D244A">
        <w:rPr>
          <w:rFonts w:cs="FrankRuehl"/>
          <w:sz w:val="28"/>
          <w:szCs w:val="28"/>
          <w:rtl/>
        </w:rPr>
        <w:t xml:space="preserve"> </w:t>
      </w:r>
      <w:r w:rsidRPr="002D244A">
        <w:rPr>
          <w:rFonts w:cs="FrankRuehl" w:hint="eastAsia"/>
          <w:sz w:val="28"/>
          <w:szCs w:val="28"/>
          <w:rtl/>
        </w:rPr>
        <w:t>הפצת</w:t>
      </w:r>
      <w:r w:rsidRPr="002D244A">
        <w:rPr>
          <w:rFonts w:cs="FrankRuehl"/>
          <w:sz w:val="28"/>
          <w:szCs w:val="28"/>
          <w:rtl/>
        </w:rPr>
        <w:t xml:space="preserve"> </w:t>
      </w:r>
      <w:r w:rsidRPr="002D244A">
        <w:rPr>
          <w:rFonts w:cs="FrankRuehl" w:hint="eastAsia"/>
          <w:sz w:val="28"/>
          <w:szCs w:val="28"/>
          <w:rtl/>
        </w:rPr>
        <w:t>הסם</w:t>
      </w:r>
      <w:r w:rsidRPr="002D244A">
        <w:rPr>
          <w:rFonts w:cs="FrankRuehl"/>
          <w:sz w:val="28"/>
          <w:szCs w:val="28"/>
          <w:rtl/>
        </w:rPr>
        <w:t xml:space="preserve"> </w:t>
      </w:r>
      <w:r w:rsidRPr="002D244A">
        <w:rPr>
          <w:rFonts w:cs="FrankRuehl" w:hint="eastAsia"/>
          <w:sz w:val="28"/>
          <w:szCs w:val="28"/>
          <w:rtl/>
        </w:rPr>
        <w:t>ביד</w:t>
      </w:r>
      <w:r w:rsidRPr="002D244A">
        <w:rPr>
          <w:rFonts w:cs="FrankRuehl"/>
          <w:sz w:val="28"/>
          <w:szCs w:val="28"/>
          <w:rtl/>
        </w:rPr>
        <w:t xml:space="preserve"> </w:t>
      </w:r>
      <w:r w:rsidRPr="002D244A">
        <w:rPr>
          <w:rFonts w:cs="FrankRuehl" w:hint="eastAsia"/>
          <w:sz w:val="28"/>
          <w:szCs w:val="28"/>
          <w:rtl/>
        </w:rPr>
        <w:t>קשה</w:t>
      </w:r>
      <w:r w:rsidRPr="002D244A">
        <w:rPr>
          <w:rFonts w:cs="FrankRuehl"/>
          <w:sz w:val="28"/>
          <w:szCs w:val="28"/>
          <w:rtl/>
        </w:rPr>
        <w:t xml:space="preserve">. </w:t>
      </w:r>
      <w:r w:rsidRPr="002D244A">
        <w:rPr>
          <w:rFonts w:cs="FrankRuehl" w:hint="eastAsia"/>
          <w:sz w:val="28"/>
          <w:szCs w:val="28"/>
          <w:rtl/>
        </w:rPr>
        <w:t>בתחום</w:t>
      </w:r>
      <w:r w:rsidRPr="002D244A">
        <w:rPr>
          <w:rFonts w:cs="FrankRuehl"/>
          <w:sz w:val="28"/>
          <w:szCs w:val="28"/>
          <w:rtl/>
        </w:rPr>
        <w:t xml:space="preserve"> </w:t>
      </w:r>
      <w:r w:rsidRPr="002D244A">
        <w:rPr>
          <w:rFonts w:cs="FrankRuehl" w:hint="eastAsia"/>
          <w:sz w:val="28"/>
          <w:szCs w:val="28"/>
          <w:rtl/>
        </w:rPr>
        <w:t>זה</w:t>
      </w:r>
      <w:r w:rsidRPr="002D244A">
        <w:rPr>
          <w:rFonts w:cs="FrankRuehl"/>
          <w:sz w:val="28"/>
          <w:szCs w:val="28"/>
          <w:rtl/>
        </w:rPr>
        <w:t xml:space="preserve"> </w:t>
      </w:r>
      <w:r w:rsidRPr="002D244A">
        <w:rPr>
          <w:rFonts w:cs="FrankRuehl" w:hint="eastAsia"/>
          <w:sz w:val="28"/>
          <w:szCs w:val="28"/>
          <w:rtl/>
        </w:rPr>
        <w:t>של</w:t>
      </w:r>
      <w:r w:rsidRPr="002D244A">
        <w:rPr>
          <w:rFonts w:cs="FrankRuehl"/>
          <w:sz w:val="28"/>
          <w:szCs w:val="28"/>
          <w:rtl/>
        </w:rPr>
        <w:t xml:space="preserve"> </w:t>
      </w:r>
      <w:r w:rsidRPr="002D244A">
        <w:rPr>
          <w:rFonts w:cs="FrankRuehl" w:hint="eastAsia"/>
          <w:sz w:val="28"/>
          <w:szCs w:val="28"/>
          <w:rtl/>
        </w:rPr>
        <w:t>עבריינות</w:t>
      </w:r>
      <w:r w:rsidRPr="002D244A">
        <w:rPr>
          <w:rFonts w:cs="FrankRuehl"/>
          <w:sz w:val="28"/>
          <w:szCs w:val="28"/>
          <w:rtl/>
        </w:rPr>
        <w:t xml:space="preserve"> </w:t>
      </w:r>
      <w:r w:rsidRPr="002D244A">
        <w:rPr>
          <w:rFonts w:cs="FrankRuehl" w:hint="eastAsia"/>
          <w:sz w:val="28"/>
          <w:szCs w:val="28"/>
          <w:rtl/>
        </w:rPr>
        <w:t>קובעת</w:t>
      </w:r>
      <w:r w:rsidRPr="002D244A">
        <w:rPr>
          <w:rFonts w:cs="FrankRuehl"/>
          <w:sz w:val="28"/>
          <w:szCs w:val="28"/>
          <w:rtl/>
        </w:rPr>
        <w:t xml:space="preserve"> </w:t>
      </w:r>
      <w:r w:rsidRPr="002D244A">
        <w:rPr>
          <w:rFonts w:cs="FrankRuehl" w:hint="eastAsia"/>
          <w:sz w:val="28"/>
          <w:szCs w:val="28"/>
          <w:rtl/>
        </w:rPr>
        <w:t>ההלכה</w:t>
      </w:r>
      <w:r w:rsidRPr="002D244A">
        <w:rPr>
          <w:rFonts w:cs="FrankRuehl"/>
          <w:sz w:val="28"/>
          <w:szCs w:val="28"/>
          <w:rtl/>
        </w:rPr>
        <w:t xml:space="preserve"> </w:t>
      </w:r>
      <w:r w:rsidRPr="002D244A">
        <w:rPr>
          <w:rFonts w:cs="FrankRuehl" w:hint="eastAsia"/>
          <w:sz w:val="28"/>
          <w:szCs w:val="28"/>
          <w:rtl/>
        </w:rPr>
        <w:t>הפסוקה</w:t>
      </w:r>
      <w:r w:rsidRPr="002D244A">
        <w:rPr>
          <w:rFonts w:cs="FrankRuehl"/>
          <w:sz w:val="28"/>
          <w:szCs w:val="28"/>
          <w:rtl/>
        </w:rPr>
        <w:t xml:space="preserve"> </w:t>
      </w:r>
      <w:r w:rsidRPr="002D244A">
        <w:rPr>
          <w:rFonts w:cs="FrankRuehl" w:hint="eastAsia"/>
          <w:sz w:val="28"/>
          <w:szCs w:val="28"/>
          <w:rtl/>
        </w:rPr>
        <w:t>כי</w:t>
      </w:r>
      <w:r w:rsidRPr="002D244A">
        <w:rPr>
          <w:rFonts w:cs="Miriam"/>
          <w:rtl/>
        </w:rPr>
        <w:t xml:space="preserve"> </w:t>
      </w:r>
      <w:r w:rsidRPr="002D244A">
        <w:rPr>
          <w:rFonts w:cs="Miriam" w:hint="eastAsia"/>
          <w:rtl/>
        </w:rPr>
        <w:t>תהיינה</w:t>
      </w:r>
      <w:r w:rsidRPr="002D244A">
        <w:rPr>
          <w:rFonts w:cs="Miriam"/>
          <w:rtl/>
        </w:rPr>
        <w:t xml:space="preserve"> </w:t>
      </w:r>
      <w:r w:rsidRPr="002D244A">
        <w:rPr>
          <w:rFonts w:cs="Miriam" w:hint="eastAsia"/>
          <w:rtl/>
        </w:rPr>
        <w:t>נסיבותיו</w:t>
      </w:r>
      <w:r w:rsidRPr="002D244A">
        <w:rPr>
          <w:rFonts w:cs="Miriam"/>
          <w:rtl/>
        </w:rPr>
        <w:t xml:space="preserve"> </w:t>
      </w:r>
      <w:r w:rsidRPr="002D244A">
        <w:rPr>
          <w:rFonts w:cs="Miriam" w:hint="eastAsia"/>
          <w:rtl/>
        </w:rPr>
        <w:t>של</w:t>
      </w:r>
      <w:r w:rsidRPr="002D244A">
        <w:rPr>
          <w:rFonts w:cs="Miriam"/>
          <w:rtl/>
        </w:rPr>
        <w:t xml:space="preserve"> </w:t>
      </w:r>
      <w:r w:rsidRPr="002D244A">
        <w:rPr>
          <w:rFonts w:cs="Miriam" w:hint="eastAsia"/>
          <w:rtl/>
        </w:rPr>
        <w:t>העבריין</w:t>
      </w:r>
      <w:r w:rsidRPr="002D244A">
        <w:rPr>
          <w:rFonts w:cs="Miriam"/>
          <w:rtl/>
        </w:rPr>
        <w:t xml:space="preserve"> </w:t>
      </w:r>
      <w:r w:rsidRPr="002D244A">
        <w:rPr>
          <w:rFonts w:cs="Miriam" w:hint="eastAsia"/>
          <w:rtl/>
        </w:rPr>
        <w:t>חמורות</w:t>
      </w:r>
      <w:r w:rsidRPr="002D244A">
        <w:rPr>
          <w:rFonts w:cs="Miriam"/>
          <w:rtl/>
        </w:rPr>
        <w:t xml:space="preserve"> </w:t>
      </w:r>
      <w:r w:rsidRPr="002D244A">
        <w:rPr>
          <w:rFonts w:cs="Miriam" w:hint="eastAsia"/>
          <w:rtl/>
        </w:rPr>
        <w:t>וקשות</w:t>
      </w:r>
      <w:r w:rsidRPr="002D244A">
        <w:rPr>
          <w:rFonts w:cs="Miriam"/>
          <w:rtl/>
        </w:rPr>
        <w:t xml:space="preserve"> </w:t>
      </w:r>
      <w:r w:rsidRPr="002D244A">
        <w:rPr>
          <w:rFonts w:cs="Miriam" w:hint="eastAsia"/>
          <w:rtl/>
        </w:rPr>
        <w:t>ככל</w:t>
      </w:r>
      <w:r w:rsidRPr="002D244A">
        <w:rPr>
          <w:rFonts w:cs="Miriam"/>
          <w:rtl/>
        </w:rPr>
        <w:t xml:space="preserve"> </w:t>
      </w:r>
      <w:r w:rsidRPr="002D244A">
        <w:rPr>
          <w:rFonts w:cs="Miriam" w:hint="eastAsia"/>
          <w:rtl/>
        </w:rPr>
        <w:t>שתהיינה</w:t>
      </w:r>
      <w:r w:rsidRPr="002D244A">
        <w:rPr>
          <w:rFonts w:cs="Miriam"/>
          <w:rtl/>
        </w:rPr>
        <w:t xml:space="preserve">, </w:t>
      </w:r>
      <w:r w:rsidRPr="002D244A">
        <w:rPr>
          <w:rFonts w:cs="Miriam" w:hint="eastAsia"/>
          <w:rtl/>
        </w:rPr>
        <w:t>הן</w:t>
      </w:r>
      <w:r w:rsidRPr="002D244A">
        <w:rPr>
          <w:rFonts w:cs="Miriam"/>
          <w:rtl/>
        </w:rPr>
        <w:t xml:space="preserve"> </w:t>
      </w:r>
      <w:r w:rsidRPr="002D244A">
        <w:rPr>
          <w:rFonts w:cs="Miriam" w:hint="eastAsia"/>
          <w:rtl/>
        </w:rPr>
        <w:t>נדחות</w:t>
      </w:r>
      <w:r w:rsidRPr="002D244A">
        <w:rPr>
          <w:rFonts w:cs="Miriam"/>
          <w:rtl/>
        </w:rPr>
        <w:t xml:space="preserve"> </w:t>
      </w:r>
      <w:r w:rsidRPr="002D244A">
        <w:rPr>
          <w:rFonts w:cs="Miriam" w:hint="eastAsia"/>
          <w:rtl/>
        </w:rPr>
        <w:t>מפני</w:t>
      </w:r>
      <w:r w:rsidRPr="002D244A">
        <w:rPr>
          <w:rFonts w:cs="Miriam"/>
          <w:rtl/>
        </w:rPr>
        <w:t xml:space="preserve"> </w:t>
      </w:r>
      <w:r w:rsidRPr="002D244A">
        <w:rPr>
          <w:rFonts w:cs="Miriam" w:hint="eastAsia"/>
          <w:rtl/>
        </w:rPr>
        <w:t>האינטרס</w:t>
      </w:r>
      <w:r w:rsidRPr="002D244A">
        <w:rPr>
          <w:rFonts w:cs="Miriam"/>
          <w:rtl/>
        </w:rPr>
        <w:t xml:space="preserve"> </w:t>
      </w:r>
      <w:r w:rsidRPr="002D244A">
        <w:rPr>
          <w:rFonts w:cs="Miriam" w:hint="eastAsia"/>
          <w:rtl/>
        </w:rPr>
        <w:t>הציבור</w:t>
      </w:r>
      <w:r w:rsidRPr="002D244A">
        <w:rPr>
          <w:rFonts w:cs="FrankRuehl"/>
          <w:sz w:val="28"/>
          <w:szCs w:val="28"/>
          <w:rtl/>
        </w:rPr>
        <w:t>"</w:t>
      </w:r>
      <w:r>
        <w:rPr>
          <w:rFonts w:cs="FrankRuehl" w:hint="cs"/>
          <w:sz w:val="28"/>
          <w:szCs w:val="28"/>
          <w:rtl/>
        </w:rPr>
        <w:t xml:space="preserve"> </w:t>
      </w:r>
      <w:r w:rsidRPr="00574A5C">
        <w:rPr>
          <w:rFonts w:cs="FrankRuehl"/>
          <w:sz w:val="28"/>
          <w:szCs w:val="28"/>
          <w:rtl/>
        </w:rPr>
        <w:t>(</w:t>
      </w:r>
      <w:r w:rsidRPr="00574A5C">
        <w:rPr>
          <w:rFonts w:cs="FrankRuehl" w:hint="eastAsia"/>
          <w:sz w:val="28"/>
          <w:szCs w:val="28"/>
          <w:rtl/>
        </w:rPr>
        <w:t>ההדגשות</w:t>
      </w:r>
      <w:r w:rsidRPr="00574A5C">
        <w:rPr>
          <w:rFonts w:cs="FrankRuehl"/>
          <w:sz w:val="28"/>
          <w:szCs w:val="28"/>
          <w:rtl/>
        </w:rPr>
        <w:t xml:space="preserve"> </w:t>
      </w:r>
      <w:r w:rsidRPr="00574A5C">
        <w:rPr>
          <w:rFonts w:cs="FrankRuehl" w:hint="eastAsia"/>
          <w:sz w:val="28"/>
          <w:szCs w:val="28"/>
          <w:rtl/>
        </w:rPr>
        <w:t>אינן</w:t>
      </w:r>
      <w:r w:rsidRPr="00574A5C">
        <w:rPr>
          <w:rFonts w:cs="FrankRuehl"/>
          <w:sz w:val="28"/>
          <w:szCs w:val="28"/>
          <w:rtl/>
        </w:rPr>
        <w:t xml:space="preserve"> </w:t>
      </w:r>
      <w:r w:rsidRPr="00574A5C">
        <w:rPr>
          <w:rFonts w:cs="FrankRuehl" w:hint="eastAsia"/>
          <w:sz w:val="28"/>
          <w:szCs w:val="28"/>
          <w:rtl/>
        </w:rPr>
        <w:t>במקור</w:t>
      </w:r>
      <w:r w:rsidRPr="00574A5C">
        <w:rPr>
          <w:rFonts w:cs="FrankRuehl"/>
          <w:sz w:val="28"/>
          <w:szCs w:val="28"/>
          <w:rtl/>
        </w:rPr>
        <w:t xml:space="preserve"> – </w:t>
      </w:r>
      <w:r w:rsidRPr="00574A5C">
        <w:rPr>
          <w:rFonts w:cs="FrankRuehl" w:hint="eastAsia"/>
          <w:sz w:val="28"/>
          <w:szCs w:val="28"/>
          <w:rtl/>
        </w:rPr>
        <w:t>ע</w:t>
      </w:r>
      <w:r w:rsidRPr="00574A5C">
        <w:rPr>
          <w:rFonts w:cs="FrankRuehl"/>
          <w:sz w:val="28"/>
          <w:szCs w:val="28"/>
          <w:rtl/>
        </w:rPr>
        <w:t>.</w:t>
      </w:r>
      <w:r w:rsidRPr="00574A5C">
        <w:rPr>
          <w:rFonts w:cs="FrankRuehl" w:hint="eastAsia"/>
          <w:sz w:val="28"/>
          <w:szCs w:val="28"/>
          <w:rtl/>
        </w:rPr>
        <w:t>מ</w:t>
      </w:r>
      <w:r w:rsidRPr="00574A5C">
        <w:rPr>
          <w:rFonts w:cs="FrankRuehl"/>
          <w:sz w:val="28"/>
          <w:szCs w:val="28"/>
          <w:rtl/>
        </w:rPr>
        <w:t>).</w:t>
      </w:r>
    </w:p>
    <w:p w14:paraId="53F37447" w14:textId="77777777" w:rsidR="00725069" w:rsidRPr="002D244A" w:rsidRDefault="00725069" w:rsidP="00725069">
      <w:pPr>
        <w:spacing w:line="360" w:lineRule="auto"/>
        <w:jc w:val="both"/>
        <w:rPr>
          <w:rFonts w:ascii="FrankRuehl" w:hAnsi="FrankRuehl" w:cs="FrankRuehl"/>
          <w:b/>
          <w:bCs/>
          <w:sz w:val="28"/>
          <w:szCs w:val="28"/>
        </w:rPr>
      </w:pPr>
    </w:p>
    <w:p w14:paraId="3DC09BA3" w14:textId="77777777" w:rsidR="00725069" w:rsidRPr="00B737FB" w:rsidRDefault="00725069" w:rsidP="00725069">
      <w:pPr>
        <w:spacing w:line="360" w:lineRule="auto"/>
        <w:jc w:val="both"/>
        <w:rPr>
          <w:rFonts w:ascii="FrankRuehl" w:hAnsi="FrankRuehl" w:cs="FrankRuehl"/>
          <w:b/>
          <w:bCs/>
          <w:sz w:val="28"/>
          <w:szCs w:val="28"/>
          <w:rtl/>
        </w:rPr>
      </w:pPr>
      <w:r>
        <w:rPr>
          <w:rFonts w:ascii="FrankRuehl" w:hAnsi="FrankRuehl" w:cs="FrankRuehl" w:hint="cs"/>
          <w:b/>
          <w:bCs/>
          <w:sz w:val="28"/>
          <w:szCs w:val="28"/>
          <w:rtl/>
        </w:rPr>
        <w:t>נסיבות הקשורות ל</w:t>
      </w:r>
      <w:r w:rsidRPr="00B737FB">
        <w:rPr>
          <w:rFonts w:ascii="FrankRuehl" w:hAnsi="FrankRuehl" w:cs="FrankRuehl" w:hint="cs"/>
          <w:b/>
          <w:bCs/>
          <w:sz w:val="28"/>
          <w:szCs w:val="28"/>
          <w:rtl/>
        </w:rPr>
        <w:t>ביצוע העבירה</w:t>
      </w:r>
    </w:p>
    <w:p w14:paraId="211F9FDF" w14:textId="77777777" w:rsidR="00725069" w:rsidRDefault="00725069" w:rsidP="00725069">
      <w:pPr>
        <w:spacing w:line="360" w:lineRule="auto"/>
        <w:ind w:left="368"/>
        <w:jc w:val="both"/>
        <w:rPr>
          <w:rFonts w:ascii="FrankRuehl" w:hAnsi="FrankRuehl" w:cs="FrankRuehl"/>
          <w:sz w:val="28"/>
          <w:szCs w:val="28"/>
        </w:rPr>
      </w:pPr>
    </w:p>
    <w:p w14:paraId="5544F7D1"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t xml:space="preserve">הנזק שנגרם כתוצאה ממעשיו של הנאשם אינו גדול נוכח העובדה שהסם נמכר לסוכן משטרתי במסגרת פעילות משטרתית מבוקרת. מנגד, הנזק שעלול היה להיגרם כתוצאה מביצוע העבירות הינו גדול, זאת בשים לב לסוג הסמים, למספר העסקאות ולכמות הסם הגדולה יחסית שנמכרה בכל עסקה, כאשר לנאשם נאמר באופן מפורש על ידי הסוכן שהסמים מיועדים לצורך מכירתם לצרכני סמים. </w:t>
      </w:r>
    </w:p>
    <w:p w14:paraId="51E3E38B"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מספר העסקאות, פרק הזמן הקצר שחלף בין מועדי השיחה לבין מועדי ביצוע העסקאות בפועל, כמו גם הבטחתו של הנאשם לסוכן, לפיה בפעם הבאה ידאג לתת לו הנחה במחיר, מצביעה על נגישותו של הנאשם לסמים ועל יכולתו לספק אותם לכל דורש במהירות ובכמות שהיא הרבה מעבר לצריכה עצמית.</w:t>
      </w:r>
    </w:p>
    <w:p w14:paraId="2E9D2470" w14:textId="77777777" w:rsidR="00725069" w:rsidRDefault="00725069" w:rsidP="00725069">
      <w:pPr>
        <w:spacing w:line="360" w:lineRule="auto"/>
        <w:jc w:val="both"/>
        <w:rPr>
          <w:rFonts w:ascii="FrankRuehl" w:hAnsi="FrankRuehl" w:cs="FrankRuehl"/>
          <w:sz w:val="28"/>
          <w:szCs w:val="28"/>
          <w:rtl/>
        </w:rPr>
      </w:pPr>
    </w:p>
    <w:p w14:paraId="5D8BA777"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 xml:space="preserve">נטען על ידי ההגנה שלנאשם לא היה כל רווח כלכלי כפועל יוצא של ביצוע העסקאות. טענה זו יש לדחות מכל וכל, זאת משני טעמים. </w:t>
      </w:r>
      <w:r w:rsidRPr="00515E19">
        <w:rPr>
          <w:rFonts w:ascii="FrankRuehl" w:hAnsi="FrankRuehl" w:cs="Miriam" w:hint="cs"/>
          <w:rtl/>
        </w:rPr>
        <w:t>האחד</w:t>
      </w:r>
      <w:r>
        <w:rPr>
          <w:rFonts w:ascii="FrankRuehl" w:hAnsi="FrankRuehl" w:cs="FrankRuehl" w:hint="cs"/>
          <w:sz w:val="28"/>
          <w:szCs w:val="28"/>
          <w:rtl/>
        </w:rPr>
        <w:t xml:space="preserve">, הנאשם מסר לשירות המבחן שהוא ביצע את עסקאות הסמים </w:t>
      </w:r>
      <w:r w:rsidRPr="00E532D2">
        <w:rPr>
          <w:rFonts w:ascii="FrankRuehl" w:hAnsi="FrankRuehl" w:cs="Miriam" w:hint="cs"/>
          <w:rtl/>
        </w:rPr>
        <w:t>על רקע קשיים כלכליים</w:t>
      </w:r>
      <w:r>
        <w:rPr>
          <w:rFonts w:ascii="FrankRuehl" w:hAnsi="FrankRuehl" w:cs="FrankRuehl" w:hint="cs"/>
          <w:sz w:val="28"/>
          <w:szCs w:val="28"/>
          <w:rtl/>
        </w:rPr>
        <w:t xml:space="preserve">, שנבעו מחובות אותם צבר כתוצאה מהלוואות שלקח מבנקים ומחברים, ובשל ניהול אורח חיים פזרני ולא מחושב. </w:t>
      </w:r>
      <w:r w:rsidRPr="00515E19">
        <w:rPr>
          <w:rFonts w:ascii="FrankRuehl" w:hAnsi="FrankRuehl" w:cs="Miriam" w:hint="cs"/>
          <w:rtl/>
        </w:rPr>
        <w:t>השני</w:t>
      </w:r>
      <w:r>
        <w:rPr>
          <w:rFonts w:ascii="FrankRuehl" w:hAnsi="FrankRuehl" w:cs="FrankRuehl" w:hint="cs"/>
          <w:sz w:val="28"/>
          <w:szCs w:val="28"/>
          <w:rtl/>
        </w:rPr>
        <w:t>, אין זה סביר שהנאשם העמיד עצמו בסיכון כה גדול של ביצוע מספר עסקאות בסמים, קל וחומר בסמים  "קשים", לוּ לא היה מפיק רווח כספי משמעותי מפעילות אסורה זו.</w:t>
      </w:r>
    </w:p>
    <w:p w14:paraId="51A464B5" w14:textId="77777777" w:rsidR="00725069" w:rsidRDefault="00725069" w:rsidP="00725069">
      <w:pPr>
        <w:spacing w:line="360" w:lineRule="auto"/>
        <w:jc w:val="both"/>
        <w:rPr>
          <w:rFonts w:ascii="FrankRuehl" w:hAnsi="FrankRuehl" w:cs="FrankRuehl"/>
          <w:sz w:val="28"/>
          <w:szCs w:val="28"/>
          <w:rtl/>
        </w:rPr>
      </w:pPr>
    </w:p>
    <w:p w14:paraId="2AB863D9" w14:textId="77777777" w:rsidR="00725069" w:rsidRPr="00F67B9B"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20.</w:t>
      </w:r>
      <w:r>
        <w:rPr>
          <w:rFonts w:ascii="FrankRuehl" w:hAnsi="FrankRuehl" w:cs="FrankRuehl" w:hint="cs"/>
          <w:sz w:val="28"/>
          <w:szCs w:val="28"/>
          <w:rtl/>
        </w:rPr>
        <w:tab/>
        <w:t xml:space="preserve">טענת הגנה נוספת שנטענה היא שהנאשם לא חזר על מעשיו ממועד ביצוע המעשה האחרון בזמן (15.8.18) ועד ליום בו נעצר. גם טענה זו דינה להידחות. בכתב האישום מתוארים מעשיו של הנאשם בהם הורשע </w:t>
      </w:r>
      <w:r w:rsidRPr="006B281E">
        <w:rPr>
          <w:rFonts w:ascii="FrankRuehl" w:hAnsi="FrankRuehl" w:cs="Miriam" w:hint="cs"/>
          <w:rtl/>
        </w:rPr>
        <w:t>ולא מעבר לכך</w:t>
      </w:r>
      <w:r>
        <w:rPr>
          <w:rFonts w:ascii="FrankRuehl" w:hAnsi="FrankRuehl" w:cs="FrankRuehl" w:hint="cs"/>
          <w:sz w:val="28"/>
          <w:szCs w:val="28"/>
          <w:rtl/>
        </w:rPr>
        <w:t xml:space="preserve">. במקרה זה עסקאות הסמים התבצעו </w:t>
      </w:r>
      <w:r w:rsidRPr="00F821F6">
        <w:rPr>
          <w:rFonts w:ascii="FrankRuehl" w:hAnsi="FrankRuehl" w:cs="Miriam" w:hint="cs"/>
          <w:rtl/>
        </w:rPr>
        <w:t>ביוזמת סוכן משטרתי</w:t>
      </w:r>
      <w:r>
        <w:rPr>
          <w:rFonts w:ascii="FrankRuehl" w:hAnsi="FrankRuehl" w:cs="FrankRuehl" w:hint="cs"/>
          <w:sz w:val="28"/>
          <w:szCs w:val="28"/>
          <w:rtl/>
        </w:rPr>
        <w:t xml:space="preserve"> לאחר פניית הסוכן אל הנאשם. לא נטען על ידי מי מהצדדים שבאחת מפניות הסוכן אל הנאשם סירב הנאשם למכור לו סמים, או שהנאשם אמר לסוכן שאין ברשותו סמים לספק לו. נהפוך הוא. כפי שעולה מהאישום הראשון, משהבהיר הסוכן לנאשם כי הוא רוכש סמים במטרה למכור אותם ללקוחותיו, השיב לו הנאשם כי</w:t>
      </w:r>
      <w:r w:rsidRPr="00516A95">
        <w:rPr>
          <w:rFonts w:ascii="FrankRuehl" w:hAnsi="FrankRuehl" w:cs="Miriam" w:hint="cs"/>
          <w:rtl/>
        </w:rPr>
        <w:t xml:space="preserve"> בפעם הבאה </w:t>
      </w:r>
      <w:r>
        <w:rPr>
          <w:rFonts w:ascii="FrankRuehl" w:hAnsi="FrankRuehl" w:cs="FrankRuehl" w:hint="cs"/>
          <w:sz w:val="28"/>
          <w:szCs w:val="28"/>
          <w:rtl/>
        </w:rPr>
        <w:t>ידאג לתת לו הנחה במחיר. מהאמור אין להסיק אמנם שהנאשם מכר סמים לאנשים נוספים, אולם באותה נשימה גם לא ניתן לשלול אפשרות זו, כבקשת ההגנה, בהינתן מספר העסקאות ונכונותו של הנאשם למכור לסוכן סמים גם בעתיד.</w:t>
      </w:r>
    </w:p>
    <w:p w14:paraId="7EDB4B7A" w14:textId="77777777" w:rsidR="00725069" w:rsidRPr="00516A95" w:rsidRDefault="00725069" w:rsidP="00725069">
      <w:pPr>
        <w:spacing w:line="360" w:lineRule="auto"/>
        <w:jc w:val="both"/>
        <w:rPr>
          <w:rFonts w:ascii="FrankRuehl" w:hAnsi="FrankRuehl" w:cs="FrankRuehl"/>
          <w:sz w:val="28"/>
          <w:szCs w:val="28"/>
        </w:rPr>
      </w:pPr>
    </w:p>
    <w:p w14:paraId="3DEB8ABF" w14:textId="77777777" w:rsidR="00725069" w:rsidRPr="00D22A97" w:rsidRDefault="00725069" w:rsidP="00725069">
      <w:pPr>
        <w:spacing w:line="360" w:lineRule="auto"/>
        <w:jc w:val="both"/>
        <w:rPr>
          <w:rFonts w:ascii="FrankRuehl" w:hAnsi="FrankRuehl" w:cs="FrankRuehl"/>
          <w:b/>
          <w:bCs/>
          <w:sz w:val="28"/>
          <w:szCs w:val="28"/>
          <w:rtl/>
        </w:rPr>
      </w:pPr>
      <w:r w:rsidRPr="00D22A97">
        <w:rPr>
          <w:rFonts w:ascii="FrankRuehl" w:hAnsi="FrankRuehl" w:cs="FrankRuehl" w:hint="cs"/>
          <w:b/>
          <w:bCs/>
          <w:sz w:val="28"/>
          <w:szCs w:val="28"/>
          <w:rtl/>
        </w:rPr>
        <w:t>חלקו היחסי של הנאשם</w:t>
      </w:r>
      <w:r>
        <w:rPr>
          <w:rFonts w:ascii="FrankRuehl" w:hAnsi="FrankRuehl" w:cs="FrankRuehl" w:hint="cs"/>
          <w:b/>
          <w:bCs/>
          <w:sz w:val="28"/>
          <w:szCs w:val="28"/>
          <w:rtl/>
        </w:rPr>
        <w:t xml:space="preserve"> </w:t>
      </w:r>
    </w:p>
    <w:p w14:paraId="10368BF2" w14:textId="77777777" w:rsidR="00725069" w:rsidRDefault="00725069" w:rsidP="00725069">
      <w:pPr>
        <w:spacing w:line="360" w:lineRule="auto"/>
        <w:jc w:val="both"/>
        <w:rPr>
          <w:rFonts w:ascii="FrankRuehl" w:hAnsi="FrankRuehl" w:cs="FrankRuehl"/>
          <w:sz w:val="28"/>
          <w:szCs w:val="28"/>
          <w:rtl/>
        </w:rPr>
      </w:pPr>
    </w:p>
    <w:p w14:paraId="17A36C21"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t>מעובדות כתב האישום עולה שבכל הנוגע לאישומים 1 ו-3 היה הנאשם המבצע היחיד, כאשר באישום 3 נכתב שהוא קיבל את הסם מאדם אחר. מאישום 2 עולה שהסוכן התקשר לנאשם, סגר אתו את פרטי העסקה, קבע עמו מקום מפגש, נפגש עמו, שילם לו ולקח ממנו את הסמים. עוד עולה שברגע המכירה, הגיע למקום נאשם 2, הנאשם הלך לכיוונו כשהוא מצויד במשקל, קיבל מנאשם 2 קוקאין במשקל לא ידוע, ומיד לאחר מכן מכר לסוכן קוקאין במשקל של מעל 9 גרם בתמורה ל-5,600 ₪. מהאמור עולה שחלקו של הנאשם בביצוע העסקה היה משמעותי ביותר. לצד זאת ניתן לומר שהסם הובא למקום על ידי נאשם 2. מכתב האישום לא ברור "מעמדם" של השניים בשרשרת הפצת הסם מעבר למתואר לעיל. החשוב לענייננו הוא שהדיון בנושא זה אינו ומעלה ואינו מוריד, בשים לב לכך שבכל עסקת סמים הסוחר קונה או מקבל את הסמים מאדם אחר, בין אם אותו אדם מוּכַּר למאשימה ופרטיו מוזכרים בכתב האישום, ובין אם מדובר באדם עלום שם.</w:t>
      </w:r>
    </w:p>
    <w:p w14:paraId="7377DDB7" w14:textId="77777777" w:rsidR="00725069" w:rsidRDefault="00725069" w:rsidP="00725069">
      <w:pPr>
        <w:spacing w:line="360" w:lineRule="auto"/>
        <w:jc w:val="both"/>
        <w:rPr>
          <w:rFonts w:ascii="FrankRuehl" w:hAnsi="FrankRuehl" w:cs="FrankRuehl"/>
          <w:sz w:val="28"/>
          <w:szCs w:val="28"/>
          <w:rtl/>
        </w:rPr>
      </w:pPr>
    </w:p>
    <w:p w14:paraId="5881AA5E" w14:textId="77777777" w:rsidR="00725069" w:rsidRDefault="00725069" w:rsidP="00725069">
      <w:pPr>
        <w:spacing w:line="360" w:lineRule="auto"/>
        <w:jc w:val="both"/>
        <w:rPr>
          <w:rFonts w:ascii="FrankRuehl" w:hAnsi="FrankRuehl" w:cs="FrankRuehl"/>
          <w:sz w:val="28"/>
          <w:szCs w:val="28"/>
          <w:rtl/>
        </w:rPr>
      </w:pPr>
    </w:p>
    <w:p w14:paraId="0171BFC7" w14:textId="77777777" w:rsidR="00725069" w:rsidRPr="00D22A97" w:rsidRDefault="00725069" w:rsidP="00725069">
      <w:pPr>
        <w:spacing w:line="360" w:lineRule="auto"/>
        <w:jc w:val="both"/>
        <w:rPr>
          <w:rFonts w:ascii="FrankRuehl" w:hAnsi="FrankRuehl" w:cs="FrankRuehl"/>
          <w:b/>
          <w:bCs/>
          <w:sz w:val="28"/>
          <w:szCs w:val="28"/>
          <w:rtl/>
        </w:rPr>
      </w:pPr>
      <w:r>
        <w:rPr>
          <w:rFonts w:ascii="FrankRuehl" w:hAnsi="FrankRuehl" w:cs="FrankRuehl" w:hint="cs"/>
          <w:b/>
          <w:bCs/>
          <w:sz w:val="28"/>
          <w:szCs w:val="28"/>
          <w:rtl/>
        </w:rPr>
        <w:t>נאשמים נוספים בפרשיה ו</w:t>
      </w:r>
      <w:r w:rsidRPr="00D22A97">
        <w:rPr>
          <w:rFonts w:ascii="FrankRuehl" w:hAnsi="FrankRuehl" w:cs="FrankRuehl" w:hint="cs"/>
          <w:b/>
          <w:bCs/>
          <w:sz w:val="28"/>
          <w:szCs w:val="28"/>
          <w:rtl/>
        </w:rPr>
        <w:t>עקרון אחידות הענישה</w:t>
      </w:r>
    </w:p>
    <w:p w14:paraId="03D6F0CA" w14:textId="77777777" w:rsidR="00725069" w:rsidRDefault="00725069" w:rsidP="00725069">
      <w:pPr>
        <w:spacing w:line="360" w:lineRule="auto"/>
        <w:jc w:val="both"/>
        <w:rPr>
          <w:rFonts w:ascii="FrankRuehl" w:hAnsi="FrankRuehl" w:cs="FrankRuehl"/>
          <w:sz w:val="28"/>
          <w:szCs w:val="28"/>
          <w:rtl/>
        </w:rPr>
      </w:pPr>
    </w:p>
    <w:p w14:paraId="67E03166"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t>ב"כ הנאשם ביקש לקבוע את המתחם העונשי לפי ההסכמות שהושגו בין נאשם 2 לבין המאשימה במסגרת הסדר דיוני שהוצג לבית המשפט ביום 28.11.2018, בו התחייבה המאשימה לעתור בעניינו של נאשם 2 לעונש מירבי של 12 חודשים וענישה נלווית, זאת לאחר שנאשם 2 יעבור הליך שיקומי ובהינתן תסקיר חיובי. הטעם שעמד בבסיס הסכמת הצדדים, כפי שהוצג בקצרה במעמד הצגת ההסדר, הוא קושי ראייתי, שאף הוביל את המאשימה לתקן את כתב האישום בעניינו של נאשם 2, ולשנות את כותרת העבירה באישום מספר 2</w:t>
      </w:r>
      <w:r w:rsidRPr="001D2EE3">
        <w:rPr>
          <w:rFonts w:ascii="FrankRuehl" w:hAnsi="FrankRuehl" w:cs="FrankRuehl" w:hint="cs"/>
          <w:sz w:val="28"/>
          <w:szCs w:val="28"/>
          <w:rtl/>
        </w:rPr>
        <w:t xml:space="preserve"> </w:t>
      </w:r>
      <w:r>
        <w:rPr>
          <w:rFonts w:ascii="FrankRuehl" w:hAnsi="FrankRuehl" w:cs="FrankRuehl" w:hint="cs"/>
          <w:sz w:val="28"/>
          <w:szCs w:val="28"/>
          <w:rtl/>
        </w:rPr>
        <w:t>ל"אספקת סם מסוכן" במקום "סחר בסם מסוכן".</w:t>
      </w:r>
    </w:p>
    <w:p w14:paraId="1ED40E5A" w14:textId="77777777" w:rsidR="00725069" w:rsidRDefault="00725069" w:rsidP="00725069">
      <w:pPr>
        <w:spacing w:line="360" w:lineRule="auto"/>
        <w:jc w:val="both"/>
        <w:rPr>
          <w:rFonts w:ascii="FrankRuehl" w:hAnsi="FrankRuehl" w:cs="FrankRuehl"/>
          <w:sz w:val="28"/>
          <w:szCs w:val="28"/>
          <w:rtl/>
        </w:rPr>
      </w:pPr>
    </w:p>
    <w:p w14:paraId="48374353" w14:textId="77777777" w:rsidR="00725069" w:rsidRPr="00D2528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r>
      <w:r w:rsidRPr="00D25289">
        <w:rPr>
          <w:rFonts w:ascii="FrankRuehl" w:hAnsi="FrankRuehl" w:cs="FrankRuehl" w:hint="cs"/>
          <w:sz w:val="28"/>
          <w:szCs w:val="28"/>
          <w:rtl/>
        </w:rPr>
        <w:t xml:space="preserve">על חשיבותה של האחידות בענישה, והערכים המקופלים בתוכה, חזרו בתי המשפט פעמים רבות. זאת לצד החשיבות שבנסיבות האישיות ושיקולי ענישה נוספים אשר יש ליתן עליהם את הדעת. כך למשל קבע השופט </w:t>
      </w:r>
      <w:r w:rsidRPr="00D25289">
        <w:rPr>
          <w:rFonts w:ascii="Miriam" w:hAnsi="Miriam" w:cs="Miriam" w:hint="cs"/>
          <w:rtl/>
        </w:rPr>
        <w:t>א. א. לוי</w:t>
      </w:r>
      <w:r w:rsidRPr="00D25289">
        <w:rPr>
          <w:rFonts w:ascii="FrankRuehl" w:hAnsi="FrankRuehl" w:cs="FrankRuehl" w:hint="cs"/>
          <w:sz w:val="28"/>
          <w:szCs w:val="28"/>
          <w:rtl/>
        </w:rPr>
        <w:t xml:space="preserve"> ב</w:t>
      </w:r>
      <w:hyperlink r:id="rId33" w:history="1">
        <w:r w:rsidR="005A3CEB" w:rsidRPr="005A3CEB">
          <w:rPr>
            <w:rFonts w:ascii="FrankRuehl" w:hAnsi="FrankRuehl" w:cs="FrankRuehl"/>
            <w:color w:val="0000FF"/>
            <w:sz w:val="28"/>
            <w:szCs w:val="28"/>
            <w:u w:val="single"/>
            <w:rtl/>
          </w:rPr>
          <w:t>ע"פ 9937/01</w:t>
        </w:r>
      </w:hyperlink>
      <w:r w:rsidRPr="00D25289">
        <w:rPr>
          <w:rFonts w:ascii="FrankRuehl" w:hAnsi="FrankRuehl" w:cs="FrankRuehl" w:hint="cs"/>
          <w:sz w:val="28"/>
          <w:szCs w:val="28"/>
          <w:rtl/>
        </w:rPr>
        <w:t xml:space="preserve"> </w:t>
      </w:r>
      <w:r w:rsidRPr="00D25289">
        <w:rPr>
          <w:rFonts w:ascii="Miriam" w:hAnsi="Miriam" w:cs="Miriam" w:hint="cs"/>
          <w:rtl/>
        </w:rPr>
        <w:t>חורב נ' מדינת ישראל</w:t>
      </w:r>
      <w:r w:rsidRPr="00D25289">
        <w:rPr>
          <w:rFonts w:ascii="FrankRuehl" w:hAnsi="FrankRuehl" w:cs="FrankRuehl" w:hint="cs"/>
          <w:sz w:val="28"/>
          <w:szCs w:val="28"/>
          <w:rtl/>
        </w:rPr>
        <w:t xml:space="preserve"> (9.8.2004), אליו הפנו ב"כ הנאשם, בפסקה 12:</w:t>
      </w:r>
    </w:p>
    <w:p w14:paraId="0B1E9C93" w14:textId="77777777" w:rsidR="00725069" w:rsidRDefault="00725069" w:rsidP="00725069">
      <w:pPr>
        <w:pStyle w:val="ae"/>
        <w:spacing w:line="360" w:lineRule="auto"/>
        <w:ind w:firstLine="720"/>
        <w:jc w:val="both"/>
        <w:rPr>
          <w:rFonts w:ascii="FrankRuehl" w:hAnsi="FrankRuehl" w:cs="FrankRuehl"/>
          <w:sz w:val="28"/>
          <w:szCs w:val="28"/>
          <w:rtl/>
        </w:rPr>
      </w:pPr>
    </w:p>
    <w:p w14:paraId="30696994" w14:textId="77777777" w:rsidR="00725069" w:rsidRDefault="00725069" w:rsidP="00725069">
      <w:pPr>
        <w:pStyle w:val="ae"/>
        <w:spacing w:line="360" w:lineRule="auto"/>
        <w:ind w:left="1440" w:right="709"/>
        <w:jc w:val="both"/>
        <w:rPr>
          <w:rFonts w:ascii="FrankRuehl" w:hAnsi="FrankRuehl" w:cs="FrankRuehl"/>
          <w:sz w:val="28"/>
          <w:szCs w:val="28"/>
          <w:rtl/>
        </w:rPr>
      </w:pPr>
      <w:r>
        <w:rPr>
          <w:rFonts w:ascii="FrankRuehl" w:hAnsi="FrankRuehl" w:cs="FrankRuehl" w:hint="cs"/>
          <w:sz w:val="28"/>
          <w:szCs w:val="28"/>
          <w:rtl/>
        </w:rPr>
        <w:t xml:space="preserve">"מקום שבו הורשעו שניים בביצוע עבירה בצוותא חדא, הכלל הוא כי אחריותם המשותפת תבוא לידי ביטוי בעונש זהה שיוטל עליהם, </w:t>
      </w:r>
      <w:r w:rsidRPr="00346617">
        <w:rPr>
          <w:rFonts w:ascii="FrankRuehl" w:hAnsi="FrankRuehl" w:cs="Miriam" w:hint="cs"/>
          <w:sz w:val="24"/>
          <w:szCs w:val="24"/>
          <w:rtl/>
        </w:rPr>
        <w:t>אולם כאשר נסיבותיו של השותף האחד מיוחדות הן, לקולה או לחומרה, עשויות אלו להשפיע על העונש שיושת עליו ולאבחנו משותפו...</w:t>
      </w:r>
      <w:r>
        <w:rPr>
          <w:rFonts w:ascii="FrankRuehl" w:hAnsi="FrankRuehl" w:cs="FrankRuehl" w:hint="cs"/>
          <w:sz w:val="28"/>
          <w:szCs w:val="28"/>
          <w:rtl/>
        </w:rPr>
        <w:t xml:space="preserve">" (ההדגשות אינן במקור </w:t>
      </w:r>
      <w:r>
        <w:rPr>
          <w:rFonts w:ascii="FrankRuehl" w:hAnsi="FrankRuehl" w:cs="FrankRuehl"/>
          <w:sz w:val="28"/>
          <w:szCs w:val="28"/>
          <w:rtl/>
        </w:rPr>
        <w:t>–</w:t>
      </w:r>
      <w:r>
        <w:rPr>
          <w:rFonts w:ascii="FrankRuehl" w:hAnsi="FrankRuehl" w:cs="FrankRuehl" w:hint="cs"/>
          <w:sz w:val="28"/>
          <w:szCs w:val="28"/>
          <w:rtl/>
        </w:rPr>
        <w:t xml:space="preserve"> ע.מ).</w:t>
      </w:r>
    </w:p>
    <w:p w14:paraId="570412C1" w14:textId="77777777" w:rsidR="00725069" w:rsidRDefault="00725069" w:rsidP="00725069">
      <w:pPr>
        <w:spacing w:line="360" w:lineRule="auto"/>
        <w:ind w:right="709"/>
        <w:jc w:val="both"/>
        <w:rPr>
          <w:rFonts w:ascii="FrankRuehl" w:hAnsi="FrankRuehl" w:cs="FrankRuehl"/>
          <w:sz w:val="28"/>
          <w:szCs w:val="28"/>
          <w:rtl/>
        </w:rPr>
      </w:pPr>
      <w:r>
        <w:rPr>
          <w:rFonts w:ascii="FrankRuehl" w:hAnsi="FrankRuehl" w:cs="FrankRuehl" w:hint="cs"/>
          <w:sz w:val="28"/>
          <w:szCs w:val="28"/>
          <w:rtl/>
        </w:rPr>
        <w:tab/>
      </w:r>
    </w:p>
    <w:p w14:paraId="52505499"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 xml:space="preserve">לעמדה דומה ראו </w:t>
      </w:r>
      <w:hyperlink r:id="rId34" w:history="1">
        <w:r w:rsidR="005A3CEB" w:rsidRPr="005A3CEB">
          <w:rPr>
            <w:rFonts w:ascii="FrankRuehl" w:hAnsi="FrankRuehl" w:cs="FrankRuehl"/>
            <w:color w:val="0000FF"/>
            <w:sz w:val="28"/>
            <w:szCs w:val="28"/>
            <w:u w:val="single"/>
            <w:rtl/>
          </w:rPr>
          <w:t>ע"פ 5576/10</w:t>
        </w:r>
      </w:hyperlink>
      <w:r>
        <w:rPr>
          <w:rFonts w:ascii="FrankRuehl" w:hAnsi="FrankRuehl" w:cs="FrankRuehl" w:hint="cs"/>
          <w:sz w:val="28"/>
          <w:szCs w:val="28"/>
          <w:rtl/>
        </w:rPr>
        <w:t xml:space="preserve"> </w:t>
      </w:r>
      <w:r>
        <w:rPr>
          <w:rFonts w:ascii="Miriam" w:hAnsi="Miriam" w:cs="Miriam" w:hint="cs"/>
          <w:rtl/>
        </w:rPr>
        <w:t>פלוני נ' מדינת ישראל</w:t>
      </w:r>
      <w:r>
        <w:rPr>
          <w:rFonts w:ascii="FrankRuehl" w:hAnsi="FrankRuehl" w:cs="FrankRuehl" w:hint="cs"/>
          <w:sz w:val="28"/>
          <w:szCs w:val="28"/>
          <w:rtl/>
        </w:rPr>
        <w:t xml:space="preserve"> (14.4.2011); </w:t>
      </w:r>
      <w:hyperlink r:id="rId35" w:history="1">
        <w:r w:rsidR="005A3CEB" w:rsidRPr="005A3CEB">
          <w:rPr>
            <w:rFonts w:ascii="FrankRuehl" w:hAnsi="FrankRuehl" w:cs="FrankRuehl"/>
            <w:color w:val="0000FF"/>
            <w:sz w:val="28"/>
            <w:szCs w:val="28"/>
            <w:u w:val="single"/>
            <w:rtl/>
          </w:rPr>
          <w:t>ע"פ 9792/06</w:t>
        </w:r>
      </w:hyperlink>
      <w:r>
        <w:rPr>
          <w:rFonts w:ascii="FrankRuehl" w:hAnsi="FrankRuehl" w:cs="FrankRuehl" w:hint="cs"/>
          <w:sz w:val="28"/>
          <w:szCs w:val="28"/>
          <w:rtl/>
        </w:rPr>
        <w:t xml:space="preserve"> </w:t>
      </w:r>
      <w:r>
        <w:rPr>
          <w:rFonts w:ascii="Miriam" w:hAnsi="Miriam" w:cs="Miriam" w:hint="cs"/>
          <w:rtl/>
        </w:rPr>
        <w:t>חמוד נ' מדינת ישראל</w:t>
      </w:r>
      <w:r>
        <w:rPr>
          <w:rFonts w:ascii="FrankRuehl" w:hAnsi="FrankRuehl" w:cs="FrankRuehl" w:hint="cs"/>
          <w:sz w:val="28"/>
          <w:szCs w:val="28"/>
          <w:rtl/>
        </w:rPr>
        <w:t xml:space="preserve"> (1.4.2007); </w:t>
      </w:r>
      <w:hyperlink r:id="rId36" w:history="1">
        <w:r w:rsidR="005A3CEB" w:rsidRPr="005A3CEB">
          <w:rPr>
            <w:rFonts w:ascii="FrankRuehl" w:hAnsi="FrankRuehl" w:cs="FrankRuehl"/>
            <w:color w:val="0000FF"/>
            <w:sz w:val="28"/>
            <w:szCs w:val="28"/>
            <w:u w:val="single"/>
            <w:rtl/>
          </w:rPr>
          <w:t>ע"פ 142/87</w:t>
        </w:r>
      </w:hyperlink>
      <w:r>
        <w:rPr>
          <w:rFonts w:ascii="FrankRuehl" w:hAnsi="FrankRuehl" w:cs="FrankRuehl" w:hint="cs"/>
          <w:sz w:val="28"/>
          <w:szCs w:val="28"/>
          <w:rtl/>
        </w:rPr>
        <w:t xml:space="preserve"> </w:t>
      </w:r>
      <w:r>
        <w:rPr>
          <w:rFonts w:ascii="Miriam" w:hAnsi="Miriam" w:cs="Miriam" w:hint="cs"/>
          <w:rtl/>
        </w:rPr>
        <w:t>קירשבויים נ' מדינת ישראל</w:t>
      </w:r>
      <w:r>
        <w:rPr>
          <w:rFonts w:ascii="FrankRuehl" w:hAnsi="FrankRuehl" w:cs="FrankRuehl" w:hint="cs"/>
          <w:sz w:val="28"/>
          <w:szCs w:val="28"/>
          <w:rtl/>
        </w:rPr>
        <w:t xml:space="preserve"> (30.3.88), אליהם הפנו ב"כ הנאשם.</w:t>
      </w:r>
    </w:p>
    <w:p w14:paraId="6ECA4D4B" w14:textId="77777777" w:rsidR="00725069" w:rsidRDefault="00725069" w:rsidP="00725069">
      <w:pPr>
        <w:spacing w:line="360" w:lineRule="auto"/>
        <w:jc w:val="both"/>
        <w:rPr>
          <w:rFonts w:ascii="FrankRuehl" w:hAnsi="FrankRuehl" w:cs="FrankRuehl"/>
          <w:sz w:val="28"/>
          <w:szCs w:val="28"/>
          <w:rtl/>
        </w:rPr>
      </w:pPr>
    </w:p>
    <w:p w14:paraId="62041CAC"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 xml:space="preserve">לאחר שנתתי דעתי לטיעוני ההגנה בעניין זה, מצאתי לדחותם, זאת משני טעמים עיקריים. </w:t>
      </w:r>
    </w:p>
    <w:p w14:paraId="52CCD803" w14:textId="77777777" w:rsidR="00725069" w:rsidRDefault="00725069" w:rsidP="00725069">
      <w:pPr>
        <w:spacing w:line="360" w:lineRule="auto"/>
        <w:jc w:val="both"/>
        <w:rPr>
          <w:rFonts w:ascii="FrankRuehl" w:hAnsi="FrankRuehl" w:cs="FrankRuehl"/>
          <w:sz w:val="28"/>
          <w:szCs w:val="28"/>
          <w:rtl/>
        </w:rPr>
      </w:pPr>
      <w:r w:rsidRPr="00076B20">
        <w:rPr>
          <w:rFonts w:ascii="FrankRuehl" w:hAnsi="FrankRuehl" w:cs="Miriam" w:hint="cs"/>
          <w:rtl/>
        </w:rPr>
        <w:t>האחד</w:t>
      </w:r>
      <w:r>
        <w:rPr>
          <w:rFonts w:ascii="FrankRuehl" w:hAnsi="FrankRuehl" w:cs="FrankRuehl" w:hint="cs"/>
          <w:sz w:val="28"/>
          <w:szCs w:val="28"/>
          <w:rtl/>
        </w:rPr>
        <w:t xml:space="preserve">, המעשים המיוחסים לכל אחד מהנאשמים שונים זה מזה. כך, באישום המשותף (אישום 2), הורשע הנאשם בעבירת </w:t>
      </w:r>
      <w:r w:rsidRPr="0098765F">
        <w:rPr>
          <w:rFonts w:ascii="FrankRuehl" w:hAnsi="FrankRuehl" w:cs="Miriam" w:hint="cs"/>
          <w:rtl/>
        </w:rPr>
        <w:t>סחר</w:t>
      </w:r>
      <w:r>
        <w:rPr>
          <w:rFonts w:ascii="FrankRuehl" w:hAnsi="FrankRuehl" w:cs="FrankRuehl" w:hint="cs"/>
          <w:sz w:val="28"/>
          <w:szCs w:val="28"/>
          <w:rtl/>
        </w:rPr>
        <w:t xml:space="preserve"> ואילו נאשם 2 הורשע בכך </w:t>
      </w:r>
      <w:r w:rsidRPr="0098765F">
        <w:rPr>
          <w:rFonts w:ascii="FrankRuehl" w:hAnsi="FrankRuehl" w:cs="Miriam" w:hint="cs"/>
          <w:rtl/>
        </w:rPr>
        <w:t>שסיפק</w:t>
      </w:r>
      <w:r>
        <w:rPr>
          <w:rFonts w:ascii="FrankRuehl" w:hAnsi="FrankRuehl" w:cs="FrankRuehl" w:hint="cs"/>
          <w:sz w:val="28"/>
          <w:szCs w:val="28"/>
          <w:rtl/>
        </w:rPr>
        <w:t xml:space="preserve"> לנאשם קוקאין טרם העברתו לידי הסוכן. גם אם מדובר באותו סעיף עבירה, הרי שקיים שוני במעשי שני הנאשמים. נוסף על כך הורשע נאשם 2 בביצוע עבירה של </w:t>
      </w:r>
      <w:r w:rsidRPr="009B39BD">
        <w:rPr>
          <w:rFonts w:ascii="FrankRuehl" w:hAnsi="FrankRuehl" w:cs="Miriam" w:hint="cs"/>
          <w:rtl/>
        </w:rPr>
        <w:t>ניסיון</w:t>
      </w:r>
      <w:r w:rsidRPr="009B39BD">
        <w:rPr>
          <w:rFonts w:ascii="FrankRuehl" w:hAnsi="FrankRuehl" w:cs="FrankRuehl" w:hint="cs"/>
          <w:rtl/>
        </w:rPr>
        <w:t xml:space="preserve"> </w:t>
      </w:r>
      <w:r w:rsidRPr="0098765F">
        <w:rPr>
          <w:rFonts w:ascii="FrankRuehl" w:hAnsi="FrankRuehl" w:cs="Miriam" w:hint="cs"/>
          <w:rtl/>
        </w:rPr>
        <w:t>סחר</w:t>
      </w:r>
      <w:r>
        <w:rPr>
          <w:rFonts w:ascii="FrankRuehl" w:hAnsi="FrankRuehl" w:cs="FrankRuehl" w:hint="cs"/>
          <w:sz w:val="28"/>
          <w:szCs w:val="28"/>
          <w:rtl/>
        </w:rPr>
        <w:t xml:space="preserve"> בקוקאין במשקל של</w:t>
      </w:r>
      <w:r w:rsidRPr="001400C3">
        <w:rPr>
          <w:rFonts w:ascii="FrankRuehl" w:hAnsi="FrankRuehl" w:cs="Miriam" w:hint="cs"/>
          <w:rtl/>
        </w:rPr>
        <w:t xml:space="preserve"> 2 גרם</w:t>
      </w:r>
      <w:r>
        <w:rPr>
          <w:rFonts w:ascii="FrankRuehl" w:hAnsi="FrankRuehl" w:cs="FrankRuehl" w:hint="cs"/>
          <w:sz w:val="28"/>
          <w:szCs w:val="28"/>
          <w:rtl/>
        </w:rPr>
        <w:t xml:space="preserve"> (אישום 4), בעוד שהנאשם הורשע בנוסף </w:t>
      </w:r>
      <w:r w:rsidRPr="0098765F">
        <w:rPr>
          <w:rFonts w:ascii="FrankRuehl" w:hAnsi="FrankRuehl" w:cs="Miriam" w:hint="cs"/>
          <w:rtl/>
        </w:rPr>
        <w:t>בשתי</w:t>
      </w:r>
      <w:r>
        <w:rPr>
          <w:rFonts w:ascii="FrankRuehl" w:hAnsi="FrankRuehl" w:cs="FrankRuehl" w:hint="cs"/>
          <w:sz w:val="28"/>
          <w:szCs w:val="28"/>
          <w:rtl/>
        </w:rPr>
        <w:t xml:space="preserve"> עבירות </w:t>
      </w:r>
      <w:r w:rsidRPr="00076B20">
        <w:rPr>
          <w:rFonts w:ascii="FrankRuehl" w:hAnsi="FrankRuehl" w:cs="Miriam" w:hint="cs"/>
          <w:rtl/>
        </w:rPr>
        <w:t>סחר</w:t>
      </w:r>
      <w:r>
        <w:rPr>
          <w:rFonts w:ascii="FrankRuehl" w:hAnsi="FrankRuehl" w:cs="FrankRuehl"/>
          <w:sz w:val="28"/>
          <w:szCs w:val="28"/>
          <w:rtl/>
        </w:rPr>
        <w:t>–</w:t>
      </w:r>
      <w:r>
        <w:rPr>
          <w:rFonts w:ascii="FrankRuehl" w:hAnsi="FrankRuehl" w:cs="FrankRuehl" w:hint="cs"/>
          <w:sz w:val="28"/>
          <w:szCs w:val="28"/>
          <w:rtl/>
        </w:rPr>
        <w:t xml:space="preserve">  האחת של קוקאין במשקל של </w:t>
      </w:r>
      <w:r w:rsidRPr="001400C3">
        <w:rPr>
          <w:rFonts w:ascii="FrankRuehl" w:hAnsi="FrankRuehl" w:cs="Miriam" w:hint="cs"/>
          <w:rtl/>
        </w:rPr>
        <w:t>מעל 10 גרם</w:t>
      </w:r>
      <w:r>
        <w:rPr>
          <w:rFonts w:ascii="FrankRuehl" w:hAnsi="FrankRuehl" w:cs="FrankRuehl" w:hint="cs"/>
          <w:sz w:val="28"/>
          <w:szCs w:val="28"/>
          <w:rtl/>
        </w:rPr>
        <w:t xml:space="preserve"> (אישום 1), והשנייה של </w:t>
      </w:r>
      <w:r w:rsidRPr="00FF6F9C">
        <w:rPr>
          <w:rFonts w:cs="FrankRuehl"/>
          <w:spacing w:val="10"/>
        </w:rPr>
        <w:t>MDMA</w:t>
      </w:r>
      <w:r>
        <w:rPr>
          <w:rFonts w:ascii="FrankRuehl" w:hAnsi="FrankRuehl" w:cs="FrankRuehl" w:hint="cs"/>
          <w:sz w:val="28"/>
          <w:szCs w:val="28"/>
          <w:rtl/>
        </w:rPr>
        <w:t xml:space="preserve"> במשקל של </w:t>
      </w:r>
      <w:r w:rsidRPr="001400C3">
        <w:rPr>
          <w:rFonts w:ascii="FrankRuehl" w:hAnsi="FrankRuehl" w:cs="Miriam" w:hint="cs"/>
          <w:rtl/>
        </w:rPr>
        <w:t>10 גרם</w:t>
      </w:r>
      <w:r>
        <w:rPr>
          <w:rFonts w:ascii="FrankRuehl" w:hAnsi="FrankRuehl" w:cs="FrankRuehl" w:hint="cs"/>
          <w:sz w:val="28"/>
          <w:szCs w:val="28"/>
          <w:rtl/>
        </w:rPr>
        <w:t xml:space="preserve"> (אישום 3). במלים אחרות, לא רק שהנאשם הורשע בביצוע עבירות מוגמרות בלבד, להבדיל מעבירות ניסיון, אלא שגם משקל הסם בכל עבירה היה גדול פי כמה מהכמות שיוחסה לנאשם 2 באישום 4.</w:t>
      </w:r>
    </w:p>
    <w:p w14:paraId="1787C9A7" w14:textId="77777777" w:rsidR="00725069" w:rsidRDefault="00725069" w:rsidP="00725069">
      <w:pPr>
        <w:spacing w:line="360" w:lineRule="auto"/>
        <w:jc w:val="both"/>
        <w:rPr>
          <w:rFonts w:ascii="FrankRuehl" w:hAnsi="FrankRuehl" w:cs="FrankRuehl"/>
          <w:sz w:val="28"/>
          <w:szCs w:val="28"/>
          <w:rtl/>
        </w:rPr>
      </w:pPr>
    </w:p>
    <w:p w14:paraId="4F4FC7FC" w14:textId="77777777" w:rsidR="00725069" w:rsidRDefault="00725069" w:rsidP="00725069">
      <w:pPr>
        <w:spacing w:line="360" w:lineRule="auto"/>
        <w:jc w:val="both"/>
        <w:rPr>
          <w:rFonts w:ascii="FrankRuehl" w:hAnsi="FrankRuehl" w:cs="FrankRuehl"/>
          <w:sz w:val="28"/>
          <w:szCs w:val="28"/>
          <w:rtl/>
        </w:rPr>
      </w:pPr>
      <w:r w:rsidRPr="00A608B9">
        <w:rPr>
          <w:rFonts w:ascii="FrankRuehl" w:hAnsi="FrankRuehl" w:cs="Miriam" w:hint="cs"/>
          <w:rtl/>
        </w:rPr>
        <w:t>השני</w:t>
      </w:r>
      <w:r>
        <w:rPr>
          <w:rFonts w:ascii="FrankRuehl" w:hAnsi="FrankRuehl" w:cs="FrankRuehl" w:hint="cs"/>
          <w:sz w:val="28"/>
          <w:szCs w:val="28"/>
          <w:rtl/>
        </w:rPr>
        <w:t>, בשלב זה טרם נגזר דינו של נאשם 2, וכל שהוצג הוא הסדר הטיעון מבלי שהצדדים טענו לעונש ומבלי שנשמעו נימוקיהם לעמדתם העונשית, להוציא נימוק שעניינו קושי ראייתי הנוגע לנאשם 2 בלבד. משכך, בית המשפט טרם הביע עמדתו אשר לרמת הענישה שהוצגה.</w:t>
      </w:r>
    </w:p>
    <w:p w14:paraId="42B7F0DA" w14:textId="77777777" w:rsidR="00725069" w:rsidRDefault="00725069" w:rsidP="00725069">
      <w:pPr>
        <w:spacing w:line="360" w:lineRule="auto"/>
        <w:jc w:val="both"/>
        <w:rPr>
          <w:rFonts w:ascii="FrankRuehl" w:hAnsi="FrankRuehl" w:cs="FrankRuehl"/>
          <w:sz w:val="28"/>
          <w:szCs w:val="28"/>
          <w:rtl/>
        </w:rPr>
      </w:pPr>
    </w:p>
    <w:p w14:paraId="259FC106"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במצב דברים זה, וככל שהדברים נוגעים לנאשם שלפני, על בית המשפט לקבוע מתחם עונשי הולם המבוסס על הנתונים הקיימים בידיו בנוגע לנאשם הספציפי העומד לדין, בהתאם להוראות החוק והפסיקה, מבלי שזה יושפע מעונש עתידי שיכול וייגזר על שותפו. בפרט נכונים הדברים שעה שאין, כאמור, זהות בין המעשים המיוחסים לכל אחד מהם, כמפורט לעיל.</w:t>
      </w:r>
    </w:p>
    <w:p w14:paraId="7CBCD73F" w14:textId="77777777" w:rsidR="00725069" w:rsidRDefault="00725069" w:rsidP="00725069">
      <w:pPr>
        <w:spacing w:line="360" w:lineRule="auto"/>
        <w:jc w:val="both"/>
        <w:rPr>
          <w:rFonts w:ascii="FrankRuehl" w:hAnsi="FrankRuehl" w:cs="FrankRuehl"/>
          <w:sz w:val="28"/>
          <w:szCs w:val="28"/>
          <w:rtl/>
        </w:rPr>
      </w:pPr>
    </w:p>
    <w:p w14:paraId="739A8472"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sz w:val="28"/>
          <w:szCs w:val="28"/>
          <w:rtl/>
        </w:rPr>
        <w:tab/>
      </w:r>
      <w:r>
        <w:rPr>
          <w:rFonts w:ascii="FrankRuehl" w:hAnsi="FrankRuehl" w:cs="FrankRuehl" w:hint="cs"/>
          <w:sz w:val="28"/>
          <w:szCs w:val="28"/>
          <w:rtl/>
        </w:rPr>
        <w:t>להשלמת התמונה אציין שבתיק מקביל המתנהל נגד נאשמים אחרים באותה פרשיה (</w:t>
      </w:r>
      <w:hyperlink r:id="rId37" w:history="1">
        <w:r w:rsidR="005A3CEB" w:rsidRPr="005A3CEB">
          <w:rPr>
            <w:rFonts w:ascii="FrankRuehl" w:hAnsi="FrankRuehl" w:cs="FrankRuehl"/>
            <w:color w:val="0000FF"/>
            <w:sz w:val="28"/>
            <w:szCs w:val="28"/>
            <w:u w:val="single"/>
            <w:rtl/>
          </w:rPr>
          <w:t>ת"פ 44427-10-18</w:t>
        </w:r>
      </w:hyperlink>
      <w:r>
        <w:rPr>
          <w:rFonts w:ascii="FrankRuehl" w:hAnsi="FrankRuehl" w:cs="FrankRuehl" w:hint="cs"/>
          <w:sz w:val="28"/>
          <w:szCs w:val="28"/>
          <w:rtl/>
        </w:rPr>
        <w:t xml:space="preserve">), נגזר דינם של שניים מהם באופן הבא: על נאשם 3 שהורשע בעבירת סיוע לסחר </w:t>
      </w:r>
      <w:r w:rsidRPr="00C019C6">
        <w:rPr>
          <w:rFonts w:ascii="FrankRuehl" w:hAnsi="FrankRuehl" w:cs="Miriam" w:hint="cs"/>
          <w:rtl/>
        </w:rPr>
        <w:t>שהסתכם בישיבה ברכב</w:t>
      </w:r>
      <w:r>
        <w:rPr>
          <w:rFonts w:ascii="FrankRuehl" w:hAnsi="FrankRuehl" w:cs="FrankRuehl" w:hint="cs"/>
          <w:sz w:val="28"/>
          <w:szCs w:val="28"/>
          <w:rtl/>
        </w:rPr>
        <w:t xml:space="preserve"> בו מכר נאשם אחר (נאשם 2) לסוכן קוקאין במשקל של כ-10 גרם, נקבע מתחם עונשי של 3-7 חודשים והוטל עונש של 5 חודשי מאסר; לגבי נאשם 2 שהיה המבצע העיקרי באותה עסקה (כשנאשם 3 ישב לידו) והורשע בעבירת סחר, וכן בעסקה נוספת בה הורשע בעבירת סיוע לסחר לאחר שישב ליד נאשם אחר בשעת ביצוע עסקת קוקאין, נקבע מתחם עונשי של 3-7 חודשי מאסר לגבי עבירת הסיוע ו-12-24 חודשי מאסר לגבי עבירת הסחר. על הנאשם הוטל עונש של 15 חודשי מאסר.</w:t>
      </w:r>
    </w:p>
    <w:p w14:paraId="09D7ED4C" w14:textId="77777777" w:rsidR="00725069" w:rsidRDefault="00725069" w:rsidP="00725069">
      <w:pPr>
        <w:spacing w:line="360" w:lineRule="auto"/>
        <w:ind w:left="425"/>
        <w:jc w:val="both"/>
        <w:rPr>
          <w:rFonts w:ascii="FrankRuehl" w:hAnsi="FrankRuehl" w:cs="FrankRuehl"/>
          <w:b/>
          <w:bCs/>
          <w:sz w:val="28"/>
          <w:szCs w:val="28"/>
          <w:rtl/>
        </w:rPr>
      </w:pPr>
    </w:p>
    <w:p w14:paraId="3BB73508" w14:textId="77777777" w:rsidR="00725069" w:rsidRDefault="00725069" w:rsidP="00725069">
      <w:pPr>
        <w:spacing w:line="360" w:lineRule="auto"/>
        <w:ind w:left="425"/>
        <w:jc w:val="both"/>
        <w:rPr>
          <w:rFonts w:ascii="FrankRuehl" w:hAnsi="FrankRuehl" w:cs="FrankRuehl"/>
          <w:b/>
          <w:bCs/>
          <w:sz w:val="28"/>
          <w:szCs w:val="28"/>
          <w:rtl/>
        </w:rPr>
      </w:pPr>
    </w:p>
    <w:p w14:paraId="7E7A4520" w14:textId="77777777" w:rsidR="00725069" w:rsidRDefault="00725069" w:rsidP="00725069">
      <w:pPr>
        <w:spacing w:line="360" w:lineRule="auto"/>
        <w:ind w:left="425"/>
        <w:jc w:val="both"/>
        <w:rPr>
          <w:rFonts w:ascii="FrankRuehl" w:hAnsi="FrankRuehl" w:cs="FrankRuehl"/>
          <w:b/>
          <w:bCs/>
          <w:sz w:val="28"/>
          <w:szCs w:val="28"/>
          <w:rtl/>
        </w:rPr>
      </w:pPr>
    </w:p>
    <w:p w14:paraId="33BAD8EF" w14:textId="77777777" w:rsidR="00725069" w:rsidRDefault="00725069" w:rsidP="00725069">
      <w:pPr>
        <w:spacing w:line="360" w:lineRule="auto"/>
        <w:jc w:val="both"/>
        <w:rPr>
          <w:rFonts w:ascii="FrankRuehl" w:hAnsi="FrankRuehl" w:cs="FrankRuehl"/>
          <w:b/>
          <w:bCs/>
          <w:sz w:val="28"/>
          <w:szCs w:val="28"/>
          <w:rtl/>
        </w:rPr>
      </w:pPr>
      <w:r w:rsidRPr="00E24CB5">
        <w:rPr>
          <w:rFonts w:ascii="FrankRuehl" w:hAnsi="FrankRuehl" w:cs="FrankRuehl" w:hint="cs"/>
          <w:b/>
          <w:bCs/>
          <w:sz w:val="28"/>
          <w:szCs w:val="28"/>
          <w:rtl/>
        </w:rPr>
        <w:t>מדיניות הענישה הנוהגת</w:t>
      </w:r>
    </w:p>
    <w:p w14:paraId="2221097D" w14:textId="77777777" w:rsidR="00725069" w:rsidRPr="00E24CB5" w:rsidRDefault="00725069" w:rsidP="00725069">
      <w:pPr>
        <w:spacing w:line="360" w:lineRule="auto"/>
        <w:jc w:val="both"/>
        <w:rPr>
          <w:rFonts w:ascii="FrankRuehl" w:hAnsi="FrankRuehl" w:cs="FrankRuehl"/>
          <w:b/>
          <w:bCs/>
          <w:sz w:val="28"/>
          <w:szCs w:val="28"/>
          <w:rtl/>
        </w:rPr>
      </w:pPr>
    </w:p>
    <w:p w14:paraId="6875D0E2" w14:textId="77777777" w:rsidR="00725069" w:rsidRDefault="00725069" w:rsidP="00725069">
      <w:pPr>
        <w:spacing w:line="360" w:lineRule="auto"/>
        <w:jc w:val="both"/>
        <w:rPr>
          <w:rFonts w:ascii="FrankRuehl" w:hAnsi="FrankRuehl" w:cs="FrankRuehl"/>
          <w:sz w:val="28"/>
          <w:szCs w:val="28"/>
        </w:rPr>
      </w:pPr>
      <w:r>
        <w:rPr>
          <w:rFonts w:ascii="FrankRuehl" w:eastAsia="FrankRuehl" w:hAnsi="FrankRuehl" w:cs="FrankRuehl" w:hint="cs"/>
          <w:sz w:val="28"/>
          <w:szCs w:val="28"/>
          <w:rtl/>
        </w:rPr>
        <w:t>26.</w:t>
      </w:r>
      <w:r>
        <w:rPr>
          <w:rFonts w:ascii="FrankRuehl" w:eastAsia="FrankRuehl" w:hAnsi="FrankRuehl" w:cs="FrankRuehl" w:hint="cs"/>
          <w:sz w:val="28"/>
          <w:szCs w:val="28"/>
          <w:rtl/>
        </w:rPr>
        <w:tab/>
      </w:r>
      <w:r w:rsidRPr="00E24CB5">
        <w:rPr>
          <w:rFonts w:ascii="FrankRuehl" w:eastAsia="FrankRuehl" w:hAnsi="FrankRuehl" w:cs="FrankRuehl" w:hint="cs"/>
          <w:sz w:val="28"/>
          <w:szCs w:val="28"/>
          <w:rtl/>
        </w:rPr>
        <w:t xml:space="preserve">מסקירת גזרי הדין </w:t>
      </w:r>
      <w:r>
        <w:rPr>
          <w:rFonts w:ascii="FrankRuehl" w:eastAsia="FrankRuehl" w:hAnsi="FrankRuehl" w:cs="FrankRuehl" w:hint="cs"/>
          <w:sz w:val="28"/>
          <w:szCs w:val="28"/>
          <w:rtl/>
        </w:rPr>
        <w:t xml:space="preserve">שהוגשו מטעם המאשימה, </w:t>
      </w:r>
      <w:r w:rsidRPr="00E24CB5">
        <w:rPr>
          <w:rFonts w:ascii="FrankRuehl" w:eastAsia="FrankRuehl" w:hAnsi="FrankRuehl" w:cs="FrankRuehl" w:hint="cs"/>
          <w:sz w:val="28"/>
          <w:szCs w:val="28"/>
          <w:rtl/>
        </w:rPr>
        <w:t xml:space="preserve">העוסקים בסחר בסם מסוכן מסוג קוקאין, בהיקף דומה למקרה שבפניי, נפרשת תמונה </w:t>
      </w:r>
      <w:r>
        <w:rPr>
          <w:rFonts w:ascii="FrankRuehl" w:eastAsia="FrankRuehl" w:hAnsi="FrankRuehl" w:cs="FrankRuehl" w:hint="cs"/>
          <w:sz w:val="28"/>
          <w:szCs w:val="28"/>
          <w:rtl/>
        </w:rPr>
        <w:t>ברורה</w:t>
      </w:r>
      <w:r w:rsidRPr="00E24CB5">
        <w:rPr>
          <w:rFonts w:ascii="FrankRuehl" w:eastAsia="FrankRuehl" w:hAnsi="FrankRuehl" w:cs="FrankRuehl" w:hint="cs"/>
          <w:sz w:val="28"/>
          <w:szCs w:val="28"/>
          <w:rtl/>
        </w:rPr>
        <w:t xml:space="preserve"> </w:t>
      </w:r>
      <w:r>
        <w:rPr>
          <w:rFonts w:ascii="FrankRuehl" w:eastAsia="FrankRuehl" w:hAnsi="FrankRuehl" w:cs="FrankRuehl" w:hint="cs"/>
          <w:sz w:val="28"/>
          <w:szCs w:val="28"/>
          <w:rtl/>
        </w:rPr>
        <w:t>של ענישה הכוללת רכיב של מאסר בפועל לתקופה משמעותית</w:t>
      </w:r>
      <w:r>
        <w:rPr>
          <w:rFonts w:ascii="FrankRuehl" w:hAnsi="FrankRuehl" w:cs="FrankRuehl" w:hint="cs"/>
          <w:sz w:val="28"/>
          <w:szCs w:val="28"/>
          <w:rtl/>
        </w:rPr>
        <w:t>:</w:t>
      </w:r>
    </w:p>
    <w:p w14:paraId="0ADB4B17" w14:textId="77777777" w:rsidR="00725069" w:rsidRDefault="00725069" w:rsidP="00725069">
      <w:pPr>
        <w:spacing w:line="360" w:lineRule="auto"/>
        <w:jc w:val="both"/>
        <w:rPr>
          <w:rFonts w:ascii="FrankRuehl" w:hAnsi="FrankRuehl" w:cs="FrankRuehl"/>
          <w:sz w:val="28"/>
          <w:szCs w:val="28"/>
          <w:rtl/>
        </w:rPr>
      </w:pPr>
    </w:p>
    <w:p w14:paraId="19DC74CB" w14:textId="77777777" w:rsidR="00725069" w:rsidRDefault="00725069" w:rsidP="00725069">
      <w:pPr>
        <w:spacing w:line="360" w:lineRule="auto"/>
        <w:ind w:left="1080" w:hanging="360"/>
        <w:jc w:val="both"/>
        <w:rPr>
          <w:rFonts w:ascii="FrankRuehl" w:hAnsi="FrankRuehl" w:cs="FrankRuehl"/>
          <w:sz w:val="28"/>
          <w:szCs w:val="28"/>
        </w:rPr>
      </w:pPr>
      <w:r>
        <w:rPr>
          <w:rFonts w:ascii="FrankRuehl" w:hAnsi="FrankRuehl" w:cs="FrankRuehl" w:hint="cs"/>
          <w:sz w:val="28"/>
          <w:szCs w:val="28"/>
          <w:rtl/>
        </w:rPr>
        <w:t>א.</w:t>
      </w:r>
      <w:r>
        <w:rPr>
          <w:rFonts w:ascii="FrankRuehl" w:hAnsi="FrankRuehl" w:cs="FrankRuehl" w:hint="cs"/>
          <w:sz w:val="28"/>
          <w:szCs w:val="28"/>
          <w:rtl/>
        </w:rPr>
        <w:tab/>
        <w:t>ב</w:t>
      </w:r>
      <w:hyperlink r:id="rId38" w:history="1">
        <w:r w:rsidR="005A3CEB" w:rsidRPr="005A3CEB">
          <w:rPr>
            <w:rFonts w:ascii="FrankRuehl" w:hAnsi="FrankRuehl" w:cs="FrankRuehl"/>
            <w:color w:val="0000FF"/>
            <w:sz w:val="28"/>
            <w:szCs w:val="28"/>
            <w:u w:val="single"/>
            <w:rtl/>
          </w:rPr>
          <w:t>רע"פ 8408/15</w:t>
        </w:r>
      </w:hyperlink>
      <w:r>
        <w:rPr>
          <w:rFonts w:ascii="FrankRuehl" w:hAnsi="FrankRuehl" w:cs="FrankRuehl" w:hint="cs"/>
          <w:sz w:val="28"/>
          <w:szCs w:val="28"/>
          <w:rtl/>
        </w:rPr>
        <w:t xml:space="preserve"> </w:t>
      </w:r>
      <w:r>
        <w:rPr>
          <w:rFonts w:ascii="Miriam" w:eastAsia="FrankRuehl" w:hAnsi="Miriam" w:cs="Miriam" w:hint="cs"/>
          <w:rtl/>
        </w:rPr>
        <w:t>חביב נ' מדינת ישראל</w:t>
      </w:r>
      <w:r>
        <w:rPr>
          <w:rFonts w:ascii="FrankRuehl" w:hAnsi="FrankRuehl" w:cs="FrankRuehl" w:hint="cs"/>
          <w:sz w:val="28"/>
          <w:szCs w:val="28"/>
          <w:rtl/>
        </w:rPr>
        <w:t xml:space="preserve"> (9.12.2015), אושר עונש של 17 חודשי מאסר בפועל לנאשם בעל עבר פלילי אשר הורשע, על יסוד הודאתו, ב-2 עבירות של סחר בסם מסוכן מסוג קוקאין במשקל של 1.1 וכ-5 גרם, ובעבירה של החזקת קוקאין במשקל של למעלה מ-15 גרם, שלא לצריכה עצמית. בבית משפט השלום נקבע מתחם עונשי הנע בין 8 ל-18 חודשי מאסר. בבית המשפט העליון נקבע שההליך השיקומי אותו עבר הנאשם אינו מצדיק חריגה מהמתחם, וכי נכון היה להתחשב בו בקביעת עונשו של הנאשם בשליש התחתון של המתחם.</w:t>
      </w:r>
    </w:p>
    <w:p w14:paraId="39795581" w14:textId="77777777" w:rsidR="00725069" w:rsidRDefault="00725069" w:rsidP="00725069">
      <w:pPr>
        <w:spacing w:line="360" w:lineRule="auto"/>
        <w:ind w:left="1440"/>
        <w:jc w:val="both"/>
        <w:rPr>
          <w:rFonts w:ascii="FrankRuehl" w:hAnsi="FrankRuehl" w:cs="FrankRuehl"/>
          <w:sz w:val="28"/>
          <w:szCs w:val="28"/>
        </w:rPr>
      </w:pPr>
    </w:p>
    <w:p w14:paraId="7ED213D2" w14:textId="77777777" w:rsidR="00725069" w:rsidRDefault="00725069" w:rsidP="00725069">
      <w:pPr>
        <w:spacing w:line="360" w:lineRule="auto"/>
        <w:ind w:left="1080" w:hanging="360"/>
        <w:jc w:val="both"/>
        <w:rPr>
          <w:rFonts w:ascii="FrankRuehl" w:hAnsi="FrankRuehl" w:cs="FrankRuehl"/>
          <w:sz w:val="28"/>
          <w:szCs w:val="28"/>
          <w:rtl/>
        </w:rPr>
      </w:pPr>
      <w:r>
        <w:rPr>
          <w:rFonts w:ascii="FrankRuehl" w:hAnsi="FrankRuehl" w:cs="FrankRuehl" w:hint="cs"/>
          <w:sz w:val="28"/>
          <w:szCs w:val="28"/>
          <w:rtl/>
        </w:rPr>
        <w:t>ב.</w:t>
      </w:r>
      <w:r>
        <w:rPr>
          <w:rFonts w:ascii="FrankRuehl" w:hAnsi="FrankRuehl" w:cs="FrankRuehl" w:hint="cs"/>
          <w:sz w:val="28"/>
          <w:szCs w:val="28"/>
          <w:rtl/>
        </w:rPr>
        <w:tab/>
        <w:t>ב</w:t>
      </w:r>
      <w:hyperlink r:id="rId39" w:history="1">
        <w:r w:rsidR="005A3CEB" w:rsidRPr="005A3CEB">
          <w:rPr>
            <w:rFonts w:ascii="FrankRuehl" w:hAnsi="FrankRuehl" w:cs="FrankRuehl"/>
            <w:color w:val="0000FF"/>
            <w:sz w:val="28"/>
            <w:szCs w:val="28"/>
            <w:u w:val="single"/>
            <w:rtl/>
          </w:rPr>
          <w:t>רע"פ 126/15</w:t>
        </w:r>
      </w:hyperlink>
      <w:r>
        <w:rPr>
          <w:rFonts w:ascii="FrankRuehl" w:hAnsi="FrankRuehl" w:cs="FrankRuehl" w:hint="cs"/>
          <w:sz w:val="28"/>
          <w:szCs w:val="28"/>
          <w:rtl/>
        </w:rPr>
        <w:t xml:space="preserve"> </w:t>
      </w:r>
      <w:r>
        <w:rPr>
          <w:rFonts w:ascii="Miriam" w:eastAsia="FrankRuehl" w:hAnsi="Miriam" w:cs="Miriam" w:hint="cs"/>
          <w:rtl/>
        </w:rPr>
        <w:t>חביף נ' מדינת ישראל</w:t>
      </w:r>
      <w:r>
        <w:rPr>
          <w:rFonts w:ascii="FrankRuehl" w:hAnsi="FrankRuehl" w:cs="FrankRuehl" w:hint="cs"/>
          <w:sz w:val="28"/>
          <w:szCs w:val="28"/>
          <w:rtl/>
        </w:rPr>
        <w:t xml:space="preserve"> (13.1.2015) (להלן: </w:t>
      </w:r>
      <w:r>
        <w:rPr>
          <w:rFonts w:ascii="FrankRuehl" w:hAnsi="FrankRuehl" w:cs="Miriam" w:hint="cs"/>
          <w:rtl/>
        </w:rPr>
        <w:t>עניין חביף</w:t>
      </w:r>
      <w:r>
        <w:rPr>
          <w:rFonts w:ascii="FrankRuehl" w:hAnsi="FrankRuehl" w:cs="FrankRuehl" w:hint="cs"/>
          <w:sz w:val="28"/>
          <w:szCs w:val="28"/>
          <w:rtl/>
        </w:rPr>
        <w:t>), אושר עונש של 16 חודשי מאסר, שלאחר הפעלת מאסר מותנה הצטברו לכדי 20 חודשי מאסר בפועל, לנאשם אשר הורשע על יסוד הודאתו, בשלוש עבירות של סחר בסם מסוכן מסוג קוקאין, במשקל כולל של כ-14 גרם. הנאשם, בעל עבר פלילי מכביד, הביע חרטה וניכר שעבר הליך שיקום. בבית משפט השלום נקבע מתחם עונשי הנע בין 8 ל-18 חודשי מאסר בגין כל עבירה. בית המשפט העליון ציין כי תסקיר חיובי ומאמצי שיקום אינם שיקולים יחידים בבואו של בית המשפט לגזור עונשו של נאשם.</w:t>
      </w:r>
    </w:p>
    <w:p w14:paraId="5C4F56F3" w14:textId="77777777" w:rsidR="00725069" w:rsidRDefault="00725069" w:rsidP="00725069">
      <w:pPr>
        <w:spacing w:line="360" w:lineRule="auto"/>
        <w:ind w:left="1080" w:hanging="360"/>
        <w:jc w:val="both"/>
        <w:rPr>
          <w:rFonts w:ascii="FrankRuehl" w:hAnsi="FrankRuehl" w:cs="FrankRuehl"/>
          <w:sz w:val="28"/>
          <w:szCs w:val="28"/>
          <w:rtl/>
        </w:rPr>
      </w:pPr>
    </w:p>
    <w:p w14:paraId="6AC78543" w14:textId="77777777" w:rsidR="00725069" w:rsidRDefault="00725069" w:rsidP="00725069">
      <w:pPr>
        <w:spacing w:line="360" w:lineRule="auto"/>
        <w:ind w:left="1080" w:hanging="360"/>
        <w:jc w:val="both"/>
        <w:rPr>
          <w:rFonts w:ascii="FrankRuehl" w:hAnsi="FrankRuehl" w:cs="FrankRuehl"/>
          <w:sz w:val="28"/>
          <w:szCs w:val="28"/>
          <w:rtl/>
        </w:rPr>
      </w:pPr>
      <w:r>
        <w:rPr>
          <w:rFonts w:ascii="FrankRuehl" w:hAnsi="FrankRuehl" w:cs="FrankRuehl" w:hint="cs"/>
          <w:sz w:val="28"/>
          <w:szCs w:val="28"/>
          <w:rtl/>
        </w:rPr>
        <w:t>ג.</w:t>
      </w:r>
      <w:r>
        <w:rPr>
          <w:rFonts w:ascii="FrankRuehl" w:hAnsi="FrankRuehl" w:cs="FrankRuehl" w:hint="cs"/>
          <w:sz w:val="28"/>
          <w:szCs w:val="28"/>
          <w:rtl/>
        </w:rPr>
        <w:tab/>
        <w:t>ב</w:t>
      </w:r>
      <w:hyperlink r:id="rId40" w:history="1">
        <w:r w:rsidR="005A3CEB" w:rsidRPr="005A3CEB">
          <w:rPr>
            <w:rFonts w:ascii="FrankRuehl" w:hAnsi="FrankRuehl" w:cs="FrankRuehl"/>
            <w:color w:val="0000FF"/>
            <w:sz w:val="28"/>
            <w:szCs w:val="28"/>
            <w:u w:val="single"/>
            <w:rtl/>
          </w:rPr>
          <w:t>עפ"ג (מרכז-לוד) 33119-07-17</w:t>
        </w:r>
      </w:hyperlink>
      <w:r>
        <w:rPr>
          <w:rFonts w:ascii="FrankRuehl" w:hAnsi="FrankRuehl" w:cs="FrankRuehl" w:hint="cs"/>
          <w:sz w:val="28"/>
          <w:szCs w:val="28"/>
          <w:rtl/>
        </w:rPr>
        <w:t xml:space="preserve"> </w:t>
      </w:r>
      <w:r>
        <w:rPr>
          <w:rFonts w:ascii="Miriam" w:eastAsia="FrankRuehl" w:hAnsi="Miriam" w:cs="Miriam" w:hint="cs"/>
          <w:rtl/>
        </w:rPr>
        <w:t>סלאמה נ' מדינת ישראל</w:t>
      </w:r>
      <w:r>
        <w:rPr>
          <w:rFonts w:ascii="FrankRuehl" w:hAnsi="FrankRuehl" w:cs="FrankRuehl" w:hint="cs"/>
          <w:sz w:val="28"/>
          <w:szCs w:val="28"/>
          <w:rtl/>
        </w:rPr>
        <w:t xml:space="preserve"> (26.12.2017), נדחה ערעורו של נאשם, נעדר עבר פלילי, אשר הורשע, על יסוד הודאתו, בעבירה של סחר בסם מסוכן מסוג קוקאין במשקל של 1.77 גרם, ובעבירה של סיוע לסחר בסם מסוכן מסוג קוקאין במשקל 5 גרם. בבית משפט השלום נקבע מתחם עונש הולם הנע בין 12 ל-28 חודשי מאסר, ועל הנאשם הושת עונש של 12 חודשי מאסר. בדחותו את הערעור קבע בית המשפט המחוזי שהתחשבות בהליך שיקום, אינה מובילה בהכרח לסטייה מהרף התחתון של המתחם.</w:t>
      </w:r>
    </w:p>
    <w:p w14:paraId="03504525" w14:textId="77777777" w:rsidR="00725069" w:rsidRDefault="00725069" w:rsidP="00725069">
      <w:pPr>
        <w:spacing w:line="360" w:lineRule="auto"/>
        <w:ind w:left="1080" w:hanging="360"/>
        <w:jc w:val="both"/>
        <w:rPr>
          <w:rFonts w:ascii="FrankRuehl" w:hAnsi="FrankRuehl" w:cs="FrankRuehl"/>
          <w:sz w:val="28"/>
          <w:szCs w:val="28"/>
          <w:rtl/>
        </w:rPr>
      </w:pPr>
    </w:p>
    <w:p w14:paraId="39793BD6" w14:textId="77777777" w:rsidR="00725069" w:rsidRPr="002A1854" w:rsidRDefault="00725069" w:rsidP="00725069">
      <w:pPr>
        <w:spacing w:line="360" w:lineRule="auto"/>
        <w:ind w:left="1080" w:hanging="360"/>
        <w:jc w:val="both"/>
        <w:rPr>
          <w:rFonts w:ascii="FrankRuehl" w:hAnsi="FrankRuehl" w:cs="FrankRuehl"/>
          <w:sz w:val="28"/>
          <w:szCs w:val="28"/>
          <w:rtl/>
        </w:rPr>
      </w:pPr>
      <w:r>
        <w:rPr>
          <w:rFonts w:ascii="FrankRuehl" w:hAnsi="FrankRuehl" w:cs="FrankRuehl" w:hint="cs"/>
          <w:sz w:val="28"/>
          <w:szCs w:val="28"/>
          <w:rtl/>
        </w:rPr>
        <w:t>ד.</w:t>
      </w:r>
      <w:r>
        <w:rPr>
          <w:rFonts w:ascii="FrankRuehl" w:hAnsi="FrankRuehl" w:cs="FrankRuehl" w:hint="cs"/>
          <w:sz w:val="28"/>
          <w:szCs w:val="28"/>
          <w:rtl/>
        </w:rPr>
        <w:tab/>
      </w:r>
      <w:r w:rsidRPr="002A1854">
        <w:rPr>
          <w:rFonts w:ascii="FrankRuehl" w:hAnsi="FrankRuehl" w:cs="FrankRuehl" w:hint="cs"/>
          <w:sz w:val="28"/>
          <w:szCs w:val="28"/>
          <w:rtl/>
        </w:rPr>
        <w:t>ב</w:t>
      </w:r>
      <w:hyperlink r:id="rId41" w:history="1">
        <w:r w:rsidR="005A3CEB" w:rsidRPr="005A3CEB">
          <w:rPr>
            <w:rFonts w:ascii="FrankRuehl" w:hAnsi="FrankRuehl" w:cs="FrankRuehl"/>
            <w:color w:val="0000FF"/>
            <w:sz w:val="28"/>
            <w:szCs w:val="28"/>
            <w:u w:val="single"/>
            <w:rtl/>
          </w:rPr>
          <w:t>ת"פ (מח' חי') 22435-01-15</w:t>
        </w:r>
      </w:hyperlink>
      <w:r w:rsidRPr="002A1854">
        <w:rPr>
          <w:rFonts w:ascii="FrankRuehl" w:hAnsi="FrankRuehl" w:cs="FrankRuehl" w:hint="cs"/>
          <w:sz w:val="28"/>
          <w:szCs w:val="28"/>
          <w:rtl/>
        </w:rPr>
        <w:t xml:space="preserve"> </w:t>
      </w:r>
      <w:r w:rsidRPr="002A1854">
        <w:rPr>
          <w:rFonts w:ascii="Miriam" w:eastAsia="FrankRuehl" w:hAnsi="Miriam" w:cs="Miriam" w:hint="cs"/>
          <w:rtl/>
        </w:rPr>
        <w:t>מדינת ישראל נ' שעיב ואח'</w:t>
      </w:r>
      <w:r w:rsidRPr="002A1854">
        <w:rPr>
          <w:rFonts w:ascii="FrankRuehl" w:hAnsi="FrankRuehl" w:cs="FrankRuehl" w:hint="cs"/>
          <w:sz w:val="28"/>
          <w:szCs w:val="28"/>
          <w:rtl/>
        </w:rPr>
        <w:t xml:space="preserve"> (16.2.2016) הורשע אחד הנאשמים, על יסוד הודאתו, ב</w:t>
      </w:r>
      <w:r>
        <w:rPr>
          <w:rFonts w:ascii="FrankRuehl" w:hAnsi="FrankRuehl" w:cs="FrankRuehl" w:hint="cs"/>
          <w:sz w:val="28"/>
          <w:szCs w:val="28"/>
          <w:rtl/>
        </w:rPr>
        <w:t xml:space="preserve">ין היתר, ב-3 </w:t>
      </w:r>
      <w:r w:rsidRPr="002A1854">
        <w:rPr>
          <w:rFonts w:ascii="FrankRuehl" w:hAnsi="FrankRuehl" w:cs="FrankRuehl" w:hint="cs"/>
          <w:sz w:val="28"/>
          <w:szCs w:val="28"/>
          <w:rtl/>
        </w:rPr>
        <w:t>עביר</w:t>
      </w:r>
      <w:r>
        <w:rPr>
          <w:rFonts w:ascii="FrankRuehl" w:hAnsi="FrankRuehl" w:cs="FrankRuehl" w:hint="cs"/>
          <w:sz w:val="28"/>
          <w:szCs w:val="28"/>
          <w:rtl/>
        </w:rPr>
        <w:t>ות</w:t>
      </w:r>
      <w:r w:rsidRPr="002A1854">
        <w:rPr>
          <w:rFonts w:ascii="FrankRuehl" w:hAnsi="FrankRuehl" w:cs="FrankRuehl" w:hint="cs"/>
          <w:sz w:val="28"/>
          <w:szCs w:val="28"/>
          <w:rtl/>
        </w:rPr>
        <w:t xml:space="preserve"> של סחר בסם מסוכן מסוג קוקאין במשקל</w:t>
      </w:r>
      <w:r>
        <w:rPr>
          <w:rFonts w:ascii="FrankRuehl" w:hAnsi="FrankRuehl" w:cs="FrankRuehl" w:hint="cs"/>
          <w:sz w:val="28"/>
          <w:szCs w:val="28"/>
          <w:rtl/>
        </w:rPr>
        <w:t>ים של כ- 8 גרם,</w:t>
      </w:r>
      <w:r w:rsidRPr="002A1854">
        <w:rPr>
          <w:rFonts w:ascii="FrankRuehl" w:hAnsi="FrankRuehl" w:cs="FrankRuehl" w:hint="cs"/>
          <w:sz w:val="28"/>
          <w:szCs w:val="28"/>
          <w:rtl/>
        </w:rPr>
        <w:t xml:space="preserve"> </w:t>
      </w:r>
      <w:r>
        <w:rPr>
          <w:rFonts w:ascii="FrankRuehl" w:hAnsi="FrankRuehl" w:cs="FrankRuehl" w:hint="cs"/>
          <w:sz w:val="28"/>
          <w:szCs w:val="28"/>
          <w:rtl/>
        </w:rPr>
        <w:t>18 גרם ו- 49 גרם.</w:t>
      </w:r>
      <w:r w:rsidRPr="002A1854">
        <w:rPr>
          <w:rFonts w:ascii="FrankRuehl" w:hAnsi="FrankRuehl" w:cs="FrankRuehl" w:hint="cs"/>
          <w:sz w:val="28"/>
          <w:szCs w:val="28"/>
          <w:rtl/>
        </w:rPr>
        <w:t xml:space="preserve"> </w:t>
      </w:r>
      <w:r>
        <w:rPr>
          <w:rFonts w:ascii="FrankRuehl" w:hAnsi="FrankRuehl" w:cs="FrankRuehl" w:hint="cs"/>
          <w:sz w:val="28"/>
          <w:szCs w:val="28"/>
          <w:rtl/>
        </w:rPr>
        <w:t>לאחר ש</w:t>
      </w:r>
      <w:r w:rsidRPr="002A1854">
        <w:rPr>
          <w:rFonts w:ascii="FrankRuehl" w:hAnsi="FrankRuehl" w:cs="FrankRuehl" w:hint="cs"/>
          <w:sz w:val="28"/>
          <w:szCs w:val="28"/>
          <w:rtl/>
        </w:rPr>
        <w:t>נקבע</w:t>
      </w:r>
      <w:r>
        <w:rPr>
          <w:rFonts w:ascii="FrankRuehl" w:hAnsi="FrankRuehl" w:cs="FrankRuehl" w:hint="cs"/>
          <w:sz w:val="28"/>
          <w:szCs w:val="28"/>
          <w:rtl/>
        </w:rPr>
        <w:t>ו 3 מתחמי ענישה שונים לכל עסקה, בהתאם לכמות הסם שנמכרה: 12-24 חודשי מאסר לגבי העסקה הראשונה, 18-36 חודשי מאסר לגבי העסקה השנייה, ו-24-48 חודשי מאסר לגבי העסקה השלישית,</w:t>
      </w:r>
      <w:r w:rsidRPr="002A1854">
        <w:rPr>
          <w:rFonts w:ascii="FrankRuehl" w:hAnsi="FrankRuehl" w:cs="FrankRuehl" w:hint="cs"/>
          <w:sz w:val="28"/>
          <w:szCs w:val="28"/>
          <w:rtl/>
        </w:rPr>
        <w:t xml:space="preserve"> </w:t>
      </w:r>
      <w:r>
        <w:rPr>
          <w:rFonts w:ascii="FrankRuehl" w:hAnsi="FrankRuehl" w:cs="FrankRuehl" w:hint="cs"/>
          <w:sz w:val="28"/>
          <w:szCs w:val="28"/>
          <w:rtl/>
        </w:rPr>
        <w:t xml:space="preserve">הושת </w:t>
      </w:r>
      <w:r w:rsidRPr="002A1854">
        <w:rPr>
          <w:rFonts w:ascii="FrankRuehl" w:hAnsi="FrankRuehl" w:cs="FrankRuehl" w:hint="cs"/>
          <w:sz w:val="28"/>
          <w:szCs w:val="28"/>
          <w:rtl/>
        </w:rPr>
        <w:t>על הנאשם</w:t>
      </w:r>
      <w:r>
        <w:rPr>
          <w:rFonts w:ascii="FrankRuehl" w:hAnsi="FrankRuehl" w:cs="FrankRuehl" w:hint="cs"/>
          <w:sz w:val="28"/>
          <w:szCs w:val="28"/>
          <w:rtl/>
        </w:rPr>
        <w:t>, בעל עבר פלילי, עונש של</w:t>
      </w:r>
      <w:r w:rsidRPr="002A1854">
        <w:rPr>
          <w:rFonts w:ascii="FrankRuehl" w:hAnsi="FrankRuehl" w:cs="FrankRuehl" w:hint="cs"/>
          <w:sz w:val="28"/>
          <w:szCs w:val="28"/>
          <w:rtl/>
        </w:rPr>
        <w:t xml:space="preserve"> 42 חודשי מאסר בפועל.</w:t>
      </w:r>
    </w:p>
    <w:p w14:paraId="7AF95EB4" w14:textId="77777777" w:rsidR="00725069" w:rsidRDefault="00725069" w:rsidP="00725069">
      <w:pPr>
        <w:spacing w:line="360" w:lineRule="auto"/>
        <w:jc w:val="both"/>
        <w:rPr>
          <w:rFonts w:ascii="FrankRuehl" w:hAnsi="FrankRuehl" w:cs="FrankRuehl"/>
          <w:sz w:val="28"/>
          <w:szCs w:val="28"/>
        </w:rPr>
      </w:pPr>
    </w:p>
    <w:p w14:paraId="4BB307B1" w14:textId="77777777" w:rsidR="00725069" w:rsidRDefault="00725069" w:rsidP="00725069">
      <w:pPr>
        <w:spacing w:line="360" w:lineRule="auto"/>
        <w:ind w:left="1080" w:hanging="360"/>
        <w:jc w:val="both"/>
        <w:rPr>
          <w:rFonts w:ascii="FrankRuehl" w:hAnsi="FrankRuehl" w:cs="FrankRuehl"/>
          <w:sz w:val="28"/>
          <w:szCs w:val="28"/>
        </w:rPr>
      </w:pPr>
      <w:r>
        <w:rPr>
          <w:rFonts w:ascii="FrankRuehl" w:hAnsi="FrankRuehl" w:cs="FrankRuehl" w:hint="cs"/>
          <w:sz w:val="28"/>
          <w:szCs w:val="28"/>
          <w:rtl/>
        </w:rPr>
        <w:t>ה.</w:t>
      </w:r>
      <w:r>
        <w:rPr>
          <w:rFonts w:ascii="FrankRuehl" w:hAnsi="FrankRuehl" w:cs="FrankRuehl" w:hint="cs"/>
          <w:sz w:val="28"/>
          <w:szCs w:val="28"/>
          <w:rtl/>
        </w:rPr>
        <w:tab/>
        <w:t>ב</w:t>
      </w:r>
      <w:hyperlink r:id="rId42" w:history="1">
        <w:r w:rsidR="005A3CEB" w:rsidRPr="005A3CEB">
          <w:rPr>
            <w:rFonts w:ascii="FrankRuehl" w:hAnsi="FrankRuehl" w:cs="FrankRuehl"/>
            <w:color w:val="0000FF"/>
            <w:sz w:val="28"/>
            <w:szCs w:val="28"/>
            <w:u w:val="single"/>
            <w:rtl/>
          </w:rPr>
          <w:t>ת"פ (ראשל"צ) 44727-10-18</w:t>
        </w:r>
      </w:hyperlink>
      <w:r>
        <w:rPr>
          <w:rFonts w:ascii="FrankRuehl" w:hAnsi="FrankRuehl" w:cs="FrankRuehl" w:hint="cs"/>
          <w:sz w:val="28"/>
          <w:szCs w:val="28"/>
          <w:rtl/>
        </w:rPr>
        <w:t xml:space="preserve"> </w:t>
      </w:r>
      <w:r>
        <w:rPr>
          <w:rFonts w:ascii="Miriam" w:eastAsia="FrankRuehl" w:hAnsi="Miriam" w:cs="Miriam" w:hint="cs"/>
          <w:rtl/>
        </w:rPr>
        <w:t>מדינת ישראל נ' מוזיין</w:t>
      </w:r>
      <w:r>
        <w:rPr>
          <w:rFonts w:ascii="FrankRuehl" w:hAnsi="FrankRuehl" w:cs="FrankRuehl" w:hint="cs"/>
          <w:sz w:val="28"/>
          <w:szCs w:val="28"/>
          <w:rtl/>
        </w:rPr>
        <w:t xml:space="preserve"> (6.10.2019), הורשע נאשם, על יסוד הודאתו, בעבירה של סחר בסם מסוכן מסוג קוקאין, במשקל 8 גרם ובתמורה ל-5,500 ₪. הנאשם נעדר עבר פלילי, צעיר, ובעל נסיבות חיים קשות. באותו מקרה נקבע מתחם עונש הולם הנע בין 12 ל-24 חודשי מאסר, ועל הנאשם נגזר עונש של 13 חודשי מאסר בפועל. גזר הדין אינו חלוט.</w:t>
      </w:r>
    </w:p>
    <w:p w14:paraId="2E3AE526" w14:textId="77777777" w:rsidR="00725069" w:rsidRDefault="00725069" w:rsidP="00725069">
      <w:pPr>
        <w:pStyle w:val="ae"/>
        <w:rPr>
          <w:rFonts w:ascii="FrankRuehl" w:hAnsi="FrankRuehl" w:cs="FrankRuehl"/>
          <w:sz w:val="28"/>
          <w:szCs w:val="28"/>
        </w:rPr>
      </w:pPr>
    </w:p>
    <w:p w14:paraId="2475A019" w14:textId="77777777" w:rsidR="00725069" w:rsidRPr="006324E5" w:rsidRDefault="00725069" w:rsidP="00725069">
      <w:pPr>
        <w:spacing w:line="360" w:lineRule="auto"/>
        <w:ind w:left="1080" w:hanging="360"/>
        <w:jc w:val="both"/>
        <w:rPr>
          <w:rFonts w:ascii="FrankRuehl" w:hAnsi="FrankRuehl" w:cs="FrankRuehl"/>
          <w:sz w:val="28"/>
          <w:szCs w:val="28"/>
          <w:rtl/>
        </w:rPr>
      </w:pPr>
      <w:r>
        <w:rPr>
          <w:rFonts w:ascii="FrankRuehl" w:hAnsi="FrankRuehl" w:cs="FrankRuehl" w:hint="cs"/>
          <w:sz w:val="28"/>
          <w:szCs w:val="28"/>
          <w:rtl/>
        </w:rPr>
        <w:t>ו.</w:t>
      </w:r>
      <w:r>
        <w:rPr>
          <w:rFonts w:ascii="FrankRuehl" w:hAnsi="FrankRuehl" w:cs="FrankRuehl"/>
          <w:sz w:val="28"/>
          <w:szCs w:val="28"/>
          <w:rtl/>
        </w:rPr>
        <w:tab/>
      </w:r>
      <w:r w:rsidRPr="006324E5">
        <w:rPr>
          <w:rFonts w:ascii="FrankRuehl" w:hAnsi="FrankRuehl" w:cs="FrankRuehl" w:hint="cs"/>
          <w:sz w:val="28"/>
          <w:szCs w:val="28"/>
          <w:rtl/>
        </w:rPr>
        <w:t>ב</w:t>
      </w:r>
      <w:hyperlink r:id="rId43" w:history="1">
        <w:r w:rsidR="005A3CEB" w:rsidRPr="005A3CEB">
          <w:rPr>
            <w:rFonts w:ascii="FrankRuehl" w:hAnsi="FrankRuehl" w:cs="FrankRuehl"/>
            <w:color w:val="0000FF"/>
            <w:sz w:val="28"/>
            <w:szCs w:val="28"/>
            <w:u w:val="single"/>
            <w:rtl/>
          </w:rPr>
          <w:t>ת"פ (פ"ת) 50955-01-16</w:t>
        </w:r>
      </w:hyperlink>
      <w:r w:rsidRPr="006324E5">
        <w:rPr>
          <w:rFonts w:ascii="FrankRuehl" w:hAnsi="FrankRuehl" w:cs="FrankRuehl" w:hint="cs"/>
          <w:sz w:val="28"/>
          <w:szCs w:val="28"/>
          <w:rtl/>
        </w:rPr>
        <w:t xml:space="preserve"> </w:t>
      </w:r>
      <w:r w:rsidRPr="006324E5">
        <w:rPr>
          <w:rFonts w:ascii="Miriam" w:eastAsia="FrankRuehl" w:hAnsi="Miriam" w:cs="Miriam" w:hint="cs"/>
          <w:rtl/>
        </w:rPr>
        <w:t>מדינת ישראל נ' וקנין</w:t>
      </w:r>
      <w:r w:rsidRPr="006324E5">
        <w:rPr>
          <w:rFonts w:ascii="FrankRuehl" w:hAnsi="FrankRuehl" w:cs="FrankRuehl" w:hint="cs"/>
          <w:sz w:val="28"/>
          <w:szCs w:val="28"/>
          <w:rtl/>
        </w:rPr>
        <w:t xml:space="preserve"> (6.1.2019), הורשע הנאשם, על יסוד הודאתו, בהחזקת 8.4 גרם של סם מסוכן מסוג קוקאין. לאחר שנקבע מתחם עונשי הנע בין 8 ל-18 חודשי מאסר, הושת על הנאשם עונש של 10 חודשי מאסר בפועל. [אושר ב</w:t>
      </w:r>
      <w:hyperlink r:id="rId44" w:history="1">
        <w:r w:rsidR="005A3CEB" w:rsidRPr="005A3CEB">
          <w:rPr>
            <w:rFonts w:ascii="FrankRuehl" w:hAnsi="FrankRuehl" w:cs="FrankRuehl"/>
            <w:color w:val="0000FF"/>
            <w:sz w:val="28"/>
            <w:szCs w:val="28"/>
            <w:u w:val="single"/>
            <w:rtl/>
          </w:rPr>
          <w:t>עפ"ג (מרכז-לוד) 49027-02-19</w:t>
        </w:r>
      </w:hyperlink>
      <w:r w:rsidRPr="006324E5">
        <w:rPr>
          <w:rFonts w:ascii="FrankRuehl" w:hAnsi="FrankRuehl" w:cs="FrankRuehl" w:hint="cs"/>
          <w:sz w:val="28"/>
          <w:szCs w:val="28"/>
          <w:rtl/>
        </w:rPr>
        <w:t xml:space="preserve"> </w:t>
      </w:r>
      <w:r w:rsidRPr="006324E5">
        <w:rPr>
          <w:rFonts w:ascii="Miriam" w:eastAsia="FrankRuehl" w:hAnsi="Miriam" w:cs="Miriam" w:hint="cs"/>
          <w:rtl/>
        </w:rPr>
        <w:t>וקנין נ' מדינת ישראל</w:t>
      </w:r>
      <w:r w:rsidRPr="006324E5">
        <w:rPr>
          <w:rFonts w:ascii="FrankRuehl" w:hAnsi="FrankRuehl" w:cs="FrankRuehl" w:hint="cs"/>
          <w:sz w:val="28"/>
          <w:szCs w:val="28"/>
          <w:rtl/>
        </w:rPr>
        <w:t xml:space="preserve"> (20.5.2019), לאחר שהנאשם חזר בו מערעור שהגיש].</w:t>
      </w:r>
    </w:p>
    <w:p w14:paraId="4F8BA8E3" w14:textId="77777777" w:rsidR="00725069" w:rsidRDefault="00725069" w:rsidP="00725069">
      <w:pPr>
        <w:pStyle w:val="ae"/>
        <w:rPr>
          <w:rFonts w:ascii="FrankRuehl" w:hAnsi="FrankRuehl" w:cs="FrankRuehl"/>
          <w:sz w:val="28"/>
          <w:szCs w:val="28"/>
        </w:rPr>
      </w:pPr>
    </w:p>
    <w:p w14:paraId="3BDAE315" w14:textId="77777777" w:rsidR="00725069" w:rsidRPr="0045762B" w:rsidRDefault="00725069" w:rsidP="00725069">
      <w:pPr>
        <w:spacing w:line="360" w:lineRule="auto"/>
        <w:ind w:left="1080" w:hanging="360"/>
        <w:jc w:val="both"/>
        <w:rPr>
          <w:rFonts w:ascii="FrankRuehl" w:hAnsi="FrankRuehl" w:cs="FrankRuehl"/>
          <w:sz w:val="28"/>
          <w:szCs w:val="28"/>
          <w:rtl/>
        </w:rPr>
      </w:pPr>
      <w:r>
        <w:rPr>
          <w:rFonts w:ascii="FrankRuehl" w:hAnsi="FrankRuehl" w:cs="FrankRuehl" w:hint="cs"/>
          <w:sz w:val="28"/>
          <w:szCs w:val="28"/>
          <w:rtl/>
        </w:rPr>
        <w:t>ז.</w:t>
      </w:r>
      <w:r>
        <w:rPr>
          <w:rFonts w:ascii="FrankRuehl" w:hAnsi="FrankRuehl" w:cs="FrankRuehl" w:hint="cs"/>
          <w:sz w:val="28"/>
          <w:szCs w:val="28"/>
          <w:rtl/>
        </w:rPr>
        <w:tab/>
      </w:r>
      <w:r w:rsidRPr="0045762B">
        <w:rPr>
          <w:rFonts w:ascii="FrankRuehl" w:hAnsi="FrankRuehl" w:cs="FrankRuehl" w:hint="cs"/>
          <w:sz w:val="28"/>
          <w:szCs w:val="28"/>
          <w:rtl/>
        </w:rPr>
        <w:t>ב</w:t>
      </w:r>
      <w:hyperlink r:id="rId45" w:history="1">
        <w:r w:rsidR="005A3CEB" w:rsidRPr="005A3CEB">
          <w:rPr>
            <w:rFonts w:ascii="FrankRuehl" w:hAnsi="FrankRuehl" w:cs="FrankRuehl"/>
            <w:color w:val="0000FF"/>
            <w:sz w:val="28"/>
            <w:szCs w:val="28"/>
            <w:u w:val="single"/>
            <w:rtl/>
          </w:rPr>
          <w:t>ת"פ (שלום י-ם) 26963-10-18</w:t>
        </w:r>
      </w:hyperlink>
      <w:r w:rsidRPr="0045762B">
        <w:rPr>
          <w:rFonts w:ascii="FrankRuehl" w:hAnsi="FrankRuehl" w:cs="FrankRuehl" w:hint="cs"/>
          <w:sz w:val="28"/>
          <w:szCs w:val="28"/>
          <w:rtl/>
        </w:rPr>
        <w:t xml:space="preserve"> </w:t>
      </w:r>
      <w:r w:rsidRPr="0045762B">
        <w:rPr>
          <w:rFonts w:ascii="Miriam" w:eastAsia="FrankRuehl" w:hAnsi="Miriam" w:cs="Miriam" w:hint="cs"/>
          <w:rtl/>
        </w:rPr>
        <w:t>מדינת ישראל נ' חמודה</w:t>
      </w:r>
      <w:r w:rsidRPr="0045762B">
        <w:rPr>
          <w:rFonts w:ascii="FrankRuehl" w:hAnsi="FrankRuehl" w:cs="FrankRuehl" w:hint="cs"/>
          <w:sz w:val="28"/>
          <w:szCs w:val="28"/>
          <w:rtl/>
        </w:rPr>
        <w:t xml:space="preserve"> (16.9.2019), הורשע הנאשם, על יסוד הודאתו, בביצוע 4 עבירות של סחר בסם מסוכן לאחר שנכנס ל</w:t>
      </w:r>
      <w:r>
        <w:rPr>
          <w:rFonts w:ascii="FrankRuehl" w:hAnsi="FrankRuehl" w:cs="FrankRuehl" w:hint="cs"/>
          <w:sz w:val="28"/>
          <w:szCs w:val="28"/>
          <w:rtl/>
        </w:rPr>
        <w:t>י</w:t>
      </w:r>
      <w:r w:rsidRPr="0045762B">
        <w:rPr>
          <w:rFonts w:ascii="FrankRuehl" w:hAnsi="FrankRuehl" w:cs="FrankRuehl" w:hint="cs"/>
          <w:sz w:val="28"/>
          <w:szCs w:val="28"/>
          <w:rtl/>
        </w:rPr>
        <w:t xml:space="preserve">שראל שאל כדין. 3 עסקאות בוצעו בסם מסוג </w:t>
      </w:r>
      <w:r w:rsidRPr="0045762B">
        <w:rPr>
          <w:rFonts w:ascii="FrankRuehl" w:hAnsi="FrankRuehl" w:cs="FrankRuehl" w:hint="cs"/>
        </w:rPr>
        <w:t>MDMA</w:t>
      </w:r>
      <w:r w:rsidRPr="0045762B">
        <w:rPr>
          <w:rFonts w:ascii="FrankRuehl" w:hAnsi="FrankRuehl" w:cs="FrankRuehl" w:hint="cs"/>
          <w:sz w:val="28"/>
          <w:szCs w:val="28"/>
          <w:rtl/>
        </w:rPr>
        <w:t>, בכמויות של 50 טבליות, 89 טבליות, ו-50 טבליות. עסקה נוספת בוצעה בסם מסוג קוקאין במשקל 2.7 גרם. לאחר שנקבע מתחם עונשי כולל הנע בין 15 ל-30 חודשי מאסר, הושת על הנאשם, בעל עבר פלילי מכביד, עונש של 19 חודשי מאסר בפועל. גזר הדין אינו חלוט וערעור המדינה על קולת העונש תלוי ועומד.</w:t>
      </w:r>
    </w:p>
    <w:p w14:paraId="57467591" w14:textId="77777777" w:rsidR="00725069" w:rsidRDefault="00725069" w:rsidP="00725069">
      <w:pPr>
        <w:pStyle w:val="ae"/>
        <w:rPr>
          <w:rFonts w:ascii="FrankRuehl" w:hAnsi="FrankRuehl" w:cs="FrankRuehl"/>
          <w:sz w:val="28"/>
          <w:szCs w:val="28"/>
        </w:rPr>
      </w:pPr>
    </w:p>
    <w:p w14:paraId="45192CD1" w14:textId="77777777" w:rsidR="00725069" w:rsidRDefault="00725069" w:rsidP="00725069">
      <w:pPr>
        <w:spacing w:line="360" w:lineRule="auto"/>
        <w:jc w:val="both"/>
        <w:rPr>
          <w:rFonts w:ascii="FrankRuehl" w:eastAsia="FrankRuehl" w:hAnsi="FrankRuehl" w:cs="FrankRuehl"/>
          <w:sz w:val="28"/>
          <w:szCs w:val="28"/>
          <w:rtl/>
        </w:rPr>
      </w:pPr>
      <w:r>
        <w:rPr>
          <w:rFonts w:ascii="FrankRuehl" w:eastAsia="FrankRuehl" w:hAnsi="FrankRuehl" w:cs="FrankRuehl" w:hint="cs"/>
          <w:sz w:val="28"/>
          <w:szCs w:val="28"/>
          <w:rtl/>
        </w:rPr>
        <w:t>27.</w:t>
      </w:r>
      <w:r>
        <w:rPr>
          <w:rFonts w:ascii="FrankRuehl" w:eastAsia="FrankRuehl" w:hAnsi="FrankRuehl" w:cs="FrankRuehl"/>
          <w:sz w:val="28"/>
          <w:szCs w:val="28"/>
          <w:rtl/>
        </w:rPr>
        <w:tab/>
      </w:r>
      <w:r>
        <w:rPr>
          <w:rFonts w:ascii="FrankRuehl" w:eastAsia="FrankRuehl" w:hAnsi="FrankRuehl" w:cs="FrankRuehl" w:hint="cs"/>
          <w:sz w:val="28"/>
          <w:szCs w:val="28"/>
          <w:rtl/>
        </w:rPr>
        <w:t>לדוגמאות נוספות ראו:</w:t>
      </w:r>
    </w:p>
    <w:p w14:paraId="71D93267" w14:textId="77777777" w:rsidR="00725069" w:rsidRPr="00876C7B" w:rsidRDefault="00725069" w:rsidP="00725069">
      <w:pPr>
        <w:pStyle w:val="ae"/>
        <w:spacing w:line="360" w:lineRule="auto"/>
        <w:ind w:left="368"/>
        <w:jc w:val="both"/>
        <w:rPr>
          <w:rFonts w:ascii="FrankRuehl" w:eastAsia="FrankRuehl" w:hAnsi="FrankRuehl" w:cs="FrankRuehl"/>
          <w:sz w:val="28"/>
          <w:szCs w:val="28"/>
        </w:rPr>
      </w:pPr>
    </w:p>
    <w:p w14:paraId="346F8983" w14:textId="77777777" w:rsidR="00725069" w:rsidRDefault="00725069" w:rsidP="00725069">
      <w:pPr>
        <w:pStyle w:val="ae"/>
        <w:numPr>
          <w:ilvl w:val="0"/>
          <w:numId w:val="4"/>
        </w:numPr>
        <w:spacing w:line="360" w:lineRule="auto"/>
        <w:ind w:left="1080"/>
        <w:jc w:val="both"/>
        <w:rPr>
          <w:rFonts w:ascii="FrankRuehl" w:eastAsia="FrankRuehl" w:hAnsi="FrankRuehl" w:cs="FrankRuehl"/>
          <w:sz w:val="28"/>
          <w:szCs w:val="28"/>
        </w:rPr>
      </w:pPr>
      <w:r>
        <w:rPr>
          <w:rFonts w:ascii="Miriam" w:eastAsia="FrankRuehl" w:hAnsi="Miriam" w:cs="Miriam" w:hint="cs"/>
          <w:sz w:val="24"/>
          <w:szCs w:val="24"/>
          <w:rtl/>
        </w:rPr>
        <w:t>ב</w:t>
      </w:r>
      <w:r w:rsidRPr="00651021">
        <w:rPr>
          <w:rFonts w:ascii="Miriam" w:eastAsia="FrankRuehl" w:hAnsi="Miriam" w:cs="Miriam" w:hint="cs"/>
          <w:sz w:val="24"/>
          <w:szCs w:val="24"/>
          <w:rtl/>
        </w:rPr>
        <w:t>עניין</w:t>
      </w:r>
      <w:r>
        <w:rPr>
          <w:rFonts w:cs="FrankRuehl" w:hint="cs"/>
          <w:sz w:val="28"/>
          <w:szCs w:val="28"/>
          <w:rtl/>
        </w:rPr>
        <w:t xml:space="preserve"> </w:t>
      </w:r>
      <w:r>
        <w:rPr>
          <w:rFonts w:ascii="Miriam" w:eastAsia="FrankRuehl" w:hAnsi="Miriam" w:cs="Miriam" w:hint="cs"/>
          <w:sz w:val="24"/>
          <w:szCs w:val="24"/>
          <w:rtl/>
        </w:rPr>
        <w:t>סמאדה</w:t>
      </w:r>
      <w:r>
        <w:rPr>
          <w:rFonts w:ascii="FrankRuehl" w:eastAsia="FrankRuehl" w:hAnsi="FrankRuehl" w:cs="FrankRuehl" w:hint="cs"/>
          <w:sz w:val="28"/>
          <w:szCs w:val="28"/>
          <w:rtl/>
        </w:rPr>
        <w:t>, הוקל עונשו של נאשם אשר הורשע, על יסוד הודאתו, ב-3 עבירות של סחר בקוקאין במשקלים של כ-15 גרם, 23 גרם ו-10 גרם. בבית משפט השלום נקבע מתחם עונש הולם הנע בין 12 ל-24 חודשי מאסר בגין כל אישום, ועל הנאשם, בעל עבר פלילי הכולל 2 הרשעות, הוטל עונש של 35 חודשי מאסר בפועל. הן המתחם העונשי והן העונש הסופי אושרו על ידי בית המשפט המחוזי.</w:t>
      </w:r>
    </w:p>
    <w:p w14:paraId="35FB363D" w14:textId="77777777" w:rsidR="00725069" w:rsidRPr="00722A85" w:rsidRDefault="00725069" w:rsidP="00725069">
      <w:pPr>
        <w:pStyle w:val="ae"/>
        <w:spacing w:line="360" w:lineRule="auto"/>
        <w:ind w:left="1448"/>
        <w:jc w:val="both"/>
        <w:rPr>
          <w:rFonts w:ascii="FrankRuehl" w:eastAsia="FrankRuehl" w:hAnsi="FrankRuehl" w:cs="FrankRuehl"/>
          <w:sz w:val="28"/>
          <w:szCs w:val="28"/>
        </w:rPr>
      </w:pPr>
    </w:p>
    <w:p w14:paraId="015C9F3A" w14:textId="77777777" w:rsidR="00725069" w:rsidRDefault="00725069" w:rsidP="00725069">
      <w:pPr>
        <w:pStyle w:val="ae"/>
        <w:numPr>
          <w:ilvl w:val="0"/>
          <w:numId w:val="4"/>
        </w:numPr>
        <w:spacing w:line="360" w:lineRule="auto"/>
        <w:ind w:left="1080"/>
        <w:jc w:val="both"/>
        <w:rPr>
          <w:rFonts w:ascii="FrankRuehl" w:eastAsia="FrankRuehl" w:hAnsi="FrankRuehl" w:cs="FrankRuehl"/>
          <w:sz w:val="28"/>
          <w:szCs w:val="28"/>
        </w:rPr>
      </w:pPr>
      <w:r>
        <w:rPr>
          <w:rFonts w:ascii="FrankRuehl" w:eastAsia="FrankRuehl" w:hAnsi="FrankRuehl" w:cs="FrankRuehl" w:hint="cs"/>
          <w:sz w:val="28"/>
          <w:szCs w:val="28"/>
          <w:rtl/>
        </w:rPr>
        <w:t>ב</w:t>
      </w:r>
      <w:hyperlink r:id="rId46" w:history="1">
        <w:r w:rsidR="005A3CEB" w:rsidRPr="005A3CEB">
          <w:rPr>
            <w:rFonts w:ascii="FrankRuehl" w:eastAsia="FrankRuehl" w:hAnsi="FrankRuehl" w:cs="FrankRuehl"/>
            <w:color w:val="0000FF"/>
            <w:sz w:val="28"/>
            <w:szCs w:val="28"/>
            <w:u w:val="single"/>
            <w:rtl/>
          </w:rPr>
          <w:t>ת"פ (חי') 4201-03-18</w:t>
        </w:r>
      </w:hyperlink>
      <w:r>
        <w:rPr>
          <w:rFonts w:ascii="FrankRuehl" w:eastAsia="FrankRuehl" w:hAnsi="FrankRuehl" w:cs="FrankRuehl" w:hint="cs"/>
          <w:sz w:val="28"/>
          <w:szCs w:val="28"/>
          <w:rtl/>
        </w:rPr>
        <w:t xml:space="preserve"> </w:t>
      </w:r>
      <w:r>
        <w:rPr>
          <w:rFonts w:ascii="Miriam" w:eastAsia="FrankRuehl" w:hAnsi="Miriam" w:cs="Miriam" w:hint="cs"/>
          <w:sz w:val="24"/>
          <w:szCs w:val="24"/>
          <w:rtl/>
        </w:rPr>
        <w:t>מדינת ישראל נ' רוימי ואח'</w:t>
      </w:r>
      <w:r>
        <w:rPr>
          <w:rFonts w:ascii="FrankRuehl" w:eastAsia="FrankRuehl" w:hAnsi="FrankRuehl" w:cs="FrankRuehl" w:hint="cs"/>
          <w:sz w:val="28"/>
          <w:szCs w:val="28"/>
          <w:rtl/>
        </w:rPr>
        <w:t xml:space="preserve"> (28.11.2018), הורשעו הנאשמים, על יסוד הודאתם, בעבירות סחר בסם מסוכן, נהיגה ללא רישיון בתוקף וסיוע לסחר בסם מסוכן (לנאשם 1); סיוע לסחר בסם מסוכן (לנאשם 2). באישום הראשון דובר בסחר בכ-30 גרם קוקאין ובאישום השני סיוע לסחר בקוקאין בכ-30 גרם. לאחר שנקבע מתחם עונש הולם לעבירת הסחר הנע בין 18 ל- 36 חודשי מאסר, הושת על נאשם 1 עונש של 20 חודשי מאסר, ועל נאשם 2, במסגרת הסדר סגור, 10 חודשי מאסר, שלאחר הפעלת עונש מאסר מותנה, הצטברו לכדי 13 חודשי מאסר בפועל.</w:t>
      </w:r>
    </w:p>
    <w:p w14:paraId="5955181C" w14:textId="77777777" w:rsidR="00725069" w:rsidRDefault="00725069" w:rsidP="00725069">
      <w:pPr>
        <w:pStyle w:val="ae"/>
        <w:spacing w:line="360" w:lineRule="auto"/>
        <w:ind w:left="1800"/>
        <w:jc w:val="both"/>
        <w:rPr>
          <w:rFonts w:ascii="FrankRuehl" w:eastAsia="FrankRuehl" w:hAnsi="FrankRuehl" w:cs="FrankRuehl"/>
          <w:sz w:val="28"/>
          <w:szCs w:val="28"/>
          <w:rtl/>
        </w:rPr>
      </w:pPr>
    </w:p>
    <w:p w14:paraId="308AD22D" w14:textId="77777777" w:rsidR="00725069" w:rsidRDefault="00725069" w:rsidP="00725069">
      <w:pPr>
        <w:spacing w:line="360" w:lineRule="auto"/>
        <w:ind w:left="1080" w:hanging="360"/>
        <w:jc w:val="both"/>
        <w:rPr>
          <w:rFonts w:ascii="FrankRuehl" w:hAnsi="FrankRuehl" w:cs="FrankRuehl"/>
          <w:sz w:val="28"/>
          <w:szCs w:val="28"/>
          <w:rtl/>
        </w:rPr>
      </w:pPr>
      <w:r>
        <w:rPr>
          <w:rFonts w:ascii="FrankRuehl" w:hAnsi="FrankRuehl" w:cs="FrankRuehl" w:hint="cs"/>
          <w:sz w:val="28"/>
          <w:szCs w:val="28"/>
          <w:rtl/>
        </w:rPr>
        <w:t>ג.</w:t>
      </w:r>
      <w:r>
        <w:rPr>
          <w:rFonts w:ascii="FrankRuehl" w:hAnsi="FrankRuehl" w:cs="FrankRuehl" w:hint="cs"/>
          <w:sz w:val="28"/>
          <w:szCs w:val="28"/>
          <w:rtl/>
        </w:rPr>
        <w:tab/>
        <w:t>ב</w:t>
      </w:r>
      <w:hyperlink r:id="rId47" w:history="1">
        <w:r w:rsidR="005A3CEB" w:rsidRPr="005A3CEB">
          <w:rPr>
            <w:rFonts w:ascii="FrankRuehl" w:hAnsi="FrankRuehl" w:cs="FrankRuehl"/>
            <w:color w:val="0000FF"/>
            <w:sz w:val="28"/>
            <w:szCs w:val="28"/>
            <w:u w:val="single"/>
            <w:rtl/>
          </w:rPr>
          <w:t>ת"פ (רמ') 46328-02-18</w:t>
        </w:r>
      </w:hyperlink>
      <w:r>
        <w:rPr>
          <w:rFonts w:ascii="FrankRuehl" w:hAnsi="FrankRuehl" w:cs="FrankRuehl" w:hint="cs"/>
          <w:sz w:val="28"/>
          <w:szCs w:val="28"/>
          <w:rtl/>
        </w:rPr>
        <w:t xml:space="preserve"> </w:t>
      </w:r>
      <w:r>
        <w:rPr>
          <w:rFonts w:ascii="Miriam" w:eastAsia="FrankRuehl" w:hAnsi="Miriam" w:cs="Miriam" w:hint="cs"/>
          <w:rtl/>
        </w:rPr>
        <w:t>מדינת ישראל נ' טברי (</w:t>
      </w:r>
      <w:r>
        <w:rPr>
          <w:rFonts w:ascii="FrankRuehl" w:hAnsi="FrankRuehl" w:cs="FrankRuehl" w:hint="cs"/>
          <w:sz w:val="28"/>
          <w:szCs w:val="28"/>
          <w:rtl/>
        </w:rPr>
        <w:t>15.5.2019), הורשע הנאשם, על יסוד הודאתו, בריבוי עבירות של סחר בסם מסוכן מסוג קוקאין והרואין בתמורה ל- 100-200 ש"ח לכל מכירה ובעבירה של החזקת כ-9 גרם קוקאין שלא לצריכה עצמית. לנאשם עבר מכביד, והתסקיר בעניינו נשא אופי חיובי. לאחר שנקבע מתחם עונש הולם הנע בין מספר חודשי מאסר ל-18 חודשים לכל עבירה, הושת על הנאשם עונש של 30 חודשי מאסר בפועל.</w:t>
      </w:r>
    </w:p>
    <w:p w14:paraId="58ADCBC8" w14:textId="77777777" w:rsidR="00725069" w:rsidRDefault="00725069" w:rsidP="00725069">
      <w:pPr>
        <w:pStyle w:val="ae"/>
        <w:spacing w:line="360" w:lineRule="auto"/>
        <w:ind w:left="1080"/>
        <w:jc w:val="both"/>
        <w:rPr>
          <w:rFonts w:ascii="FrankRuehl" w:hAnsi="FrankRuehl" w:cs="FrankRuehl"/>
          <w:sz w:val="28"/>
          <w:szCs w:val="28"/>
        </w:rPr>
      </w:pPr>
    </w:p>
    <w:p w14:paraId="1E6FA3C8" w14:textId="77777777" w:rsidR="00725069" w:rsidRPr="004E4747" w:rsidRDefault="00725069" w:rsidP="00725069">
      <w:pPr>
        <w:spacing w:line="360" w:lineRule="auto"/>
        <w:ind w:left="1080" w:hanging="360"/>
        <w:jc w:val="both"/>
        <w:rPr>
          <w:rFonts w:ascii="FrankRuehl" w:hAnsi="FrankRuehl" w:cs="FrankRuehl"/>
          <w:sz w:val="28"/>
          <w:szCs w:val="28"/>
          <w:rtl/>
        </w:rPr>
      </w:pPr>
      <w:r>
        <w:rPr>
          <w:rFonts w:ascii="FrankRuehl" w:hAnsi="FrankRuehl" w:cs="FrankRuehl" w:hint="cs"/>
          <w:sz w:val="28"/>
          <w:szCs w:val="28"/>
          <w:rtl/>
        </w:rPr>
        <w:t>ד.</w:t>
      </w:r>
      <w:r>
        <w:rPr>
          <w:rFonts w:ascii="FrankRuehl" w:hAnsi="FrankRuehl" w:cs="FrankRuehl"/>
          <w:sz w:val="28"/>
          <w:szCs w:val="28"/>
          <w:rtl/>
        </w:rPr>
        <w:tab/>
      </w:r>
      <w:r w:rsidRPr="004E4747">
        <w:rPr>
          <w:rFonts w:ascii="FrankRuehl" w:hAnsi="FrankRuehl" w:cs="FrankRuehl" w:hint="cs"/>
          <w:sz w:val="28"/>
          <w:szCs w:val="28"/>
          <w:rtl/>
        </w:rPr>
        <w:t>ב</w:t>
      </w:r>
      <w:hyperlink r:id="rId48" w:history="1">
        <w:r w:rsidR="005A3CEB" w:rsidRPr="005A3CEB">
          <w:rPr>
            <w:rFonts w:ascii="FrankRuehl" w:hAnsi="FrankRuehl" w:cs="FrankRuehl"/>
            <w:color w:val="0000FF"/>
            <w:sz w:val="28"/>
            <w:szCs w:val="28"/>
            <w:u w:val="single"/>
            <w:rtl/>
          </w:rPr>
          <w:t>ת"פ (רמ') 19015-10-16</w:t>
        </w:r>
      </w:hyperlink>
      <w:r w:rsidRPr="004E4747">
        <w:rPr>
          <w:rFonts w:ascii="FrankRuehl" w:hAnsi="FrankRuehl" w:cs="FrankRuehl" w:hint="cs"/>
          <w:sz w:val="28"/>
          <w:szCs w:val="28"/>
          <w:rtl/>
        </w:rPr>
        <w:t xml:space="preserve"> </w:t>
      </w:r>
      <w:r w:rsidRPr="004E4747">
        <w:rPr>
          <w:rFonts w:ascii="Miriam" w:eastAsia="FrankRuehl" w:hAnsi="Miriam" w:cs="Miriam" w:hint="cs"/>
          <w:rtl/>
        </w:rPr>
        <w:t>משטרת ישראל נ' בן יוסף</w:t>
      </w:r>
      <w:r w:rsidRPr="004E4747">
        <w:rPr>
          <w:rFonts w:ascii="FrankRuehl" w:hAnsi="FrankRuehl" w:cs="FrankRuehl" w:hint="cs"/>
          <w:sz w:val="28"/>
          <w:szCs w:val="28"/>
          <w:rtl/>
        </w:rPr>
        <w:t xml:space="preserve"> (10.2.2019), הורשע הנאשם, על יסוד הודאתו, בהחזקת סם מסוכן מסוג הרואין, מחולק ל-12 אריזות במשקל 11 גרם. לאחר שנקבע מתחם עונשי הנע בין 10 ל-30 חודשי מאסר, הוטל על הנאשם, בעל עבר פלילי, עונש של 11 חודשי מאסר בפועל. ערעורים שהוגשו לבית המשפט המחוזי נמחקו.</w:t>
      </w:r>
    </w:p>
    <w:p w14:paraId="3BEAE741" w14:textId="77777777" w:rsidR="00725069" w:rsidRDefault="00725069" w:rsidP="00725069">
      <w:pPr>
        <w:spacing w:line="360" w:lineRule="auto"/>
        <w:ind w:left="1080" w:hanging="360"/>
        <w:jc w:val="both"/>
        <w:rPr>
          <w:rFonts w:ascii="FrankRuehl" w:hAnsi="FrankRuehl" w:cs="FrankRuehl"/>
          <w:sz w:val="28"/>
          <w:szCs w:val="28"/>
        </w:rPr>
      </w:pPr>
    </w:p>
    <w:p w14:paraId="3DB679E9"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28.</w:t>
      </w:r>
      <w:r>
        <w:rPr>
          <w:rFonts w:ascii="FrankRuehl" w:hAnsi="FrankRuehl" w:cs="FrankRuehl" w:hint="cs"/>
          <w:sz w:val="28"/>
          <w:szCs w:val="28"/>
          <w:rtl/>
        </w:rPr>
        <w:tab/>
        <w:t>מנגד, ניתן לראות כי במקרים בהם סטו בתי המשפט ממתחם העונש ההולם, עברו הנאשמים שיקום משמעותי, שכלל, על פי רוב, הליך גמילה מסמים, כפי שעולה מפסקי הדין הבאים, שחלקם הוגשו מטעם ההגנה:</w:t>
      </w:r>
    </w:p>
    <w:p w14:paraId="1C6FBC8F" w14:textId="77777777" w:rsidR="00725069" w:rsidRPr="009F176E" w:rsidRDefault="00725069" w:rsidP="00725069">
      <w:pPr>
        <w:spacing w:line="360" w:lineRule="auto"/>
        <w:ind w:left="720"/>
        <w:jc w:val="both"/>
        <w:rPr>
          <w:rFonts w:ascii="FrankRuehl" w:hAnsi="FrankRuehl" w:cs="FrankRuehl"/>
          <w:sz w:val="28"/>
          <w:szCs w:val="28"/>
        </w:rPr>
      </w:pPr>
    </w:p>
    <w:p w14:paraId="05A1766C" w14:textId="77777777" w:rsidR="00725069" w:rsidRDefault="00725069" w:rsidP="00725069">
      <w:pPr>
        <w:spacing w:line="360" w:lineRule="auto"/>
        <w:ind w:left="1440" w:hanging="360"/>
        <w:jc w:val="both"/>
        <w:rPr>
          <w:rFonts w:ascii="FrankRuehl" w:hAnsi="FrankRuehl" w:cs="FrankRuehl"/>
          <w:sz w:val="28"/>
          <w:szCs w:val="28"/>
          <w:rtl/>
        </w:rPr>
      </w:pPr>
      <w:r>
        <w:rPr>
          <w:rFonts w:ascii="FrankRuehl" w:hAnsi="FrankRuehl" w:cs="FrankRuehl" w:hint="cs"/>
          <w:sz w:val="28"/>
          <w:szCs w:val="28"/>
          <w:rtl/>
        </w:rPr>
        <w:t>א.</w:t>
      </w:r>
      <w:r>
        <w:rPr>
          <w:rFonts w:ascii="FrankRuehl" w:hAnsi="FrankRuehl" w:cs="FrankRuehl" w:hint="cs"/>
          <w:sz w:val="28"/>
          <w:szCs w:val="28"/>
          <w:rtl/>
        </w:rPr>
        <w:tab/>
        <w:t>ב</w:t>
      </w:r>
      <w:hyperlink r:id="rId49" w:history="1">
        <w:r w:rsidR="005A3CEB" w:rsidRPr="005A3CEB">
          <w:rPr>
            <w:rFonts w:ascii="FrankRuehl" w:hAnsi="FrankRuehl" w:cs="FrankRuehl"/>
            <w:color w:val="0000FF"/>
            <w:sz w:val="28"/>
            <w:szCs w:val="28"/>
            <w:u w:val="single"/>
            <w:rtl/>
          </w:rPr>
          <w:t>רע"פ 5494/19</w:t>
        </w:r>
      </w:hyperlink>
      <w:r>
        <w:rPr>
          <w:rFonts w:ascii="FrankRuehl" w:hAnsi="FrankRuehl" w:cs="FrankRuehl" w:hint="cs"/>
          <w:sz w:val="28"/>
          <w:szCs w:val="28"/>
          <w:rtl/>
        </w:rPr>
        <w:t xml:space="preserve"> </w:t>
      </w:r>
      <w:r>
        <w:rPr>
          <w:rFonts w:ascii="Miriam" w:eastAsia="FrankRuehl" w:hAnsi="Miriam" w:cs="Miriam" w:hint="cs"/>
          <w:rtl/>
        </w:rPr>
        <w:t>רנד נ' מדינת ישראל</w:t>
      </w:r>
      <w:r>
        <w:rPr>
          <w:rFonts w:ascii="FrankRuehl" w:hAnsi="FrankRuehl" w:cs="FrankRuehl" w:hint="cs"/>
          <w:sz w:val="28"/>
          <w:szCs w:val="28"/>
          <w:rtl/>
        </w:rPr>
        <w:t xml:space="preserve"> (22.8.2019), אושר עונש של 6 חודשי מאסר לריצוי בעבודות שירות, לנאשם, אשר הורשע על יסוד הודאתו, בסחר ב-3 יחידות של קריסטל, ובהחזקת 11 גרם הרואין ו-1.9 גרם קוקאין שלא לצריכה עצמית. בבית משפט השלום נקבע מתחם עונש הולם הנע בין 6 ל-18 חודשי מאסר. על הנאשם נגזר עונש מקל משיקולי שיקום ובשל היותו של הנאשם אב חד הורי המגדל את שתי בנותיו.</w:t>
      </w:r>
    </w:p>
    <w:p w14:paraId="1E48B0C1" w14:textId="77777777" w:rsidR="00725069" w:rsidRDefault="00725069" w:rsidP="00725069">
      <w:pPr>
        <w:spacing w:line="360" w:lineRule="auto"/>
        <w:ind w:left="1080" w:hanging="360"/>
        <w:jc w:val="both"/>
        <w:rPr>
          <w:rFonts w:ascii="FrankRuehl" w:hAnsi="FrankRuehl" w:cs="FrankRuehl"/>
          <w:sz w:val="28"/>
          <w:szCs w:val="28"/>
          <w:rtl/>
        </w:rPr>
      </w:pPr>
    </w:p>
    <w:p w14:paraId="65B19355" w14:textId="77777777" w:rsidR="00725069" w:rsidRDefault="00725069" w:rsidP="00725069">
      <w:pPr>
        <w:spacing w:line="360" w:lineRule="auto"/>
        <w:ind w:left="1440" w:hanging="360"/>
        <w:jc w:val="both"/>
        <w:rPr>
          <w:rFonts w:ascii="FrankRuehl" w:hAnsi="FrankRuehl" w:cs="FrankRuehl"/>
          <w:sz w:val="28"/>
          <w:szCs w:val="28"/>
        </w:rPr>
      </w:pPr>
      <w:r>
        <w:rPr>
          <w:rFonts w:ascii="FrankRuehl" w:hAnsi="FrankRuehl" w:cs="FrankRuehl" w:hint="cs"/>
          <w:sz w:val="28"/>
          <w:szCs w:val="28"/>
          <w:rtl/>
        </w:rPr>
        <w:t>ב.</w:t>
      </w:r>
      <w:r>
        <w:rPr>
          <w:rFonts w:ascii="FrankRuehl" w:hAnsi="FrankRuehl" w:cs="FrankRuehl" w:hint="cs"/>
          <w:sz w:val="28"/>
          <w:szCs w:val="28"/>
          <w:rtl/>
        </w:rPr>
        <w:tab/>
        <w:t>ב</w:t>
      </w:r>
      <w:hyperlink r:id="rId50" w:history="1">
        <w:r w:rsidR="005A3CEB" w:rsidRPr="005A3CEB">
          <w:rPr>
            <w:rFonts w:ascii="FrankRuehl" w:hAnsi="FrankRuehl" w:cs="FrankRuehl"/>
            <w:color w:val="0000FF"/>
            <w:sz w:val="28"/>
            <w:szCs w:val="28"/>
            <w:u w:val="single"/>
            <w:rtl/>
          </w:rPr>
          <w:t>רע"פ 2430/15</w:t>
        </w:r>
      </w:hyperlink>
      <w:r>
        <w:rPr>
          <w:rFonts w:ascii="FrankRuehl" w:hAnsi="FrankRuehl" w:cs="FrankRuehl" w:hint="cs"/>
          <w:sz w:val="28"/>
          <w:szCs w:val="28"/>
          <w:rtl/>
        </w:rPr>
        <w:t xml:space="preserve"> </w:t>
      </w:r>
      <w:r>
        <w:rPr>
          <w:rFonts w:ascii="Miriam" w:eastAsia="FrankRuehl" w:hAnsi="Miriam" w:cs="Miriam" w:hint="cs"/>
          <w:rtl/>
        </w:rPr>
        <w:t>מצרי נ' מדינת ישראל</w:t>
      </w:r>
      <w:r>
        <w:rPr>
          <w:rFonts w:ascii="FrankRuehl" w:hAnsi="FrankRuehl" w:cs="FrankRuehl" w:hint="cs"/>
          <w:sz w:val="28"/>
          <w:szCs w:val="28"/>
          <w:rtl/>
        </w:rPr>
        <w:t xml:space="preserve"> (4.11.2015) (להלן: </w:t>
      </w:r>
      <w:r>
        <w:rPr>
          <w:rFonts w:ascii="FrankRuehl" w:hAnsi="FrankRuehl" w:cs="Miriam" w:hint="cs"/>
          <w:rtl/>
        </w:rPr>
        <w:t>עניין מצרי</w:t>
      </w:r>
      <w:r>
        <w:rPr>
          <w:rFonts w:ascii="FrankRuehl" w:hAnsi="FrankRuehl" w:cs="FrankRuehl" w:hint="cs"/>
          <w:sz w:val="28"/>
          <w:szCs w:val="28"/>
          <w:rtl/>
        </w:rPr>
        <w:t>), הורשע נאשם, על יסוד הודאתו, ב-5 עבירות של סחר בסם מסוכן וכן בעבירה של החזקת קוקאין שלא צריכה עצמית,  במשקלים של בין 1 ל-4 גרם בכל פעם. בבית משפט השלום נקבע מתחם עונש הנע בין 8-18 חודשי מאסר, ועל הנאשם הושת צו של"צ בהיקף של 250 שעות, וענישה נלווית, לאחר שנמצא שהנאשם עבר הליך גמילה משמעותי בקהילה סגורה. חרף הליך הגמילה המשמעותי שעבר, מצא בית המשפט המחוזי להחמיר את עונשו של הנאשם ולהעמידו על 24 חודשי מאסר בפועל. בערעור שהוגש לא מצא בית המשפט העליון לבטל את עונש המאסר, אולם העמידו בסופו של יום על 16 חודשי מאסר בפועל.</w:t>
      </w:r>
    </w:p>
    <w:p w14:paraId="686E1F0F" w14:textId="77777777" w:rsidR="00725069" w:rsidRPr="008C2BCC" w:rsidRDefault="00725069" w:rsidP="00725069">
      <w:pPr>
        <w:spacing w:line="360" w:lineRule="auto"/>
        <w:ind w:left="1440" w:hanging="360"/>
        <w:jc w:val="both"/>
        <w:rPr>
          <w:rFonts w:ascii="FrankRuehl" w:hAnsi="FrankRuehl" w:cs="FrankRuehl"/>
          <w:sz w:val="28"/>
          <w:szCs w:val="28"/>
          <w:rtl/>
        </w:rPr>
      </w:pPr>
    </w:p>
    <w:p w14:paraId="63AA73F7" w14:textId="77777777" w:rsidR="00725069" w:rsidRDefault="00725069" w:rsidP="00725069">
      <w:pPr>
        <w:spacing w:line="360" w:lineRule="auto"/>
        <w:ind w:left="1440" w:hanging="360"/>
        <w:jc w:val="both"/>
        <w:rPr>
          <w:rFonts w:ascii="FrankRuehl" w:hAnsi="FrankRuehl" w:cs="FrankRuehl"/>
          <w:sz w:val="28"/>
          <w:szCs w:val="28"/>
          <w:rtl/>
        </w:rPr>
      </w:pPr>
      <w:r>
        <w:rPr>
          <w:rFonts w:ascii="FrankRuehl" w:hAnsi="FrankRuehl" w:cs="FrankRuehl" w:hint="cs"/>
          <w:sz w:val="28"/>
          <w:szCs w:val="28"/>
          <w:rtl/>
        </w:rPr>
        <w:t>ג.</w:t>
      </w:r>
      <w:r>
        <w:rPr>
          <w:rFonts w:ascii="FrankRuehl" w:hAnsi="FrankRuehl" w:cs="FrankRuehl" w:hint="cs"/>
          <w:sz w:val="28"/>
          <w:szCs w:val="28"/>
          <w:rtl/>
        </w:rPr>
        <w:tab/>
        <w:t>ב</w:t>
      </w:r>
      <w:hyperlink r:id="rId51" w:history="1">
        <w:r w:rsidR="005A3CEB" w:rsidRPr="005A3CEB">
          <w:rPr>
            <w:rFonts w:ascii="FrankRuehl" w:hAnsi="FrankRuehl" w:cs="FrankRuehl"/>
            <w:color w:val="0000FF"/>
            <w:sz w:val="28"/>
            <w:szCs w:val="28"/>
            <w:u w:val="single"/>
            <w:rtl/>
          </w:rPr>
          <w:t>עפ"ג (מח' י-ם) 17122-09-18</w:t>
        </w:r>
      </w:hyperlink>
      <w:r>
        <w:rPr>
          <w:rFonts w:ascii="FrankRuehl" w:hAnsi="FrankRuehl" w:cs="FrankRuehl" w:hint="cs"/>
          <w:sz w:val="28"/>
          <w:szCs w:val="28"/>
          <w:rtl/>
        </w:rPr>
        <w:t xml:space="preserve"> </w:t>
      </w:r>
      <w:r>
        <w:rPr>
          <w:rFonts w:ascii="Miriam" w:eastAsia="FrankRuehl" w:hAnsi="Miriam" w:cs="Miriam" w:hint="cs"/>
          <w:rtl/>
        </w:rPr>
        <w:t>מדינת ישראל נ' חנניאייב ואח'</w:t>
      </w:r>
      <w:r>
        <w:rPr>
          <w:rFonts w:ascii="FrankRuehl" w:hAnsi="FrankRuehl" w:cs="FrankRuehl" w:hint="cs"/>
          <w:sz w:val="28"/>
          <w:szCs w:val="28"/>
          <w:rtl/>
        </w:rPr>
        <w:t xml:space="preserve"> (3.3.2019), אושר עונש של 3 חודשי מאסר בעבודות שירות שהוטל על שני נאשמים אשר הורשעו, על יסוד הודאתם, בשתי עבירות של סחר בסם מסוכן מסוג קוקאין בצוותא, במשקל כולל של 20 גרם. נאשם 1 נעדר עבר פלילי, והתסקיר בעניינו היה חיובי. נאשם 2 בעל עבר פלילי, נכה ולוקה בפיגור בינוני.</w:t>
      </w:r>
    </w:p>
    <w:p w14:paraId="1D2FABB1" w14:textId="77777777" w:rsidR="00725069" w:rsidRDefault="00725069" w:rsidP="00725069">
      <w:pPr>
        <w:spacing w:line="360" w:lineRule="auto"/>
        <w:ind w:left="1080" w:hanging="360"/>
        <w:jc w:val="both"/>
        <w:rPr>
          <w:rFonts w:ascii="FrankRuehl" w:hAnsi="FrankRuehl" w:cs="FrankRuehl"/>
          <w:sz w:val="28"/>
          <w:szCs w:val="28"/>
          <w:rtl/>
        </w:rPr>
      </w:pPr>
    </w:p>
    <w:p w14:paraId="48DA5A6D" w14:textId="77777777" w:rsidR="00725069" w:rsidRDefault="00725069" w:rsidP="00725069">
      <w:pPr>
        <w:spacing w:line="360" w:lineRule="auto"/>
        <w:ind w:left="1440" w:hanging="360"/>
        <w:jc w:val="both"/>
        <w:rPr>
          <w:rFonts w:ascii="FrankRuehl" w:hAnsi="FrankRuehl" w:cs="FrankRuehl"/>
          <w:sz w:val="28"/>
          <w:szCs w:val="28"/>
        </w:rPr>
      </w:pPr>
      <w:r>
        <w:rPr>
          <w:rFonts w:ascii="FrankRuehl" w:hAnsi="FrankRuehl" w:cs="FrankRuehl" w:hint="cs"/>
          <w:sz w:val="28"/>
          <w:szCs w:val="28"/>
          <w:rtl/>
        </w:rPr>
        <w:t>ד.</w:t>
      </w:r>
      <w:r>
        <w:rPr>
          <w:rFonts w:ascii="FrankRuehl" w:hAnsi="FrankRuehl" w:cs="FrankRuehl" w:hint="cs"/>
          <w:sz w:val="28"/>
          <w:szCs w:val="28"/>
          <w:rtl/>
        </w:rPr>
        <w:tab/>
        <w:t>ב</w:t>
      </w:r>
      <w:hyperlink r:id="rId52" w:history="1">
        <w:r w:rsidR="005A3CEB" w:rsidRPr="005A3CEB">
          <w:rPr>
            <w:rFonts w:ascii="FrankRuehl" w:hAnsi="FrankRuehl" w:cs="FrankRuehl"/>
            <w:color w:val="0000FF"/>
            <w:sz w:val="28"/>
            <w:szCs w:val="28"/>
            <w:u w:val="single"/>
            <w:rtl/>
          </w:rPr>
          <w:t>ת"פ (מחוזי ת"א-יפו) 10577-04-17</w:t>
        </w:r>
      </w:hyperlink>
      <w:r>
        <w:rPr>
          <w:rFonts w:ascii="FrankRuehl" w:hAnsi="FrankRuehl" w:cs="FrankRuehl" w:hint="cs"/>
          <w:sz w:val="28"/>
          <w:szCs w:val="28"/>
          <w:rtl/>
        </w:rPr>
        <w:t xml:space="preserve"> </w:t>
      </w:r>
      <w:r>
        <w:rPr>
          <w:rFonts w:ascii="Miriam" w:eastAsia="FrankRuehl" w:hAnsi="Miriam" w:cs="Miriam" w:hint="cs"/>
          <w:rtl/>
        </w:rPr>
        <w:t>מדינת ישראל נ' קואן ואח'</w:t>
      </w:r>
      <w:r>
        <w:rPr>
          <w:rFonts w:ascii="FrankRuehl" w:hAnsi="FrankRuehl" w:cs="FrankRuehl" w:hint="cs"/>
          <w:sz w:val="28"/>
          <w:szCs w:val="28"/>
          <w:rtl/>
        </w:rPr>
        <w:t xml:space="preserve"> (11.6.2019) (להלן: </w:t>
      </w:r>
      <w:r>
        <w:rPr>
          <w:rFonts w:ascii="Miriam" w:eastAsia="FrankRuehl" w:hAnsi="Miriam" w:cs="Miriam" w:hint="cs"/>
          <w:rtl/>
        </w:rPr>
        <w:t>עניין</w:t>
      </w:r>
      <w:r>
        <w:rPr>
          <w:rFonts w:ascii="FrankRuehl" w:hAnsi="FrankRuehl" w:cs="FrankRuehl" w:hint="cs"/>
          <w:sz w:val="28"/>
          <w:szCs w:val="28"/>
          <w:rtl/>
        </w:rPr>
        <w:t xml:space="preserve"> </w:t>
      </w:r>
      <w:r>
        <w:rPr>
          <w:rFonts w:ascii="Miriam" w:eastAsia="FrankRuehl" w:hAnsi="Miriam" w:cs="Miriam" w:hint="cs"/>
          <w:rtl/>
        </w:rPr>
        <w:t>קואן)</w:t>
      </w:r>
      <w:r>
        <w:rPr>
          <w:rFonts w:ascii="FrankRuehl" w:hAnsi="FrankRuehl" w:cs="FrankRuehl" w:hint="cs"/>
          <w:sz w:val="28"/>
          <w:szCs w:val="28"/>
          <w:rtl/>
        </w:rPr>
        <w:t>, הורשע נאשם, על יסוד הודאתו, בשתי עבירות של סחר בסם מסוכן מסוג קוקאין בצוותא, בכמויות של 20 גרם ושל כ-60 גרם. לאחר שהנאשם, בעל עבר פלילי, השתלב בהליך גמילה משמעותי, הושת עליו עונש של 9 חודשי מאסר בעבודות שירות.</w:t>
      </w:r>
    </w:p>
    <w:p w14:paraId="7BCBD91E" w14:textId="77777777" w:rsidR="00725069" w:rsidRPr="009F176E" w:rsidRDefault="00725069" w:rsidP="00725069">
      <w:pPr>
        <w:spacing w:line="360" w:lineRule="auto"/>
        <w:ind w:left="1440" w:hanging="360"/>
        <w:jc w:val="both"/>
        <w:rPr>
          <w:rFonts w:ascii="FrankRuehl" w:hAnsi="FrankRuehl" w:cs="FrankRuehl"/>
          <w:sz w:val="28"/>
          <w:szCs w:val="28"/>
          <w:rtl/>
        </w:rPr>
      </w:pPr>
    </w:p>
    <w:p w14:paraId="565545B7" w14:textId="77777777" w:rsidR="00725069" w:rsidRDefault="00725069" w:rsidP="00725069">
      <w:pPr>
        <w:spacing w:line="360" w:lineRule="auto"/>
        <w:ind w:left="1440" w:hanging="360"/>
        <w:jc w:val="both"/>
        <w:rPr>
          <w:rFonts w:ascii="FrankRuehl" w:hAnsi="FrankRuehl" w:cs="FrankRuehl"/>
          <w:sz w:val="28"/>
          <w:szCs w:val="28"/>
          <w:rtl/>
        </w:rPr>
      </w:pPr>
      <w:r>
        <w:rPr>
          <w:rFonts w:ascii="FrankRuehl" w:hAnsi="FrankRuehl" w:cs="FrankRuehl" w:hint="cs"/>
          <w:sz w:val="28"/>
          <w:szCs w:val="28"/>
          <w:rtl/>
        </w:rPr>
        <w:t>ה.</w:t>
      </w:r>
      <w:r>
        <w:rPr>
          <w:rFonts w:ascii="FrankRuehl" w:hAnsi="FrankRuehl" w:cs="FrankRuehl" w:hint="cs"/>
          <w:sz w:val="28"/>
          <w:szCs w:val="28"/>
          <w:rtl/>
        </w:rPr>
        <w:tab/>
        <w:t>ב</w:t>
      </w:r>
      <w:hyperlink r:id="rId53" w:history="1">
        <w:r w:rsidR="005A3CEB" w:rsidRPr="005A3CEB">
          <w:rPr>
            <w:rFonts w:ascii="FrankRuehl" w:hAnsi="FrankRuehl" w:cs="FrankRuehl"/>
            <w:color w:val="0000FF"/>
            <w:sz w:val="28"/>
            <w:szCs w:val="28"/>
            <w:u w:val="single"/>
            <w:rtl/>
          </w:rPr>
          <w:t>ת"פ (מח' ת"א-יפו) 63255-11-16</w:t>
        </w:r>
      </w:hyperlink>
      <w:r>
        <w:rPr>
          <w:rFonts w:ascii="FrankRuehl" w:hAnsi="FrankRuehl" w:cs="FrankRuehl" w:hint="cs"/>
          <w:sz w:val="28"/>
          <w:szCs w:val="28"/>
          <w:rtl/>
        </w:rPr>
        <w:t xml:space="preserve"> </w:t>
      </w:r>
      <w:r>
        <w:rPr>
          <w:rFonts w:ascii="Miriam" w:eastAsia="FrankRuehl" w:hAnsi="Miriam" w:cs="Miriam" w:hint="cs"/>
          <w:rtl/>
        </w:rPr>
        <w:t>מדינת ישראל נ' טורז'מן</w:t>
      </w:r>
      <w:r>
        <w:rPr>
          <w:rFonts w:ascii="FrankRuehl" w:hAnsi="FrankRuehl" w:cs="FrankRuehl" w:hint="cs"/>
          <w:sz w:val="28"/>
          <w:szCs w:val="28"/>
          <w:rtl/>
        </w:rPr>
        <w:t xml:space="preserve"> (7.2.2018) (להלן: </w:t>
      </w:r>
      <w:r>
        <w:rPr>
          <w:rFonts w:ascii="Miriam" w:eastAsia="FrankRuehl" w:hAnsi="Miriam" w:cs="Miriam" w:hint="cs"/>
          <w:rtl/>
        </w:rPr>
        <w:t>עניין</w:t>
      </w:r>
      <w:r>
        <w:rPr>
          <w:rFonts w:ascii="FrankRuehl" w:hAnsi="FrankRuehl" w:cs="FrankRuehl" w:hint="cs"/>
          <w:sz w:val="28"/>
          <w:szCs w:val="28"/>
          <w:rtl/>
        </w:rPr>
        <w:t xml:space="preserve"> </w:t>
      </w:r>
      <w:r>
        <w:rPr>
          <w:rFonts w:ascii="Miriam" w:eastAsia="FrankRuehl" w:hAnsi="Miriam" w:cs="Miriam" w:hint="cs"/>
          <w:rtl/>
        </w:rPr>
        <w:t>טורז'מן</w:t>
      </w:r>
      <w:r>
        <w:rPr>
          <w:rFonts w:ascii="FrankRuehl" w:hAnsi="FrankRuehl" w:cs="FrankRuehl" w:hint="cs"/>
          <w:sz w:val="28"/>
          <w:szCs w:val="28"/>
          <w:rtl/>
        </w:rPr>
        <w:t>), הורשעה נאשמת בעבירות סמים חמורות בהרבה מהמקרה שלפניו. לאחר שנקבע מתחם עונש הולם הנע בין 3 ל-6 שנות מאסר, הושת על הנאשמת עונש שיקומי בדמות צו של"צ, לאור תהליך שיקומי משמעותי שעברה.</w:t>
      </w:r>
    </w:p>
    <w:p w14:paraId="20605406" w14:textId="77777777" w:rsidR="00725069" w:rsidRDefault="00725069" w:rsidP="00725069">
      <w:pPr>
        <w:spacing w:line="360" w:lineRule="auto"/>
        <w:ind w:left="1440" w:hanging="360"/>
        <w:jc w:val="both"/>
        <w:rPr>
          <w:rFonts w:ascii="FrankRuehl" w:hAnsi="FrankRuehl" w:cs="FrankRuehl"/>
          <w:sz w:val="28"/>
          <w:szCs w:val="28"/>
        </w:rPr>
      </w:pPr>
    </w:p>
    <w:p w14:paraId="2A843C27" w14:textId="77777777" w:rsidR="00725069" w:rsidRDefault="00725069" w:rsidP="00725069">
      <w:pPr>
        <w:spacing w:line="360" w:lineRule="auto"/>
        <w:ind w:left="1440" w:hanging="360"/>
        <w:jc w:val="both"/>
        <w:rPr>
          <w:rFonts w:ascii="FrankRuehl" w:hAnsi="FrankRuehl" w:cs="FrankRuehl"/>
          <w:sz w:val="28"/>
          <w:szCs w:val="28"/>
          <w:rtl/>
        </w:rPr>
      </w:pPr>
      <w:r>
        <w:rPr>
          <w:rFonts w:ascii="FrankRuehl" w:hAnsi="FrankRuehl" w:cs="FrankRuehl" w:hint="cs"/>
          <w:sz w:val="28"/>
          <w:szCs w:val="28"/>
          <w:rtl/>
        </w:rPr>
        <w:t>ו.</w:t>
      </w:r>
      <w:r>
        <w:rPr>
          <w:rFonts w:ascii="FrankRuehl" w:hAnsi="FrankRuehl" w:cs="FrankRuehl"/>
          <w:sz w:val="28"/>
          <w:szCs w:val="28"/>
          <w:rtl/>
        </w:rPr>
        <w:tab/>
      </w:r>
      <w:r w:rsidRPr="00350E41">
        <w:rPr>
          <w:rFonts w:ascii="FrankRuehl" w:hAnsi="FrankRuehl" w:cs="FrankRuehl" w:hint="cs"/>
          <w:sz w:val="28"/>
          <w:szCs w:val="28"/>
          <w:rtl/>
        </w:rPr>
        <w:t xml:space="preserve"> </w:t>
      </w:r>
      <w:r>
        <w:rPr>
          <w:rFonts w:ascii="FrankRuehl" w:hAnsi="FrankRuehl" w:cs="FrankRuehl" w:hint="cs"/>
          <w:sz w:val="28"/>
          <w:szCs w:val="28"/>
          <w:rtl/>
        </w:rPr>
        <w:t>ב</w:t>
      </w:r>
      <w:hyperlink r:id="rId54" w:history="1">
        <w:r w:rsidR="005A3CEB" w:rsidRPr="005A3CEB">
          <w:rPr>
            <w:rFonts w:ascii="FrankRuehl" w:hAnsi="FrankRuehl" w:cs="FrankRuehl"/>
            <w:color w:val="0000FF"/>
            <w:sz w:val="28"/>
            <w:szCs w:val="28"/>
            <w:u w:val="single"/>
            <w:rtl/>
          </w:rPr>
          <w:t>ת"פ (פ"ת) 54819-07-15</w:t>
        </w:r>
      </w:hyperlink>
      <w:r>
        <w:rPr>
          <w:rFonts w:ascii="FrankRuehl" w:hAnsi="FrankRuehl" w:cs="FrankRuehl" w:hint="cs"/>
          <w:sz w:val="28"/>
          <w:szCs w:val="28"/>
          <w:rtl/>
        </w:rPr>
        <w:t xml:space="preserve"> </w:t>
      </w:r>
      <w:r>
        <w:rPr>
          <w:rFonts w:ascii="Miriam" w:eastAsia="FrankRuehl" w:hAnsi="Miriam" w:cs="Miriam" w:hint="cs"/>
          <w:rtl/>
        </w:rPr>
        <w:t>מדינת ישראל נ' עקיבא</w:t>
      </w:r>
      <w:r>
        <w:rPr>
          <w:rFonts w:ascii="FrankRuehl" w:hAnsi="FrankRuehl" w:cs="FrankRuehl" w:hint="cs"/>
          <w:sz w:val="28"/>
          <w:szCs w:val="28"/>
          <w:rtl/>
        </w:rPr>
        <w:t xml:space="preserve"> (18.7.17), הורשע נאשם, על יסוד הודאתו, בשתי עבירות של סחר ותיווך בסם מסוכן מסוג קוקאין במשקל של פחות מ-2 גרם בכל אירוע, והחזקת סם מסוכן מסוג קנאביס לשימוש עצמי. למרות המלצת שירות המבחן לבטל את הרשעתו, נקבע מתחם עונש הולם הנע בין 8 ל-18 חודשי מאסר לכל עבירת סחר, ועל הנאשם הושת עונש של 6 חודשי מאסר לריצוי בדרך של עבודות שירות, לאחר שנמצא שהנאשם עבר הליך גמילה ולאור תרומתו המשמעותית לחברה במסגרת שירותו הצבאי. העונש אושר על ידי בית המשפט המחוזי [</w:t>
      </w:r>
      <w:hyperlink r:id="rId55" w:history="1">
        <w:r w:rsidR="005A3CEB" w:rsidRPr="005A3CEB">
          <w:rPr>
            <w:rFonts w:ascii="FrankRuehl" w:hAnsi="FrankRuehl" w:cs="FrankRuehl"/>
            <w:color w:val="0000FF"/>
            <w:sz w:val="28"/>
            <w:szCs w:val="28"/>
            <w:u w:val="single"/>
            <w:rtl/>
          </w:rPr>
          <w:t>עפ"ג (מרכז-לוד) 5342-09-17</w:t>
        </w:r>
      </w:hyperlink>
      <w:r>
        <w:rPr>
          <w:rFonts w:ascii="FrankRuehl" w:hAnsi="FrankRuehl" w:cs="FrankRuehl" w:hint="cs"/>
          <w:sz w:val="28"/>
          <w:szCs w:val="28"/>
          <w:rtl/>
        </w:rPr>
        <w:t xml:space="preserve"> </w:t>
      </w:r>
      <w:r>
        <w:rPr>
          <w:rFonts w:ascii="Miriam" w:eastAsia="FrankRuehl" w:hAnsi="Miriam" w:cs="Miriam" w:hint="cs"/>
          <w:rtl/>
        </w:rPr>
        <w:t>עקיבא נ' מדינת ישראל</w:t>
      </w:r>
      <w:r>
        <w:rPr>
          <w:rFonts w:ascii="FrankRuehl" w:hAnsi="FrankRuehl" w:cs="FrankRuehl" w:hint="cs"/>
          <w:sz w:val="28"/>
          <w:szCs w:val="28"/>
          <w:rtl/>
        </w:rPr>
        <w:t xml:space="preserve"> (3.12.2017)].</w:t>
      </w:r>
    </w:p>
    <w:p w14:paraId="2E047312" w14:textId="77777777" w:rsidR="00725069" w:rsidRDefault="00725069" w:rsidP="00725069">
      <w:pPr>
        <w:spacing w:line="360" w:lineRule="auto"/>
        <w:ind w:left="1440" w:hanging="360"/>
        <w:jc w:val="both"/>
        <w:rPr>
          <w:rFonts w:ascii="FrankRuehl" w:hAnsi="FrankRuehl" w:cs="FrankRuehl"/>
          <w:sz w:val="28"/>
          <w:szCs w:val="28"/>
        </w:rPr>
      </w:pPr>
    </w:p>
    <w:p w14:paraId="7BBF3747" w14:textId="77777777" w:rsidR="00725069" w:rsidRDefault="00725069" w:rsidP="00725069">
      <w:pPr>
        <w:spacing w:line="360" w:lineRule="auto"/>
        <w:ind w:left="1440" w:hanging="360"/>
        <w:jc w:val="both"/>
        <w:rPr>
          <w:rFonts w:ascii="FrankRuehl" w:hAnsi="FrankRuehl" w:cs="FrankRuehl"/>
          <w:sz w:val="28"/>
          <w:szCs w:val="28"/>
        </w:rPr>
      </w:pPr>
      <w:r>
        <w:rPr>
          <w:rFonts w:ascii="FrankRuehl" w:hAnsi="FrankRuehl" w:cs="FrankRuehl" w:hint="cs"/>
          <w:sz w:val="28"/>
          <w:szCs w:val="28"/>
          <w:rtl/>
        </w:rPr>
        <w:t>ז.</w:t>
      </w:r>
      <w:r>
        <w:rPr>
          <w:rFonts w:ascii="FrankRuehl" w:hAnsi="FrankRuehl" w:cs="FrankRuehl"/>
          <w:sz w:val="28"/>
          <w:szCs w:val="28"/>
          <w:rtl/>
        </w:rPr>
        <w:tab/>
      </w:r>
      <w:r w:rsidRPr="00350E41">
        <w:rPr>
          <w:rFonts w:ascii="FrankRuehl" w:hAnsi="FrankRuehl" w:cs="FrankRuehl" w:hint="cs"/>
          <w:sz w:val="28"/>
          <w:szCs w:val="28"/>
          <w:rtl/>
        </w:rPr>
        <w:t xml:space="preserve"> </w:t>
      </w:r>
      <w:r>
        <w:rPr>
          <w:rFonts w:ascii="FrankRuehl" w:hAnsi="FrankRuehl" w:cs="FrankRuehl" w:hint="cs"/>
          <w:sz w:val="28"/>
          <w:szCs w:val="28"/>
          <w:rtl/>
        </w:rPr>
        <w:t xml:space="preserve">בת"פ (ראשל"צ) 912-07-2016 </w:t>
      </w:r>
      <w:r>
        <w:rPr>
          <w:rFonts w:ascii="Miriam" w:eastAsia="FrankRuehl" w:hAnsi="Miriam" w:cs="Miriam" w:hint="cs"/>
          <w:rtl/>
        </w:rPr>
        <w:t>מדינת ישראל נ' ונונו</w:t>
      </w:r>
      <w:r>
        <w:rPr>
          <w:rFonts w:ascii="FrankRuehl" w:hAnsi="FrankRuehl" w:cs="FrankRuehl" w:hint="cs"/>
          <w:sz w:val="28"/>
          <w:szCs w:val="28"/>
          <w:rtl/>
        </w:rPr>
        <w:t xml:space="preserve"> (19.7.2016) (להלן: </w:t>
      </w:r>
      <w:r>
        <w:rPr>
          <w:rFonts w:ascii="FrankRuehl" w:hAnsi="FrankRuehl" w:cs="Miriam" w:hint="cs"/>
          <w:rtl/>
        </w:rPr>
        <w:t>עניין ונונו</w:t>
      </w:r>
      <w:r>
        <w:rPr>
          <w:rFonts w:ascii="FrankRuehl" w:hAnsi="FrankRuehl" w:cs="FrankRuehl" w:hint="cs"/>
          <w:sz w:val="28"/>
          <w:szCs w:val="28"/>
          <w:rtl/>
        </w:rPr>
        <w:t>), הורשע נאשם, על יסוד הודאתו, ב-3 עבירות של סחר בסם מסוכן מסוג קוקאין במשקל כולל של 13 גרם. לאחר שנמצא שהנאשם, בעל עבר פלילי בסמים, החל טיפול בהתמכרותו ולאור המוטיבציה שגילה לצאת ממעגל הסמים, הושת עליו עונש של 6 חודשי מאסר לריצוי בדרך של עבודות שירות, זאת בחריגה מהמתחם העונשי שהועמד על 8-24 חודשי מאסר.</w:t>
      </w:r>
    </w:p>
    <w:p w14:paraId="71B89268" w14:textId="77777777" w:rsidR="00725069" w:rsidRPr="00350E41" w:rsidRDefault="00725069" w:rsidP="00725069">
      <w:pPr>
        <w:pStyle w:val="ae"/>
        <w:spacing w:line="360" w:lineRule="auto"/>
        <w:ind w:left="1440"/>
        <w:jc w:val="both"/>
        <w:rPr>
          <w:rFonts w:ascii="FrankRuehl" w:hAnsi="FrankRuehl" w:cs="FrankRuehl"/>
          <w:sz w:val="28"/>
          <w:szCs w:val="28"/>
        </w:rPr>
      </w:pPr>
    </w:p>
    <w:p w14:paraId="50D5841C"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29.</w:t>
      </w:r>
      <w:r>
        <w:rPr>
          <w:rFonts w:ascii="FrankRuehl" w:hAnsi="FrankRuehl" w:cs="FrankRuehl" w:hint="cs"/>
          <w:sz w:val="28"/>
          <w:szCs w:val="28"/>
          <w:rtl/>
        </w:rPr>
        <w:tab/>
        <w:t xml:space="preserve">מהאמור עולה באופן חד וברור, שדרך המלך הינה השתת עונשי מאסר, לעתים מחמירים, על הסוחרים בסם מסוכן מסוג קוקאין, גם כאשר מדובר היה בכמויות קטנות מהמקרה שלפנינו בכל מכירה וגם כאשר לנאשם היו נסיבות חיים קשות. כלל נוסף הוא שחריגה מהמתחם העונשי תתאפשר מטעמי שיקום. עם זאת, חריגה זו יושמה, על פי רוב, במקרים בהם נמצא שהנאשם עבר הליך גמילה משמעותי מסמים [ראו למשל </w:t>
      </w:r>
      <w:r>
        <w:rPr>
          <w:rFonts w:ascii="FrankRuehl" w:hAnsi="FrankRuehl" w:cs="Miriam" w:hint="cs"/>
          <w:rtl/>
        </w:rPr>
        <w:t>עניין</w:t>
      </w:r>
      <w:r>
        <w:rPr>
          <w:rFonts w:ascii="FrankRuehl" w:hAnsi="FrankRuehl" w:cs="FrankRuehl" w:hint="cs"/>
          <w:sz w:val="28"/>
          <w:szCs w:val="28"/>
          <w:rtl/>
        </w:rPr>
        <w:t xml:space="preserve"> </w:t>
      </w:r>
      <w:r>
        <w:rPr>
          <w:rFonts w:ascii="FrankRuehl" w:hAnsi="FrankRuehl" w:cs="Miriam" w:hint="cs"/>
          <w:rtl/>
        </w:rPr>
        <w:t>מצרי</w:t>
      </w:r>
      <w:r>
        <w:rPr>
          <w:rFonts w:ascii="FrankRuehl" w:hAnsi="FrankRuehl" w:cs="FrankRuehl" w:hint="cs"/>
          <w:sz w:val="28"/>
          <w:szCs w:val="28"/>
          <w:rtl/>
        </w:rPr>
        <w:t xml:space="preserve">, </w:t>
      </w:r>
      <w:r>
        <w:rPr>
          <w:rFonts w:ascii="FrankRuehl" w:hAnsi="FrankRuehl" w:cs="Miriam" w:hint="cs"/>
          <w:rtl/>
        </w:rPr>
        <w:t>עניין טורג'מן</w:t>
      </w:r>
      <w:r>
        <w:rPr>
          <w:rFonts w:ascii="FrankRuehl" w:hAnsi="FrankRuehl" w:cs="FrankRuehl" w:hint="cs"/>
          <w:sz w:val="28"/>
          <w:szCs w:val="28"/>
          <w:rtl/>
        </w:rPr>
        <w:t>,</w:t>
      </w:r>
      <w:r>
        <w:rPr>
          <w:rFonts w:ascii="FrankRuehl" w:hAnsi="FrankRuehl" w:cs="Miriam" w:hint="cs"/>
          <w:rtl/>
        </w:rPr>
        <w:t xml:space="preserve"> עניין קואן ועניין ונונו</w:t>
      </w:r>
      <w:r>
        <w:rPr>
          <w:rFonts w:ascii="FrankRuehl" w:hAnsi="FrankRuehl" w:cs="FrankRuehl" w:hint="cs"/>
          <w:sz w:val="28"/>
          <w:szCs w:val="28"/>
          <w:rtl/>
        </w:rPr>
        <w:t>].</w:t>
      </w:r>
    </w:p>
    <w:p w14:paraId="2A3A0868" w14:textId="77777777" w:rsidR="00725069" w:rsidRDefault="00725069" w:rsidP="00725069">
      <w:pPr>
        <w:spacing w:line="360" w:lineRule="auto"/>
        <w:jc w:val="both"/>
        <w:rPr>
          <w:rFonts w:ascii="FrankRuehl" w:hAnsi="FrankRuehl" w:cs="FrankRuehl"/>
          <w:sz w:val="28"/>
          <w:szCs w:val="28"/>
          <w:rtl/>
        </w:rPr>
      </w:pPr>
    </w:p>
    <w:p w14:paraId="0F613648" w14:textId="77777777" w:rsidR="00725069" w:rsidRDefault="00725069" w:rsidP="00725069">
      <w:pPr>
        <w:spacing w:line="360" w:lineRule="auto"/>
        <w:jc w:val="both"/>
        <w:rPr>
          <w:rFonts w:cs="FrankRuehl"/>
          <w:sz w:val="28"/>
          <w:szCs w:val="28"/>
          <w:rtl/>
        </w:rPr>
      </w:pPr>
      <w:r>
        <w:rPr>
          <w:rFonts w:cs="FrankRuehl" w:hint="cs"/>
          <w:sz w:val="28"/>
          <w:szCs w:val="28"/>
          <w:rtl/>
        </w:rPr>
        <w:t>30.</w:t>
      </w:r>
      <w:r>
        <w:rPr>
          <w:rFonts w:cs="FrankRuehl" w:hint="cs"/>
          <w:sz w:val="28"/>
          <w:szCs w:val="28"/>
          <w:rtl/>
        </w:rPr>
        <w:tab/>
        <w:t xml:space="preserve">נוכח כל האמור, אני קובע שמתחם העונש ההולם בגין עבירה של סחר בסם מסוכן מסוג קוקאין או מסוג </w:t>
      </w:r>
      <w:r w:rsidRPr="0045762B">
        <w:rPr>
          <w:rFonts w:ascii="FrankRuehl" w:hAnsi="FrankRuehl" w:cs="FrankRuehl" w:hint="cs"/>
        </w:rPr>
        <w:t>MDMA</w:t>
      </w:r>
      <w:r>
        <w:rPr>
          <w:rFonts w:cs="FrankRuehl" w:hint="cs"/>
          <w:sz w:val="28"/>
          <w:szCs w:val="28"/>
          <w:rtl/>
        </w:rPr>
        <w:t xml:space="preserve">, במשקל של כ-10 גרם, נע בין 12 ל-24 חודשי מאסר. </w:t>
      </w:r>
    </w:p>
    <w:p w14:paraId="1F6C19FC" w14:textId="77777777" w:rsidR="00725069" w:rsidRDefault="00725069" w:rsidP="00725069">
      <w:pPr>
        <w:spacing w:line="360" w:lineRule="auto"/>
        <w:ind w:left="8"/>
        <w:jc w:val="both"/>
        <w:rPr>
          <w:rFonts w:ascii="FrankRuehl" w:hAnsi="FrankRuehl" w:cs="FrankRuehl"/>
          <w:sz w:val="28"/>
          <w:szCs w:val="28"/>
          <w:rtl/>
        </w:rPr>
      </w:pPr>
    </w:p>
    <w:p w14:paraId="112DAA5F" w14:textId="77777777" w:rsidR="00725069" w:rsidRDefault="00725069" w:rsidP="00725069">
      <w:pPr>
        <w:spacing w:line="360" w:lineRule="auto"/>
        <w:jc w:val="both"/>
        <w:rPr>
          <w:rFonts w:ascii="FrankRuehl" w:hAnsi="FrankRuehl" w:cs="FrankRuehl"/>
          <w:sz w:val="28"/>
          <w:szCs w:val="28"/>
        </w:rPr>
      </w:pPr>
      <w:r>
        <w:rPr>
          <w:rFonts w:ascii="Miriam" w:hAnsi="Miriam" w:cs="Miriam" w:hint="cs"/>
          <w:sz w:val="28"/>
          <w:szCs w:val="28"/>
          <w:rtl/>
        </w:rPr>
        <w:t>נסיבות שאינן קשורות בביצוע העבירה</w:t>
      </w:r>
    </w:p>
    <w:p w14:paraId="1FEDBF7A" w14:textId="77777777" w:rsidR="00725069" w:rsidRDefault="00725069" w:rsidP="00725069">
      <w:pPr>
        <w:spacing w:line="360" w:lineRule="auto"/>
        <w:ind w:left="368"/>
        <w:jc w:val="both"/>
        <w:rPr>
          <w:rFonts w:ascii="FrankRuehl" w:hAnsi="FrankRuehl" w:cs="FrankRuehl"/>
          <w:sz w:val="28"/>
          <w:szCs w:val="28"/>
        </w:rPr>
      </w:pPr>
    </w:p>
    <w:p w14:paraId="7ED7714D"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31.</w:t>
      </w:r>
      <w:r>
        <w:rPr>
          <w:rFonts w:ascii="FrankRuehl" w:hAnsi="FrankRuehl" w:cs="FrankRuehl" w:hint="cs"/>
          <w:sz w:val="28"/>
          <w:szCs w:val="28"/>
          <w:rtl/>
        </w:rPr>
        <w:tab/>
        <w:t>הנאשם, כבן 31, נשוי ואב לילדה בת שנתיים, ומכאן שהטלת עונש מאסר עליו תפגע בו ובמשפחתו. לצד זאת יש לציין שהנאשם ביצע את העבירות בתקופה שכבר היה אבא, והיה עליו לחשוב על תוצאות מעשיו טרם ביצוען. הנאשם סובל מילדות מסכרת נעורים (</w:t>
      </w:r>
      <w:r>
        <w:rPr>
          <w:rFonts w:ascii="Miriam" w:hAnsi="Miriam" w:cs="Miriam" w:hint="cs"/>
          <w:rtl/>
        </w:rPr>
        <w:t>נ/2</w:t>
      </w:r>
      <w:r>
        <w:rPr>
          <w:rFonts w:ascii="FrankRuehl" w:hAnsi="FrankRuehl" w:cs="FrankRuehl" w:hint="cs"/>
          <w:sz w:val="28"/>
          <w:szCs w:val="28"/>
          <w:rtl/>
        </w:rPr>
        <w:t>), ונמצא זכאי על פי המוסד לביטוח לאומי לנכות בהיקף 48%. גם בעניין זה יש לציין שנכותו של הנאשם לא פגעה ביכולתו לבצע את העבירות.</w:t>
      </w:r>
    </w:p>
    <w:p w14:paraId="2A2289D7"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מחודש אפריל, עובד הנאשם, שהינו בעל תעודה מקצועית כטבח, כאחראי משמרת במסעדה, וממכתב שהעביר מעסיקו  לשירות המבחן עולה שהוא מרוצה מתפקודו. טרם החל לעבוד במסעדה, עבד הנאשם במשך 6 שנים בדואר ישראל, אולם עבודתו נפסקה עקב ההליך הפלילי (</w:t>
      </w:r>
      <w:r>
        <w:rPr>
          <w:rFonts w:ascii="Miriam" w:hAnsi="Miriam" w:cs="Miriam" w:hint="cs"/>
          <w:rtl/>
        </w:rPr>
        <w:t>נ/1</w:t>
      </w:r>
      <w:r>
        <w:rPr>
          <w:rFonts w:ascii="FrankRuehl" w:hAnsi="FrankRuehl" w:cs="FrankRuehl" w:hint="cs"/>
          <w:sz w:val="28"/>
          <w:szCs w:val="28"/>
          <w:rtl/>
        </w:rPr>
        <w:t xml:space="preserve">). מהאמור עולה שהנאשם ביצע את העבירות על רקע בצע כסף ורצון להתעשר בקלות ובמהירות, זאת למרות שעבד בעבודה מסודרת ומכובדת ולמרות שהייתה ברשותו תעודת מקצוע, באמצעותה יכול היה להתקבל למקומות עבודה נוספים. </w:t>
      </w:r>
    </w:p>
    <w:p w14:paraId="0A0EC21E" w14:textId="77777777" w:rsidR="00725069" w:rsidRDefault="00725069" w:rsidP="00725069">
      <w:pPr>
        <w:spacing w:line="360" w:lineRule="auto"/>
        <w:jc w:val="both"/>
        <w:rPr>
          <w:rFonts w:ascii="FrankRuehl" w:hAnsi="FrankRuehl" w:cs="FrankRuehl"/>
          <w:sz w:val="28"/>
          <w:szCs w:val="28"/>
          <w:rtl/>
        </w:rPr>
      </w:pPr>
    </w:p>
    <w:p w14:paraId="7339B789"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32.</w:t>
      </w:r>
      <w:r>
        <w:rPr>
          <w:rFonts w:ascii="FrankRuehl" w:hAnsi="FrankRuehl" w:cs="FrankRuehl" w:hint="cs"/>
          <w:sz w:val="28"/>
          <w:szCs w:val="28"/>
          <w:rtl/>
        </w:rPr>
        <w:tab/>
        <w:t>לזכות הנאשם יש לזקוף את עברו הפלילי הנקי, את הודאתו במיוחס לו, לקיחת אחריות והבעת החרטה. שירות המבחן התרשם כי הנאשם בעל יכולות תפקוד תקינות ונורמטיביות, ואף חש בושה ממשפחתו. בתסקיר שירות המבחן צוין כי הטלת מאסר בפועל עלולה להביא לנסיגה בתהליך השיקומי אותו עבר הנאשם.</w:t>
      </w:r>
    </w:p>
    <w:p w14:paraId="0842FD48" w14:textId="77777777" w:rsidR="00725069" w:rsidRDefault="00725069" w:rsidP="00725069">
      <w:pPr>
        <w:spacing w:line="360" w:lineRule="auto"/>
        <w:jc w:val="both"/>
        <w:rPr>
          <w:rFonts w:ascii="FrankRuehl" w:hAnsi="FrankRuehl" w:cs="FrankRuehl"/>
          <w:sz w:val="28"/>
          <w:szCs w:val="28"/>
          <w:rtl/>
        </w:rPr>
      </w:pPr>
    </w:p>
    <w:p w14:paraId="0CFB6609" w14:textId="77777777" w:rsidR="00725069" w:rsidRDefault="00725069" w:rsidP="00725069">
      <w:pPr>
        <w:spacing w:line="360" w:lineRule="auto"/>
        <w:jc w:val="both"/>
        <w:rPr>
          <w:rFonts w:ascii="FrankRuehl" w:hAnsi="FrankRuehl" w:cs="FrankRuehl"/>
          <w:sz w:val="28"/>
          <w:szCs w:val="28"/>
        </w:rPr>
      </w:pPr>
    </w:p>
    <w:p w14:paraId="2386278F" w14:textId="77777777" w:rsidR="00725069" w:rsidRDefault="00725069" w:rsidP="00725069">
      <w:pPr>
        <w:spacing w:line="360" w:lineRule="auto"/>
        <w:jc w:val="both"/>
        <w:rPr>
          <w:rFonts w:ascii="Miriam" w:hAnsi="Miriam" w:cs="Miriam"/>
          <w:sz w:val="28"/>
          <w:szCs w:val="28"/>
          <w:rtl/>
        </w:rPr>
      </w:pPr>
      <w:r>
        <w:rPr>
          <w:rFonts w:ascii="Miriam" w:hAnsi="Miriam" w:cs="Miriam" w:hint="cs"/>
          <w:sz w:val="28"/>
          <w:szCs w:val="28"/>
          <w:rtl/>
        </w:rPr>
        <w:t>סוגיית חריגה ממתחם העונש ההולם משיקולי שיקום</w:t>
      </w:r>
    </w:p>
    <w:p w14:paraId="6CA86CF1" w14:textId="77777777" w:rsidR="00725069" w:rsidRDefault="00725069" w:rsidP="00725069">
      <w:pPr>
        <w:spacing w:line="360" w:lineRule="auto"/>
        <w:jc w:val="both"/>
        <w:rPr>
          <w:rFonts w:cs="FrankRuehl"/>
          <w:sz w:val="28"/>
          <w:szCs w:val="28"/>
          <w:rtl/>
        </w:rPr>
      </w:pPr>
    </w:p>
    <w:p w14:paraId="14684B25" w14:textId="77777777" w:rsidR="00725069" w:rsidRPr="001177C1" w:rsidRDefault="00725069" w:rsidP="00725069">
      <w:pPr>
        <w:spacing w:line="360" w:lineRule="auto"/>
        <w:jc w:val="both"/>
        <w:rPr>
          <w:rFonts w:cs="FrankRuehl"/>
          <w:sz w:val="28"/>
          <w:szCs w:val="28"/>
          <w:rtl/>
        </w:rPr>
      </w:pPr>
      <w:r>
        <w:rPr>
          <w:rFonts w:cs="FrankRuehl" w:hint="cs"/>
          <w:sz w:val="28"/>
          <w:szCs w:val="28"/>
          <w:rtl/>
        </w:rPr>
        <w:t>33.</w:t>
      </w:r>
      <w:r>
        <w:rPr>
          <w:rFonts w:cs="FrankRuehl" w:hint="cs"/>
          <w:sz w:val="28"/>
          <w:szCs w:val="28"/>
          <w:rtl/>
        </w:rPr>
        <w:tab/>
      </w:r>
      <w:r w:rsidRPr="001177C1">
        <w:rPr>
          <w:rFonts w:cs="FrankRuehl" w:hint="cs"/>
          <w:sz w:val="28"/>
          <w:szCs w:val="28"/>
          <w:rtl/>
        </w:rPr>
        <w:t>חריגה ממתחם העונש ההולם אפשרית, בהתאם להוראות החוק, במצב</w:t>
      </w:r>
      <w:r>
        <w:rPr>
          <w:rFonts w:cs="FrankRuehl" w:hint="cs"/>
          <w:sz w:val="28"/>
          <w:szCs w:val="28"/>
          <w:rtl/>
        </w:rPr>
        <w:t xml:space="preserve"> דברים</w:t>
      </w:r>
      <w:r w:rsidRPr="001177C1">
        <w:rPr>
          <w:rFonts w:cs="FrankRuehl" w:hint="cs"/>
          <w:sz w:val="28"/>
          <w:szCs w:val="28"/>
          <w:rtl/>
        </w:rPr>
        <w:t xml:space="preserve"> בו עבר הנאשם הליך שיקומי, או כאשר יש סיכוי של ממש שישתקם (</w:t>
      </w:r>
      <w:hyperlink r:id="rId56" w:history="1">
        <w:r w:rsidR="00C213DD" w:rsidRPr="00C213DD">
          <w:rPr>
            <w:rFonts w:cs="FrankRuehl"/>
            <w:color w:val="0000FF"/>
            <w:sz w:val="28"/>
            <w:szCs w:val="28"/>
            <w:u w:val="single"/>
            <w:rtl/>
          </w:rPr>
          <w:t>סעיף 40ד</w:t>
        </w:r>
      </w:hyperlink>
      <w:r w:rsidRPr="001177C1">
        <w:rPr>
          <w:rFonts w:cs="FrankRuehl" w:hint="cs"/>
          <w:sz w:val="28"/>
          <w:szCs w:val="28"/>
          <w:rtl/>
        </w:rPr>
        <w:t xml:space="preserve"> לחוק), זאת במטרה לעודד נאשמים לנצל את ההליך המשפטי המתנהל נגדם לצורך עריכת שינוי בחייהם. </w:t>
      </w:r>
      <w:r>
        <w:rPr>
          <w:rFonts w:cs="FrankRuehl" w:hint="cs"/>
          <w:sz w:val="28"/>
          <w:szCs w:val="28"/>
          <w:rtl/>
        </w:rPr>
        <w:t xml:space="preserve">מנגד, יש לזכור </w:t>
      </w:r>
      <w:r w:rsidRPr="001177C1">
        <w:rPr>
          <w:rFonts w:cs="FrankRuehl" w:hint="cs"/>
          <w:sz w:val="28"/>
          <w:szCs w:val="28"/>
          <w:rtl/>
        </w:rPr>
        <w:t>ששיקול השיקום הינו שיקול אחד מ</w:t>
      </w:r>
      <w:r>
        <w:rPr>
          <w:rFonts w:cs="FrankRuehl" w:hint="cs"/>
          <w:sz w:val="28"/>
          <w:szCs w:val="28"/>
          <w:rtl/>
        </w:rPr>
        <w:t xml:space="preserve">תוך </w:t>
      </w:r>
      <w:r w:rsidRPr="001177C1">
        <w:rPr>
          <w:rFonts w:cs="FrankRuehl" w:hint="cs"/>
          <w:sz w:val="28"/>
          <w:szCs w:val="28"/>
          <w:rtl/>
        </w:rPr>
        <w:t xml:space="preserve">קשת </w:t>
      </w:r>
      <w:r>
        <w:rPr>
          <w:rFonts w:cs="FrankRuehl" w:hint="cs"/>
          <w:sz w:val="28"/>
          <w:szCs w:val="28"/>
          <w:rtl/>
        </w:rPr>
        <w:t>ה</w:t>
      </w:r>
      <w:r w:rsidRPr="001177C1">
        <w:rPr>
          <w:rFonts w:cs="FrankRuehl" w:hint="cs"/>
          <w:sz w:val="28"/>
          <w:szCs w:val="28"/>
          <w:rtl/>
        </w:rPr>
        <w:t xml:space="preserve">שיקולים </w:t>
      </w:r>
      <w:r>
        <w:rPr>
          <w:rFonts w:cs="FrankRuehl" w:hint="cs"/>
          <w:sz w:val="28"/>
          <w:szCs w:val="28"/>
          <w:rtl/>
        </w:rPr>
        <w:t>שעל</w:t>
      </w:r>
      <w:r w:rsidRPr="001177C1">
        <w:rPr>
          <w:rFonts w:cs="FrankRuehl" w:hint="cs"/>
          <w:sz w:val="28"/>
          <w:szCs w:val="28"/>
          <w:rtl/>
        </w:rPr>
        <w:t xml:space="preserve"> בית המשפט</w:t>
      </w:r>
      <w:r>
        <w:rPr>
          <w:rFonts w:cs="FrankRuehl" w:hint="cs"/>
          <w:sz w:val="28"/>
          <w:szCs w:val="28"/>
          <w:rtl/>
        </w:rPr>
        <w:t xml:space="preserve"> לשקול בבואו לגזור את דינו של נאשם.</w:t>
      </w:r>
    </w:p>
    <w:p w14:paraId="00178C02" w14:textId="77777777" w:rsidR="00725069" w:rsidRDefault="00725069" w:rsidP="00725069">
      <w:pPr>
        <w:spacing w:line="360" w:lineRule="auto"/>
        <w:jc w:val="both"/>
        <w:rPr>
          <w:rFonts w:cs="FrankRuehl"/>
          <w:sz w:val="28"/>
          <w:szCs w:val="28"/>
          <w:rtl/>
        </w:rPr>
      </w:pPr>
    </w:p>
    <w:p w14:paraId="2262D9BB" w14:textId="77777777" w:rsidR="00725069" w:rsidRPr="006A588E" w:rsidRDefault="00725069" w:rsidP="00725069">
      <w:pPr>
        <w:spacing w:line="360" w:lineRule="auto"/>
        <w:jc w:val="both"/>
        <w:rPr>
          <w:rFonts w:cs="FrankRuehl"/>
          <w:sz w:val="28"/>
          <w:szCs w:val="28"/>
          <w:rtl/>
        </w:rPr>
      </w:pPr>
      <w:r>
        <w:rPr>
          <w:rFonts w:ascii="Miriam" w:hAnsi="Miriam" w:cs="FrankRuehl" w:hint="cs"/>
          <w:sz w:val="28"/>
          <w:szCs w:val="28"/>
          <w:rtl/>
        </w:rPr>
        <w:t>34.</w:t>
      </w:r>
      <w:r>
        <w:rPr>
          <w:rFonts w:ascii="Miriam" w:hAnsi="Miriam" w:cs="FrankRuehl" w:hint="cs"/>
          <w:sz w:val="28"/>
          <w:szCs w:val="28"/>
          <w:rtl/>
        </w:rPr>
        <w:tab/>
      </w:r>
      <w:r w:rsidRPr="00A208C1">
        <w:rPr>
          <w:rFonts w:ascii="Miriam" w:hAnsi="Miriam" w:cs="FrankRuehl" w:hint="cs"/>
          <w:sz w:val="28"/>
          <w:szCs w:val="28"/>
          <w:rtl/>
        </w:rPr>
        <w:t>ב</w:t>
      </w:r>
      <w:hyperlink r:id="rId57" w:history="1">
        <w:r w:rsidR="005A3CEB" w:rsidRPr="005A3CEB">
          <w:rPr>
            <w:rFonts w:ascii="Miriam" w:hAnsi="Miriam" w:cs="FrankRuehl"/>
            <w:color w:val="0000FF"/>
            <w:sz w:val="28"/>
            <w:szCs w:val="28"/>
            <w:u w:val="single"/>
            <w:rtl/>
          </w:rPr>
          <w:t>ע"פ 6637/17</w:t>
        </w:r>
      </w:hyperlink>
      <w:r>
        <w:rPr>
          <w:rFonts w:ascii="Miriam" w:hAnsi="Miriam" w:cs="Miriam" w:hint="cs"/>
          <w:rtl/>
        </w:rPr>
        <w:t xml:space="preserve"> </w:t>
      </w:r>
      <w:r w:rsidRPr="006A588E">
        <w:rPr>
          <w:rFonts w:ascii="Miriam" w:hAnsi="Miriam" w:cs="Miriam" w:hint="cs"/>
          <w:rtl/>
        </w:rPr>
        <w:t>קרנדל</w:t>
      </w:r>
      <w:r>
        <w:rPr>
          <w:rFonts w:ascii="Miriam" w:hAnsi="Miriam" w:cs="Miriam" w:hint="cs"/>
          <w:rtl/>
        </w:rPr>
        <w:t xml:space="preserve"> נ' מדינת ישראל</w:t>
      </w:r>
      <w:r>
        <w:rPr>
          <w:rFonts w:cs="FrankRuehl" w:hint="cs"/>
          <w:sz w:val="28"/>
          <w:szCs w:val="28"/>
          <w:rtl/>
        </w:rPr>
        <w:t xml:space="preserve"> (18.4.2018), שהוגש מטעם ההגנה, על אף השוני בנסיבות המקרים,</w:t>
      </w:r>
      <w:r w:rsidRPr="006A588E">
        <w:rPr>
          <w:rFonts w:cs="FrankRuehl" w:hint="cs"/>
          <w:sz w:val="28"/>
          <w:szCs w:val="28"/>
          <w:rtl/>
        </w:rPr>
        <w:t xml:space="preserve"> מנתה השופטת </w:t>
      </w:r>
      <w:r w:rsidRPr="006A588E">
        <w:rPr>
          <w:rFonts w:ascii="Miriam" w:hAnsi="Miriam" w:cs="Miriam" w:hint="cs"/>
          <w:rtl/>
        </w:rPr>
        <w:t>ד. ברק-ארז</w:t>
      </w:r>
      <w:r w:rsidRPr="006A588E">
        <w:rPr>
          <w:rFonts w:cs="FrankRuehl" w:hint="cs"/>
          <w:sz w:val="28"/>
          <w:szCs w:val="28"/>
          <w:rtl/>
        </w:rPr>
        <w:t>, בפסק</w:t>
      </w:r>
      <w:r>
        <w:rPr>
          <w:rFonts w:cs="FrankRuehl" w:hint="cs"/>
          <w:sz w:val="28"/>
          <w:szCs w:val="28"/>
          <w:rtl/>
        </w:rPr>
        <w:t>אות</w:t>
      </w:r>
      <w:r w:rsidRPr="006A588E">
        <w:rPr>
          <w:rFonts w:cs="FrankRuehl" w:hint="cs"/>
          <w:sz w:val="28"/>
          <w:szCs w:val="28"/>
          <w:rtl/>
        </w:rPr>
        <w:t xml:space="preserve"> 24</w:t>
      </w:r>
      <w:r>
        <w:rPr>
          <w:rFonts w:cs="FrankRuehl" w:hint="cs"/>
          <w:sz w:val="28"/>
          <w:szCs w:val="28"/>
          <w:rtl/>
        </w:rPr>
        <w:t>-25</w:t>
      </w:r>
      <w:r w:rsidRPr="006A588E">
        <w:rPr>
          <w:rFonts w:cs="FrankRuehl" w:hint="cs"/>
          <w:sz w:val="28"/>
          <w:szCs w:val="28"/>
          <w:rtl/>
        </w:rPr>
        <w:t>, שיקולים מרכזיים, להערכת סיכויי שיקום:</w:t>
      </w:r>
    </w:p>
    <w:p w14:paraId="4547ACD5" w14:textId="77777777" w:rsidR="00725069" w:rsidRDefault="00725069" w:rsidP="00725069">
      <w:pPr>
        <w:spacing w:line="360" w:lineRule="auto"/>
        <w:jc w:val="both"/>
        <w:rPr>
          <w:rFonts w:cs="FrankRuehl"/>
          <w:sz w:val="28"/>
          <w:szCs w:val="28"/>
          <w:rtl/>
        </w:rPr>
      </w:pPr>
    </w:p>
    <w:p w14:paraId="69BE3CF2" w14:textId="77777777" w:rsidR="00725069" w:rsidRDefault="00725069" w:rsidP="00725069">
      <w:pPr>
        <w:pStyle w:val="ae"/>
        <w:spacing w:line="360" w:lineRule="auto"/>
        <w:ind w:left="1440" w:right="851"/>
        <w:jc w:val="both"/>
        <w:rPr>
          <w:rFonts w:cs="FrankRuehl"/>
          <w:sz w:val="28"/>
          <w:szCs w:val="28"/>
          <w:rtl/>
        </w:rPr>
      </w:pPr>
      <w:r>
        <w:rPr>
          <w:rFonts w:cs="FrankRuehl" w:hint="cs"/>
          <w:sz w:val="28"/>
          <w:szCs w:val="28"/>
          <w:rtl/>
        </w:rPr>
        <w:t>"במקרים קודמים שבהם נדרש בית המשפט להעריך את סיכויי השיקום במסגרת סעיף 40ד ל</w:t>
      </w:r>
      <w:hyperlink r:id="rId58" w:history="1">
        <w:r w:rsidR="005A3CEB" w:rsidRPr="005A3CEB">
          <w:rPr>
            <w:rFonts w:cs="FrankRuehl" w:hint="cs"/>
            <w:color w:val="0000FF"/>
            <w:sz w:val="28"/>
            <w:szCs w:val="28"/>
            <w:u w:val="single"/>
            <w:rtl/>
          </w:rPr>
          <w:t>חוק</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העונשין</w:t>
        </w:r>
      </w:hyperlink>
      <w:r>
        <w:rPr>
          <w:rFonts w:cs="FrankRuehl" w:hint="cs"/>
          <w:sz w:val="28"/>
          <w:szCs w:val="28"/>
          <w:rtl/>
        </w:rPr>
        <w:t xml:space="preserve"> הובאו בחשבון, בין היתר, השיקולים המרכזיים הבאים: </w:t>
      </w:r>
      <w:r w:rsidRPr="007F21FD">
        <w:rPr>
          <w:rFonts w:cs="Miriam" w:hint="cs"/>
          <w:sz w:val="24"/>
          <w:szCs w:val="24"/>
          <w:rtl/>
        </w:rPr>
        <w:t>המוטיבציה שהפגין</w:t>
      </w:r>
      <w:r>
        <w:rPr>
          <w:rFonts w:cs="FrankRuehl" w:hint="cs"/>
          <w:sz w:val="28"/>
          <w:szCs w:val="28"/>
          <w:rtl/>
        </w:rPr>
        <w:t xml:space="preserve"> האדם שהורשע להשתקם; הליך של </w:t>
      </w:r>
      <w:r w:rsidRPr="007F21FD">
        <w:rPr>
          <w:rFonts w:cs="Miriam" w:hint="cs"/>
          <w:sz w:val="24"/>
          <w:szCs w:val="24"/>
          <w:rtl/>
        </w:rPr>
        <w:t>גמילה</w:t>
      </w:r>
      <w:r>
        <w:rPr>
          <w:rFonts w:cs="FrankRuehl" w:hint="cs"/>
          <w:sz w:val="28"/>
          <w:szCs w:val="28"/>
          <w:rtl/>
        </w:rPr>
        <w:t xml:space="preserve"> </w:t>
      </w:r>
      <w:r w:rsidRPr="007F21FD">
        <w:rPr>
          <w:rFonts w:cs="Miriam" w:hint="cs"/>
          <w:sz w:val="24"/>
          <w:szCs w:val="24"/>
          <w:rtl/>
        </w:rPr>
        <w:t>מהתמכרות</w:t>
      </w:r>
      <w:r>
        <w:rPr>
          <w:rFonts w:cs="FrankRuehl" w:hint="cs"/>
          <w:sz w:val="28"/>
          <w:szCs w:val="28"/>
          <w:rtl/>
        </w:rPr>
        <w:t xml:space="preserve"> שהוא עובר; השתלבות מוצלחת בהליכים טיפוליים שונים; אינדיקציות לשינוי </w:t>
      </w:r>
      <w:r w:rsidRPr="007F21FD">
        <w:rPr>
          <w:rFonts w:cs="Miriam" w:hint="cs"/>
          <w:sz w:val="24"/>
          <w:szCs w:val="24"/>
          <w:rtl/>
        </w:rPr>
        <w:t>עמוק</w:t>
      </w:r>
      <w:r>
        <w:rPr>
          <w:rFonts w:cs="FrankRuehl" w:hint="cs"/>
          <w:sz w:val="28"/>
          <w:szCs w:val="28"/>
          <w:rtl/>
        </w:rPr>
        <w:t xml:space="preserve"> בהתנהגות ובדרך החשיבה; הבעת חרטה כנה על המעשים והפגנת אמפתיה כלפי נפגעי העבירה...</w:t>
      </w:r>
      <w:r>
        <w:rPr>
          <w:rFonts w:cs="FrankRuehl"/>
          <w:sz w:val="28"/>
          <w:szCs w:val="28"/>
          <w:rtl/>
        </w:rPr>
        <w:t xml:space="preserve"> </w:t>
      </w:r>
    </w:p>
    <w:p w14:paraId="4234FA63" w14:textId="77777777" w:rsidR="00725069" w:rsidRDefault="00725069" w:rsidP="00725069">
      <w:pPr>
        <w:pStyle w:val="ae"/>
        <w:spacing w:line="360" w:lineRule="auto"/>
        <w:ind w:left="1440" w:right="851"/>
        <w:jc w:val="both"/>
        <w:rPr>
          <w:rFonts w:cs="FrankRuehl"/>
          <w:sz w:val="28"/>
          <w:szCs w:val="28"/>
          <w:rtl/>
        </w:rPr>
      </w:pPr>
      <w:r w:rsidRPr="007F21FD">
        <w:rPr>
          <w:rFonts w:cs="FrankRuehl"/>
          <w:sz w:val="28"/>
          <w:szCs w:val="28"/>
          <w:rtl/>
        </w:rPr>
        <w:t xml:space="preserve">חשוב להבהיר: אין מדובר ברשימה ממצה של שיקולים, </w:t>
      </w:r>
      <w:r w:rsidRPr="00A208C1">
        <w:rPr>
          <w:rFonts w:cs="Miriam"/>
          <w:sz w:val="24"/>
          <w:szCs w:val="24"/>
          <w:rtl/>
        </w:rPr>
        <w:t>והתקיימותו של שיקול זה או אחר אינה מצדיקה בהכרח</w:t>
      </w:r>
      <w:r w:rsidRPr="00A208C1">
        <w:rPr>
          <w:rFonts w:cs="Miriam" w:hint="cs"/>
          <w:sz w:val="24"/>
          <w:szCs w:val="24"/>
          <w:rtl/>
        </w:rPr>
        <w:t xml:space="preserve"> חריגה ממתחם העונש משיקולי</w:t>
      </w:r>
      <w:r w:rsidRPr="00A208C1">
        <w:rPr>
          <w:rFonts w:cs="Miriam"/>
          <w:sz w:val="24"/>
          <w:szCs w:val="24"/>
          <w:rtl/>
        </w:rPr>
        <w:t xml:space="preserve"> שיקום</w:t>
      </w:r>
      <w:r w:rsidRPr="007F21FD">
        <w:rPr>
          <w:rFonts w:cs="FrankRuehl"/>
          <w:sz w:val="28"/>
          <w:szCs w:val="28"/>
          <w:rtl/>
        </w:rPr>
        <w:t xml:space="preserve">. טעם עיקרי לכך הוא </w:t>
      </w:r>
      <w:r w:rsidRPr="00A208C1">
        <w:rPr>
          <w:rFonts w:cs="Miriam"/>
          <w:sz w:val="24"/>
          <w:szCs w:val="24"/>
          <w:rtl/>
        </w:rPr>
        <w:t xml:space="preserve">שחלק מהשיקולים שהוזכרו לעיל מובאים ברגיל בחשבון במסגרת קביעת העונש </w:t>
      </w:r>
      <w:r w:rsidRPr="00A208C1">
        <w:rPr>
          <w:rFonts w:cs="Miriam" w:hint="eastAsia"/>
          <w:sz w:val="24"/>
          <w:szCs w:val="24"/>
          <w:rtl/>
        </w:rPr>
        <w:t>בתוך</w:t>
      </w:r>
      <w:r w:rsidRPr="00A208C1">
        <w:rPr>
          <w:rFonts w:cs="Miriam"/>
          <w:sz w:val="24"/>
          <w:szCs w:val="24"/>
          <w:rtl/>
        </w:rPr>
        <w:t xml:space="preserve"> </w:t>
      </w:r>
      <w:r w:rsidRPr="00A208C1">
        <w:rPr>
          <w:rFonts w:cs="Miriam" w:hint="eastAsia"/>
          <w:sz w:val="24"/>
          <w:szCs w:val="24"/>
          <w:rtl/>
        </w:rPr>
        <w:t>המתחם</w:t>
      </w:r>
      <w:r w:rsidRPr="007F21FD">
        <w:rPr>
          <w:rFonts w:cs="FrankRuehl"/>
          <w:sz w:val="28"/>
          <w:szCs w:val="28"/>
          <w:rtl/>
        </w:rPr>
        <w:t xml:space="preserve"> (ראו: </w:t>
      </w:r>
      <w:r w:rsidRPr="005A3CEB">
        <w:rPr>
          <w:rFonts w:cs="FrankRuehl"/>
          <w:color w:val="000000"/>
          <w:sz w:val="28"/>
          <w:szCs w:val="28"/>
          <w:rtl/>
        </w:rPr>
        <w:t>סעיף 40יא</w:t>
      </w:r>
      <w:r w:rsidRPr="007F21FD">
        <w:rPr>
          <w:rFonts w:cs="FrankRuehl"/>
          <w:sz w:val="28"/>
          <w:szCs w:val="28"/>
          <w:rtl/>
        </w:rPr>
        <w:t xml:space="preserve"> ל</w:t>
      </w:r>
      <w:hyperlink r:id="rId59" w:history="1">
        <w:r w:rsidR="005A3CEB" w:rsidRPr="005A3CEB">
          <w:rPr>
            <w:rFonts w:cs="FrankRuehl" w:hint="cs"/>
            <w:color w:val="0000FF"/>
            <w:sz w:val="28"/>
            <w:szCs w:val="28"/>
            <w:u w:val="single"/>
            <w:rtl/>
          </w:rPr>
          <w:t>חוק</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העונשין</w:t>
        </w:r>
      </w:hyperlink>
      <w:r w:rsidRPr="007F21FD">
        <w:rPr>
          <w:rFonts w:cs="FrankRuehl"/>
          <w:sz w:val="28"/>
          <w:szCs w:val="28"/>
          <w:rtl/>
        </w:rPr>
        <w:t>). עם זאת, ומבלי לקבוע מסמרות,</w:t>
      </w:r>
      <w:r>
        <w:rPr>
          <w:rFonts w:cs="FrankRuehl" w:hint="cs"/>
          <w:sz w:val="28"/>
          <w:szCs w:val="28"/>
          <w:rtl/>
        </w:rPr>
        <w:t xml:space="preserve"> ניתן לציין ששילוב בין </w:t>
      </w:r>
      <w:r>
        <w:rPr>
          <w:rFonts w:ascii="Miriam" w:hAnsi="Miriam" w:cs="Miriam" w:hint="cs"/>
          <w:sz w:val="24"/>
          <w:szCs w:val="24"/>
          <w:rtl/>
        </w:rPr>
        <w:t xml:space="preserve">שינוי מהותי בהתייחסות הרגשית </w:t>
      </w:r>
      <w:r>
        <w:rPr>
          <w:rFonts w:cs="FrankRuehl" w:hint="cs"/>
          <w:sz w:val="28"/>
          <w:szCs w:val="28"/>
          <w:rtl/>
        </w:rPr>
        <w:t xml:space="preserve">לאירוע העבירה המתבטא בנטילת אחריות, כפרה והבעת אמפתיה לפגעי העבירה לבין </w:t>
      </w:r>
      <w:r>
        <w:rPr>
          <w:rFonts w:ascii="Miriam" w:hAnsi="Miriam" w:cs="Miriam" w:hint="cs"/>
          <w:sz w:val="24"/>
          <w:szCs w:val="24"/>
          <w:rtl/>
        </w:rPr>
        <w:t>אינדיקציות אובייקטיביות לקיומו של תהליך שיקומי-טיפולי מוצלח</w:t>
      </w:r>
      <w:r>
        <w:rPr>
          <w:rFonts w:cs="FrankRuehl" w:hint="cs"/>
          <w:sz w:val="28"/>
          <w:szCs w:val="28"/>
          <w:rtl/>
        </w:rPr>
        <w:t xml:space="preserve"> וחזה לדרך הישר, עשוי להצביע על "סיכוי של ממש לשיקום" כלשונו של סעיף 40ד (א)" [ההדגשות חלקן במקור וחלקן הוספו – ע.מ.].</w:t>
      </w:r>
    </w:p>
    <w:p w14:paraId="05768614" w14:textId="77777777" w:rsidR="00725069" w:rsidRDefault="00725069" w:rsidP="00725069">
      <w:pPr>
        <w:spacing w:line="360" w:lineRule="auto"/>
        <w:jc w:val="both"/>
        <w:rPr>
          <w:rFonts w:cs="FrankRuehl"/>
          <w:sz w:val="28"/>
          <w:szCs w:val="28"/>
          <w:rtl/>
        </w:rPr>
      </w:pPr>
    </w:p>
    <w:p w14:paraId="2F026623" w14:textId="77777777" w:rsidR="00725069" w:rsidRPr="0075457C" w:rsidRDefault="00725069" w:rsidP="00725069">
      <w:pPr>
        <w:spacing w:line="360" w:lineRule="auto"/>
        <w:jc w:val="both"/>
        <w:rPr>
          <w:rFonts w:cs="FrankRuehl"/>
          <w:sz w:val="28"/>
          <w:szCs w:val="28"/>
          <w:rtl/>
        </w:rPr>
      </w:pPr>
      <w:r>
        <w:rPr>
          <w:rFonts w:cs="FrankRuehl" w:hint="cs"/>
          <w:sz w:val="28"/>
          <w:szCs w:val="28"/>
          <w:rtl/>
        </w:rPr>
        <w:t>35.</w:t>
      </w:r>
      <w:r>
        <w:rPr>
          <w:rFonts w:cs="FrankRuehl" w:hint="cs"/>
          <w:sz w:val="28"/>
          <w:szCs w:val="28"/>
          <w:rtl/>
        </w:rPr>
        <w:tab/>
        <w:t xml:space="preserve">יישום אמות המידה שנקבעו </w:t>
      </w:r>
      <w:r w:rsidRPr="0075457C">
        <w:rPr>
          <w:rFonts w:ascii="Miriam" w:hAnsi="Miriam" w:cs="Miriam" w:hint="cs"/>
          <w:rtl/>
        </w:rPr>
        <w:t>בעניין</w:t>
      </w:r>
      <w:r>
        <w:rPr>
          <w:rFonts w:cs="FrankRuehl" w:hint="cs"/>
          <w:sz w:val="28"/>
          <w:szCs w:val="28"/>
          <w:rtl/>
        </w:rPr>
        <w:t xml:space="preserve"> </w:t>
      </w:r>
      <w:r w:rsidRPr="0075457C">
        <w:rPr>
          <w:rFonts w:ascii="Miriam" w:hAnsi="Miriam" w:cs="Miriam" w:hint="cs"/>
          <w:rtl/>
        </w:rPr>
        <w:t>קרנדל</w:t>
      </w:r>
      <w:r>
        <w:rPr>
          <w:rFonts w:cs="FrankRuehl" w:hint="cs"/>
          <w:sz w:val="28"/>
          <w:szCs w:val="28"/>
          <w:rtl/>
        </w:rPr>
        <w:t xml:space="preserve"> על הנאשם, מוביל למסקנה לפיה מקרה זה אינו נמנה על אותם מקרים בהם ישנה הצדקה לחרוג ממתחם העונש ההולם שנקבע. דווקא</w:t>
      </w:r>
      <w:r w:rsidRPr="0075457C">
        <w:rPr>
          <w:rFonts w:cs="FrankRuehl" w:hint="cs"/>
          <w:sz w:val="28"/>
          <w:szCs w:val="28"/>
          <w:rtl/>
        </w:rPr>
        <w:t xml:space="preserve"> התרשמות שירות המבחן </w:t>
      </w:r>
      <w:r>
        <w:rPr>
          <w:rFonts w:cs="FrankRuehl" w:hint="cs"/>
          <w:sz w:val="28"/>
          <w:szCs w:val="28"/>
          <w:rtl/>
        </w:rPr>
        <w:t xml:space="preserve">מכך </w:t>
      </w:r>
      <w:r w:rsidRPr="0075457C">
        <w:rPr>
          <w:rFonts w:cs="FrankRuehl" w:hint="cs"/>
          <w:sz w:val="28"/>
          <w:szCs w:val="28"/>
          <w:rtl/>
        </w:rPr>
        <w:t>ש</w:t>
      </w:r>
      <w:r>
        <w:rPr>
          <w:rFonts w:cs="FrankRuehl" w:hint="cs"/>
          <w:sz w:val="28"/>
          <w:szCs w:val="28"/>
          <w:rtl/>
        </w:rPr>
        <w:t xml:space="preserve">הנאשם הינו </w:t>
      </w:r>
      <w:r w:rsidRPr="0075457C">
        <w:rPr>
          <w:rFonts w:cs="FrankRuehl" w:hint="cs"/>
          <w:sz w:val="28"/>
          <w:szCs w:val="28"/>
          <w:rtl/>
        </w:rPr>
        <w:t>אדם נורמטיבי, נעדר מעורבות שולית קודמת ובעל יכולות תפקוד תקינות</w:t>
      </w:r>
      <w:r>
        <w:rPr>
          <w:rFonts w:cs="FrankRuehl" w:hint="cs"/>
          <w:sz w:val="28"/>
          <w:szCs w:val="28"/>
          <w:rtl/>
        </w:rPr>
        <w:t>, מצביעה על כך שנקודת הפתיחה שלו הייתה גבוהה ביחס לנאשמים המבצעים את עבירות הסחר על רקע התמכרותי</w:t>
      </w:r>
      <w:r w:rsidRPr="0075457C">
        <w:rPr>
          <w:rFonts w:cs="FrankRuehl" w:hint="cs"/>
          <w:sz w:val="28"/>
          <w:szCs w:val="28"/>
          <w:rtl/>
        </w:rPr>
        <w:t xml:space="preserve">. </w:t>
      </w:r>
      <w:r>
        <w:rPr>
          <w:rFonts w:cs="FrankRuehl" w:hint="cs"/>
          <w:sz w:val="28"/>
          <w:szCs w:val="28"/>
          <w:rtl/>
        </w:rPr>
        <w:t>נוסף על כך התרשמה קצינת המבחן</w:t>
      </w:r>
      <w:r w:rsidRPr="0075457C">
        <w:rPr>
          <w:rFonts w:cs="FrankRuehl" w:hint="cs"/>
          <w:sz w:val="28"/>
          <w:szCs w:val="28"/>
          <w:rtl/>
        </w:rPr>
        <w:t xml:space="preserve"> ממאפייני טשטוש והיעדר גבולות </w:t>
      </w:r>
      <w:r>
        <w:rPr>
          <w:rFonts w:cs="FrankRuehl" w:hint="cs"/>
          <w:sz w:val="28"/>
          <w:szCs w:val="28"/>
          <w:rtl/>
        </w:rPr>
        <w:t>המצביעים</w:t>
      </w:r>
      <w:r w:rsidRPr="0075457C">
        <w:rPr>
          <w:rFonts w:cs="FrankRuehl" w:hint="cs"/>
          <w:sz w:val="28"/>
          <w:szCs w:val="28"/>
          <w:rtl/>
        </w:rPr>
        <w:t xml:space="preserve"> על סיכון להמשך מעורבות עבריינ</w:t>
      </w:r>
      <w:r>
        <w:rPr>
          <w:rFonts w:cs="FrankRuehl" w:hint="cs"/>
          <w:sz w:val="28"/>
          <w:szCs w:val="28"/>
          <w:rtl/>
        </w:rPr>
        <w:t>י</w:t>
      </w:r>
      <w:r w:rsidRPr="0075457C">
        <w:rPr>
          <w:rFonts w:cs="FrankRuehl" w:hint="cs"/>
          <w:sz w:val="28"/>
          <w:szCs w:val="28"/>
          <w:rtl/>
        </w:rPr>
        <w:t>ת</w:t>
      </w:r>
      <w:r>
        <w:rPr>
          <w:rFonts w:cs="FrankRuehl" w:hint="cs"/>
          <w:sz w:val="28"/>
          <w:szCs w:val="28"/>
          <w:rtl/>
        </w:rPr>
        <w:t>. הנאשם התקשה לבחון את הנסיבות בגינן פעל</w:t>
      </w:r>
      <w:r w:rsidRPr="0075457C">
        <w:rPr>
          <w:rFonts w:cs="FrankRuehl" w:hint="cs"/>
          <w:sz w:val="28"/>
          <w:szCs w:val="28"/>
          <w:rtl/>
        </w:rPr>
        <w:t xml:space="preserve">, והסבריו התמקדו בעיקר בקשיים הכלכליים אותם חווה בתקופה בה עבר את העבירות. </w:t>
      </w:r>
      <w:r>
        <w:rPr>
          <w:rFonts w:cs="FrankRuehl" w:hint="cs"/>
          <w:sz w:val="28"/>
          <w:szCs w:val="28"/>
          <w:rtl/>
        </w:rPr>
        <w:t>ההערכה היא ש</w:t>
      </w:r>
      <w:r w:rsidRPr="0075457C">
        <w:rPr>
          <w:rFonts w:cs="FrankRuehl" w:hint="cs"/>
          <w:sz w:val="28"/>
          <w:szCs w:val="28"/>
          <w:rtl/>
        </w:rPr>
        <w:t xml:space="preserve">במצבי דחק ולחץ עלול </w:t>
      </w:r>
      <w:r>
        <w:rPr>
          <w:rFonts w:cs="FrankRuehl" w:hint="cs"/>
          <w:sz w:val="28"/>
          <w:szCs w:val="28"/>
          <w:rtl/>
        </w:rPr>
        <w:t xml:space="preserve">הנאשם </w:t>
      </w:r>
      <w:r w:rsidRPr="0075457C">
        <w:rPr>
          <w:rFonts w:cs="FrankRuehl" w:hint="cs"/>
          <w:sz w:val="28"/>
          <w:szCs w:val="28"/>
          <w:rtl/>
        </w:rPr>
        <w:t xml:space="preserve">לשוב לדפוסים קודמים. </w:t>
      </w:r>
      <w:r>
        <w:rPr>
          <w:rFonts w:cs="FrankRuehl" w:hint="cs"/>
          <w:sz w:val="28"/>
          <w:szCs w:val="28"/>
          <w:rtl/>
        </w:rPr>
        <w:t>עוד עולה שעל אף ש</w:t>
      </w:r>
      <w:r w:rsidRPr="0075457C">
        <w:rPr>
          <w:rFonts w:cs="FrankRuehl" w:hint="cs"/>
          <w:sz w:val="28"/>
          <w:szCs w:val="28"/>
          <w:rtl/>
        </w:rPr>
        <w:t xml:space="preserve">הנאשם לקח אחריות על מעשיו וביטא חרטה וצער, ספק אם </w:t>
      </w:r>
      <w:r>
        <w:rPr>
          <w:rFonts w:cs="FrankRuehl" w:hint="cs"/>
          <w:sz w:val="28"/>
          <w:szCs w:val="28"/>
          <w:rtl/>
        </w:rPr>
        <w:t>ה</w:t>
      </w:r>
      <w:r w:rsidRPr="0075457C">
        <w:rPr>
          <w:rFonts w:cs="FrankRuehl" w:hint="cs"/>
          <w:sz w:val="28"/>
          <w:szCs w:val="28"/>
          <w:rtl/>
        </w:rPr>
        <w:t xml:space="preserve">בין לעומק את הסיבות </w:t>
      </w:r>
      <w:r>
        <w:rPr>
          <w:rFonts w:cs="FrankRuehl" w:hint="cs"/>
          <w:sz w:val="28"/>
          <w:szCs w:val="28"/>
          <w:rtl/>
        </w:rPr>
        <w:t>ל</w:t>
      </w:r>
      <w:r w:rsidRPr="0075457C">
        <w:rPr>
          <w:rFonts w:cs="FrankRuehl" w:hint="cs"/>
          <w:sz w:val="28"/>
          <w:szCs w:val="28"/>
          <w:rtl/>
        </w:rPr>
        <w:t>התנהג</w:t>
      </w:r>
      <w:r>
        <w:rPr>
          <w:rFonts w:cs="FrankRuehl" w:hint="cs"/>
          <w:sz w:val="28"/>
          <w:szCs w:val="28"/>
          <w:rtl/>
        </w:rPr>
        <w:t>ותו</w:t>
      </w:r>
      <w:r w:rsidRPr="0075457C">
        <w:rPr>
          <w:rFonts w:cs="FrankRuehl" w:hint="cs"/>
          <w:sz w:val="28"/>
          <w:szCs w:val="28"/>
          <w:rtl/>
        </w:rPr>
        <w:t>.</w:t>
      </w:r>
      <w:r>
        <w:rPr>
          <w:rFonts w:cs="FrankRuehl" w:hint="cs"/>
          <w:sz w:val="28"/>
          <w:szCs w:val="28"/>
          <w:rtl/>
        </w:rPr>
        <w:t xml:space="preserve"> במצב דברים זה לא ניתן לומר שחל שינוי "עמוק" בהתנהגות ובדרך החשיבה של הנאשם, ולא ניתן לומר שקיימת מובהקות שיקומית או שיקום דרמטי שהוביל לשינוי "מקצה לקצה" במצבו. בשולי הדברים אציין שגם בדברי הנאשם בפני יש כדי לחזק את המסקנה לפיה הנאשם לא הבין ולא הפנים באופן מלא את חומרת מעשיו.</w:t>
      </w:r>
    </w:p>
    <w:p w14:paraId="0A152163" w14:textId="77777777" w:rsidR="00725069" w:rsidRDefault="00725069" w:rsidP="00725069">
      <w:pPr>
        <w:spacing w:line="360" w:lineRule="auto"/>
        <w:jc w:val="both"/>
        <w:rPr>
          <w:rFonts w:cs="FrankRuehl"/>
          <w:sz w:val="28"/>
          <w:szCs w:val="28"/>
          <w:rtl/>
        </w:rPr>
      </w:pPr>
    </w:p>
    <w:p w14:paraId="67AE902E" w14:textId="77777777" w:rsidR="00725069" w:rsidRDefault="00725069" w:rsidP="00725069">
      <w:pPr>
        <w:spacing w:line="360" w:lineRule="auto"/>
        <w:jc w:val="both"/>
        <w:rPr>
          <w:rFonts w:cs="FrankRuehl"/>
          <w:sz w:val="28"/>
          <w:szCs w:val="28"/>
          <w:rtl/>
        </w:rPr>
      </w:pPr>
      <w:r>
        <w:rPr>
          <w:rFonts w:cs="FrankRuehl" w:hint="cs"/>
          <w:sz w:val="28"/>
          <w:szCs w:val="28"/>
          <w:rtl/>
        </w:rPr>
        <w:t>36.</w:t>
      </w:r>
      <w:r>
        <w:rPr>
          <w:rFonts w:cs="FrankRuehl" w:hint="cs"/>
          <w:sz w:val="28"/>
          <w:szCs w:val="28"/>
          <w:rtl/>
        </w:rPr>
        <w:tab/>
        <w:t xml:space="preserve">ב"כ הנאשם ביקשו בשלב שלפני שמיעת הטיעונים לעונש להפנות את הנאשם פעם נוספת לשירות המבחן על מנת לאפשר לו להשתלב בקבוצה טיפולית. בקשה דומה התקבלה ערב הקראת גזר הדין. לא מצאתי להיעתר לבקשות אלו משני טעמים. האחד, תסקיר שירות המבחן הינו תסקיר סופי הממליץ על העונש הראוי לנאשם. השני, גם אם היה הנאשם משתלב בקבוצה טיפולית ואף מפיק ממנה תועלת, לא היה בכך כדי להשפיע במידה משמעותית על עונשו, זאת בשים לב להלכה לפיה כאשר מדובר בעבירות של סחר בסם מסוכן נדחקות הצידה נסיבותיו האישיות של הנאשם, ובשל מדיניות הענישה שהוזכרה, ממנה עולה שחריגה ממתחם העונש ההולם התאפשרה במקרים בהם בוצעה העבירה על רקע התמכרותי ולאחר שהנאשם נחלץ ממעגל הסמים. מאחר שלא כך הם פני הדברים בענייננו, הרי שיש לבכר את שיקולי הגמול וההרתעה על פני שיקולי השיקום, להם יינתן משקל לצורך קביעת משך המאסר, כאשר הנאשם יוכל להמשיך בהליך השיקום בין כתלי הכלא.   </w:t>
      </w:r>
    </w:p>
    <w:p w14:paraId="2EDE1DE9" w14:textId="77777777" w:rsidR="00725069" w:rsidRDefault="00725069" w:rsidP="00725069">
      <w:pPr>
        <w:spacing w:line="360" w:lineRule="auto"/>
        <w:jc w:val="both"/>
        <w:rPr>
          <w:rFonts w:ascii="FrankRuehl" w:hAnsi="FrankRuehl" w:cs="FrankRuehl"/>
          <w:sz w:val="28"/>
          <w:szCs w:val="28"/>
          <w:rtl/>
        </w:rPr>
      </w:pPr>
    </w:p>
    <w:p w14:paraId="1A2E4E63"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37.</w:t>
      </w:r>
      <w:r>
        <w:rPr>
          <w:rFonts w:ascii="FrankRuehl" w:hAnsi="FrankRuehl" w:cs="FrankRuehl" w:hint="cs"/>
          <w:sz w:val="28"/>
          <w:szCs w:val="28"/>
          <w:rtl/>
        </w:rPr>
        <w:tab/>
        <w:t>לאור מכלול הנימוקים עליהם עמדתי לעיל, ובכלל זה הודאתו של הנאשם, לקיחת האחריות, מצבו האישי והרפואי, העובדה שלא ריצה עד כה עונש מאסר, המלצת שירות המבחן, שאיפתו לחיים נורמטיביים והשפעת המאסר על משפחתו, ומנגד חומרת מעשיו, תדירותם, ביצוע המעשים שלא על רקע התמכרותי, וההתחשבות בשיקולי הרתעה, מצאתי לגזור על הנאשם עונש כולל ולמקם את עניינו בחלק הנמוך של המתחם העונשי, גם אם לא  בתחתיתו.</w:t>
      </w:r>
    </w:p>
    <w:p w14:paraId="7D81DE2A" w14:textId="77777777" w:rsidR="00725069" w:rsidRDefault="00725069" w:rsidP="00725069">
      <w:pPr>
        <w:spacing w:line="360" w:lineRule="auto"/>
        <w:jc w:val="both"/>
        <w:rPr>
          <w:rFonts w:ascii="FrankRuehl" w:hAnsi="FrankRuehl" w:cs="FrankRuehl"/>
          <w:sz w:val="28"/>
          <w:szCs w:val="28"/>
          <w:rtl/>
        </w:rPr>
      </w:pPr>
    </w:p>
    <w:p w14:paraId="7A34E5EB" w14:textId="77777777" w:rsidR="00725069" w:rsidRDefault="00725069" w:rsidP="00725069">
      <w:pPr>
        <w:spacing w:line="360" w:lineRule="auto"/>
        <w:jc w:val="both"/>
        <w:rPr>
          <w:rFonts w:ascii="FrankRuehl" w:hAnsi="FrankRuehl" w:cs="FrankRuehl"/>
          <w:sz w:val="28"/>
          <w:szCs w:val="28"/>
          <w:rtl/>
        </w:rPr>
      </w:pPr>
      <w:r>
        <w:rPr>
          <w:rFonts w:ascii="FrankRuehl" w:hAnsi="FrankRuehl" w:cs="FrankRuehl" w:hint="cs"/>
          <w:sz w:val="28"/>
          <w:szCs w:val="28"/>
          <w:rtl/>
        </w:rPr>
        <w:t>38.</w:t>
      </w:r>
      <w:r>
        <w:rPr>
          <w:rFonts w:ascii="FrankRuehl" w:hAnsi="FrankRuehl" w:cs="FrankRuehl" w:hint="cs"/>
          <w:sz w:val="28"/>
          <w:szCs w:val="28"/>
          <w:rtl/>
        </w:rPr>
        <w:tab/>
        <w:t>ב"כ הנאשם ביקשו להסתייע בהמלצות צוות התביעה לבחינת יישום דו"ח דורנר (דוח הוועדה הציבורית לבחינת מדיניות הענישה והטיפול בעבריינים) מינואר 2018. לא מצאתי להיכנס להיבטיו השונים של הדוח, שרובם אינם רלוונטיים לענייננו. די אם אפנה לחלקים אליהם הפנו ב"כ הנאשם עצמם בטיעוניהם לעונש, כדי להיווכח שהמאשימה לא טענה ולוּ טיעון אחד בניגוד להמלצות הצוות, זאת בשים לב להנחיות שניתנו בנוגע למקרים בהם ניכרת חומרה בעבירה, או כאשר עתירתה העונשית של המאשימה היא להטלת עונש מאסר ממושך. נוסף על כך אין בדוח התייחסות ספציפית לעבירות הסמים, בשונה מהתייחסות חברי הצוות לסוגים אחרים של עבירות (ראו עמודים 26-30).</w:t>
      </w:r>
    </w:p>
    <w:p w14:paraId="5A656187" w14:textId="77777777" w:rsidR="00725069" w:rsidRDefault="00725069" w:rsidP="00725069">
      <w:pPr>
        <w:spacing w:line="360" w:lineRule="auto"/>
        <w:jc w:val="both"/>
        <w:rPr>
          <w:rFonts w:ascii="FrankRuehl" w:hAnsi="FrankRuehl" w:cs="FrankRuehl"/>
          <w:sz w:val="28"/>
          <w:szCs w:val="28"/>
          <w:rtl/>
        </w:rPr>
      </w:pPr>
    </w:p>
    <w:p w14:paraId="7E5B6D4D"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39.</w:t>
      </w:r>
      <w:r>
        <w:rPr>
          <w:rFonts w:ascii="FrankRuehl" w:hAnsi="FrankRuehl" w:cs="FrankRuehl" w:hint="cs"/>
          <w:sz w:val="28"/>
          <w:szCs w:val="28"/>
          <w:rtl/>
        </w:rPr>
        <w:tab/>
      </w:r>
      <w:r w:rsidRPr="000979A3">
        <w:rPr>
          <w:rFonts w:ascii="FrankRuehl" w:hAnsi="FrankRuehl" w:cs="FrankRuehl" w:hint="cs"/>
          <w:b/>
          <w:bCs/>
          <w:sz w:val="28"/>
          <w:szCs w:val="28"/>
          <w:rtl/>
        </w:rPr>
        <w:t>רכיב ה</w:t>
      </w:r>
      <w:r>
        <w:rPr>
          <w:rFonts w:ascii="FrankRuehl" w:hAnsi="FrankRuehl" w:cs="FrankRuehl" w:hint="cs"/>
          <w:b/>
          <w:bCs/>
          <w:sz w:val="28"/>
          <w:szCs w:val="28"/>
          <w:rtl/>
        </w:rPr>
        <w:t xml:space="preserve">קנס - </w:t>
      </w:r>
      <w:r>
        <w:rPr>
          <w:rFonts w:ascii="FrankRuehl" w:hAnsi="FrankRuehl" w:cs="FrankRuehl" w:hint="cs"/>
          <w:sz w:val="28"/>
          <w:szCs w:val="28"/>
          <w:rtl/>
        </w:rPr>
        <w:t>הנאשם סחר בסמים במטרה להתעשר בקלות ובמהירות מבלי להתחשב בבריאות הציבור ובהעמדתו בסכנה. לפיכך, ובשים לב לשווי כל אחת מהעסקאות, יש מקום להטיל על הנאשם קנס כספי. מנגד יש לתת את הדעת לכך שהנאשם עתיד לרצות עונש מאסר, למצבו הכלכלי ולעובדת היותו מפרנס עיקרי (</w:t>
      </w:r>
      <w:r w:rsidRPr="000979A3">
        <w:rPr>
          <w:rFonts w:ascii="FrankRuehl" w:hAnsi="FrankRuehl" w:cs="Miriam" w:hint="cs"/>
          <w:rtl/>
        </w:rPr>
        <w:t>נ/2</w:t>
      </w:r>
      <w:r>
        <w:rPr>
          <w:rFonts w:ascii="FrankRuehl" w:hAnsi="FrankRuehl" w:cs="FrankRuehl" w:hint="cs"/>
          <w:sz w:val="28"/>
          <w:szCs w:val="28"/>
          <w:rtl/>
        </w:rPr>
        <w:t>). נוכח האמור מצאתי להטיל על הנאשם קנס סמלי בלבד ולחייבו לחתום על התחייבות בסכום משמעותי, זאת בשים לב להלכה לפיה יש להתחשב ביכולתו הכלכלית של נאשם לצורך קביעת גובה הקנס שיוטל עליו, ובכלל זה לפרק הזמן בו לא יוכל לפרנס את משפחתו בשל ריצוי עונש מאסר [ראו:</w:t>
      </w:r>
      <w:r>
        <w:rPr>
          <w:rFonts w:ascii="FrankRuehl" w:hAnsi="FrankRuehl" w:cs="Miriam" w:hint="cs"/>
          <w:rtl/>
        </w:rPr>
        <w:t xml:space="preserve"> עניין סמאדה</w:t>
      </w:r>
      <w:r>
        <w:rPr>
          <w:rFonts w:ascii="FrankRuehl" w:hAnsi="FrankRuehl" w:cs="FrankRuehl" w:hint="cs"/>
          <w:sz w:val="28"/>
          <w:szCs w:val="28"/>
          <w:rtl/>
        </w:rPr>
        <w:t>, פסקה 45].</w:t>
      </w:r>
    </w:p>
    <w:p w14:paraId="147D2D71" w14:textId="77777777" w:rsidR="00725069" w:rsidRDefault="00725069" w:rsidP="00725069">
      <w:pPr>
        <w:spacing w:line="360" w:lineRule="auto"/>
        <w:jc w:val="both"/>
        <w:rPr>
          <w:rFonts w:ascii="FrankRuehl" w:hAnsi="FrankRuehl" w:cs="FrankRuehl"/>
          <w:sz w:val="28"/>
          <w:szCs w:val="28"/>
          <w:rtl/>
        </w:rPr>
      </w:pPr>
    </w:p>
    <w:p w14:paraId="2145154E" w14:textId="77777777" w:rsidR="00725069" w:rsidRPr="005C6838" w:rsidRDefault="00725069" w:rsidP="00725069">
      <w:pPr>
        <w:spacing w:line="360" w:lineRule="auto"/>
        <w:jc w:val="both"/>
        <w:rPr>
          <w:rFonts w:ascii="FrankRuehl" w:hAnsi="FrankRuehl" w:cs="Miriam"/>
          <w:sz w:val="28"/>
          <w:szCs w:val="28"/>
          <w:rtl/>
        </w:rPr>
      </w:pPr>
      <w:r w:rsidRPr="005C6838">
        <w:rPr>
          <w:rFonts w:ascii="FrankRuehl" w:hAnsi="FrankRuehl" w:cs="Miriam" w:hint="cs"/>
          <w:sz w:val="28"/>
          <w:szCs w:val="28"/>
          <w:rtl/>
        </w:rPr>
        <w:t xml:space="preserve">סוף דבר </w:t>
      </w:r>
    </w:p>
    <w:p w14:paraId="724F0F39" w14:textId="77777777" w:rsidR="00725069" w:rsidRDefault="00725069" w:rsidP="00725069">
      <w:pPr>
        <w:spacing w:line="360" w:lineRule="auto"/>
        <w:jc w:val="both"/>
        <w:rPr>
          <w:rFonts w:ascii="FrankRuehl" w:hAnsi="FrankRuehl" w:cs="FrankRuehl"/>
          <w:sz w:val="28"/>
          <w:szCs w:val="28"/>
          <w:rtl/>
        </w:rPr>
      </w:pPr>
    </w:p>
    <w:p w14:paraId="5E07FF42" w14:textId="77777777" w:rsidR="00725069" w:rsidRDefault="00725069" w:rsidP="00725069">
      <w:pPr>
        <w:spacing w:line="360" w:lineRule="auto"/>
        <w:jc w:val="both"/>
        <w:rPr>
          <w:rFonts w:ascii="FrankRuehl" w:hAnsi="FrankRuehl" w:cs="FrankRuehl"/>
          <w:sz w:val="28"/>
          <w:szCs w:val="28"/>
        </w:rPr>
      </w:pPr>
      <w:r>
        <w:rPr>
          <w:rFonts w:ascii="FrankRuehl" w:hAnsi="FrankRuehl" w:cs="FrankRuehl" w:hint="cs"/>
          <w:sz w:val="28"/>
          <w:szCs w:val="28"/>
          <w:rtl/>
        </w:rPr>
        <w:t>40.</w:t>
      </w:r>
      <w:r>
        <w:rPr>
          <w:rFonts w:ascii="FrankRuehl" w:hAnsi="FrankRuehl" w:cs="FrankRuehl" w:hint="cs"/>
          <w:sz w:val="28"/>
          <w:szCs w:val="28"/>
          <w:rtl/>
        </w:rPr>
        <w:tab/>
      </w:r>
      <w:r>
        <w:rPr>
          <w:rFonts w:ascii="Calibri" w:hAnsi="Calibri" w:cs="FrankRuehl" w:hint="cs"/>
          <w:sz w:val="28"/>
          <w:szCs w:val="28"/>
          <w:rtl/>
        </w:rPr>
        <w:t>אשר על כן, בשים לב לנימוקים עליהם עמדתי לעיל, כמו גם לעונשים שנגזרו על נאשמים אחרים בפרשיה, ופרק המן בו היה נתון במעצר באיזוק אלקטרוני, אני גוזר על הנאשם את העונשים הבאים:</w:t>
      </w:r>
    </w:p>
    <w:p w14:paraId="73D86310" w14:textId="77777777" w:rsidR="00725069" w:rsidRPr="00B764B0" w:rsidRDefault="00725069" w:rsidP="00725069">
      <w:pPr>
        <w:tabs>
          <w:tab w:val="left" w:pos="800"/>
        </w:tabs>
        <w:spacing w:after="160" w:line="360" w:lineRule="auto"/>
        <w:ind w:left="3600"/>
        <w:contextualSpacing/>
        <w:jc w:val="both"/>
        <w:rPr>
          <w:rFonts w:ascii="FrankRuehl" w:hAnsi="FrankRuehl" w:cs="FrankRuehl"/>
          <w:sz w:val="28"/>
          <w:szCs w:val="28"/>
        </w:rPr>
      </w:pPr>
    </w:p>
    <w:p w14:paraId="4F5D3FB8" w14:textId="77777777" w:rsidR="00725069" w:rsidRDefault="00725069" w:rsidP="00725069">
      <w:pPr>
        <w:pStyle w:val="ae"/>
        <w:numPr>
          <w:ilvl w:val="0"/>
          <w:numId w:val="7"/>
        </w:numPr>
        <w:tabs>
          <w:tab w:val="left" w:pos="800"/>
        </w:tabs>
        <w:spacing w:line="360" w:lineRule="auto"/>
        <w:ind w:left="1440"/>
        <w:jc w:val="both"/>
        <w:rPr>
          <w:rFonts w:ascii="FrankRuehl" w:hAnsi="FrankRuehl" w:cs="FrankRuehl"/>
          <w:sz w:val="28"/>
          <w:szCs w:val="28"/>
        </w:rPr>
      </w:pPr>
      <w:r>
        <w:rPr>
          <w:rFonts w:cs="FrankRuehl" w:hint="cs"/>
          <w:sz w:val="28"/>
          <w:szCs w:val="28"/>
          <w:rtl/>
        </w:rPr>
        <w:t xml:space="preserve">מאסר בפועל למשך 26 חודשים, בניכוי הימים בהם ישב במעצר בין תאריכים </w:t>
      </w:r>
      <w:r>
        <w:rPr>
          <w:rFonts w:cs="FrankRuehl" w:hint="cs"/>
          <w:sz w:val="28"/>
          <w:szCs w:val="28"/>
          <w:highlight w:val="yellow"/>
          <w:rtl/>
        </w:rPr>
        <w:t xml:space="preserve"> </w:t>
      </w:r>
      <w:r w:rsidRPr="00E15870">
        <w:rPr>
          <w:rFonts w:cs="FrankRuehl" w:hint="cs"/>
          <w:sz w:val="28"/>
          <w:szCs w:val="28"/>
          <w:rtl/>
        </w:rPr>
        <w:t>10.10.2018-14.11.2018.</w:t>
      </w:r>
    </w:p>
    <w:p w14:paraId="476246B1" w14:textId="77777777" w:rsidR="00725069" w:rsidRDefault="00725069" w:rsidP="00725069">
      <w:pPr>
        <w:pStyle w:val="ae"/>
        <w:spacing w:line="360" w:lineRule="auto"/>
        <w:ind w:left="1440"/>
        <w:jc w:val="both"/>
        <w:rPr>
          <w:rFonts w:cs="FrankRuehl"/>
          <w:sz w:val="28"/>
          <w:szCs w:val="28"/>
          <w:rtl/>
        </w:rPr>
      </w:pPr>
      <w:r>
        <w:rPr>
          <w:rFonts w:cs="FrankRuehl" w:hint="cs"/>
          <w:sz w:val="28"/>
          <w:szCs w:val="28"/>
          <w:rtl/>
        </w:rPr>
        <w:t>הנאשם יתייצב לריצוי עונשו במתקן הכליאה "ניצן", ביום 26.1.2020 עד השעה 10:00, או על פי החלטת שב"ס, כשברשותו תעודת זהות או דרכון ועותק מגזר הדין.</w:t>
      </w:r>
    </w:p>
    <w:p w14:paraId="203ECDC4" w14:textId="77777777" w:rsidR="00725069" w:rsidRDefault="00725069" w:rsidP="00725069">
      <w:pPr>
        <w:pStyle w:val="ae"/>
        <w:spacing w:line="360" w:lineRule="auto"/>
        <w:ind w:left="1440"/>
        <w:jc w:val="both"/>
        <w:rPr>
          <w:rFonts w:cs="FrankRuehl"/>
          <w:sz w:val="28"/>
          <w:szCs w:val="28"/>
          <w:rtl/>
        </w:rPr>
      </w:pPr>
      <w:r>
        <w:rPr>
          <w:rFonts w:cs="FrankRuehl" w:hint="cs"/>
          <w:sz w:val="28"/>
          <w:szCs w:val="28"/>
          <w:rtl/>
        </w:rPr>
        <w:t>על ב"כ הנאשם לתאם את כניסתו למאסר, כולל האפשרות למיון מוקדם, עם ענף אבחון ומיון של שב"ס, טלפונים 08-9787377, 08-9787336.</w:t>
      </w:r>
    </w:p>
    <w:p w14:paraId="2468AD66" w14:textId="77777777" w:rsidR="00725069" w:rsidRDefault="00725069" w:rsidP="00725069">
      <w:pPr>
        <w:tabs>
          <w:tab w:val="left" w:pos="800"/>
        </w:tabs>
        <w:spacing w:after="160" w:line="360" w:lineRule="auto"/>
        <w:ind w:left="2160"/>
        <w:contextualSpacing/>
        <w:jc w:val="both"/>
        <w:rPr>
          <w:rFonts w:ascii="FrankRuehl" w:hAnsi="FrankRuehl" w:cs="FrankRuehl"/>
          <w:sz w:val="28"/>
          <w:szCs w:val="28"/>
          <w:rtl/>
        </w:rPr>
      </w:pPr>
    </w:p>
    <w:p w14:paraId="5ED0E9AF" w14:textId="77777777" w:rsidR="00725069" w:rsidRDefault="00725069" w:rsidP="00725069">
      <w:pPr>
        <w:pStyle w:val="ae"/>
        <w:numPr>
          <w:ilvl w:val="0"/>
          <w:numId w:val="7"/>
        </w:numPr>
        <w:tabs>
          <w:tab w:val="left" w:pos="800"/>
        </w:tabs>
        <w:spacing w:line="360" w:lineRule="auto"/>
        <w:ind w:left="1440"/>
        <w:jc w:val="both"/>
        <w:rPr>
          <w:rFonts w:cs="FrankRuehl"/>
          <w:sz w:val="28"/>
          <w:szCs w:val="28"/>
          <w:rtl/>
        </w:rPr>
      </w:pPr>
      <w:r>
        <w:rPr>
          <w:rFonts w:cs="FrankRuehl" w:hint="cs"/>
          <w:sz w:val="28"/>
          <w:szCs w:val="28"/>
          <w:rtl/>
        </w:rPr>
        <w:t xml:space="preserve">מאסר למשך 12 חודשים, אותו לא ירצה הנאשם אלא אם יעבור בתוך תקופה של 3 שנים מיום שחרורו על עבירה מסוג פשע לפי </w:t>
      </w:r>
      <w:hyperlink r:id="rId60" w:history="1">
        <w:r w:rsidR="005A3CEB" w:rsidRPr="005A3CEB">
          <w:rPr>
            <w:rFonts w:cs="FrankRuehl" w:hint="cs"/>
            <w:color w:val="0000FF"/>
            <w:sz w:val="28"/>
            <w:szCs w:val="28"/>
            <w:u w:val="single"/>
            <w:rtl/>
          </w:rPr>
          <w:t>פקודת</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הסמים</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המסוכנים</w:t>
        </w:r>
      </w:hyperlink>
      <w:r>
        <w:rPr>
          <w:rFonts w:cs="FrankRuehl" w:hint="cs"/>
          <w:sz w:val="28"/>
          <w:szCs w:val="28"/>
          <w:rtl/>
        </w:rPr>
        <w:t>.</w:t>
      </w:r>
    </w:p>
    <w:p w14:paraId="0FA1D14B" w14:textId="77777777" w:rsidR="00725069" w:rsidRDefault="00725069" w:rsidP="00725069">
      <w:pPr>
        <w:tabs>
          <w:tab w:val="left" w:pos="800"/>
        </w:tabs>
        <w:spacing w:after="160" w:line="360" w:lineRule="auto"/>
        <w:ind w:left="2160"/>
        <w:contextualSpacing/>
        <w:jc w:val="both"/>
        <w:rPr>
          <w:rFonts w:ascii="Calibri" w:hAnsi="Calibri" w:cs="FrankRuehl"/>
          <w:sz w:val="28"/>
          <w:szCs w:val="28"/>
          <w:rtl/>
        </w:rPr>
      </w:pPr>
    </w:p>
    <w:p w14:paraId="4DE6E13E" w14:textId="77777777" w:rsidR="00725069" w:rsidRDefault="00725069" w:rsidP="00725069">
      <w:pPr>
        <w:pStyle w:val="ae"/>
        <w:numPr>
          <w:ilvl w:val="0"/>
          <w:numId w:val="7"/>
        </w:numPr>
        <w:tabs>
          <w:tab w:val="left" w:pos="800"/>
        </w:tabs>
        <w:spacing w:line="360" w:lineRule="auto"/>
        <w:ind w:left="1440"/>
        <w:jc w:val="both"/>
        <w:rPr>
          <w:rFonts w:cs="FrankRuehl"/>
          <w:sz w:val="28"/>
          <w:szCs w:val="28"/>
        </w:rPr>
      </w:pPr>
      <w:r>
        <w:rPr>
          <w:rFonts w:cs="FrankRuehl" w:hint="cs"/>
          <w:sz w:val="28"/>
          <w:szCs w:val="28"/>
          <w:rtl/>
        </w:rPr>
        <w:t>קנס בסך 5,000 ₪ או 2 חודשי מאסר תמורתו. הקנס ישולם ב-10 תשלומים שווים ורצופים, שהראשון שבהם ביום 1.1.2020, והיתרה עד ליום ה-1 לכל חודש שלאחריו. לא ישולם תשלום במועדו תעמוד יתרת הקנס לפירעון מידי. לבקשת הנאשם יקוזז הקנס מהפיקדון שהפקיד כתנאי לשחרור בתיקי המעצר. ניתן יהיה לקזז את הקנס רק לאחר תחילת ריצוי עונש המאסר.</w:t>
      </w:r>
    </w:p>
    <w:p w14:paraId="2D5BEDCD" w14:textId="77777777" w:rsidR="00725069" w:rsidRPr="00930B7E" w:rsidRDefault="00725069" w:rsidP="00725069">
      <w:pPr>
        <w:tabs>
          <w:tab w:val="left" w:pos="800"/>
        </w:tabs>
        <w:spacing w:after="160" w:line="360" w:lineRule="auto"/>
        <w:ind w:left="2160"/>
        <w:contextualSpacing/>
        <w:jc w:val="both"/>
        <w:rPr>
          <w:rFonts w:ascii="Calibri" w:hAnsi="Calibri" w:cs="FrankRuehl"/>
          <w:sz w:val="28"/>
          <w:szCs w:val="28"/>
          <w:rtl/>
        </w:rPr>
      </w:pPr>
    </w:p>
    <w:p w14:paraId="3ABEA8FD" w14:textId="77777777" w:rsidR="00725069" w:rsidRDefault="00725069" w:rsidP="00725069">
      <w:pPr>
        <w:pStyle w:val="ae"/>
        <w:numPr>
          <w:ilvl w:val="0"/>
          <w:numId w:val="7"/>
        </w:numPr>
        <w:tabs>
          <w:tab w:val="left" w:pos="800"/>
        </w:tabs>
        <w:spacing w:line="360" w:lineRule="auto"/>
        <w:ind w:left="1440"/>
        <w:jc w:val="both"/>
        <w:rPr>
          <w:rFonts w:cs="FrankRuehl"/>
          <w:sz w:val="28"/>
          <w:szCs w:val="28"/>
        </w:rPr>
      </w:pPr>
      <w:r>
        <w:rPr>
          <w:rFonts w:cs="FrankRuehl" w:hint="cs"/>
          <w:sz w:val="28"/>
          <w:szCs w:val="28"/>
          <w:rtl/>
        </w:rPr>
        <w:t xml:space="preserve">התחייבות בסך 20,000 ש"ח להימנע בתוך תקופה של 3 שנים מיום שחרורו ממאסר מביצוע עבירת פשע לפי </w:t>
      </w:r>
      <w:hyperlink r:id="rId61" w:history="1">
        <w:r w:rsidR="005A3CEB" w:rsidRPr="005A3CEB">
          <w:rPr>
            <w:rFonts w:cs="FrankRuehl" w:hint="cs"/>
            <w:color w:val="0000FF"/>
            <w:sz w:val="28"/>
            <w:szCs w:val="28"/>
            <w:u w:val="single"/>
            <w:rtl/>
          </w:rPr>
          <w:t>פקודת</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הסמים</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המסוכנים</w:t>
        </w:r>
      </w:hyperlink>
      <w:r>
        <w:rPr>
          <w:rFonts w:cs="FrankRuehl" w:hint="cs"/>
          <w:sz w:val="28"/>
          <w:szCs w:val="28"/>
          <w:rtl/>
        </w:rPr>
        <w:t xml:space="preserve"> . ההתחייבות תיחתם עד ליום 1.12.2019. לא תיחתם ההתחייבות, ייאסר הנאשם למשך חודש ימים.</w:t>
      </w:r>
    </w:p>
    <w:p w14:paraId="3F65D1BE" w14:textId="77777777" w:rsidR="00725069" w:rsidRPr="00AC5B04" w:rsidRDefault="00725069" w:rsidP="00725069">
      <w:pPr>
        <w:tabs>
          <w:tab w:val="left" w:pos="800"/>
        </w:tabs>
        <w:spacing w:after="160" w:line="360" w:lineRule="auto"/>
        <w:ind w:left="2160"/>
        <w:contextualSpacing/>
        <w:jc w:val="both"/>
        <w:rPr>
          <w:rFonts w:ascii="Calibri" w:hAnsi="Calibri" w:cs="FrankRuehl"/>
          <w:sz w:val="28"/>
          <w:szCs w:val="28"/>
          <w:rtl/>
        </w:rPr>
      </w:pPr>
    </w:p>
    <w:p w14:paraId="402C4C13" w14:textId="77777777" w:rsidR="00725069" w:rsidRDefault="00725069" w:rsidP="00725069">
      <w:pPr>
        <w:pStyle w:val="ae"/>
        <w:numPr>
          <w:ilvl w:val="0"/>
          <w:numId w:val="7"/>
        </w:numPr>
        <w:tabs>
          <w:tab w:val="left" w:pos="800"/>
        </w:tabs>
        <w:spacing w:line="360" w:lineRule="auto"/>
        <w:ind w:left="1440"/>
        <w:jc w:val="both"/>
        <w:rPr>
          <w:rFonts w:cs="FrankRuehl"/>
          <w:sz w:val="28"/>
          <w:szCs w:val="28"/>
        </w:rPr>
      </w:pPr>
      <w:r>
        <w:rPr>
          <w:rFonts w:cs="FrankRuehl" w:hint="cs"/>
          <w:sz w:val="28"/>
          <w:szCs w:val="28"/>
          <w:rtl/>
        </w:rPr>
        <w:t>פסילה בפועל מלהחזיק או לקבל רישיון נהיגה למשך 6 חודשים. בהתאם לסמכותי לפי סעיף 37א(א2) לפקודה, אני קובע שהפסילה תיכנס לתוקף ביום גמר ריצוי עונש המאסר. הנאשם יפקיד את רישיון הנהיגה שלו במזכירות בית המשפט בטרם יחל לרצות את עונש המאסר.</w:t>
      </w:r>
    </w:p>
    <w:p w14:paraId="7E6F5DE0" w14:textId="77777777" w:rsidR="00725069" w:rsidRPr="00037624" w:rsidRDefault="00725069" w:rsidP="00725069">
      <w:pPr>
        <w:pStyle w:val="ae"/>
        <w:rPr>
          <w:rFonts w:cs="FrankRuehl"/>
          <w:sz w:val="28"/>
          <w:szCs w:val="28"/>
        </w:rPr>
      </w:pPr>
    </w:p>
    <w:p w14:paraId="11714693" w14:textId="77777777" w:rsidR="00725069" w:rsidRDefault="00725069" w:rsidP="00725069">
      <w:pPr>
        <w:pStyle w:val="ae"/>
        <w:numPr>
          <w:ilvl w:val="0"/>
          <w:numId w:val="7"/>
        </w:numPr>
        <w:tabs>
          <w:tab w:val="left" w:pos="800"/>
        </w:tabs>
        <w:spacing w:line="360" w:lineRule="auto"/>
        <w:ind w:left="1440"/>
        <w:jc w:val="both"/>
        <w:rPr>
          <w:rFonts w:cs="FrankRuehl"/>
          <w:sz w:val="28"/>
          <w:szCs w:val="28"/>
          <w:rtl/>
        </w:rPr>
      </w:pPr>
      <w:r>
        <w:rPr>
          <w:rFonts w:cs="FrankRuehl" w:hint="cs"/>
          <w:sz w:val="28"/>
          <w:szCs w:val="28"/>
          <w:rtl/>
        </w:rPr>
        <w:t xml:space="preserve">פסילה על תנאי מלהחזיק או לקבל רישיון נהיגה למשך 6 חודשים, והתנאי הוא שהנאשם לא יעבור על עבירה לפי </w:t>
      </w:r>
      <w:hyperlink r:id="rId62" w:history="1">
        <w:r w:rsidR="005A3CEB" w:rsidRPr="005A3CEB">
          <w:rPr>
            <w:rFonts w:cs="FrankRuehl" w:hint="cs"/>
            <w:color w:val="0000FF"/>
            <w:sz w:val="28"/>
            <w:szCs w:val="28"/>
            <w:u w:val="single"/>
            <w:rtl/>
          </w:rPr>
          <w:t>פקודת</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הסמים</w:t>
        </w:r>
        <w:r w:rsidR="005A3CEB" w:rsidRPr="005A3CEB">
          <w:rPr>
            <w:rFonts w:cs="FrankRuehl"/>
            <w:color w:val="0000FF"/>
            <w:sz w:val="28"/>
            <w:szCs w:val="28"/>
            <w:u w:val="single"/>
            <w:rtl/>
          </w:rPr>
          <w:t xml:space="preserve"> </w:t>
        </w:r>
        <w:r w:rsidR="005A3CEB" w:rsidRPr="005A3CEB">
          <w:rPr>
            <w:rFonts w:cs="FrankRuehl" w:hint="cs"/>
            <w:color w:val="0000FF"/>
            <w:sz w:val="28"/>
            <w:szCs w:val="28"/>
            <w:u w:val="single"/>
            <w:rtl/>
          </w:rPr>
          <w:t>המסוכנים</w:t>
        </w:r>
      </w:hyperlink>
      <w:r>
        <w:rPr>
          <w:rFonts w:cs="FrankRuehl" w:hint="cs"/>
          <w:sz w:val="28"/>
          <w:szCs w:val="28"/>
          <w:rtl/>
        </w:rPr>
        <w:t xml:space="preserve"> במשך שנתיים מיום שחרורו.</w:t>
      </w:r>
    </w:p>
    <w:p w14:paraId="41AD33F8" w14:textId="77777777" w:rsidR="00725069" w:rsidRDefault="00725069" w:rsidP="00725069">
      <w:pPr>
        <w:tabs>
          <w:tab w:val="left" w:pos="800"/>
        </w:tabs>
        <w:spacing w:after="160" w:line="360" w:lineRule="auto"/>
        <w:contextualSpacing/>
        <w:jc w:val="both"/>
        <w:rPr>
          <w:rFonts w:ascii="Calibri" w:hAnsi="Calibri" w:cs="FrankRuehl"/>
          <w:sz w:val="28"/>
          <w:szCs w:val="28"/>
          <w:rtl/>
        </w:rPr>
      </w:pPr>
    </w:p>
    <w:p w14:paraId="2CAF7E45" w14:textId="77777777" w:rsidR="00725069" w:rsidRPr="00B1639C" w:rsidRDefault="00725069" w:rsidP="00725069">
      <w:pPr>
        <w:tabs>
          <w:tab w:val="left" w:pos="651"/>
        </w:tabs>
        <w:spacing w:line="360" w:lineRule="auto"/>
        <w:jc w:val="both"/>
        <w:rPr>
          <w:rFonts w:cs="FrankRuehl"/>
          <w:sz w:val="28"/>
          <w:szCs w:val="28"/>
          <w:rtl/>
        </w:rPr>
      </w:pPr>
      <w:r>
        <w:rPr>
          <w:rFonts w:cs="FrankRuehl" w:hint="cs"/>
          <w:sz w:val="28"/>
          <w:szCs w:val="28"/>
          <w:rtl/>
        </w:rPr>
        <w:t>41.</w:t>
      </w:r>
      <w:r>
        <w:rPr>
          <w:rFonts w:cs="FrankRuehl" w:hint="cs"/>
          <w:sz w:val="28"/>
          <w:szCs w:val="28"/>
          <w:rtl/>
        </w:rPr>
        <w:tab/>
      </w:r>
      <w:r w:rsidRPr="00B1639C">
        <w:rPr>
          <w:rFonts w:cs="FrankRuehl" w:hint="cs"/>
          <w:sz w:val="28"/>
          <w:szCs w:val="28"/>
          <w:rtl/>
        </w:rPr>
        <w:t xml:space="preserve">ההתחייבות והערבויות שנחתמו וכן הפיקדון שהופקד במסגרת הליכי המעצר ישמשו </w:t>
      </w:r>
      <w:r w:rsidRPr="00B1639C">
        <w:rPr>
          <w:rFonts w:ascii="FrankRuehl" w:hAnsi="FrankRuehl" w:cs="FrankRuehl" w:hint="cs"/>
          <w:sz w:val="28"/>
          <w:szCs w:val="28"/>
          <w:rtl/>
        </w:rPr>
        <w:t>להבטחת</w:t>
      </w:r>
      <w:r w:rsidRPr="00B1639C">
        <w:rPr>
          <w:rFonts w:cs="FrankRuehl" w:hint="cs"/>
          <w:sz w:val="28"/>
          <w:szCs w:val="28"/>
          <w:rtl/>
        </w:rPr>
        <w:t xml:space="preserve"> התייצבותו של הנאשם לריצוי עונש המ</w:t>
      </w:r>
      <w:r w:rsidRPr="00763D6A">
        <w:rPr>
          <w:rFonts w:cs="FrankRuehl" w:hint="cs"/>
          <w:sz w:val="28"/>
          <w:szCs w:val="28"/>
          <w:rtl/>
        </w:rPr>
        <w:t>אסר. לאחר תחילת ריצוי עונש המאסר, ניתן יהיה לקזז את סכום הקנס כאשר היתרה תושב לידי הנאשם, כפוף לכל מניעה חוקית אחרת, לרבות עיקול.</w:t>
      </w:r>
      <w:r w:rsidRPr="00B1639C">
        <w:rPr>
          <w:rFonts w:cs="FrankRuehl" w:hint="cs"/>
          <w:sz w:val="28"/>
          <w:szCs w:val="28"/>
          <w:rtl/>
        </w:rPr>
        <w:t xml:space="preserve"> </w:t>
      </w:r>
    </w:p>
    <w:p w14:paraId="638BFA5A" w14:textId="77777777" w:rsidR="00725069" w:rsidRDefault="00725069" w:rsidP="00725069">
      <w:pPr>
        <w:pStyle w:val="ae"/>
        <w:tabs>
          <w:tab w:val="left" w:pos="651"/>
        </w:tabs>
        <w:spacing w:line="360" w:lineRule="auto"/>
        <w:ind w:left="368"/>
        <w:jc w:val="both"/>
        <w:rPr>
          <w:rFonts w:cs="FrankRuehl"/>
          <w:sz w:val="28"/>
          <w:szCs w:val="28"/>
        </w:rPr>
      </w:pPr>
    </w:p>
    <w:p w14:paraId="0C102E02" w14:textId="77777777" w:rsidR="00725069" w:rsidRPr="00B1639C" w:rsidRDefault="00725069" w:rsidP="00725069">
      <w:pPr>
        <w:tabs>
          <w:tab w:val="left" w:pos="509"/>
        </w:tabs>
        <w:spacing w:line="360" w:lineRule="auto"/>
        <w:jc w:val="both"/>
        <w:rPr>
          <w:rFonts w:cs="FrankRuehl"/>
          <w:sz w:val="28"/>
          <w:szCs w:val="28"/>
          <w:rtl/>
        </w:rPr>
      </w:pPr>
      <w:r>
        <w:rPr>
          <w:rFonts w:cs="FrankRuehl" w:hint="cs"/>
          <w:sz w:val="28"/>
          <w:szCs w:val="28"/>
          <w:rtl/>
        </w:rPr>
        <w:t>42.</w:t>
      </w:r>
      <w:r>
        <w:rPr>
          <w:rFonts w:cs="FrankRuehl" w:hint="cs"/>
          <w:sz w:val="28"/>
          <w:szCs w:val="28"/>
          <w:rtl/>
        </w:rPr>
        <w:tab/>
      </w:r>
      <w:r w:rsidRPr="00B1639C">
        <w:rPr>
          <w:rFonts w:cs="FrankRuehl" w:hint="cs"/>
          <w:sz w:val="28"/>
          <w:szCs w:val="28"/>
          <w:rtl/>
        </w:rPr>
        <w:t>ניתן בזאת צו עיכוב יציאה מהארץ. ככל שהדבר טרם נעשה, יפקיד הנאשם את דרכונו במזכירות בית המשפט לא יאוחר מיום 28.11.2019.</w:t>
      </w:r>
    </w:p>
    <w:p w14:paraId="63C1B800" w14:textId="77777777" w:rsidR="00725069" w:rsidRDefault="00725069" w:rsidP="00725069">
      <w:pPr>
        <w:pStyle w:val="ae"/>
        <w:tabs>
          <w:tab w:val="left" w:pos="800"/>
        </w:tabs>
        <w:spacing w:line="360" w:lineRule="auto"/>
        <w:jc w:val="both"/>
        <w:rPr>
          <w:rFonts w:cs="FrankRuehl"/>
          <w:sz w:val="28"/>
          <w:szCs w:val="28"/>
          <w:rtl/>
        </w:rPr>
      </w:pPr>
    </w:p>
    <w:p w14:paraId="19BCB776" w14:textId="77777777" w:rsidR="00725069" w:rsidRDefault="00725069" w:rsidP="00725069">
      <w:pPr>
        <w:tabs>
          <w:tab w:val="left" w:pos="509"/>
        </w:tabs>
        <w:spacing w:line="360" w:lineRule="auto"/>
        <w:jc w:val="both"/>
        <w:rPr>
          <w:rFonts w:cs="FrankRuehl"/>
          <w:sz w:val="28"/>
          <w:szCs w:val="28"/>
          <w:rtl/>
        </w:rPr>
      </w:pPr>
      <w:r>
        <w:rPr>
          <w:rFonts w:cs="FrankRuehl" w:hint="cs"/>
          <w:sz w:val="28"/>
          <w:szCs w:val="28"/>
          <w:rtl/>
        </w:rPr>
        <w:t>43.</w:t>
      </w:r>
      <w:r>
        <w:rPr>
          <w:rFonts w:cs="FrankRuehl" w:hint="cs"/>
          <w:sz w:val="28"/>
          <w:szCs w:val="28"/>
          <w:rtl/>
        </w:rPr>
        <w:tab/>
      </w:r>
      <w:r w:rsidRPr="00B1639C">
        <w:rPr>
          <w:rFonts w:cs="FrankRuehl" w:hint="cs"/>
          <w:sz w:val="28"/>
          <w:szCs w:val="28"/>
          <w:rtl/>
        </w:rPr>
        <w:t>ניתן בזאת צו כללי למוצגים. הסמים יושמדו.</w:t>
      </w:r>
      <w:r>
        <w:rPr>
          <w:rFonts w:cs="FrankRuehl" w:hint="cs"/>
          <w:sz w:val="28"/>
          <w:szCs w:val="28"/>
          <w:rtl/>
        </w:rPr>
        <w:t xml:space="preserve"> הטלפון של הנאשם, ככל שנתפס, יוחזר לידיו או למי מטעמו.</w:t>
      </w:r>
    </w:p>
    <w:p w14:paraId="77D6ED13" w14:textId="77777777" w:rsidR="00725069" w:rsidRDefault="00725069" w:rsidP="00725069">
      <w:pPr>
        <w:tabs>
          <w:tab w:val="left" w:pos="509"/>
        </w:tabs>
        <w:spacing w:line="360" w:lineRule="auto"/>
        <w:jc w:val="both"/>
        <w:rPr>
          <w:rFonts w:cs="FrankRuehl"/>
          <w:sz w:val="28"/>
          <w:szCs w:val="28"/>
          <w:rtl/>
        </w:rPr>
      </w:pPr>
    </w:p>
    <w:p w14:paraId="0B51EF7C" w14:textId="77777777" w:rsidR="00725069" w:rsidRDefault="00725069" w:rsidP="00725069">
      <w:pPr>
        <w:tabs>
          <w:tab w:val="left" w:pos="509"/>
        </w:tabs>
        <w:spacing w:line="360" w:lineRule="auto"/>
        <w:jc w:val="both"/>
        <w:rPr>
          <w:rFonts w:cs="FrankRuehl"/>
          <w:sz w:val="28"/>
          <w:szCs w:val="28"/>
          <w:rtl/>
        </w:rPr>
      </w:pPr>
      <w:r>
        <w:rPr>
          <w:rFonts w:cs="FrankRuehl" w:hint="cs"/>
          <w:sz w:val="28"/>
          <w:szCs w:val="28"/>
          <w:rtl/>
        </w:rPr>
        <w:t>44.</w:t>
      </w:r>
      <w:r>
        <w:rPr>
          <w:rFonts w:cs="FrankRuehl"/>
          <w:sz w:val="28"/>
          <w:szCs w:val="28"/>
          <w:rtl/>
        </w:rPr>
        <w:tab/>
      </w:r>
      <w:r>
        <w:rPr>
          <w:rFonts w:cs="FrankRuehl" w:hint="cs"/>
          <w:sz w:val="28"/>
          <w:szCs w:val="28"/>
          <w:rtl/>
        </w:rPr>
        <w:t>לבקשת הנאשם ישלב שב"ס את הנאשם בהליך טיפולי שיקומי המותאם לצרכיו, בהתאם להחלטת גורמי המקצוע בשב"ס.</w:t>
      </w:r>
    </w:p>
    <w:p w14:paraId="615D2C01" w14:textId="77777777" w:rsidR="00725069" w:rsidRDefault="00725069" w:rsidP="00725069">
      <w:pPr>
        <w:tabs>
          <w:tab w:val="left" w:pos="509"/>
        </w:tabs>
        <w:spacing w:line="360" w:lineRule="auto"/>
        <w:jc w:val="both"/>
        <w:rPr>
          <w:rFonts w:cs="FrankRuehl"/>
          <w:sz w:val="28"/>
          <w:szCs w:val="28"/>
          <w:rtl/>
        </w:rPr>
      </w:pPr>
    </w:p>
    <w:p w14:paraId="4E6E18E6" w14:textId="77777777" w:rsidR="00725069" w:rsidRPr="00B1639C" w:rsidRDefault="005A3CEB" w:rsidP="00725069">
      <w:pPr>
        <w:tabs>
          <w:tab w:val="left" w:pos="509"/>
        </w:tabs>
        <w:spacing w:line="360" w:lineRule="auto"/>
        <w:jc w:val="both"/>
        <w:rPr>
          <w:rFonts w:cs="FrankRuehl"/>
          <w:sz w:val="28"/>
          <w:szCs w:val="28"/>
          <w:rtl/>
        </w:rPr>
      </w:pPr>
      <w:r w:rsidRPr="005A3CEB">
        <w:rPr>
          <w:rFonts w:cs="FrankRuehl"/>
          <w:color w:val="FFFFFF"/>
          <w:sz w:val="2"/>
          <w:szCs w:val="2"/>
          <w:rtl/>
        </w:rPr>
        <w:t>5129371</w:t>
      </w:r>
      <w:r w:rsidR="00725069">
        <w:rPr>
          <w:rFonts w:cs="FrankRuehl" w:hint="cs"/>
          <w:sz w:val="28"/>
          <w:szCs w:val="28"/>
          <w:rtl/>
        </w:rPr>
        <w:t>44.</w:t>
      </w:r>
      <w:r w:rsidR="00725069">
        <w:rPr>
          <w:rFonts w:cs="FrankRuehl" w:hint="cs"/>
          <w:sz w:val="28"/>
          <w:szCs w:val="28"/>
          <w:rtl/>
        </w:rPr>
        <w:tab/>
        <w:t>המזכירות תעביר העתק ההחלטה לשירות המבחן.</w:t>
      </w:r>
    </w:p>
    <w:p w14:paraId="70BE1707" w14:textId="77777777" w:rsidR="00725069" w:rsidRPr="005A3CEB" w:rsidRDefault="005A3CEB" w:rsidP="00725069">
      <w:pPr>
        <w:rPr>
          <w:color w:val="FFFFFF"/>
          <w:sz w:val="2"/>
          <w:szCs w:val="2"/>
          <w:rtl/>
        </w:rPr>
      </w:pPr>
      <w:r w:rsidRPr="005A3CEB">
        <w:rPr>
          <w:color w:val="FFFFFF"/>
          <w:sz w:val="2"/>
          <w:szCs w:val="2"/>
          <w:rtl/>
        </w:rPr>
        <w:t>54678313</w:t>
      </w:r>
    </w:p>
    <w:p w14:paraId="478661D3" w14:textId="77777777" w:rsidR="00725069" w:rsidRPr="00B05847" w:rsidRDefault="00725069" w:rsidP="00725069">
      <w:pPr>
        <w:rPr>
          <w:rtl/>
        </w:rPr>
      </w:pPr>
    </w:p>
    <w:p w14:paraId="0963C647" w14:textId="77777777" w:rsidR="00725069" w:rsidRDefault="005A3CEB" w:rsidP="00725069">
      <w:pPr>
        <w:rPr>
          <w:rFonts w:cs="FrankRuehl"/>
          <w:sz w:val="28"/>
          <w:szCs w:val="28"/>
          <w:rtl/>
        </w:rPr>
      </w:pPr>
      <w:bookmarkStart w:id="8" w:name="Nitan"/>
      <w:r>
        <w:rPr>
          <w:rFonts w:ascii="Arial" w:hAnsi="Arial"/>
          <w:rtl/>
        </w:rPr>
        <w:t xml:space="preserve">ניתן היום,  כ"ט חשוון תש"פ, 27 נובמבר 2019, בנוכחות הצדדים. </w:t>
      </w:r>
      <w:bookmarkEnd w:id="8"/>
    </w:p>
    <w:p w14:paraId="53BA577A" w14:textId="77777777" w:rsidR="00725069" w:rsidRDefault="00725069" w:rsidP="005A3C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EBABA50" w14:textId="77777777" w:rsidR="00725069" w:rsidRPr="00C213DD" w:rsidRDefault="00C213DD" w:rsidP="00725069">
      <w:pPr>
        <w:jc w:val="center"/>
        <w:rPr>
          <w:rFonts w:ascii="Arial" w:hAnsi="Arial" w:cs="FrankRuehl"/>
          <w:color w:val="FFFFFF"/>
          <w:sz w:val="2"/>
          <w:szCs w:val="2"/>
          <w:rtl/>
        </w:rPr>
      </w:pPr>
      <w:r w:rsidRPr="00C213DD">
        <w:rPr>
          <w:rFonts w:ascii="Arial" w:hAnsi="Arial" w:cs="FrankRuehl"/>
          <w:color w:val="FFFFFF"/>
          <w:sz w:val="2"/>
          <w:szCs w:val="2"/>
          <w:rtl/>
        </w:rPr>
        <w:t>5129371</w:t>
      </w:r>
    </w:p>
    <w:p w14:paraId="4C8A647B" w14:textId="77777777" w:rsidR="00411CEF" w:rsidRPr="00C213DD" w:rsidRDefault="00C213DD" w:rsidP="005A3CEB">
      <w:pPr>
        <w:keepNext/>
        <w:rPr>
          <w:rFonts w:ascii="David" w:hAnsi="David"/>
          <w:color w:val="FFFFFF"/>
          <w:sz w:val="2"/>
          <w:szCs w:val="2"/>
          <w:rtl/>
        </w:rPr>
      </w:pPr>
      <w:r w:rsidRPr="00C213DD">
        <w:rPr>
          <w:rFonts w:ascii="David" w:hAnsi="David"/>
          <w:color w:val="FFFFFF"/>
          <w:sz w:val="2"/>
          <w:szCs w:val="2"/>
          <w:rtl/>
        </w:rPr>
        <w:t>54678313</w:t>
      </w:r>
    </w:p>
    <w:p w14:paraId="743D9F38" w14:textId="77777777" w:rsidR="005A3CEB" w:rsidRDefault="005A3CEB" w:rsidP="005A3CEB">
      <w:pPr>
        <w:rPr>
          <w:rtl/>
        </w:rPr>
      </w:pPr>
    </w:p>
    <w:p w14:paraId="7B120DB1" w14:textId="77777777" w:rsidR="005A3CEB" w:rsidRDefault="005A3CEB" w:rsidP="005A3CEB">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7EA4444C" w14:textId="77777777" w:rsidR="00C213DD" w:rsidRPr="00C213DD" w:rsidRDefault="00C213DD" w:rsidP="00C213DD">
      <w:pPr>
        <w:keepNext/>
        <w:rPr>
          <w:rFonts w:ascii="David" w:hAnsi="David"/>
          <w:color w:val="000000"/>
          <w:sz w:val="22"/>
          <w:szCs w:val="22"/>
          <w:rtl/>
        </w:rPr>
      </w:pPr>
    </w:p>
    <w:p w14:paraId="7EDD0154" w14:textId="77777777" w:rsidR="00C213DD" w:rsidRPr="00C213DD" w:rsidRDefault="00C213DD" w:rsidP="00C213DD">
      <w:pPr>
        <w:keepNext/>
        <w:rPr>
          <w:rFonts w:ascii="David" w:hAnsi="David"/>
          <w:color w:val="000000"/>
          <w:sz w:val="22"/>
          <w:szCs w:val="22"/>
          <w:rtl/>
        </w:rPr>
      </w:pPr>
      <w:r w:rsidRPr="00C213DD">
        <w:rPr>
          <w:rFonts w:ascii="David" w:hAnsi="David"/>
          <w:color w:val="000000"/>
          <w:sz w:val="22"/>
          <w:szCs w:val="22"/>
          <w:rtl/>
        </w:rPr>
        <w:t>עמית מיכלס 54678313-/</w:t>
      </w:r>
    </w:p>
    <w:p w14:paraId="7F88FF1A" w14:textId="77777777" w:rsidR="005A3CEB" w:rsidRPr="005A3CEB" w:rsidRDefault="00C213DD" w:rsidP="00C213DD">
      <w:pPr>
        <w:rPr>
          <w:color w:val="0000FF"/>
          <w:u w:val="single"/>
        </w:rPr>
      </w:pPr>
      <w:r w:rsidRPr="00C213DD">
        <w:rPr>
          <w:color w:val="000000"/>
          <w:u w:val="single"/>
          <w:rtl/>
        </w:rPr>
        <w:t>נוסח מסמך זה כפוף לשינויי ניסוח ועריכה</w:t>
      </w:r>
    </w:p>
    <w:sectPr w:rsidR="005A3CEB" w:rsidRPr="005A3CEB" w:rsidSect="00C213DD">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65ABF" w14:textId="77777777" w:rsidR="00625C3B" w:rsidRDefault="00625C3B" w:rsidP="00407B79">
      <w:r>
        <w:separator/>
      </w:r>
    </w:p>
  </w:endnote>
  <w:endnote w:type="continuationSeparator" w:id="0">
    <w:p w14:paraId="7E55D83A" w14:textId="77777777" w:rsidR="00625C3B" w:rsidRDefault="00625C3B" w:rsidP="0040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82237" w14:textId="77777777" w:rsidR="00C213DD" w:rsidRDefault="00C213DD" w:rsidP="00C21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558ED2" w14:textId="77777777" w:rsidR="005C1807" w:rsidRPr="00C213DD" w:rsidRDefault="00C213DD" w:rsidP="00C213DD">
    <w:pPr>
      <w:pStyle w:val="a5"/>
      <w:pBdr>
        <w:top w:val="single" w:sz="4" w:space="1" w:color="auto"/>
        <w:between w:val="single" w:sz="4" w:space="0" w:color="auto"/>
      </w:pBdr>
      <w:spacing w:after="60"/>
      <w:jc w:val="center"/>
      <w:rPr>
        <w:rFonts w:ascii="FrankRuehl" w:hAnsi="FrankRuehl" w:cs="FrankRuehl"/>
        <w:color w:val="000000"/>
      </w:rPr>
    </w:pPr>
    <w:r w:rsidRPr="00C213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8C82F" w14:textId="77777777" w:rsidR="00C213DD" w:rsidRDefault="00C213DD" w:rsidP="00C21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61C4">
      <w:rPr>
        <w:rFonts w:ascii="FrankRuehl" w:hAnsi="FrankRuehl" w:cs="FrankRuehl"/>
        <w:noProof/>
        <w:rtl/>
      </w:rPr>
      <w:t>1</w:t>
    </w:r>
    <w:r>
      <w:rPr>
        <w:rFonts w:ascii="FrankRuehl" w:hAnsi="FrankRuehl" w:cs="FrankRuehl"/>
        <w:rtl/>
      </w:rPr>
      <w:fldChar w:fldCharType="end"/>
    </w:r>
  </w:p>
  <w:p w14:paraId="1BC496F5" w14:textId="77777777" w:rsidR="005C1807" w:rsidRPr="00C213DD" w:rsidRDefault="00C213DD" w:rsidP="00C213DD">
    <w:pPr>
      <w:pStyle w:val="a5"/>
      <w:pBdr>
        <w:top w:val="single" w:sz="4" w:space="1" w:color="auto"/>
        <w:between w:val="single" w:sz="4" w:space="0" w:color="auto"/>
      </w:pBdr>
      <w:spacing w:after="60"/>
      <w:jc w:val="center"/>
      <w:rPr>
        <w:rFonts w:ascii="FrankRuehl" w:hAnsi="FrankRuehl" w:cs="FrankRuehl"/>
        <w:color w:val="000000"/>
      </w:rPr>
    </w:pPr>
    <w:r w:rsidRPr="00C213DD">
      <w:rPr>
        <w:rFonts w:ascii="FrankRuehl" w:hAnsi="FrankRuehl" w:cs="FrankRuehl"/>
        <w:color w:val="000000"/>
      </w:rPr>
      <w:pict w14:anchorId="45EAC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47FAA" w14:textId="77777777" w:rsidR="00625C3B" w:rsidRDefault="00625C3B" w:rsidP="00407B79">
      <w:r>
        <w:separator/>
      </w:r>
    </w:p>
  </w:footnote>
  <w:footnote w:type="continuationSeparator" w:id="0">
    <w:p w14:paraId="4D44EA3F" w14:textId="77777777" w:rsidR="00625C3B" w:rsidRDefault="00625C3B" w:rsidP="00407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5F4F8" w14:textId="77777777" w:rsidR="005A3CEB" w:rsidRPr="00C213DD" w:rsidRDefault="00C213DD" w:rsidP="00C213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44694-10-18</w:t>
    </w:r>
    <w:r>
      <w:rPr>
        <w:rFonts w:ascii="David" w:hAnsi="David"/>
        <w:color w:val="000000"/>
        <w:sz w:val="22"/>
        <w:szCs w:val="22"/>
        <w:rtl/>
      </w:rPr>
      <w:tab/>
      <w:t xml:space="preserve"> מדינת ישראל נ' אביב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94A72" w14:textId="77777777" w:rsidR="005A3CEB" w:rsidRPr="00C213DD" w:rsidRDefault="00C213DD" w:rsidP="00C213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44694-10-18</w:t>
    </w:r>
    <w:r>
      <w:rPr>
        <w:rFonts w:ascii="David" w:hAnsi="David"/>
        <w:color w:val="000000"/>
        <w:sz w:val="22"/>
        <w:szCs w:val="22"/>
        <w:rtl/>
      </w:rPr>
      <w:tab/>
      <w:t xml:space="preserve"> מדינת ישראל נ' אביב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ED3BE5"/>
    <w:multiLevelType w:val="hybridMultilevel"/>
    <w:tmpl w:val="F4A276CC"/>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662AF3DA">
      <w:start w:val="1"/>
      <w:numFmt w:val="hebrew1"/>
      <w:lvlText w:val="%3."/>
      <w:lvlJc w:val="left"/>
      <w:pPr>
        <w:ind w:left="2625" w:hanging="645"/>
      </w:pPr>
      <w:rPr>
        <w:rFonts w:ascii="Calibri" w:hAnsi="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94E7031"/>
    <w:multiLevelType w:val="hybridMultilevel"/>
    <w:tmpl w:val="91F4AAD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662AF3DA">
      <w:start w:val="1"/>
      <w:numFmt w:val="hebrew1"/>
      <w:lvlText w:val="%3."/>
      <w:lvlJc w:val="left"/>
      <w:pPr>
        <w:ind w:left="2625" w:hanging="645"/>
      </w:pPr>
      <w:rPr>
        <w:rFonts w:ascii="Calibri" w:hAnsi="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9B3314"/>
    <w:multiLevelType w:val="hybridMultilevel"/>
    <w:tmpl w:val="7284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62AF3DA">
      <w:start w:val="1"/>
      <w:numFmt w:val="hebrew1"/>
      <w:lvlText w:val="%3."/>
      <w:lvlJc w:val="left"/>
      <w:pPr>
        <w:ind w:left="2625" w:hanging="645"/>
      </w:pPr>
      <w:rPr>
        <w:rFonts w:ascii="Calibri" w:hAnsi="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43D7F96"/>
    <w:multiLevelType w:val="hybridMultilevel"/>
    <w:tmpl w:val="1F28A3C8"/>
    <w:lvl w:ilvl="0" w:tplc="52C23512">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2AF17BA"/>
    <w:multiLevelType w:val="hybridMultilevel"/>
    <w:tmpl w:val="BEB8422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0F00D0"/>
    <w:multiLevelType w:val="hybridMultilevel"/>
    <w:tmpl w:val="AF9446C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662AF3DA">
      <w:start w:val="1"/>
      <w:numFmt w:val="hebrew1"/>
      <w:lvlText w:val="%3."/>
      <w:lvlJc w:val="left"/>
      <w:pPr>
        <w:ind w:left="2625" w:hanging="645"/>
      </w:pPr>
      <w:rPr>
        <w:rFonts w:ascii="Calibri" w:hAnsi="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4651334">
    <w:abstractNumId w:val="3"/>
  </w:num>
  <w:num w:numId="2" w16cid:durableId="665282401">
    <w:abstractNumId w:val="0"/>
  </w:num>
  <w:num w:numId="3" w16cid:durableId="12500405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7615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3977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80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0018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6747897">
    <w:abstractNumId w:val="1"/>
  </w:num>
  <w:num w:numId="9" w16cid:durableId="752438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5069"/>
    <w:rsid w:val="00407B79"/>
    <w:rsid w:val="00411CEF"/>
    <w:rsid w:val="00415B17"/>
    <w:rsid w:val="005A3CEB"/>
    <w:rsid w:val="005C1807"/>
    <w:rsid w:val="00625C3B"/>
    <w:rsid w:val="00725069"/>
    <w:rsid w:val="00C213DD"/>
    <w:rsid w:val="00CB63BD"/>
    <w:rsid w:val="00E161C4"/>
    <w:rsid w:val="00E217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61471B"/>
  <w15:chartTrackingRefBased/>
  <w15:docId w15:val="{3CA94D72-C748-4C07-9EB8-F521364B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5069"/>
    <w:pPr>
      <w:bidi/>
    </w:pPr>
    <w:rPr>
      <w:rFonts w:ascii="Times New Roman" w:eastAsia="Times New Roman" w:hAnsi="Times New Roman" w:cs="David"/>
      <w:sz w:val="24"/>
      <w:szCs w:val="24"/>
    </w:rPr>
  </w:style>
  <w:style w:type="paragraph" w:styleId="1">
    <w:name w:val="heading 1"/>
    <w:basedOn w:val="a"/>
    <w:next w:val="a"/>
    <w:link w:val="10"/>
    <w:qFormat/>
    <w:rsid w:val="0072506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25069"/>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725069"/>
    <w:rPr>
      <w:rFonts w:ascii="Arial" w:eastAsia="Times New Roman" w:hAnsi="Arial" w:cs="Arial"/>
      <w:b/>
      <w:bCs/>
      <w:kern w:val="32"/>
      <w:sz w:val="32"/>
      <w:szCs w:val="32"/>
    </w:rPr>
  </w:style>
  <w:style w:type="character" w:customStyle="1" w:styleId="40">
    <w:name w:val="כותרת 4 תו"/>
    <w:link w:val="4"/>
    <w:rsid w:val="00725069"/>
    <w:rPr>
      <w:rFonts w:ascii="Times New Roman" w:eastAsia="Times New Roman" w:hAnsi="Times New Roman" w:cs="Narkisim"/>
      <w:b/>
      <w:bCs/>
      <w:sz w:val="24"/>
      <w:szCs w:val="24"/>
    </w:rPr>
  </w:style>
  <w:style w:type="paragraph" w:styleId="a3">
    <w:name w:val="header"/>
    <w:basedOn w:val="a"/>
    <w:link w:val="a4"/>
    <w:rsid w:val="00725069"/>
    <w:pPr>
      <w:tabs>
        <w:tab w:val="center" w:pos="4153"/>
        <w:tab w:val="right" w:pos="8306"/>
      </w:tabs>
    </w:pPr>
  </w:style>
  <w:style w:type="character" w:customStyle="1" w:styleId="a4">
    <w:name w:val="כותרת עליונה תו"/>
    <w:link w:val="a3"/>
    <w:rsid w:val="00725069"/>
    <w:rPr>
      <w:rFonts w:ascii="Times New Roman" w:eastAsia="Times New Roman" w:hAnsi="Times New Roman" w:cs="David"/>
      <w:sz w:val="24"/>
      <w:szCs w:val="24"/>
    </w:rPr>
  </w:style>
  <w:style w:type="paragraph" w:styleId="a5">
    <w:name w:val="footer"/>
    <w:basedOn w:val="a"/>
    <w:link w:val="a6"/>
    <w:rsid w:val="00725069"/>
    <w:pPr>
      <w:tabs>
        <w:tab w:val="center" w:pos="4153"/>
        <w:tab w:val="right" w:pos="8306"/>
      </w:tabs>
    </w:pPr>
  </w:style>
  <w:style w:type="character" w:customStyle="1" w:styleId="a6">
    <w:name w:val="כותרת תחתונה תו"/>
    <w:link w:val="a5"/>
    <w:rsid w:val="00725069"/>
    <w:rPr>
      <w:rFonts w:ascii="Times New Roman" w:eastAsia="Times New Roman" w:hAnsi="Times New Roman" w:cs="David"/>
      <w:sz w:val="24"/>
      <w:szCs w:val="24"/>
    </w:rPr>
  </w:style>
  <w:style w:type="character" w:styleId="a7">
    <w:name w:val="annotation reference"/>
    <w:rsid w:val="00725069"/>
    <w:rPr>
      <w:sz w:val="16"/>
      <w:szCs w:val="16"/>
    </w:rPr>
  </w:style>
  <w:style w:type="paragraph" w:styleId="a8">
    <w:name w:val="annotation text"/>
    <w:basedOn w:val="a"/>
    <w:link w:val="a9"/>
    <w:rsid w:val="00725069"/>
    <w:rPr>
      <w:rFonts w:cs="Times New Roman"/>
      <w:lang w:eastAsia="he-IL"/>
    </w:rPr>
  </w:style>
  <w:style w:type="character" w:customStyle="1" w:styleId="a9">
    <w:name w:val="טקסט הערה תו"/>
    <w:link w:val="a8"/>
    <w:rsid w:val="00725069"/>
    <w:rPr>
      <w:rFonts w:ascii="Times New Roman" w:eastAsia="Times New Roman" w:hAnsi="Times New Roman" w:cs="Times New Roman"/>
      <w:sz w:val="24"/>
      <w:szCs w:val="24"/>
      <w:lang w:eastAsia="he-IL"/>
    </w:rPr>
  </w:style>
  <w:style w:type="paragraph" w:styleId="aa">
    <w:name w:val="Balloon Text"/>
    <w:basedOn w:val="a"/>
    <w:link w:val="ab"/>
    <w:rsid w:val="00725069"/>
    <w:rPr>
      <w:rFonts w:ascii="Tahoma" w:hAnsi="Tahoma" w:cs="Tahoma"/>
      <w:sz w:val="16"/>
      <w:szCs w:val="16"/>
    </w:rPr>
  </w:style>
  <w:style w:type="character" w:customStyle="1" w:styleId="ab">
    <w:name w:val="טקסט בלונים תו"/>
    <w:link w:val="aa"/>
    <w:rsid w:val="00725069"/>
    <w:rPr>
      <w:rFonts w:ascii="Tahoma" w:eastAsia="Times New Roman" w:hAnsi="Tahoma" w:cs="Tahoma"/>
      <w:sz w:val="16"/>
      <w:szCs w:val="16"/>
    </w:rPr>
  </w:style>
  <w:style w:type="table" w:styleId="ac">
    <w:name w:val="Table Grid"/>
    <w:basedOn w:val="a1"/>
    <w:rsid w:val="007250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25069"/>
  </w:style>
  <w:style w:type="paragraph" w:styleId="ae">
    <w:name w:val="List Paragraph"/>
    <w:basedOn w:val="a"/>
    <w:qFormat/>
    <w:rsid w:val="00725069"/>
    <w:pPr>
      <w:spacing w:after="160" w:line="256" w:lineRule="auto"/>
      <w:ind w:left="720"/>
      <w:contextualSpacing/>
    </w:pPr>
    <w:rPr>
      <w:rFonts w:ascii="Calibri" w:eastAsia="Calibri" w:hAnsi="Calibri" w:cs="Calibri"/>
      <w:sz w:val="22"/>
      <w:szCs w:val="22"/>
    </w:rPr>
  </w:style>
  <w:style w:type="paragraph" w:customStyle="1" w:styleId="Ruller4">
    <w:name w:val="Ruller4"/>
    <w:basedOn w:val="a"/>
    <w:rsid w:val="00725069"/>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725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53269" TargetMode="External"/><Relationship Id="rId21" Type="http://schemas.openxmlformats.org/officeDocument/2006/relationships/hyperlink" Target="http://www.nevo.co.il/case/23825973" TargetMode="External"/><Relationship Id="rId42" Type="http://schemas.openxmlformats.org/officeDocument/2006/relationships/hyperlink" Target="http://www.nevo.co.il/case/25066429" TargetMode="External"/><Relationship Id="rId47" Type="http://schemas.openxmlformats.org/officeDocument/2006/relationships/hyperlink" Target="http://www.nevo.co.il/case/23656815"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573417" TargetMode="External"/><Relationship Id="rId29" Type="http://schemas.openxmlformats.org/officeDocument/2006/relationships/hyperlink" Target="http://www.nevo.co.il/case/20683594"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5787128" TargetMode="External"/><Relationship Id="rId32" Type="http://schemas.openxmlformats.org/officeDocument/2006/relationships/hyperlink" Target="http://www.nevo.co.il/case/6094597" TargetMode="External"/><Relationship Id="rId37" Type="http://schemas.openxmlformats.org/officeDocument/2006/relationships/hyperlink" Target="http://www.nevo.co.il/case/25066135" TargetMode="External"/><Relationship Id="rId40" Type="http://schemas.openxmlformats.org/officeDocument/2006/relationships/hyperlink" Target="http://www.nevo.co.il/case/22832600" TargetMode="External"/><Relationship Id="rId45" Type="http://schemas.openxmlformats.org/officeDocument/2006/relationships/hyperlink" Target="http://www.nevo.co.il/case/25044333" TargetMode="External"/><Relationship Id="rId53" Type="http://schemas.openxmlformats.org/officeDocument/2006/relationships/hyperlink" Target="http://www.nevo.co.il/case/21694329" TargetMode="External"/><Relationship Id="rId58" Type="http://schemas.openxmlformats.org/officeDocument/2006/relationships/hyperlink" Target="http://www.nevo.co.il/law/70301"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case/7958246"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5585052" TargetMode="External"/><Relationship Id="rId30" Type="http://schemas.openxmlformats.org/officeDocument/2006/relationships/hyperlink" Target="http://www.nevo.co.il/case/5585052" TargetMode="External"/><Relationship Id="rId35" Type="http://schemas.openxmlformats.org/officeDocument/2006/relationships/hyperlink" Target="http://www.nevo.co.il/case/6159820" TargetMode="External"/><Relationship Id="rId43" Type="http://schemas.openxmlformats.org/officeDocument/2006/relationships/hyperlink" Target="http://www.nevo.co.il/case/20909561" TargetMode="External"/><Relationship Id="rId48" Type="http://schemas.openxmlformats.org/officeDocument/2006/relationships/hyperlink" Target="http://www.nevo.co.il/case/21976333" TargetMode="External"/><Relationship Id="rId56" Type="http://schemas.openxmlformats.org/officeDocument/2006/relationships/hyperlink" Target="http://www.nevo.co.il/law/70301/40d"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13.a" TargetMode="External"/><Relationship Id="rId51" Type="http://schemas.openxmlformats.org/officeDocument/2006/relationships/hyperlink" Target="http://www.nevo.co.il/case/24978079"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5988308" TargetMode="External"/><Relationship Id="rId33" Type="http://schemas.openxmlformats.org/officeDocument/2006/relationships/hyperlink" Target="http://www.nevo.co.il/case/5701742" TargetMode="External"/><Relationship Id="rId38" Type="http://schemas.openxmlformats.org/officeDocument/2006/relationships/hyperlink" Target="http://www.nevo.co.il/case/20787902" TargetMode="External"/><Relationship Id="rId46" Type="http://schemas.openxmlformats.org/officeDocument/2006/relationships/hyperlink" Target="http://www.nevo.co.il/case/23756666" TargetMode="External"/><Relationship Id="rId59" Type="http://schemas.openxmlformats.org/officeDocument/2006/relationships/hyperlink" Target="http://www.nevo.co.il/law/70301" TargetMode="External"/><Relationship Id="rId67" Type="http://schemas.openxmlformats.org/officeDocument/2006/relationships/footer" Target="footer2.xml"/><Relationship Id="rId20" Type="http://schemas.openxmlformats.org/officeDocument/2006/relationships/hyperlink" Target="http://www.nevo.co.il/case/23133293" TargetMode="External"/><Relationship Id="rId41" Type="http://schemas.openxmlformats.org/officeDocument/2006/relationships/hyperlink" Target="http://www.nevo.co.il/case/18809103" TargetMode="External"/><Relationship Id="rId54" Type="http://schemas.openxmlformats.org/officeDocument/2006/relationships/hyperlink" Target="http://www.nevo.co.il/case/20468011" TargetMode="External"/><Relationship Id="rId62"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case/5583030" TargetMode="External"/><Relationship Id="rId28" Type="http://schemas.openxmlformats.org/officeDocument/2006/relationships/hyperlink" Target="http://www.nevo.co.il/case/5786821" TargetMode="External"/><Relationship Id="rId36" Type="http://schemas.openxmlformats.org/officeDocument/2006/relationships/hyperlink" Target="http://www.nevo.co.il/case/17942734" TargetMode="External"/><Relationship Id="rId49" Type="http://schemas.openxmlformats.org/officeDocument/2006/relationships/hyperlink" Target="http://www.nevo.co.il/case/25977712" TargetMode="External"/><Relationship Id="rId57" Type="http://schemas.openxmlformats.org/officeDocument/2006/relationships/hyperlink" Target="http://www.nevo.co.il/case/22938500"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5726579" TargetMode="External"/><Relationship Id="rId44" Type="http://schemas.openxmlformats.org/officeDocument/2006/relationships/hyperlink" Target="http://www.nevo.co.il/case/25469114" TargetMode="External"/><Relationship Id="rId52" Type="http://schemas.openxmlformats.org/officeDocument/2006/relationships/hyperlink" Target="http://www.nevo.co.il/case/22518236" TargetMode="External"/><Relationship Id="rId60" Type="http://schemas.openxmlformats.org/officeDocument/2006/relationships/hyperlink" Target="http://www.nevo.co.il/law/4216"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 TargetMode="External"/><Relationship Id="rId13" Type="http://schemas.openxmlformats.org/officeDocument/2006/relationships/hyperlink" Target="http://www.nevo.co.il/law/4216/19;13.a" TargetMode="External"/><Relationship Id="rId18" Type="http://schemas.openxmlformats.org/officeDocument/2006/relationships/hyperlink" Target="http://www.nevo.co.il/case/20033641" TargetMode="External"/><Relationship Id="rId39" Type="http://schemas.openxmlformats.org/officeDocument/2006/relationships/hyperlink" Target="http://www.nevo.co.il/case/18793360" TargetMode="External"/><Relationship Id="rId34" Type="http://schemas.openxmlformats.org/officeDocument/2006/relationships/hyperlink" Target="http://www.nevo.co.il/case/6246447" TargetMode="External"/><Relationship Id="rId50" Type="http://schemas.openxmlformats.org/officeDocument/2006/relationships/hyperlink" Target="http://www.nevo.co.il/case/20159024" TargetMode="External"/><Relationship Id="rId55" Type="http://schemas.openxmlformats.org/officeDocument/2006/relationships/hyperlink" Target="http://www.nevo.co.il/case/231331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6520</Words>
  <Characters>32605</Characters>
  <Application>Microsoft Office Word</Application>
  <DocSecurity>0</DocSecurity>
  <Lines>271</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39047</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8257637</vt:i4>
      </vt:variant>
      <vt:variant>
        <vt:i4>159</vt:i4>
      </vt:variant>
      <vt:variant>
        <vt:i4>0</vt:i4>
      </vt:variant>
      <vt:variant>
        <vt:i4>5</vt:i4>
      </vt:variant>
      <vt:variant>
        <vt:lpwstr>http://www.nevo.co.il/law/4216</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3342448</vt:i4>
      </vt:variant>
      <vt:variant>
        <vt:i4>150</vt:i4>
      </vt:variant>
      <vt:variant>
        <vt:i4>0</vt:i4>
      </vt:variant>
      <vt:variant>
        <vt:i4>5</vt:i4>
      </vt:variant>
      <vt:variant>
        <vt:lpwstr>http://www.nevo.co.il/case/22938500</vt:lpwstr>
      </vt:variant>
      <vt:variant>
        <vt:lpwstr/>
      </vt:variant>
      <vt:variant>
        <vt:i4>6619233</vt:i4>
      </vt:variant>
      <vt:variant>
        <vt:i4>147</vt:i4>
      </vt:variant>
      <vt:variant>
        <vt:i4>0</vt:i4>
      </vt:variant>
      <vt:variant>
        <vt:i4>5</vt:i4>
      </vt:variant>
      <vt:variant>
        <vt:lpwstr>http://www.nevo.co.il/law/70301/40d</vt:lpwstr>
      </vt:variant>
      <vt:variant>
        <vt:lpwstr/>
      </vt:variant>
      <vt:variant>
        <vt:i4>3342453</vt:i4>
      </vt:variant>
      <vt:variant>
        <vt:i4>144</vt:i4>
      </vt:variant>
      <vt:variant>
        <vt:i4>0</vt:i4>
      </vt:variant>
      <vt:variant>
        <vt:i4>5</vt:i4>
      </vt:variant>
      <vt:variant>
        <vt:lpwstr>http://www.nevo.co.il/case/23133132</vt:lpwstr>
      </vt:variant>
      <vt:variant>
        <vt:lpwstr/>
      </vt:variant>
      <vt:variant>
        <vt:i4>4128882</vt:i4>
      </vt:variant>
      <vt:variant>
        <vt:i4>141</vt:i4>
      </vt:variant>
      <vt:variant>
        <vt:i4>0</vt:i4>
      </vt:variant>
      <vt:variant>
        <vt:i4>5</vt:i4>
      </vt:variant>
      <vt:variant>
        <vt:lpwstr>http://www.nevo.co.il/case/20468011</vt:lpwstr>
      </vt:variant>
      <vt:variant>
        <vt:lpwstr/>
      </vt:variant>
      <vt:variant>
        <vt:i4>3276927</vt:i4>
      </vt:variant>
      <vt:variant>
        <vt:i4>138</vt:i4>
      </vt:variant>
      <vt:variant>
        <vt:i4>0</vt:i4>
      </vt:variant>
      <vt:variant>
        <vt:i4>5</vt:i4>
      </vt:variant>
      <vt:variant>
        <vt:lpwstr>http://www.nevo.co.il/case/21694329</vt:lpwstr>
      </vt:variant>
      <vt:variant>
        <vt:lpwstr/>
      </vt:variant>
      <vt:variant>
        <vt:i4>3932277</vt:i4>
      </vt:variant>
      <vt:variant>
        <vt:i4>135</vt:i4>
      </vt:variant>
      <vt:variant>
        <vt:i4>0</vt:i4>
      </vt:variant>
      <vt:variant>
        <vt:i4>5</vt:i4>
      </vt:variant>
      <vt:variant>
        <vt:lpwstr>http://www.nevo.co.il/case/22518236</vt:lpwstr>
      </vt:variant>
      <vt:variant>
        <vt:lpwstr/>
      </vt:variant>
      <vt:variant>
        <vt:i4>3407991</vt:i4>
      </vt:variant>
      <vt:variant>
        <vt:i4>132</vt:i4>
      </vt:variant>
      <vt:variant>
        <vt:i4>0</vt:i4>
      </vt:variant>
      <vt:variant>
        <vt:i4>5</vt:i4>
      </vt:variant>
      <vt:variant>
        <vt:lpwstr>http://www.nevo.co.il/case/24978079</vt:lpwstr>
      </vt:variant>
      <vt:variant>
        <vt:lpwstr/>
      </vt:variant>
      <vt:variant>
        <vt:i4>3670129</vt:i4>
      </vt:variant>
      <vt:variant>
        <vt:i4>129</vt:i4>
      </vt:variant>
      <vt:variant>
        <vt:i4>0</vt:i4>
      </vt:variant>
      <vt:variant>
        <vt:i4>5</vt:i4>
      </vt:variant>
      <vt:variant>
        <vt:lpwstr>http://www.nevo.co.il/case/20159024</vt:lpwstr>
      </vt:variant>
      <vt:variant>
        <vt:lpwstr/>
      </vt:variant>
      <vt:variant>
        <vt:i4>3997809</vt:i4>
      </vt:variant>
      <vt:variant>
        <vt:i4>126</vt:i4>
      </vt:variant>
      <vt:variant>
        <vt:i4>0</vt:i4>
      </vt:variant>
      <vt:variant>
        <vt:i4>5</vt:i4>
      </vt:variant>
      <vt:variant>
        <vt:lpwstr>http://www.nevo.co.il/case/25977712</vt:lpwstr>
      </vt:variant>
      <vt:variant>
        <vt:lpwstr/>
      </vt:variant>
      <vt:variant>
        <vt:i4>4063345</vt:i4>
      </vt:variant>
      <vt:variant>
        <vt:i4>123</vt:i4>
      </vt:variant>
      <vt:variant>
        <vt:i4>0</vt:i4>
      </vt:variant>
      <vt:variant>
        <vt:i4>5</vt:i4>
      </vt:variant>
      <vt:variant>
        <vt:lpwstr>http://www.nevo.co.il/case/21976333</vt:lpwstr>
      </vt:variant>
      <vt:variant>
        <vt:lpwstr/>
      </vt:variant>
      <vt:variant>
        <vt:i4>3342458</vt:i4>
      </vt:variant>
      <vt:variant>
        <vt:i4>120</vt:i4>
      </vt:variant>
      <vt:variant>
        <vt:i4>0</vt:i4>
      </vt:variant>
      <vt:variant>
        <vt:i4>5</vt:i4>
      </vt:variant>
      <vt:variant>
        <vt:lpwstr>http://www.nevo.co.il/case/23656815</vt:lpwstr>
      </vt:variant>
      <vt:variant>
        <vt:lpwstr/>
      </vt:variant>
      <vt:variant>
        <vt:i4>3473524</vt:i4>
      </vt:variant>
      <vt:variant>
        <vt:i4>117</vt:i4>
      </vt:variant>
      <vt:variant>
        <vt:i4>0</vt:i4>
      </vt:variant>
      <vt:variant>
        <vt:i4>5</vt:i4>
      </vt:variant>
      <vt:variant>
        <vt:lpwstr>http://www.nevo.co.il/case/23756666</vt:lpwstr>
      </vt:variant>
      <vt:variant>
        <vt:lpwstr/>
      </vt:variant>
      <vt:variant>
        <vt:i4>3473526</vt:i4>
      </vt:variant>
      <vt:variant>
        <vt:i4>114</vt:i4>
      </vt:variant>
      <vt:variant>
        <vt:i4>0</vt:i4>
      </vt:variant>
      <vt:variant>
        <vt:i4>5</vt:i4>
      </vt:variant>
      <vt:variant>
        <vt:lpwstr>http://www.nevo.co.il/case/25044333</vt:lpwstr>
      </vt:variant>
      <vt:variant>
        <vt:lpwstr/>
      </vt:variant>
      <vt:variant>
        <vt:i4>4063350</vt:i4>
      </vt:variant>
      <vt:variant>
        <vt:i4>111</vt:i4>
      </vt:variant>
      <vt:variant>
        <vt:i4>0</vt:i4>
      </vt:variant>
      <vt:variant>
        <vt:i4>5</vt:i4>
      </vt:variant>
      <vt:variant>
        <vt:lpwstr>http://www.nevo.co.il/case/25469114</vt:lpwstr>
      </vt:variant>
      <vt:variant>
        <vt:lpwstr/>
      </vt:variant>
      <vt:variant>
        <vt:i4>3407985</vt:i4>
      </vt:variant>
      <vt:variant>
        <vt:i4>108</vt:i4>
      </vt:variant>
      <vt:variant>
        <vt:i4>0</vt:i4>
      </vt:variant>
      <vt:variant>
        <vt:i4>5</vt:i4>
      </vt:variant>
      <vt:variant>
        <vt:lpwstr>http://www.nevo.co.il/case/20909561</vt:lpwstr>
      </vt:variant>
      <vt:variant>
        <vt:lpwstr/>
      </vt:variant>
      <vt:variant>
        <vt:i4>3539059</vt:i4>
      </vt:variant>
      <vt:variant>
        <vt:i4>105</vt:i4>
      </vt:variant>
      <vt:variant>
        <vt:i4>0</vt:i4>
      </vt:variant>
      <vt:variant>
        <vt:i4>5</vt:i4>
      </vt:variant>
      <vt:variant>
        <vt:lpwstr>http://www.nevo.co.il/case/25066429</vt:lpwstr>
      </vt:variant>
      <vt:variant>
        <vt:lpwstr/>
      </vt:variant>
      <vt:variant>
        <vt:i4>3145853</vt:i4>
      </vt:variant>
      <vt:variant>
        <vt:i4>102</vt:i4>
      </vt:variant>
      <vt:variant>
        <vt:i4>0</vt:i4>
      </vt:variant>
      <vt:variant>
        <vt:i4>5</vt:i4>
      </vt:variant>
      <vt:variant>
        <vt:lpwstr>http://www.nevo.co.il/case/18809103</vt:lpwstr>
      </vt:variant>
      <vt:variant>
        <vt:lpwstr/>
      </vt:variant>
      <vt:variant>
        <vt:i4>3670131</vt:i4>
      </vt:variant>
      <vt:variant>
        <vt:i4>99</vt:i4>
      </vt:variant>
      <vt:variant>
        <vt:i4>0</vt:i4>
      </vt:variant>
      <vt:variant>
        <vt:i4>5</vt:i4>
      </vt:variant>
      <vt:variant>
        <vt:lpwstr>http://www.nevo.co.il/case/22832600</vt:lpwstr>
      </vt:variant>
      <vt:variant>
        <vt:lpwstr/>
      </vt:variant>
      <vt:variant>
        <vt:i4>3342454</vt:i4>
      </vt:variant>
      <vt:variant>
        <vt:i4>96</vt:i4>
      </vt:variant>
      <vt:variant>
        <vt:i4>0</vt:i4>
      </vt:variant>
      <vt:variant>
        <vt:i4>5</vt:i4>
      </vt:variant>
      <vt:variant>
        <vt:lpwstr>http://www.nevo.co.il/case/18793360</vt:lpwstr>
      </vt:variant>
      <vt:variant>
        <vt:lpwstr/>
      </vt:variant>
      <vt:variant>
        <vt:i4>3276917</vt:i4>
      </vt:variant>
      <vt:variant>
        <vt:i4>93</vt:i4>
      </vt:variant>
      <vt:variant>
        <vt:i4>0</vt:i4>
      </vt:variant>
      <vt:variant>
        <vt:i4>5</vt:i4>
      </vt:variant>
      <vt:variant>
        <vt:lpwstr>http://www.nevo.co.il/case/20787902</vt:lpwstr>
      </vt:variant>
      <vt:variant>
        <vt:lpwstr/>
      </vt:variant>
      <vt:variant>
        <vt:i4>3604598</vt:i4>
      </vt:variant>
      <vt:variant>
        <vt:i4>90</vt:i4>
      </vt:variant>
      <vt:variant>
        <vt:i4>0</vt:i4>
      </vt:variant>
      <vt:variant>
        <vt:i4>5</vt:i4>
      </vt:variant>
      <vt:variant>
        <vt:lpwstr>http://www.nevo.co.il/case/25066135</vt:lpwstr>
      </vt:variant>
      <vt:variant>
        <vt:lpwstr/>
      </vt:variant>
      <vt:variant>
        <vt:i4>3735664</vt:i4>
      </vt:variant>
      <vt:variant>
        <vt:i4>87</vt:i4>
      </vt:variant>
      <vt:variant>
        <vt:i4>0</vt:i4>
      </vt:variant>
      <vt:variant>
        <vt:i4>5</vt:i4>
      </vt:variant>
      <vt:variant>
        <vt:lpwstr>http://www.nevo.co.il/case/17942734</vt:lpwstr>
      </vt:variant>
      <vt:variant>
        <vt:lpwstr/>
      </vt:variant>
      <vt:variant>
        <vt:i4>3866750</vt:i4>
      </vt:variant>
      <vt:variant>
        <vt:i4>84</vt:i4>
      </vt:variant>
      <vt:variant>
        <vt:i4>0</vt:i4>
      </vt:variant>
      <vt:variant>
        <vt:i4>5</vt:i4>
      </vt:variant>
      <vt:variant>
        <vt:lpwstr>http://www.nevo.co.il/case/6159820</vt:lpwstr>
      </vt:variant>
      <vt:variant>
        <vt:lpwstr/>
      </vt:variant>
      <vt:variant>
        <vt:i4>3211380</vt:i4>
      </vt:variant>
      <vt:variant>
        <vt:i4>81</vt:i4>
      </vt:variant>
      <vt:variant>
        <vt:i4>0</vt:i4>
      </vt:variant>
      <vt:variant>
        <vt:i4>5</vt:i4>
      </vt:variant>
      <vt:variant>
        <vt:lpwstr>http://www.nevo.co.il/case/6246447</vt:lpwstr>
      </vt:variant>
      <vt:variant>
        <vt:lpwstr/>
      </vt:variant>
      <vt:variant>
        <vt:i4>3145846</vt:i4>
      </vt:variant>
      <vt:variant>
        <vt:i4>78</vt:i4>
      </vt:variant>
      <vt:variant>
        <vt:i4>0</vt:i4>
      </vt:variant>
      <vt:variant>
        <vt:i4>5</vt:i4>
      </vt:variant>
      <vt:variant>
        <vt:lpwstr>http://www.nevo.co.il/case/5701742</vt:lpwstr>
      </vt:variant>
      <vt:variant>
        <vt:lpwstr/>
      </vt:variant>
      <vt:variant>
        <vt:i4>3997817</vt:i4>
      </vt:variant>
      <vt:variant>
        <vt:i4>75</vt:i4>
      </vt:variant>
      <vt:variant>
        <vt:i4>0</vt:i4>
      </vt:variant>
      <vt:variant>
        <vt:i4>5</vt:i4>
      </vt:variant>
      <vt:variant>
        <vt:lpwstr>http://www.nevo.co.il/case/6094597</vt:lpwstr>
      </vt:variant>
      <vt:variant>
        <vt:lpwstr/>
      </vt:variant>
      <vt:variant>
        <vt:i4>3866738</vt:i4>
      </vt:variant>
      <vt:variant>
        <vt:i4>72</vt:i4>
      </vt:variant>
      <vt:variant>
        <vt:i4>0</vt:i4>
      </vt:variant>
      <vt:variant>
        <vt:i4>5</vt:i4>
      </vt:variant>
      <vt:variant>
        <vt:lpwstr>http://www.nevo.co.il/case/5726579</vt:lpwstr>
      </vt:variant>
      <vt:variant>
        <vt:lpwstr/>
      </vt:variant>
      <vt:variant>
        <vt:i4>4128881</vt:i4>
      </vt:variant>
      <vt:variant>
        <vt:i4>69</vt:i4>
      </vt:variant>
      <vt:variant>
        <vt:i4>0</vt:i4>
      </vt:variant>
      <vt:variant>
        <vt:i4>5</vt:i4>
      </vt:variant>
      <vt:variant>
        <vt:lpwstr>http://www.nevo.co.il/case/5585052</vt:lpwstr>
      </vt:variant>
      <vt:variant>
        <vt:lpwstr/>
      </vt:variant>
      <vt:variant>
        <vt:i4>4063353</vt:i4>
      </vt:variant>
      <vt:variant>
        <vt:i4>66</vt:i4>
      </vt:variant>
      <vt:variant>
        <vt:i4>0</vt:i4>
      </vt:variant>
      <vt:variant>
        <vt:i4>5</vt:i4>
      </vt:variant>
      <vt:variant>
        <vt:lpwstr>http://www.nevo.co.il/case/20683594</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4128881</vt:i4>
      </vt:variant>
      <vt:variant>
        <vt:i4>60</vt:i4>
      </vt:variant>
      <vt:variant>
        <vt:i4>0</vt:i4>
      </vt:variant>
      <vt:variant>
        <vt:i4>5</vt:i4>
      </vt:variant>
      <vt:variant>
        <vt:lpwstr>http://www.nevo.co.il/case/5585052</vt:lpwstr>
      </vt:variant>
      <vt:variant>
        <vt:lpwstr/>
      </vt:variant>
      <vt:variant>
        <vt:i4>3866742</vt:i4>
      </vt:variant>
      <vt:variant>
        <vt:i4>57</vt:i4>
      </vt:variant>
      <vt:variant>
        <vt:i4>0</vt:i4>
      </vt:variant>
      <vt:variant>
        <vt:i4>5</vt:i4>
      </vt:variant>
      <vt:variant>
        <vt:lpwstr>http://www.nevo.co.il/case/5753269</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3407990</vt:i4>
      </vt:variant>
      <vt:variant>
        <vt:i4>51</vt:i4>
      </vt:variant>
      <vt:variant>
        <vt:i4>0</vt:i4>
      </vt:variant>
      <vt:variant>
        <vt:i4>5</vt:i4>
      </vt:variant>
      <vt:variant>
        <vt:lpwstr>http://www.nevo.co.il/case/5787128</vt:lpwstr>
      </vt:variant>
      <vt:variant>
        <vt:lpwstr/>
      </vt:variant>
      <vt:variant>
        <vt:i4>3997809</vt:i4>
      </vt:variant>
      <vt:variant>
        <vt:i4>48</vt:i4>
      </vt:variant>
      <vt:variant>
        <vt:i4>0</vt:i4>
      </vt:variant>
      <vt:variant>
        <vt:i4>5</vt:i4>
      </vt:variant>
      <vt:variant>
        <vt:lpwstr>http://www.nevo.co.il/case/5583030</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3670140</vt:i4>
      </vt:variant>
      <vt:variant>
        <vt:i4>42</vt:i4>
      </vt:variant>
      <vt:variant>
        <vt:i4>0</vt:i4>
      </vt:variant>
      <vt:variant>
        <vt:i4>5</vt:i4>
      </vt:variant>
      <vt:variant>
        <vt:lpwstr>http://www.nevo.co.il/case/23825973</vt:lpwstr>
      </vt:variant>
      <vt:variant>
        <vt:lpwstr/>
      </vt:variant>
      <vt:variant>
        <vt:i4>3735670</vt:i4>
      </vt:variant>
      <vt:variant>
        <vt:i4>39</vt:i4>
      </vt:variant>
      <vt:variant>
        <vt:i4>0</vt:i4>
      </vt:variant>
      <vt:variant>
        <vt:i4>5</vt:i4>
      </vt:variant>
      <vt:variant>
        <vt:lpwstr>http://www.nevo.co.il/case/23133293</vt:lpwstr>
      </vt:variant>
      <vt:variant>
        <vt:lpwstr/>
      </vt:variant>
      <vt:variant>
        <vt:i4>3539057</vt:i4>
      </vt:variant>
      <vt:variant>
        <vt:i4>36</vt:i4>
      </vt:variant>
      <vt:variant>
        <vt:i4>0</vt:i4>
      </vt:variant>
      <vt:variant>
        <vt:i4>5</vt:i4>
      </vt:variant>
      <vt:variant>
        <vt:lpwstr>http://www.nevo.co.il/case/7958246</vt:lpwstr>
      </vt:variant>
      <vt:variant>
        <vt:lpwstr/>
      </vt:variant>
      <vt:variant>
        <vt:i4>3473521</vt:i4>
      </vt:variant>
      <vt:variant>
        <vt:i4>33</vt:i4>
      </vt:variant>
      <vt:variant>
        <vt:i4>0</vt:i4>
      </vt:variant>
      <vt:variant>
        <vt:i4>5</vt:i4>
      </vt:variant>
      <vt:variant>
        <vt:lpwstr>http://www.nevo.co.il/case/20033641</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8257637</vt:i4>
      </vt:variant>
      <vt:variant>
        <vt:i4>21</vt:i4>
      </vt:variant>
      <vt:variant>
        <vt:i4>0</vt:i4>
      </vt:variant>
      <vt:variant>
        <vt:i4>5</vt:i4>
      </vt:variant>
      <vt:variant>
        <vt:lpwstr>http://www.nevo.co.il/law/4216</vt:lpwstr>
      </vt:variant>
      <vt:variant>
        <vt:lpwstr/>
      </vt:variant>
      <vt:variant>
        <vt:i4>2490476</vt:i4>
      </vt:variant>
      <vt:variant>
        <vt:i4>18</vt:i4>
      </vt:variant>
      <vt:variant>
        <vt:i4>0</vt:i4>
      </vt:variant>
      <vt:variant>
        <vt:i4>5</vt:i4>
      </vt:variant>
      <vt:variant>
        <vt:lpwstr>http://www.nevo.co.il/law/4216/19;13.a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44694</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אביב עמר</vt:lpwstr>
  </property>
  <property fmtid="{D5CDD505-2E9C-101B-9397-08002B2CF9AE}" pid="10" name="LAWYER">
    <vt:lpwstr>מיקי ברגר;יוסי דגה;קובי אבוטבול</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20191127</vt:lpwstr>
  </property>
  <property fmtid="{D5CDD505-2E9C-101B-9397-08002B2CF9AE}" pid="14" name="TYPE_N_DATE">
    <vt:lpwstr>38020191127</vt:lpwstr>
  </property>
  <property fmtid="{D5CDD505-2E9C-101B-9397-08002B2CF9AE}" pid="15" name="CASESLISTTMP1">
    <vt:lpwstr>5573417;13093721;20033641;7958246;23133293;23825973;5738608;5583030;5787128;5988308;5753269;5585052:2;5786821;20683594;5726579;6094597;5701742;6246447;6159820;17942734;25066135;20787902;18793360;22832600;18809103;25066429;20909561;25469114;25044333</vt:lpwstr>
  </property>
  <property fmtid="{D5CDD505-2E9C-101B-9397-08002B2CF9AE}" pid="16" name="CASESLISTTMP2">
    <vt:lpwstr>23756666;23656815;21976333;25977712;20159024;24978079;22518236;21694329;20468011;23133132;22938500</vt:lpwstr>
  </property>
  <property fmtid="{D5CDD505-2E9C-101B-9397-08002B2CF9AE}" pid="17" name="CASENOTES1">
    <vt:lpwstr>ProcID=209&amp;PartA=8113&amp;PartC=08</vt:lpwstr>
  </property>
  <property fmtid="{D5CDD505-2E9C-101B-9397-08002B2CF9AE}" pid="18" name="CASENOTES2">
    <vt:lpwstr>ProcID=209&amp;PartA=912&amp;PartB=07&amp;PartC=20</vt:lpwstr>
  </property>
  <property fmtid="{D5CDD505-2E9C-101B-9397-08002B2CF9AE}" pid="19" name="CASENOTES3">
    <vt:lpwstr>ProcID=213&amp;PartA=24&amp;PartC=25</vt:lpwstr>
  </property>
  <property fmtid="{D5CDD505-2E9C-101B-9397-08002B2CF9AE}" pid="20" name="WORDNUMPAGES">
    <vt:lpwstr>24</vt:lpwstr>
  </property>
  <property fmtid="{D5CDD505-2E9C-101B-9397-08002B2CF9AE}" pid="21" name="TYPE_ABS_DATE">
    <vt:lpwstr>380020191127</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4216/019:2;013.a:2</vt:lpwstr>
  </property>
  <property fmtid="{D5CDD505-2E9C-101B-9397-08002B2CF9AE}" pid="41" name="LAWLISTTMP2">
    <vt:lpwstr>70301/40jc:2;040d:2</vt:lpwstr>
  </property>
</Properties>
</file>