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0"/>
        <w:gridCol w:w="3573"/>
      </w:tblGrid>
      <w:tr w:rsidR="00A86802" w:rsidRPr="004A3208" w14:paraId="76CDDECE" w14:textId="77777777" w:rsidTr="00DD459D">
        <w:trPr>
          <w:trHeight w:hRule="exact" w:val="418"/>
          <w:jc w:val="center"/>
        </w:trPr>
        <w:tc>
          <w:tcPr>
            <w:tcW w:w="8523" w:type="dxa"/>
            <w:gridSpan w:val="2"/>
          </w:tcPr>
          <w:p w14:paraId="69B24354" w14:textId="77777777" w:rsidR="00A86802" w:rsidRPr="004A3208" w:rsidRDefault="00A86802" w:rsidP="0000236E">
            <w:pPr>
              <w:pStyle w:val="a3"/>
              <w:jc w:val="center"/>
              <w:rPr>
                <w:rFonts w:ascii="Tahoma" w:hAnsi="Tahoma"/>
                <w:color w:val="000080"/>
                <w:sz w:val="32"/>
                <w:szCs w:val="32"/>
                <w:rtl/>
              </w:rPr>
            </w:pPr>
            <w:bookmarkStart w:id="0" w:name="LastJudge"/>
            <w:r w:rsidRPr="004A3208">
              <w:rPr>
                <w:rFonts w:ascii="Tahoma" w:hAnsi="Tahoma"/>
                <w:b/>
                <w:bCs/>
                <w:color w:val="000080"/>
                <w:sz w:val="32"/>
                <w:szCs w:val="32"/>
                <w:rtl/>
              </w:rPr>
              <w:t>בית משפט השלום בתל אביב - יפו</w:t>
            </w:r>
          </w:p>
        </w:tc>
      </w:tr>
      <w:tr w:rsidR="00A86802" w:rsidRPr="004A3208" w14:paraId="084327B8" w14:textId="77777777" w:rsidTr="00DD459D">
        <w:trPr>
          <w:trHeight w:val="337"/>
          <w:jc w:val="center"/>
        </w:trPr>
        <w:tc>
          <w:tcPr>
            <w:tcW w:w="4950" w:type="dxa"/>
          </w:tcPr>
          <w:p w14:paraId="52E97740" w14:textId="77777777" w:rsidR="00A86802" w:rsidRPr="004A3208" w:rsidRDefault="00A86802" w:rsidP="0000236E">
            <w:pPr>
              <w:rPr>
                <w:sz w:val="26"/>
                <w:szCs w:val="26"/>
                <w:rtl/>
              </w:rPr>
            </w:pPr>
            <w:r w:rsidRPr="004A3208">
              <w:rPr>
                <w:sz w:val="26"/>
                <w:szCs w:val="26"/>
                <w:rtl/>
              </w:rPr>
              <w:t>ת"פ</w:t>
            </w:r>
            <w:r w:rsidRPr="004A3208">
              <w:rPr>
                <w:rFonts w:hint="cs"/>
                <w:sz w:val="26"/>
                <w:szCs w:val="26"/>
                <w:rtl/>
              </w:rPr>
              <w:t xml:space="preserve"> </w:t>
            </w:r>
            <w:r w:rsidRPr="004A3208">
              <w:rPr>
                <w:sz w:val="26"/>
                <w:szCs w:val="26"/>
                <w:rtl/>
              </w:rPr>
              <w:t>51139-10-18</w:t>
            </w:r>
            <w:r w:rsidRPr="004A3208">
              <w:rPr>
                <w:rFonts w:hint="cs"/>
                <w:sz w:val="26"/>
                <w:szCs w:val="26"/>
                <w:rtl/>
              </w:rPr>
              <w:t xml:space="preserve"> </w:t>
            </w:r>
            <w:r w:rsidRPr="004A3208">
              <w:rPr>
                <w:sz w:val="26"/>
                <w:szCs w:val="26"/>
                <w:rtl/>
              </w:rPr>
              <w:t>מדינת ישראל נ' HALED</w:t>
            </w:r>
          </w:p>
        </w:tc>
        <w:tc>
          <w:tcPr>
            <w:tcW w:w="3573" w:type="dxa"/>
          </w:tcPr>
          <w:p w14:paraId="6190BA2C" w14:textId="77777777" w:rsidR="00A86802" w:rsidRPr="004A3208" w:rsidRDefault="00A86802" w:rsidP="0000236E">
            <w:pPr>
              <w:pStyle w:val="a3"/>
              <w:jc w:val="right"/>
              <w:rPr>
                <w:rFonts w:cs="FrankRuehl"/>
                <w:sz w:val="28"/>
                <w:szCs w:val="28"/>
                <w:rtl/>
              </w:rPr>
            </w:pPr>
          </w:p>
        </w:tc>
      </w:tr>
    </w:tbl>
    <w:p w14:paraId="13576961" w14:textId="77777777" w:rsidR="00A86802" w:rsidRPr="004A3208" w:rsidRDefault="00A86802" w:rsidP="00A86802">
      <w:pPr>
        <w:pStyle w:val="a3"/>
        <w:rPr>
          <w:rtl/>
        </w:rPr>
      </w:pPr>
      <w:r w:rsidRPr="004A3208">
        <w:rPr>
          <w:rFonts w:hint="cs"/>
          <w:rtl/>
        </w:rPr>
        <w:t xml:space="preserve"> </w:t>
      </w:r>
    </w:p>
    <w:p w14:paraId="1B72762C" w14:textId="77777777" w:rsidR="00A86802" w:rsidRPr="004A3208" w:rsidRDefault="00A86802" w:rsidP="00A86802">
      <w:pPr>
        <w:rPr>
          <w:rtl/>
        </w:rPr>
      </w:pPr>
    </w:p>
    <w:p w14:paraId="112C37D9" w14:textId="77777777" w:rsidR="00A86802" w:rsidRPr="004A3208" w:rsidRDefault="00A86802" w:rsidP="00A8680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48"/>
        <w:gridCol w:w="3377"/>
      </w:tblGrid>
      <w:tr w:rsidR="00A86802" w:rsidRPr="004A3208" w14:paraId="5DF6A387" w14:textId="77777777" w:rsidTr="00A86802">
        <w:trPr>
          <w:trHeight w:val="295"/>
          <w:jc w:val="center"/>
        </w:trPr>
        <w:tc>
          <w:tcPr>
            <w:tcW w:w="8820" w:type="dxa"/>
            <w:gridSpan w:val="3"/>
            <w:tcBorders>
              <w:top w:val="nil"/>
              <w:left w:val="nil"/>
              <w:bottom w:val="nil"/>
              <w:right w:val="nil"/>
            </w:tcBorders>
            <w:shd w:val="clear" w:color="auto" w:fill="auto"/>
          </w:tcPr>
          <w:p w14:paraId="68674CB5" w14:textId="77777777" w:rsidR="00A86802" w:rsidRPr="004A3208" w:rsidRDefault="00A86802" w:rsidP="00A86802">
            <w:pPr>
              <w:jc w:val="both"/>
              <w:rPr>
                <w:rFonts w:ascii="Arial" w:hAnsi="Arial"/>
                <w:b/>
                <w:bCs/>
                <w:sz w:val="26"/>
                <w:szCs w:val="26"/>
              </w:rPr>
            </w:pPr>
            <w:r w:rsidRPr="004A3208">
              <w:rPr>
                <w:rFonts w:ascii="Arial" w:hAnsi="Arial" w:hint="cs"/>
                <w:b/>
                <w:bCs/>
                <w:sz w:val="26"/>
                <w:szCs w:val="26"/>
                <w:rtl/>
              </w:rPr>
              <w:t>ל</w:t>
            </w:r>
            <w:r w:rsidRPr="004A3208">
              <w:rPr>
                <w:rFonts w:ascii="Arial" w:hAnsi="Arial"/>
                <w:b/>
                <w:bCs/>
                <w:sz w:val="26"/>
                <w:szCs w:val="26"/>
                <w:rtl/>
              </w:rPr>
              <w:t xml:space="preserve">פני </w:t>
            </w:r>
            <w:r w:rsidRPr="004A3208">
              <w:rPr>
                <w:rFonts w:ascii="Arial" w:hAnsi="Arial" w:hint="cs"/>
                <w:b/>
                <w:bCs/>
                <w:sz w:val="26"/>
                <w:szCs w:val="26"/>
                <w:rtl/>
              </w:rPr>
              <w:t>כבוד ה</w:t>
            </w:r>
            <w:r w:rsidRPr="004A3208">
              <w:rPr>
                <w:rFonts w:ascii="Arial" w:hAnsi="Arial"/>
                <w:b/>
                <w:bCs/>
                <w:sz w:val="26"/>
                <w:szCs w:val="26"/>
                <w:rtl/>
              </w:rPr>
              <w:t xml:space="preserve">שופט </w:t>
            </w:r>
            <w:r w:rsidRPr="004A3208">
              <w:rPr>
                <w:rFonts w:ascii="Arial" w:hAnsi="Arial" w:hint="cs"/>
                <w:b/>
                <w:bCs/>
                <w:sz w:val="26"/>
                <w:szCs w:val="26"/>
                <w:rtl/>
              </w:rPr>
              <w:t>ה</w:t>
            </w:r>
            <w:r w:rsidRPr="004A3208">
              <w:rPr>
                <w:rFonts w:ascii="Arial" w:hAnsi="Arial"/>
                <w:b/>
                <w:bCs/>
                <w:sz w:val="26"/>
                <w:szCs w:val="26"/>
                <w:rtl/>
              </w:rPr>
              <w:t>עמית</w:t>
            </w:r>
            <w:r w:rsidRPr="004A3208">
              <w:rPr>
                <w:rFonts w:ascii="Arial" w:hAnsi="Arial" w:hint="cs"/>
                <w:b/>
                <w:bCs/>
                <w:sz w:val="26"/>
                <w:szCs w:val="26"/>
                <w:rtl/>
              </w:rPr>
              <w:t xml:space="preserve">  </w:t>
            </w:r>
            <w:r w:rsidRPr="004A3208">
              <w:rPr>
                <w:rFonts w:ascii="Arial" w:hAnsi="Arial"/>
                <w:b/>
                <w:bCs/>
                <w:sz w:val="26"/>
                <w:szCs w:val="26"/>
                <w:rtl/>
              </w:rPr>
              <w:t>דניאל בארי</w:t>
            </w:r>
          </w:p>
        </w:tc>
      </w:tr>
      <w:tr w:rsidR="00A86802" w:rsidRPr="004A3208" w14:paraId="501CAF52" w14:textId="77777777" w:rsidTr="00A86802">
        <w:trPr>
          <w:trHeight w:val="355"/>
          <w:jc w:val="center"/>
        </w:trPr>
        <w:tc>
          <w:tcPr>
            <w:tcW w:w="885" w:type="dxa"/>
            <w:tcBorders>
              <w:top w:val="nil"/>
              <w:left w:val="nil"/>
              <w:bottom w:val="nil"/>
              <w:right w:val="nil"/>
            </w:tcBorders>
            <w:shd w:val="clear" w:color="auto" w:fill="auto"/>
          </w:tcPr>
          <w:p w14:paraId="59EC61D6" w14:textId="77777777" w:rsidR="00A86802" w:rsidRPr="004A3208" w:rsidRDefault="00A86802" w:rsidP="00A86802">
            <w:pPr>
              <w:jc w:val="both"/>
              <w:rPr>
                <w:rFonts w:ascii="Arial" w:hAnsi="Arial"/>
                <w:b/>
                <w:bCs/>
                <w:sz w:val="26"/>
                <w:szCs w:val="26"/>
              </w:rPr>
            </w:pPr>
            <w:bookmarkStart w:id="1" w:name="FirstAppellant"/>
            <w:bookmarkStart w:id="2" w:name="FirstLawyer"/>
            <w:r w:rsidRPr="004A3208">
              <w:rPr>
                <w:rFonts w:ascii="Arial" w:hAnsi="Arial" w:hint="cs"/>
                <w:sz w:val="26"/>
                <w:szCs w:val="26"/>
                <w:rtl/>
              </w:rPr>
              <w:t>ה</w:t>
            </w:r>
            <w:r w:rsidRPr="004A3208">
              <w:rPr>
                <w:rFonts w:ascii="Arial" w:hAnsi="Arial"/>
                <w:sz w:val="26"/>
                <w:szCs w:val="26"/>
                <w:rtl/>
              </w:rPr>
              <w:t>מאשימה</w:t>
            </w:r>
          </w:p>
        </w:tc>
        <w:tc>
          <w:tcPr>
            <w:tcW w:w="4384" w:type="dxa"/>
            <w:tcBorders>
              <w:top w:val="nil"/>
              <w:left w:val="nil"/>
              <w:bottom w:val="nil"/>
              <w:right w:val="nil"/>
            </w:tcBorders>
            <w:shd w:val="clear" w:color="auto" w:fill="auto"/>
          </w:tcPr>
          <w:p w14:paraId="5C7228E1" w14:textId="77777777" w:rsidR="00A86802" w:rsidRPr="004A3208" w:rsidRDefault="00A86802" w:rsidP="0000236E">
            <w:pPr>
              <w:rPr>
                <w:sz w:val="26"/>
                <w:szCs w:val="26"/>
                <w:rtl/>
              </w:rPr>
            </w:pPr>
            <w:r w:rsidRPr="004A3208">
              <w:rPr>
                <w:rFonts w:ascii="Arial" w:hAnsi="Arial"/>
                <w:sz w:val="26"/>
                <w:szCs w:val="26"/>
                <w:rtl/>
              </w:rPr>
              <w:t>מדינת ישראל</w:t>
            </w:r>
          </w:p>
          <w:p w14:paraId="22972D49" w14:textId="77777777" w:rsidR="00A86802" w:rsidRPr="004A3208" w:rsidRDefault="00A86802" w:rsidP="0000236E">
            <w:pPr>
              <w:rPr>
                <w:sz w:val="26"/>
                <w:szCs w:val="26"/>
              </w:rPr>
            </w:pPr>
            <w:r w:rsidRPr="004A3208">
              <w:rPr>
                <w:rFonts w:hint="cs"/>
                <w:sz w:val="26"/>
                <w:szCs w:val="26"/>
                <w:rtl/>
              </w:rPr>
              <w:t xml:space="preserve">ע"י ב"כ עו"ד אילנה קיפניס </w:t>
            </w:r>
          </w:p>
        </w:tc>
        <w:tc>
          <w:tcPr>
            <w:tcW w:w="3551" w:type="dxa"/>
            <w:tcBorders>
              <w:top w:val="nil"/>
              <w:left w:val="nil"/>
              <w:bottom w:val="nil"/>
              <w:right w:val="nil"/>
            </w:tcBorders>
            <w:shd w:val="clear" w:color="auto" w:fill="auto"/>
          </w:tcPr>
          <w:p w14:paraId="1CB1126D" w14:textId="77777777" w:rsidR="00A86802" w:rsidRPr="004A3208" w:rsidRDefault="00A86802" w:rsidP="00A86802">
            <w:pPr>
              <w:jc w:val="both"/>
              <w:rPr>
                <w:rFonts w:ascii="Arial" w:hAnsi="Arial"/>
                <w:sz w:val="26"/>
                <w:szCs w:val="26"/>
              </w:rPr>
            </w:pPr>
          </w:p>
        </w:tc>
      </w:tr>
      <w:bookmarkEnd w:id="1"/>
      <w:bookmarkEnd w:id="2"/>
      <w:tr w:rsidR="00A86802" w:rsidRPr="004A3208" w14:paraId="48E16D1B" w14:textId="77777777" w:rsidTr="00A86802">
        <w:trPr>
          <w:trHeight w:val="373"/>
          <w:jc w:val="center"/>
        </w:trPr>
        <w:tc>
          <w:tcPr>
            <w:tcW w:w="885" w:type="dxa"/>
            <w:tcBorders>
              <w:top w:val="nil"/>
              <w:left w:val="nil"/>
              <w:bottom w:val="nil"/>
              <w:right w:val="nil"/>
            </w:tcBorders>
            <w:shd w:val="clear" w:color="auto" w:fill="auto"/>
          </w:tcPr>
          <w:p w14:paraId="777EC0D1" w14:textId="77777777" w:rsidR="00A86802" w:rsidRPr="004A3208" w:rsidRDefault="00A86802" w:rsidP="00A86802">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54B7FE92" w14:textId="77777777" w:rsidR="00A86802" w:rsidRPr="004A3208" w:rsidRDefault="00A86802" w:rsidP="00A86802">
            <w:pPr>
              <w:jc w:val="center"/>
              <w:rPr>
                <w:rFonts w:ascii="Arial" w:hAnsi="Arial"/>
                <w:b/>
                <w:bCs/>
                <w:sz w:val="26"/>
                <w:szCs w:val="26"/>
                <w:rtl/>
              </w:rPr>
            </w:pPr>
          </w:p>
          <w:p w14:paraId="31AE0F91" w14:textId="77777777" w:rsidR="00A86802" w:rsidRPr="004A3208" w:rsidRDefault="00A86802" w:rsidP="00A86802">
            <w:pPr>
              <w:jc w:val="center"/>
              <w:rPr>
                <w:rFonts w:ascii="Arial" w:hAnsi="Arial"/>
                <w:b/>
                <w:bCs/>
                <w:sz w:val="26"/>
                <w:szCs w:val="26"/>
                <w:rtl/>
              </w:rPr>
            </w:pPr>
            <w:r w:rsidRPr="004A3208">
              <w:rPr>
                <w:rFonts w:ascii="Arial" w:hAnsi="Arial"/>
                <w:b/>
                <w:bCs/>
                <w:sz w:val="26"/>
                <w:szCs w:val="26"/>
                <w:rtl/>
              </w:rPr>
              <w:t>נ</w:t>
            </w:r>
            <w:r w:rsidRPr="004A3208">
              <w:rPr>
                <w:rFonts w:ascii="Arial" w:hAnsi="Arial" w:hint="cs"/>
                <w:b/>
                <w:bCs/>
                <w:sz w:val="26"/>
                <w:szCs w:val="26"/>
                <w:rtl/>
              </w:rPr>
              <w:t xml:space="preserve"> </w:t>
            </w:r>
            <w:r w:rsidRPr="004A3208">
              <w:rPr>
                <w:rFonts w:ascii="Arial" w:hAnsi="Arial"/>
                <w:b/>
                <w:bCs/>
                <w:sz w:val="26"/>
                <w:szCs w:val="26"/>
                <w:rtl/>
              </w:rPr>
              <w:t>ג</w:t>
            </w:r>
            <w:r w:rsidRPr="004A3208">
              <w:rPr>
                <w:rFonts w:ascii="Arial" w:hAnsi="Arial" w:hint="cs"/>
                <w:b/>
                <w:bCs/>
                <w:sz w:val="26"/>
                <w:szCs w:val="26"/>
                <w:rtl/>
              </w:rPr>
              <w:t xml:space="preserve"> </w:t>
            </w:r>
            <w:r w:rsidRPr="004A3208">
              <w:rPr>
                <w:rFonts w:ascii="Arial" w:hAnsi="Arial"/>
                <w:b/>
                <w:bCs/>
                <w:sz w:val="26"/>
                <w:szCs w:val="26"/>
                <w:rtl/>
              </w:rPr>
              <w:t>ד</w:t>
            </w:r>
          </w:p>
          <w:p w14:paraId="7D97F00F" w14:textId="77777777" w:rsidR="00A86802" w:rsidRPr="004A3208" w:rsidRDefault="00A86802" w:rsidP="00A86802">
            <w:pPr>
              <w:jc w:val="both"/>
              <w:rPr>
                <w:rFonts w:ascii="Arial" w:hAnsi="Arial"/>
                <w:sz w:val="26"/>
                <w:szCs w:val="26"/>
              </w:rPr>
            </w:pPr>
          </w:p>
        </w:tc>
      </w:tr>
      <w:tr w:rsidR="00A86802" w:rsidRPr="004A3208" w14:paraId="179CEB2A" w14:textId="77777777" w:rsidTr="00A86802">
        <w:trPr>
          <w:trHeight w:val="355"/>
          <w:jc w:val="center"/>
        </w:trPr>
        <w:tc>
          <w:tcPr>
            <w:tcW w:w="885" w:type="dxa"/>
            <w:tcBorders>
              <w:top w:val="nil"/>
              <w:left w:val="nil"/>
              <w:bottom w:val="nil"/>
              <w:right w:val="nil"/>
            </w:tcBorders>
            <w:shd w:val="clear" w:color="auto" w:fill="auto"/>
          </w:tcPr>
          <w:p w14:paraId="0B236FD1" w14:textId="77777777" w:rsidR="00A86802" w:rsidRPr="004A3208" w:rsidRDefault="00A86802" w:rsidP="0000236E">
            <w:pPr>
              <w:rPr>
                <w:rFonts w:ascii="Arial" w:hAnsi="Arial"/>
                <w:sz w:val="26"/>
                <w:szCs w:val="26"/>
                <w:rtl/>
              </w:rPr>
            </w:pPr>
            <w:r w:rsidRPr="004A3208">
              <w:rPr>
                <w:rFonts w:ascii="Arial" w:hAnsi="Arial" w:hint="cs"/>
                <w:sz w:val="26"/>
                <w:szCs w:val="26"/>
                <w:rtl/>
              </w:rPr>
              <w:t>ה</w:t>
            </w:r>
            <w:r w:rsidRPr="004A3208">
              <w:rPr>
                <w:rFonts w:ascii="Arial" w:hAnsi="Arial"/>
                <w:sz w:val="26"/>
                <w:szCs w:val="26"/>
                <w:rtl/>
              </w:rPr>
              <w:t>נאש</w:t>
            </w:r>
            <w:r w:rsidRPr="004A3208">
              <w:rPr>
                <w:rFonts w:ascii="Arial" w:hAnsi="Arial" w:hint="cs"/>
                <w:sz w:val="26"/>
                <w:szCs w:val="26"/>
                <w:rtl/>
              </w:rPr>
              <w:t>ם</w:t>
            </w:r>
          </w:p>
        </w:tc>
        <w:tc>
          <w:tcPr>
            <w:tcW w:w="4384" w:type="dxa"/>
            <w:tcBorders>
              <w:top w:val="nil"/>
              <w:left w:val="nil"/>
              <w:bottom w:val="nil"/>
              <w:right w:val="nil"/>
            </w:tcBorders>
            <w:shd w:val="clear" w:color="auto" w:fill="auto"/>
          </w:tcPr>
          <w:p w14:paraId="69855195" w14:textId="77777777" w:rsidR="00A86802" w:rsidRPr="004A3208" w:rsidRDefault="00A86802" w:rsidP="0000236E">
            <w:pPr>
              <w:rPr>
                <w:sz w:val="26"/>
                <w:szCs w:val="26"/>
                <w:rtl/>
              </w:rPr>
            </w:pPr>
            <w:r w:rsidRPr="004A3208">
              <w:rPr>
                <w:rFonts w:ascii="Arial" w:hAnsi="Arial"/>
                <w:sz w:val="26"/>
                <w:szCs w:val="26"/>
              </w:rPr>
              <w:t>MOHAMMED HALED</w:t>
            </w:r>
          </w:p>
          <w:p w14:paraId="3A97A4DC" w14:textId="77777777" w:rsidR="00A86802" w:rsidRPr="004A3208" w:rsidRDefault="00A86802" w:rsidP="0000236E">
            <w:pPr>
              <w:rPr>
                <w:sz w:val="26"/>
                <w:szCs w:val="26"/>
                <w:rtl/>
              </w:rPr>
            </w:pPr>
            <w:r w:rsidRPr="004A3208">
              <w:rPr>
                <w:rFonts w:hint="cs"/>
                <w:sz w:val="26"/>
                <w:szCs w:val="26"/>
                <w:rtl/>
              </w:rPr>
              <w:t>ע"י ב"כ עו"ד שרון חזות</w:t>
            </w:r>
          </w:p>
        </w:tc>
        <w:tc>
          <w:tcPr>
            <w:tcW w:w="3551" w:type="dxa"/>
            <w:tcBorders>
              <w:top w:val="nil"/>
              <w:left w:val="nil"/>
              <w:bottom w:val="nil"/>
              <w:right w:val="nil"/>
            </w:tcBorders>
            <w:shd w:val="clear" w:color="auto" w:fill="auto"/>
          </w:tcPr>
          <w:p w14:paraId="669C5CB1" w14:textId="77777777" w:rsidR="00A86802" w:rsidRPr="004A3208" w:rsidRDefault="00A86802" w:rsidP="00A86802">
            <w:pPr>
              <w:jc w:val="right"/>
              <w:rPr>
                <w:rFonts w:ascii="Arial" w:hAnsi="Arial"/>
                <w:sz w:val="26"/>
                <w:szCs w:val="26"/>
              </w:rPr>
            </w:pPr>
          </w:p>
        </w:tc>
      </w:tr>
    </w:tbl>
    <w:p w14:paraId="79F65D35" w14:textId="77777777" w:rsidR="00DD459D" w:rsidRDefault="00DD459D" w:rsidP="004A3208">
      <w:pPr>
        <w:rPr>
          <w:rtl/>
        </w:rPr>
      </w:pPr>
      <w:bookmarkStart w:id="3" w:name="LawTable"/>
      <w:bookmarkEnd w:id="3"/>
    </w:p>
    <w:p w14:paraId="7B62A7DF" w14:textId="77777777" w:rsidR="00DD459D" w:rsidRPr="00DD459D" w:rsidRDefault="00DD459D" w:rsidP="00DD459D">
      <w:pPr>
        <w:spacing w:after="120" w:line="240" w:lineRule="exact"/>
        <w:ind w:left="283" w:hanging="283"/>
        <w:jc w:val="both"/>
        <w:rPr>
          <w:rFonts w:ascii="FrankRuehl" w:hAnsi="FrankRuehl" w:cs="FrankRuehl"/>
          <w:rtl/>
        </w:rPr>
      </w:pPr>
    </w:p>
    <w:p w14:paraId="12CF0C54" w14:textId="77777777" w:rsidR="00DD459D" w:rsidRPr="00DD459D" w:rsidRDefault="00DD459D" w:rsidP="00DD459D">
      <w:pPr>
        <w:spacing w:after="120" w:line="240" w:lineRule="exact"/>
        <w:ind w:left="283" w:hanging="283"/>
        <w:jc w:val="both"/>
        <w:rPr>
          <w:rFonts w:ascii="FrankRuehl" w:hAnsi="FrankRuehl" w:cs="FrankRuehl"/>
          <w:rtl/>
        </w:rPr>
      </w:pPr>
      <w:r w:rsidRPr="00DD459D">
        <w:rPr>
          <w:rFonts w:ascii="FrankRuehl" w:hAnsi="FrankRuehl" w:cs="FrankRuehl"/>
          <w:rtl/>
        </w:rPr>
        <w:t xml:space="preserve">חקיקה שאוזכרה: </w:t>
      </w:r>
    </w:p>
    <w:p w14:paraId="2C189ECD" w14:textId="77777777" w:rsidR="00DD459D" w:rsidRPr="00DD459D" w:rsidRDefault="00DD459D" w:rsidP="00DD459D">
      <w:pPr>
        <w:spacing w:after="120" w:line="240" w:lineRule="exact"/>
        <w:ind w:left="283" w:hanging="283"/>
        <w:jc w:val="both"/>
        <w:rPr>
          <w:rFonts w:ascii="FrankRuehl" w:hAnsi="FrankRuehl" w:cs="FrankRuehl"/>
          <w:color w:val="0000FF"/>
          <w:u w:val="single"/>
          <w:rtl/>
        </w:rPr>
      </w:pPr>
      <w:hyperlink r:id="rId6" w:history="1">
        <w:r w:rsidRPr="00DD459D">
          <w:rPr>
            <w:rStyle w:val="Hyperlink"/>
            <w:rFonts w:ascii="FrankRuehl" w:hAnsi="FrankRuehl" w:cs="FrankRuehl"/>
            <w:rtl/>
          </w:rPr>
          <w:t>חוק העונשין, תשל"ז-1977</w:t>
        </w:r>
      </w:hyperlink>
      <w:r w:rsidRPr="00DD459D">
        <w:rPr>
          <w:rFonts w:ascii="FrankRuehl" w:hAnsi="FrankRuehl" w:cs="FrankRuehl"/>
          <w:color w:val="0000FF"/>
          <w:u w:val="single"/>
          <w:rtl/>
        </w:rPr>
        <w:t xml:space="preserve">: סע'  </w:t>
      </w:r>
      <w:hyperlink r:id="rId7" w:history="1">
        <w:r w:rsidRPr="00DD459D">
          <w:rPr>
            <w:rStyle w:val="Hyperlink"/>
            <w:rFonts w:ascii="FrankRuehl" w:hAnsi="FrankRuehl" w:cs="FrankRuehl"/>
          </w:rPr>
          <w:t xml:space="preserve">40 </w:t>
        </w:r>
        <w:r w:rsidRPr="00DD459D">
          <w:rPr>
            <w:rStyle w:val="Hyperlink"/>
            <w:rFonts w:ascii="FrankRuehl" w:hAnsi="FrankRuehl" w:cs="FrankRuehl"/>
            <w:rtl/>
          </w:rPr>
          <w:t>ד</w:t>
        </w:r>
      </w:hyperlink>
    </w:p>
    <w:p w14:paraId="4790DF5C" w14:textId="77777777" w:rsidR="00DD459D" w:rsidRPr="00DD459D" w:rsidRDefault="00DD459D" w:rsidP="00DD459D">
      <w:pPr>
        <w:spacing w:after="120" w:line="240" w:lineRule="exact"/>
        <w:ind w:left="283" w:hanging="283"/>
        <w:jc w:val="both"/>
        <w:rPr>
          <w:rFonts w:ascii="FrankRuehl" w:hAnsi="FrankRuehl" w:cs="FrankRuehl"/>
          <w:color w:val="0000FF"/>
          <w:u w:val="single"/>
          <w:rtl/>
        </w:rPr>
      </w:pPr>
      <w:hyperlink r:id="rId8" w:history="1">
        <w:r w:rsidRPr="00DD459D">
          <w:rPr>
            <w:rStyle w:val="Hyperlink"/>
            <w:rFonts w:ascii="FrankRuehl" w:hAnsi="FrankRuehl" w:cs="FrankRuehl"/>
            <w:rtl/>
          </w:rPr>
          <w:t>פקודת הסמים המסוכנים [נוסח חדש], תשל"ג-1973</w:t>
        </w:r>
      </w:hyperlink>
    </w:p>
    <w:p w14:paraId="1BD5B1CD" w14:textId="77777777" w:rsidR="00DD459D" w:rsidRPr="00DD459D" w:rsidRDefault="00DD459D" w:rsidP="00DD459D">
      <w:pPr>
        <w:spacing w:after="120" w:line="240" w:lineRule="exact"/>
        <w:ind w:left="283" w:hanging="283"/>
        <w:jc w:val="both"/>
        <w:rPr>
          <w:rFonts w:ascii="FrankRuehl" w:hAnsi="FrankRuehl" w:cs="FrankRuehl"/>
          <w:rtl/>
        </w:rPr>
      </w:pPr>
    </w:p>
    <w:p w14:paraId="7012D618" w14:textId="77777777" w:rsidR="00DD459D" w:rsidRPr="00DD459D" w:rsidRDefault="00DD459D" w:rsidP="004A3208">
      <w:pPr>
        <w:rPr>
          <w:rtl/>
        </w:rPr>
      </w:pPr>
      <w:bookmarkStart w:id="4" w:name="LawTable_End"/>
      <w:bookmarkEnd w:id="4"/>
    </w:p>
    <w:p w14:paraId="1DAC41A5" w14:textId="77777777" w:rsidR="004A3208" w:rsidRPr="004A3208" w:rsidRDefault="004A3208" w:rsidP="004A3208">
      <w:pPr>
        <w:rPr>
          <w:rtl/>
        </w:rPr>
      </w:pPr>
    </w:p>
    <w:p w14:paraId="745F1235" w14:textId="77777777" w:rsidR="00A86802" w:rsidRPr="004A3208" w:rsidRDefault="00A86802" w:rsidP="00A8680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86802" w14:paraId="4D635C98" w14:textId="77777777" w:rsidTr="00A86802">
        <w:trPr>
          <w:trHeight w:val="355"/>
          <w:jc w:val="center"/>
        </w:trPr>
        <w:tc>
          <w:tcPr>
            <w:tcW w:w="8820" w:type="dxa"/>
            <w:tcBorders>
              <w:top w:val="nil"/>
              <w:left w:val="nil"/>
              <w:bottom w:val="nil"/>
              <w:right w:val="nil"/>
            </w:tcBorders>
            <w:shd w:val="clear" w:color="auto" w:fill="auto"/>
          </w:tcPr>
          <w:p w14:paraId="7E4A6F17" w14:textId="77777777" w:rsidR="004A3208" w:rsidRPr="004A3208" w:rsidRDefault="004A3208" w:rsidP="004A3208">
            <w:pPr>
              <w:jc w:val="center"/>
              <w:rPr>
                <w:rFonts w:ascii="Arial" w:hAnsi="Arial"/>
                <w:b/>
                <w:bCs/>
                <w:sz w:val="28"/>
                <w:szCs w:val="28"/>
                <w:u w:val="single"/>
                <w:rtl/>
              </w:rPr>
            </w:pPr>
            <w:bookmarkStart w:id="5" w:name="PsakDin" w:colFirst="0" w:colLast="0"/>
            <w:bookmarkEnd w:id="0"/>
            <w:r w:rsidRPr="004A3208">
              <w:rPr>
                <w:rFonts w:ascii="Arial" w:hAnsi="Arial"/>
                <w:b/>
                <w:bCs/>
                <w:sz w:val="28"/>
                <w:szCs w:val="28"/>
                <w:u w:val="single"/>
                <w:rtl/>
              </w:rPr>
              <w:t>גזר דין</w:t>
            </w:r>
          </w:p>
          <w:p w14:paraId="0894BEAB" w14:textId="77777777" w:rsidR="00A86802" w:rsidRPr="004A3208" w:rsidRDefault="00A86802" w:rsidP="004A3208">
            <w:pPr>
              <w:jc w:val="center"/>
              <w:rPr>
                <w:rFonts w:ascii="Arial" w:hAnsi="Arial"/>
                <w:bCs/>
                <w:sz w:val="28"/>
                <w:szCs w:val="28"/>
                <w:u w:val="single"/>
                <w:rtl/>
              </w:rPr>
            </w:pPr>
          </w:p>
        </w:tc>
      </w:tr>
      <w:bookmarkEnd w:id="5"/>
    </w:tbl>
    <w:p w14:paraId="77E40F14" w14:textId="77777777" w:rsidR="00A86802" w:rsidRDefault="00A86802" w:rsidP="00A86802">
      <w:pPr>
        <w:spacing w:line="360" w:lineRule="auto"/>
        <w:rPr>
          <w:rFonts w:ascii="Arial" w:hAnsi="Arial"/>
          <w:rtl/>
        </w:rPr>
      </w:pPr>
    </w:p>
    <w:p w14:paraId="032366A2" w14:textId="77777777" w:rsidR="00A86802" w:rsidRDefault="00A86802" w:rsidP="00A86802">
      <w:pPr>
        <w:spacing w:line="480" w:lineRule="auto"/>
        <w:jc w:val="both"/>
        <w:rPr>
          <w:rFonts w:ascii="Arial" w:hAnsi="Arial"/>
          <w:rtl/>
        </w:rPr>
      </w:pPr>
      <w:r w:rsidRPr="00DB7331">
        <w:rPr>
          <w:rFonts w:ascii="Arial" w:hAnsi="Arial" w:hint="cs"/>
          <w:b/>
          <w:bCs/>
          <w:u w:val="double"/>
          <w:rtl/>
        </w:rPr>
        <w:t>כ ל ל י</w:t>
      </w:r>
      <w:r>
        <w:rPr>
          <w:rFonts w:ascii="Arial" w:hAnsi="Arial" w:hint="cs"/>
          <w:rtl/>
        </w:rPr>
        <w:t>:</w:t>
      </w:r>
    </w:p>
    <w:p w14:paraId="00250BC7" w14:textId="77777777" w:rsidR="00A86802" w:rsidRDefault="00A86802" w:rsidP="00A86802">
      <w:pPr>
        <w:spacing w:line="360" w:lineRule="auto"/>
        <w:ind w:left="720" w:hanging="720"/>
        <w:jc w:val="both"/>
        <w:rPr>
          <w:rFonts w:ascii="Arial" w:hAnsi="Arial"/>
          <w:rtl/>
        </w:rPr>
      </w:pPr>
      <w:r>
        <w:rPr>
          <w:rFonts w:ascii="Arial" w:hAnsi="Arial" w:hint="cs"/>
          <w:rtl/>
        </w:rPr>
        <w:t>1.</w:t>
      </w:r>
      <w:r>
        <w:rPr>
          <w:rFonts w:ascii="Arial" w:hAnsi="Arial" w:hint="cs"/>
          <w:rtl/>
        </w:rPr>
        <w:tab/>
      </w:r>
      <w:bookmarkStart w:id="6" w:name="ABSTRACT_START"/>
      <w:bookmarkEnd w:id="6"/>
      <w:r>
        <w:rPr>
          <w:rFonts w:ascii="Arial" w:hAnsi="Arial" w:hint="cs"/>
          <w:rtl/>
        </w:rPr>
        <w:t xml:space="preserve">הנאשם הודה והורשע בשתי עבירות של סחר בסם מסוכן. ביום 30.07.2018 מכר הנאשם סם מסוג חשיש, במשקל 3.47 לשוטר סמוי תמורת 200 ₪. </w:t>
      </w:r>
    </w:p>
    <w:p w14:paraId="28418A3E" w14:textId="77777777" w:rsidR="00A86802" w:rsidRDefault="00A86802" w:rsidP="00A86802">
      <w:pPr>
        <w:spacing w:line="360" w:lineRule="auto"/>
        <w:ind w:left="720" w:hanging="720"/>
        <w:jc w:val="both"/>
        <w:rPr>
          <w:rFonts w:ascii="Arial" w:hAnsi="Arial"/>
          <w:rtl/>
        </w:rPr>
      </w:pPr>
      <w:r>
        <w:rPr>
          <w:rFonts w:ascii="Arial" w:hAnsi="Arial"/>
          <w:rtl/>
        </w:rPr>
        <w:tab/>
      </w:r>
      <w:r>
        <w:rPr>
          <w:rFonts w:ascii="Arial" w:hAnsi="Arial" w:hint="cs"/>
          <w:rtl/>
        </w:rPr>
        <w:t>ביום 01.08.2018 מכר הנאשם לשוטר סמוי חשיש, במשקל 3.46 גרם תמורת 200 ₪.</w:t>
      </w:r>
    </w:p>
    <w:p w14:paraId="756138CB" w14:textId="77777777" w:rsidR="00A86802" w:rsidRDefault="00A86802" w:rsidP="00A86802">
      <w:pPr>
        <w:spacing w:line="360" w:lineRule="auto"/>
        <w:ind w:left="720" w:hanging="720"/>
        <w:jc w:val="both"/>
        <w:rPr>
          <w:rFonts w:ascii="Arial" w:hAnsi="Arial"/>
          <w:rtl/>
        </w:rPr>
      </w:pPr>
    </w:p>
    <w:p w14:paraId="2DCCB03E" w14:textId="77777777" w:rsidR="00A86802" w:rsidRDefault="00A86802" w:rsidP="00A86802">
      <w:pPr>
        <w:spacing w:line="360" w:lineRule="auto"/>
        <w:ind w:left="720" w:hanging="720"/>
        <w:jc w:val="both"/>
        <w:rPr>
          <w:rFonts w:ascii="Arial" w:hAnsi="Arial"/>
          <w:rtl/>
        </w:rPr>
      </w:pPr>
      <w:bookmarkStart w:id="7" w:name="ABSTRACT_END"/>
      <w:bookmarkEnd w:id="7"/>
      <w:r>
        <w:rPr>
          <w:rFonts w:ascii="Arial" w:hAnsi="Arial" w:hint="cs"/>
          <w:rtl/>
        </w:rPr>
        <w:t>2.</w:t>
      </w:r>
      <w:r>
        <w:rPr>
          <w:rFonts w:ascii="Arial" w:hAnsi="Arial" w:hint="cs"/>
          <w:rtl/>
        </w:rPr>
        <w:tab/>
        <w:t xml:space="preserve">לאחר הרשעתו הופנה הנאשם לשירות המבחן להגשת תסקיר בעניינו. שירות המבחן הגיש שני תסקירים בעניינו של הנאשם. </w:t>
      </w:r>
    </w:p>
    <w:p w14:paraId="209214F7" w14:textId="77777777" w:rsidR="00A86802" w:rsidRDefault="00A86802" w:rsidP="00A86802">
      <w:pPr>
        <w:spacing w:line="360" w:lineRule="auto"/>
        <w:ind w:left="720" w:hanging="720"/>
        <w:jc w:val="both"/>
        <w:rPr>
          <w:rFonts w:ascii="Arial" w:hAnsi="Arial"/>
          <w:rtl/>
        </w:rPr>
      </w:pPr>
    </w:p>
    <w:p w14:paraId="1F3B046D" w14:textId="77777777" w:rsidR="00A86802" w:rsidRDefault="00A86802" w:rsidP="00A86802">
      <w:pPr>
        <w:spacing w:line="360" w:lineRule="auto"/>
        <w:ind w:left="720" w:hanging="720"/>
        <w:jc w:val="both"/>
        <w:rPr>
          <w:rFonts w:ascii="Arial" w:hAnsi="Arial"/>
          <w:rtl/>
        </w:rPr>
      </w:pPr>
      <w:r>
        <w:rPr>
          <w:rFonts w:ascii="Arial" w:hAnsi="Arial" w:hint="cs"/>
          <w:rtl/>
        </w:rPr>
        <w:t>3.</w:t>
      </w:r>
      <w:r>
        <w:rPr>
          <w:rFonts w:ascii="Arial" w:hAnsi="Arial" w:hint="cs"/>
          <w:rtl/>
        </w:rPr>
        <w:tab/>
        <w:t xml:space="preserve">לאחר שמיעת הטיעונים לעונש הפניתי את הנאשם לממונה על עבודות השירות להכנת חוות דעת בעניינו. </w:t>
      </w:r>
    </w:p>
    <w:p w14:paraId="36258205" w14:textId="77777777" w:rsidR="00A86802" w:rsidRDefault="00A86802" w:rsidP="00A86802">
      <w:pPr>
        <w:spacing w:line="360" w:lineRule="auto"/>
        <w:ind w:left="720" w:hanging="720"/>
        <w:jc w:val="both"/>
        <w:rPr>
          <w:rFonts w:ascii="Arial" w:hAnsi="Arial"/>
          <w:rtl/>
        </w:rPr>
      </w:pPr>
    </w:p>
    <w:p w14:paraId="57F9CB0A" w14:textId="77777777" w:rsidR="00A86802" w:rsidRDefault="00A86802" w:rsidP="00A86802">
      <w:pPr>
        <w:spacing w:line="480" w:lineRule="auto"/>
        <w:ind w:left="720" w:hanging="720"/>
        <w:jc w:val="both"/>
        <w:rPr>
          <w:rFonts w:ascii="Arial" w:hAnsi="Arial"/>
          <w:rtl/>
        </w:rPr>
      </w:pPr>
      <w:r w:rsidRPr="00DB7331">
        <w:rPr>
          <w:rFonts w:ascii="Arial" w:hAnsi="Arial" w:hint="cs"/>
          <w:b/>
          <w:bCs/>
          <w:u w:val="double"/>
          <w:rtl/>
        </w:rPr>
        <w:t>הערך המוגן</w:t>
      </w:r>
      <w:r>
        <w:rPr>
          <w:rFonts w:ascii="Arial" w:hAnsi="Arial" w:hint="cs"/>
          <w:rtl/>
        </w:rPr>
        <w:t>:</w:t>
      </w:r>
    </w:p>
    <w:p w14:paraId="24EF1494" w14:textId="77777777" w:rsidR="00A86802" w:rsidRDefault="00A86802" w:rsidP="00A86802">
      <w:pPr>
        <w:spacing w:line="360" w:lineRule="auto"/>
        <w:ind w:left="720" w:hanging="720"/>
        <w:jc w:val="both"/>
        <w:rPr>
          <w:rFonts w:ascii="Arial" w:hAnsi="Arial"/>
          <w:rtl/>
        </w:rPr>
      </w:pPr>
      <w:r>
        <w:rPr>
          <w:rFonts w:ascii="Arial" w:hAnsi="Arial" w:hint="cs"/>
          <w:rtl/>
        </w:rPr>
        <w:t>4.</w:t>
      </w:r>
      <w:r>
        <w:rPr>
          <w:rFonts w:ascii="Arial" w:hAnsi="Arial" w:hint="cs"/>
          <w:rtl/>
        </w:rPr>
        <w:tab/>
        <w:t xml:space="preserve">הנאשם פגע בערך של מניעת הפצת סמים מסוכנים ומניעת נזקים הנגרמים לחברה כתוצאה מהפצת הסמים. </w:t>
      </w:r>
    </w:p>
    <w:p w14:paraId="02F5325C" w14:textId="77777777" w:rsidR="00A86802" w:rsidRDefault="00A86802" w:rsidP="00A86802">
      <w:pPr>
        <w:spacing w:line="360" w:lineRule="auto"/>
        <w:ind w:left="720" w:hanging="720"/>
        <w:jc w:val="both"/>
        <w:rPr>
          <w:rFonts w:ascii="Arial" w:hAnsi="Arial"/>
          <w:rtl/>
        </w:rPr>
      </w:pPr>
    </w:p>
    <w:p w14:paraId="13999691" w14:textId="77777777" w:rsidR="00A86802" w:rsidRDefault="00A86802" w:rsidP="00A86802">
      <w:pPr>
        <w:spacing w:line="360" w:lineRule="auto"/>
        <w:ind w:left="720" w:hanging="720"/>
        <w:jc w:val="both"/>
        <w:rPr>
          <w:rFonts w:ascii="Arial" w:hAnsi="Arial"/>
          <w:rtl/>
        </w:rPr>
      </w:pPr>
      <w:r w:rsidRPr="00F55978">
        <w:rPr>
          <w:rFonts w:ascii="Arial" w:hAnsi="Arial" w:hint="cs"/>
          <w:b/>
          <w:bCs/>
          <w:u w:val="double"/>
          <w:rtl/>
        </w:rPr>
        <w:t>התסקירים</w:t>
      </w:r>
      <w:r>
        <w:rPr>
          <w:rFonts w:ascii="Arial" w:hAnsi="Arial" w:hint="cs"/>
          <w:rtl/>
        </w:rPr>
        <w:t>:</w:t>
      </w:r>
    </w:p>
    <w:p w14:paraId="0631F36D" w14:textId="77777777" w:rsidR="00A86802" w:rsidRDefault="00A86802" w:rsidP="00A86802">
      <w:pPr>
        <w:spacing w:line="360" w:lineRule="auto"/>
        <w:ind w:left="720" w:hanging="720"/>
        <w:jc w:val="both"/>
        <w:rPr>
          <w:rFonts w:ascii="Arial" w:hAnsi="Arial"/>
          <w:rtl/>
        </w:rPr>
      </w:pPr>
      <w:r>
        <w:rPr>
          <w:rFonts w:ascii="Arial" w:hAnsi="Arial" w:hint="cs"/>
          <w:rtl/>
        </w:rPr>
        <w:lastRenderedPageBreak/>
        <w:t>5.</w:t>
      </w:r>
      <w:r>
        <w:rPr>
          <w:rFonts w:ascii="Arial" w:hAnsi="Arial" w:hint="cs"/>
          <w:rtl/>
        </w:rPr>
        <w:tab/>
        <w:t xml:space="preserve">מהתסקירים עולה כי הנאשם הוא כיום בן 34, יליד סודן שהגיע לארץ בשנת 2008. הוא נשוי מאז 2018 ואב לילדה בת 7 חודשים. עקב תיק זה הוא נתון למעצר בית לילי. </w:t>
      </w:r>
    </w:p>
    <w:p w14:paraId="4554504C" w14:textId="77777777" w:rsidR="00A86802" w:rsidRDefault="00A86802" w:rsidP="00A86802">
      <w:pPr>
        <w:spacing w:line="360" w:lineRule="auto"/>
        <w:ind w:left="720" w:hanging="720"/>
        <w:jc w:val="both"/>
        <w:rPr>
          <w:rFonts w:ascii="Arial" w:hAnsi="Arial"/>
          <w:rtl/>
        </w:rPr>
      </w:pPr>
    </w:p>
    <w:p w14:paraId="4E995A30" w14:textId="77777777" w:rsidR="00A86802" w:rsidRDefault="00A86802" w:rsidP="00A86802">
      <w:pPr>
        <w:spacing w:line="360" w:lineRule="auto"/>
        <w:ind w:left="720" w:hanging="720"/>
        <w:jc w:val="both"/>
        <w:rPr>
          <w:rFonts w:ascii="Arial" w:hAnsi="Arial"/>
          <w:rtl/>
        </w:rPr>
      </w:pPr>
      <w:r>
        <w:rPr>
          <w:rFonts w:ascii="Arial" w:hAnsi="Arial" w:hint="cs"/>
          <w:rtl/>
        </w:rPr>
        <w:t>6.</w:t>
      </w:r>
      <w:r>
        <w:rPr>
          <w:rFonts w:ascii="Arial" w:hAnsi="Arial" w:hint="cs"/>
          <w:rtl/>
        </w:rPr>
        <w:tab/>
        <w:t xml:space="preserve">הנאשם מסר כי השלים 12 שנות לימוד בארץ מוצאו, עבד מגיל צעיר על מנת לסייע למשפחתו. הוא גויס לצבא בארץ מוצאו ובשנת 2008 הגיע בגפו לישראל. </w:t>
      </w:r>
    </w:p>
    <w:p w14:paraId="6C25B076" w14:textId="77777777" w:rsidR="00A86802" w:rsidRDefault="00A86802" w:rsidP="00A86802">
      <w:pPr>
        <w:spacing w:line="360" w:lineRule="auto"/>
        <w:ind w:left="720" w:hanging="720"/>
        <w:jc w:val="both"/>
        <w:rPr>
          <w:rFonts w:ascii="Arial" w:hAnsi="Arial"/>
          <w:rtl/>
        </w:rPr>
      </w:pPr>
      <w:r>
        <w:rPr>
          <w:rFonts w:ascii="Arial" w:hAnsi="Arial"/>
          <w:rtl/>
        </w:rPr>
        <w:tab/>
      </w:r>
      <w:r>
        <w:rPr>
          <w:rFonts w:ascii="Arial" w:hAnsi="Arial" w:hint="cs"/>
          <w:rtl/>
        </w:rPr>
        <w:t xml:space="preserve">הנאשם גר תחילה באשדוד, בהמשך נכלא ל-18 חודשים במתקן חולות. לאחר שחרורו עבר לתל-אביב ועבד בתחום הבנייה. </w:t>
      </w:r>
    </w:p>
    <w:p w14:paraId="7CEF9493" w14:textId="77777777" w:rsidR="00A86802" w:rsidRDefault="00A86802" w:rsidP="00A86802">
      <w:pPr>
        <w:spacing w:line="360" w:lineRule="auto"/>
        <w:ind w:left="720" w:hanging="720"/>
        <w:jc w:val="both"/>
        <w:rPr>
          <w:rFonts w:ascii="Arial" w:hAnsi="Arial"/>
          <w:rtl/>
        </w:rPr>
      </w:pPr>
    </w:p>
    <w:p w14:paraId="0E23D965" w14:textId="77777777" w:rsidR="00A86802" w:rsidRDefault="00A86802" w:rsidP="00A86802">
      <w:pPr>
        <w:spacing w:line="360" w:lineRule="auto"/>
        <w:ind w:left="720" w:hanging="720"/>
        <w:jc w:val="both"/>
        <w:rPr>
          <w:rFonts w:ascii="Arial" w:hAnsi="Arial"/>
          <w:rtl/>
        </w:rPr>
      </w:pPr>
      <w:r>
        <w:rPr>
          <w:rFonts w:ascii="Arial" w:hAnsi="Arial" w:hint="cs"/>
          <w:rtl/>
        </w:rPr>
        <w:t>7.</w:t>
      </w:r>
      <w:r>
        <w:rPr>
          <w:rFonts w:ascii="Arial" w:hAnsi="Arial" w:hint="cs"/>
          <w:rtl/>
        </w:rPr>
        <w:tab/>
        <w:t xml:space="preserve">הנאשם ציין כי בתקופה זו חבר לחברה שולית, על רקע רצונו לחוות תחושת שייכות. הוא הסתבך בפלילים ונידון ל-13 חודשי מאסר בגין עבירות סמים. לאחר שחרורו הוא נעצר בתיק נשוא דיון זה. </w:t>
      </w:r>
    </w:p>
    <w:p w14:paraId="1057B343" w14:textId="77777777" w:rsidR="00A86802" w:rsidRDefault="00A86802" w:rsidP="00A86802">
      <w:pPr>
        <w:spacing w:line="360" w:lineRule="auto"/>
        <w:ind w:left="720" w:hanging="720"/>
        <w:jc w:val="both"/>
        <w:rPr>
          <w:rFonts w:ascii="Arial" w:hAnsi="Arial"/>
          <w:rtl/>
        </w:rPr>
      </w:pPr>
    </w:p>
    <w:p w14:paraId="0F84D454" w14:textId="77777777" w:rsidR="00A86802" w:rsidRDefault="00A86802" w:rsidP="00A86802">
      <w:pPr>
        <w:spacing w:line="360" w:lineRule="auto"/>
        <w:ind w:left="720" w:hanging="720"/>
        <w:jc w:val="both"/>
        <w:rPr>
          <w:rFonts w:ascii="Arial" w:hAnsi="Arial"/>
          <w:rtl/>
        </w:rPr>
      </w:pPr>
      <w:r>
        <w:rPr>
          <w:rFonts w:ascii="Arial" w:hAnsi="Arial" w:hint="cs"/>
          <w:rtl/>
        </w:rPr>
        <w:t>8.</w:t>
      </w:r>
      <w:r>
        <w:rPr>
          <w:rFonts w:ascii="Arial" w:hAnsi="Arial" w:hint="cs"/>
          <w:rtl/>
        </w:rPr>
        <w:tab/>
        <w:t xml:space="preserve">בתיק זה הנאשם היה בפיקוח מעצר והשלים השתתפות  בקבוצה טיפולית המיועדת לעצורי בית. הוא מסר דגימות שתן שנמצאו נקיות משרידי סמים. השרות התרשם כי לנאשם רצון לקדם שינוי באורחות חייו. </w:t>
      </w:r>
    </w:p>
    <w:p w14:paraId="75D25CD3" w14:textId="77777777" w:rsidR="00A86802" w:rsidRDefault="00A86802" w:rsidP="00A86802">
      <w:pPr>
        <w:spacing w:line="360" w:lineRule="auto"/>
        <w:ind w:left="720" w:hanging="720"/>
        <w:jc w:val="both"/>
        <w:rPr>
          <w:rFonts w:ascii="Arial" w:hAnsi="Arial"/>
          <w:rtl/>
        </w:rPr>
      </w:pPr>
    </w:p>
    <w:p w14:paraId="22400157" w14:textId="77777777" w:rsidR="00A86802" w:rsidRDefault="00A86802" w:rsidP="00A86802">
      <w:pPr>
        <w:spacing w:line="360" w:lineRule="auto"/>
        <w:ind w:left="720" w:hanging="720"/>
        <w:jc w:val="both"/>
        <w:rPr>
          <w:rFonts w:ascii="Arial" w:hAnsi="Arial"/>
          <w:rtl/>
        </w:rPr>
      </w:pPr>
      <w:r>
        <w:rPr>
          <w:rFonts w:ascii="Arial" w:hAnsi="Arial" w:hint="cs"/>
          <w:rtl/>
        </w:rPr>
        <w:t>9.</w:t>
      </w:r>
      <w:r>
        <w:rPr>
          <w:rFonts w:ascii="Arial" w:hAnsi="Arial" w:hint="cs"/>
          <w:rtl/>
        </w:rPr>
        <w:tab/>
        <w:t xml:space="preserve">הנאשם לקח אחריות מלאה על מעשיו וציין כי העבירות בוצעו על רקע מצוקה כלכלית ורצונו להשיג כסף באופן מהיר. הוא הביע את רצונו לתפקד באופן נורמטיבי, ללא מעורבות נוספת בפלילים. </w:t>
      </w:r>
    </w:p>
    <w:p w14:paraId="0C8035A9" w14:textId="77777777" w:rsidR="00A86802" w:rsidRDefault="00A86802" w:rsidP="00A86802">
      <w:pPr>
        <w:spacing w:line="360" w:lineRule="auto"/>
        <w:ind w:left="720" w:hanging="720"/>
        <w:jc w:val="both"/>
        <w:rPr>
          <w:rFonts w:ascii="Arial" w:hAnsi="Arial"/>
          <w:rtl/>
        </w:rPr>
      </w:pPr>
    </w:p>
    <w:p w14:paraId="2D9739B6" w14:textId="77777777" w:rsidR="00A86802" w:rsidRDefault="00A86802" w:rsidP="00A86802">
      <w:pPr>
        <w:spacing w:line="360" w:lineRule="auto"/>
        <w:ind w:left="720" w:hanging="720"/>
        <w:jc w:val="both"/>
        <w:rPr>
          <w:rFonts w:ascii="Arial" w:hAnsi="Arial"/>
          <w:rtl/>
        </w:rPr>
      </w:pPr>
      <w:r>
        <w:rPr>
          <w:rFonts w:ascii="Arial" w:hAnsi="Arial" w:hint="cs"/>
          <w:rtl/>
        </w:rPr>
        <w:t>10.</w:t>
      </w:r>
      <w:r>
        <w:rPr>
          <w:rFonts w:ascii="Arial" w:hAnsi="Arial" w:hint="cs"/>
          <w:rtl/>
        </w:rPr>
        <w:tab/>
        <w:t xml:space="preserve">שירות המבחן התרשם כי הנאשם הוא בעל מוטיבציה חיובית לשיקום ונכון להשתלב בהליך שיקומי. השירות המליץ להעמידו במבחן למשך שנה וחצי. השירות גם המליץ להאריך את המאסר המותנה התלוי ועומד נגדו וכן להטיל עליו של"צ בהיקף 350 שעות. </w:t>
      </w:r>
    </w:p>
    <w:p w14:paraId="1D8DC021" w14:textId="77777777" w:rsidR="00A86802" w:rsidRDefault="00A86802" w:rsidP="00A86802">
      <w:pPr>
        <w:spacing w:line="360" w:lineRule="auto"/>
        <w:ind w:left="720" w:hanging="720"/>
        <w:jc w:val="both"/>
        <w:rPr>
          <w:rFonts w:ascii="Arial" w:hAnsi="Arial"/>
          <w:rtl/>
        </w:rPr>
      </w:pPr>
    </w:p>
    <w:p w14:paraId="621070A0" w14:textId="77777777" w:rsidR="00A86802" w:rsidRDefault="00A86802" w:rsidP="00A86802">
      <w:pPr>
        <w:spacing w:line="480" w:lineRule="auto"/>
        <w:ind w:left="720" w:hanging="720"/>
        <w:jc w:val="both"/>
        <w:rPr>
          <w:rFonts w:ascii="Arial" w:hAnsi="Arial"/>
          <w:rtl/>
        </w:rPr>
      </w:pPr>
      <w:r w:rsidRPr="008B72F1">
        <w:rPr>
          <w:rFonts w:ascii="Arial" w:hAnsi="Arial" w:hint="cs"/>
          <w:b/>
          <w:bCs/>
          <w:u w:val="double"/>
          <w:rtl/>
        </w:rPr>
        <w:t>רישום פלילי</w:t>
      </w:r>
      <w:r>
        <w:rPr>
          <w:rFonts w:ascii="Arial" w:hAnsi="Arial" w:hint="cs"/>
          <w:rtl/>
        </w:rPr>
        <w:t xml:space="preserve"> :</w:t>
      </w:r>
    </w:p>
    <w:p w14:paraId="2BBDA4A2" w14:textId="77777777" w:rsidR="00A86802" w:rsidRDefault="00A86802" w:rsidP="00A86802">
      <w:pPr>
        <w:spacing w:line="360" w:lineRule="auto"/>
        <w:ind w:left="720" w:hanging="720"/>
        <w:jc w:val="both"/>
        <w:rPr>
          <w:rFonts w:ascii="Arial" w:hAnsi="Arial"/>
          <w:rtl/>
        </w:rPr>
      </w:pPr>
      <w:r>
        <w:rPr>
          <w:rFonts w:ascii="Arial" w:hAnsi="Arial" w:hint="cs"/>
          <w:rtl/>
        </w:rPr>
        <w:t>11.</w:t>
      </w:r>
      <w:r>
        <w:rPr>
          <w:rFonts w:ascii="Arial" w:hAnsi="Arial" w:hint="cs"/>
          <w:rtl/>
        </w:rPr>
        <w:tab/>
        <w:t xml:space="preserve">הנאשם נידון ביום 01.10.2019 ל-19 חודשי מאסר מהם 13 חודשים בפועל. כנגד הנאשם תלוי ועומד מאסר מותנה בן 6 חודשים. </w:t>
      </w:r>
    </w:p>
    <w:p w14:paraId="2561B405" w14:textId="77777777" w:rsidR="00A86802" w:rsidRDefault="00A86802" w:rsidP="00A86802">
      <w:pPr>
        <w:spacing w:line="360" w:lineRule="auto"/>
        <w:ind w:left="720" w:hanging="720"/>
        <w:jc w:val="both"/>
        <w:rPr>
          <w:rFonts w:ascii="Arial" w:hAnsi="Arial"/>
          <w:rtl/>
        </w:rPr>
      </w:pPr>
    </w:p>
    <w:p w14:paraId="3043DD23" w14:textId="77777777" w:rsidR="00A86802" w:rsidRDefault="00A86802" w:rsidP="00A86802">
      <w:pPr>
        <w:spacing w:line="360" w:lineRule="auto"/>
        <w:ind w:left="720" w:hanging="720"/>
        <w:jc w:val="both"/>
        <w:rPr>
          <w:rFonts w:ascii="Arial" w:hAnsi="Arial"/>
          <w:rtl/>
        </w:rPr>
      </w:pPr>
      <w:r>
        <w:rPr>
          <w:rFonts w:ascii="Arial" w:hAnsi="Arial" w:hint="cs"/>
          <w:rtl/>
        </w:rPr>
        <w:t>12.</w:t>
      </w:r>
      <w:r>
        <w:rPr>
          <w:rFonts w:ascii="Arial" w:hAnsi="Arial" w:hint="cs"/>
          <w:rtl/>
        </w:rPr>
        <w:tab/>
        <w:t>המאסר המותנה הוטל ב</w:t>
      </w:r>
      <w:hyperlink r:id="rId9" w:history="1">
        <w:r w:rsidR="004A3208" w:rsidRPr="004A3208">
          <w:rPr>
            <w:rFonts w:ascii="Arial" w:hAnsi="Arial"/>
            <w:color w:val="0000FF"/>
            <w:u w:val="single"/>
            <w:rtl/>
          </w:rPr>
          <w:t>ת"פ 65398-05-17</w:t>
        </w:r>
      </w:hyperlink>
      <w:r>
        <w:rPr>
          <w:rFonts w:ascii="Arial" w:hAnsi="Arial" w:hint="cs"/>
          <w:rtl/>
        </w:rPr>
        <w:t xml:space="preserve">. באותו תיק הואשם הנאשם בשתי עבירות של סחר בסם מסוכן ועבירה אחת של החזקת סם שלא לצריכה עצמית. </w:t>
      </w:r>
    </w:p>
    <w:p w14:paraId="36875FD5" w14:textId="77777777" w:rsidR="00A86802" w:rsidRDefault="00A86802" w:rsidP="00A86802">
      <w:pPr>
        <w:spacing w:line="360" w:lineRule="auto"/>
        <w:ind w:left="720" w:hanging="720"/>
        <w:jc w:val="both"/>
        <w:rPr>
          <w:rFonts w:ascii="Arial" w:hAnsi="Arial"/>
          <w:rtl/>
        </w:rPr>
      </w:pPr>
    </w:p>
    <w:p w14:paraId="0274393D" w14:textId="77777777" w:rsidR="00A86802" w:rsidRDefault="00A86802" w:rsidP="00A86802">
      <w:pPr>
        <w:spacing w:line="360" w:lineRule="auto"/>
        <w:ind w:left="720" w:hanging="720"/>
        <w:jc w:val="both"/>
        <w:rPr>
          <w:rFonts w:ascii="Arial" w:hAnsi="Arial"/>
          <w:rtl/>
        </w:rPr>
      </w:pPr>
      <w:r w:rsidRPr="008B72F1">
        <w:rPr>
          <w:rFonts w:ascii="Arial" w:hAnsi="Arial" w:hint="cs"/>
          <w:b/>
          <w:bCs/>
          <w:u w:val="double"/>
          <w:rtl/>
        </w:rPr>
        <w:t>טיעוני הצדדים</w:t>
      </w:r>
      <w:r>
        <w:rPr>
          <w:rFonts w:ascii="Arial" w:hAnsi="Arial" w:hint="cs"/>
          <w:rtl/>
        </w:rPr>
        <w:t>:</w:t>
      </w:r>
    </w:p>
    <w:p w14:paraId="3FC477E2" w14:textId="77777777" w:rsidR="00A86802" w:rsidRDefault="00A86802" w:rsidP="00A86802">
      <w:pPr>
        <w:spacing w:line="360" w:lineRule="auto"/>
        <w:ind w:left="720" w:hanging="720"/>
        <w:jc w:val="both"/>
        <w:rPr>
          <w:rFonts w:ascii="Arial" w:hAnsi="Arial"/>
          <w:rtl/>
        </w:rPr>
      </w:pPr>
      <w:r>
        <w:rPr>
          <w:rFonts w:ascii="Arial" w:hAnsi="Arial" w:hint="cs"/>
          <w:rtl/>
        </w:rPr>
        <w:t>13.</w:t>
      </w:r>
      <w:r>
        <w:rPr>
          <w:rFonts w:ascii="Arial" w:hAnsi="Arial" w:hint="cs"/>
          <w:rtl/>
        </w:rPr>
        <w:tab/>
        <w:t xml:space="preserve">התביעה ביקשה להכריז על הנאשם כסוחר סמים ולחלט סכום של 1,545 ₪ שנתפסו ברשותו. </w:t>
      </w:r>
    </w:p>
    <w:p w14:paraId="6F37DEB6" w14:textId="77777777" w:rsidR="00A86802" w:rsidRDefault="00A86802" w:rsidP="00A86802">
      <w:pPr>
        <w:spacing w:line="360" w:lineRule="auto"/>
        <w:ind w:left="720"/>
        <w:jc w:val="both"/>
        <w:rPr>
          <w:rFonts w:ascii="Arial" w:hAnsi="Arial"/>
          <w:rtl/>
        </w:rPr>
      </w:pPr>
      <w:r>
        <w:rPr>
          <w:rFonts w:ascii="Arial" w:hAnsi="Arial" w:hint="cs"/>
          <w:rtl/>
        </w:rPr>
        <w:t xml:space="preserve">התביעה ציינה כי הנאשם ביצע שתי עבירות נפרדות כשתלוי ועומד נגדו עונש מאסר מותנה וביקשה לגזור על כל עבירה עונש נפרד. </w:t>
      </w:r>
    </w:p>
    <w:p w14:paraId="4D67D325" w14:textId="77777777" w:rsidR="00A86802" w:rsidRDefault="00A86802" w:rsidP="00A86802">
      <w:pPr>
        <w:spacing w:line="360" w:lineRule="auto"/>
        <w:ind w:left="720"/>
        <w:jc w:val="both"/>
        <w:rPr>
          <w:rFonts w:ascii="Arial" w:hAnsi="Arial"/>
          <w:rtl/>
        </w:rPr>
      </w:pPr>
      <w:r>
        <w:rPr>
          <w:rFonts w:ascii="Arial" w:hAnsi="Arial" w:hint="cs"/>
          <w:rtl/>
        </w:rPr>
        <w:t xml:space="preserve">התביעה ציינה כי מתחם הענישה ההולם לגבי כל עבירה נע בין 6 ל-12 חודשי מאסר. התביעה ביקשה לדחות את המלצות שירות המבחן ולגזור על הנאשם מאסרים בפועל </w:t>
      </w:r>
      <w:r>
        <w:rPr>
          <w:rFonts w:ascii="Arial" w:hAnsi="Arial" w:hint="cs"/>
          <w:rtl/>
        </w:rPr>
        <w:lastRenderedPageBreak/>
        <w:t xml:space="preserve">בגין כל עבירה בה הורשע ולהפעיל במצטבר את המאסר המותנה. המאשימה הגישה פסיקה התומכת בטיעוניה. </w:t>
      </w:r>
    </w:p>
    <w:p w14:paraId="231C02FE" w14:textId="77777777" w:rsidR="00A86802" w:rsidRDefault="00A86802" w:rsidP="00A86802">
      <w:pPr>
        <w:spacing w:line="360" w:lineRule="auto"/>
        <w:ind w:left="720"/>
        <w:jc w:val="both"/>
        <w:rPr>
          <w:rFonts w:ascii="Arial" w:hAnsi="Arial"/>
          <w:rtl/>
        </w:rPr>
      </w:pPr>
    </w:p>
    <w:p w14:paraId="04AB87DE" w14:textId="77777777" w:rsidR="00A86802" w:rsidRDefault="00A86802" w:rsidP="00A86802">
      <w:pPr>
        <w:spacing w:line="360" w:lineRule="auto"/>
        <w:ind w:left="720" w:hanging="720"/>
        <w:jc w:val="both"/>
        <w:rPr>
          <w:rFonts w:ascii="Arial" w:hAnsi="Arial"/>
          <w:rtl/>
        </w:rPr>
      </w:pPr>
      <w:r>
        <w:rPr>
          <w:rFonts w:ascii="Arial" w:hAnsi="Arial" w:hint="cs"/>
          <w:rtl/>
        </w:rPr>
        <w:t>14.</w:t>
      </w:r>
      <w:r>
        <w:rPr>
          <w:rFonts w:ascii="Arial" w:hAnsi="Arial" w:hint="cs"/>
          <w:rtl/>
        </w:rPr>
        <w:tab/>
        <w:t xml:space="preserve">ב"כ הנאשם ביקש לאמץ את המלצות שירות המבחן ולאפשר לנאשם לשקם את חייו. הסנגור הצביע על נסיבותיו האישיות הקשות של הנאשם, ציין כי היה עצור חודשיים ומאז שחרורו הוא מצוי בתנאים מגבילים. הסנגור טען כי הנאשם החליט לעבור הליך שיקומי כיוון שהחליט מיוזמתו לשנות כיוון. הסנגור טען כי מתחם העונש ההולם לגבי שתי העבירות שביצע הנאשם נע בין 6 ל-12 חודשים. </w:t>
      </w:r>
    </w:p>
    <w:p w14:paraId="43880EF7" w14:textId="77777777" w:rsidR="00A86802" w:rsidRDefault="00A86802" w:rsidP="00A86802">
      <w:pPr>
        <w:spacing w:line="360" w:lineRule="auto"/>
        <w:ind w:left="720" w:hanging="720"/>
        <w:jc w:val="both"/>
        <w:rPr>
          <w:rFonts w:ascii="Arial" w:hAnsi="Arial"/>
          <w:rtl/>
        </w:rPr>
      </w:pPr>
    </w:p>
    <w:p w14:paraId="55B2DFDD" w14:textId="77777777" w:rsidR="00A86802" w:rsidRDefault="00A86802" w:rsidP="00A86802">
      <w:pPr>
        <w:spacing w:line="360" w:lineRule="auto"/>
        <w:ind w:left="720" w:hanging="720"/>
        <w:jc w:val="both"/>
        <w:rPr>
          <w:rFonts w:ascii="Arial" w:hAnsi="Arial"/>
          <w:rtl/>
        </w:rPr>
      </w:pPr>
    </w:p>
    <w:p w14:paraId="4A42FBB9" w14:textId="77777777" w:rsidR="00A86802" w:rsidRDefault="00A86802" w:rsidP="00A86802">
      <w:pPr>
        <w:spacing w:line="360" w:lineRule="auto"/>
        <w:ind w:left="720" w:hanging="720"/>
        <w:jc w:val="both"/>
        <w:rPr>
          <w:rFonts w:ascii="Arial" w:hAnsi="Arial"/>
          <w:rtl/>
        </w:rPr>
      </w:pPr>
    </w:p>
    <w:p w14:paraId="06BFCB44" w14:textId="77777777" w:rsidR="00A86802" w:rsidRDefault="00A86802" w:rsidP="00A86802">
      <w:pPr>
        <w:spacing w:line="360" w:lineRule="auto"/>
        <w:ind w:left="720" w:hanging="720"/>
        <w:jc w:val="both"/>
        <w:rPr>
          <w:rFonts w:ascii="Arial" w:hAnsi="Arial"/>
          <w:rtl/>
        </w:rPr>
      </w:pPr>
    </w:p>
    <w:p w14:paraId="06E5A821" w14:textId="77777777" w:rsidR="00A86802" w:rsidRDefault="00A86802" w:rsidP="00A86802">
      <w:pPr>
        <w:spacing w:line="480" w:lineRule="auto"/>
        <w:ind w:left="720" w:hanging="720"/>
        <w:jc w:val="both"/>
        <w:rPr>
          <w:rFonts w:ascii="Arial" w:hAnsi="Arial"/>
          <w:b/>
          <w:bCs/>
          <w:u w:val="double"/>
          <w:rtl/>
        </w:rPr>
      </w:pPr>
    </w:p>
    <w:p w14:paraId="336FA4D9" w14:textId="77777777" w:rsidR="00A86802" w:rsidRDefault="00A86802" w:rsidP="00A86802">
      <w:pPr>
        <w:spacing w:line="480" w:lineRule="auto"/>
        <w:ind w:left="720" w:hanging="720"/>
        <w:jc w:val="both"/>
        <w:rPr>
          <w:rFonts w:ascii="Arial" w:hAnsi="Arial"/>
          <w:rtl/>
        </w:rPr>
      </w:pPr>
      <w:r w:rsidRPr="00FF0D39">
        <w:rPr>
          <w:rFonts w:ascii="Arial" w:hAnsi="Arial" w:hint="cs"/>
          <w:b/>
          <w:bCs/>
          <w:u w:val="double"/>
          <w:rtl/>
        </w:rPr>
        <w:t>מתחם העונש ההולם</w:t>
      </w:r>
      <w:r>
        <w:rPr>
          <w:rFonts w:ascii="Arial" w:hAnsi="Arial" w:hint="cs"/>
          <w:rtl/>
        </w:rPr>
        <w:t>:</w:t>
      </w:r>
    </w:p>
    <w:p w14:paraId="5D13EEC6" w14:textId="77777777" w:rsidR="00A86802" w:rsidRDefault="00A86802" w:rsidP="00A86802">
      <w:pPr>
        <w:spacing w:line="360" w:lineRule="auto"/>
        <w:ind w:left="720" w:hanging="720"/>
        <w:jc w:val="both"/>
        <w:rPr>
          <w:rtl/>
        </w:rPr>
      </w:pPr>
      <w:r>
        <w:rPr>
          <w:rFonts w:hint="cs"/>
          <w:rtl/>
        </w:rPr>
        <w:t>15.</w:t>
      </w:r>
      <w:r>
        <w:rPr>
          <w:rFonts w:hint="cs"/>
          <w:rtl/>
        </w:rPr>
        <w:tab/>
        <w:t xml:space="preserve">העבירות של סחר בסמים גורמות לפגיעה ממשית באינטרס הציבורי ומביאות להתפשטות נגע הסמים בחברה. </w:t>
      </w:r>
    </w:p>
    <w:p w14:paraId="60BC08E1" w14:textId="77777777" w:rsidR="00A86802" w:rsidRDefault="00A86802" w:rsidP="00A86802">
      <w:pPr>
        <w:spacing w:line="360" w:lineRule="auto"/>
        <w:ind w:left="720" w:hanging="720"/>
        <w:jc w:val="both"/>
        <w:rPr>
          <w:rtl/>
        </w:rPr>
      </w:pPr>
    </w:p>
    <w:p w14:paraId="28AD8F9C" w14:textId="77777777" w:rsidR="00A86802" w:rsidRDefault="00A86802" w:rsidP="00A86802">
      <w:pPr>
        <w:spacing w:line="360" w:lineRule="auto"/>
        <w:ind w:left="720" w:hanging="720"/>
        <w:jc w:val="both"/>
        <w:rPr>
          <w:rtl/>
        </w:rPr>
      </w:pPr>
      <w:r>
        <w:rPr>
          <w:rFonts w:hint="cs"/>
          <w:rtl/>
        </w:rPr>
        <w:t>16.</w:t>
      </w:r>
      <w:r>
        <w:rPr>
          <w:rFonts w:hint="cs"/>
          <w:rtl/>
        </w:rPr>
        <w:tab/>
        <w:t xml:space="preserve">יש לראות חומרה מיוחדת בעובדות כי הנאשם ביצע את העבירות זמן קצר לאחר ששוחרר ממאסר בן 13 חודשים שנגזרו עליו בין השאר בגין עבירות של סחר בסמים. </w:t>
      </w:r>
    </w:p>
    <w:p w14:paraId="256B0E6B" w14:textId="77777777" w:rsidR="00A86802" w:rsidRDefault="00A86802" w:rsidP="00A86802">
      <w:pPr>
        <w:spacing w:line="360" w:lineRule="auto"/>
        <w:ind w:left="720" w:hanging="720"/>
        <w:jc w:val="both"/>
        <w:rPr>
          <w:rtl/>
        </w:rPr>
      </w:pPr>
    </w:p>
    <w:p w14:paraId="1714E1EF" w14:textId="77777777" w:rsidR="00A86802" w:rsidRDefault="00A86802" w:rsidP="00A86802">
      <w:pPr>
        <w:spacing w:line="360" w:lineRule="auto"/>
        <w:ind w:left="720" w:hanging="720"/>
        <w:jc w:val="both"/>
        <w:rPr>
          <w:rtl/>
        </w:rPr>
      </w:pPr>
      <w:r>
        <w:rPr>
          <w:rFonts w:hint="cs"/>
          <w:rtl/>
        </w:rPr>
        <w:t>17.</w:t>
      </w:r>
      <w:r>
        <w:rPr>
          <w:rFonts w:hint="cs"/>
          <w:rtl/>
        </w:rPr>
        <w:tab/>
        <w:t xml:space="preserve">מתחם הענישה ההולם בעבירות של סחר בסמים בנסיבות דומות נע בין 6 ל-12 חודשים. יש ממש בטענות התביעה כי במקרה זה יש מקום להטיל עונשים נפרדים בגין כל אחת מהעבירות. </w:t>
      </w:r>
    </w:p>
    <w:p w14:paraId="172C571B" w14:textId="77777777" w:rsidR="00A86802" w:rsidRDefault="00A86802" w:rsidP="00A86802">
      <w:pPr>
        <w:spacing w:line="360" w:lineRule="auto"/>
        <w:ind w:left="720" w:hanging="720"/>
        <w:jc w:val="both"/>
        <w:rPr>
          <w:rtl/>
        </w:rPr>
      </w:pPr>
    </w:p>
    <w:p w14:paraId="1B167303" w14:textId="77777777" w:rsidR="00A86802" w:rsidRPr="00B05847" w:rsidRDefault="00A86802" w:rsidP="00A86802">
      <w:pPr>
        <w:spacing w:line="480" w:lineRule="auto"/>
        <w:ind w:left="720" w:hanging="720"/>
        <w:jc w:val="both"/>
        <w:rPr>
          <w:rtl/>
        </w:rPr>
      </w:pPr>
      <w:r w:rsidRPr="00A8657C">
        <w:rPr>
          <w:rFonts w:hint="cs"/>
          <w:b/>
          <w:bCs/>
          <w:u w:val="double"/>
          <w:rtl/>
        </w:rPr>
        <w:t>סיכום</w:t>
      </w:r>
      <w:r>
        <w:rPr>
          <w:rFonts w:hint="cs"/>
          <w:rtl/>
        </w:rPr>
        <w:t xml:space="preserve"> :</w:t>
      </w:r>
    </w:p>
    <w:p w14:paraId="47470984" w14:textId="77777777" w:rsidR="00A86802" w:rsidRDefault="00A86802" w:rsidP="00A86802">
      <w:pPr>
        <w:spacing w:line="360" w:lineRule="auto"/>
        <w:ind w:left="720" w:hanging="720"/>
        <w:jc w:val="both"/>
        <w:rPr>
          <w:rtl/>
        </w:rPr>
      </w:pPr>
      <w:r>
        <w:rPr>
          <w:rFonts w:hint="cs"/>
          <w:rtl/>
        </w:rPr>
        <w:t>18.</w:t>
      </w:r>
      <w:r>
        <w:rPr>
          <w:rFonts w:hint="cs"/>
          <w:rtl/>
        </w:rPr>
        <w:tab/>
        <w:t xml:space="preserve">במקרה זה העונש ההולם הכולל הפעלת המאסר המותנה, שראוי להטיל על הנאשם הוא 15 חודשי מאסר בפועל. עונש זה הוא עונש שאינו לוקח בחשבון את התסקיר החיובי של שירות המבחן. </w:t>
      </w:r>
    </w:p>
    <w:p w14:paraId="0B44D51D" w14:textId="77777777" w:rsidR="00A86802" w:rsidRDefault="00A86802" w:rsidP="00A86802">
      <w:pPr>
        <w:spacing w:line="360" w:lineRule="auto"/>
        <w:ind w:left="720" w:hanging="720"/>
        <w:jc w:val="both"/>
        <w:rPr>
          <w:rtl/>
        </w:rPr>
      </w:pPr>
    </w:p>
    <w:p w14:paraId="6AB069F0" w14:textId="77777777" w:rsidR="00A86802" w:rsidRDefault="00A86802" w:rsidP="00A86802">
      <w:pPr>
        <w:spacing w:line="360" w:lineRule="auto"/>
        <w:ind w:left="720" w:hanging="720"/>
        <w:jc w:val="both"/>
        <w:rPr>
          <w:rtl/>
        </w:rPr>
      </w:pPr>
      <w:r>
        <w:rPr>
          <w:rFonts w:hint="cs"/>
          <w:rtl/>
        </w:rPr>
        <w:t>19.</w:t>
      </w:r>
      <w:r>
        <w:rPr>
          <w:rFonts w:hint="cs"/>
          <w:rtl/>
        </w:rPr>
        <w:tab/>
        <w:t xml:space="preserve">בית משפט מתייחס בכבוד הראוי לחוות הדעת המוצגות ע"י שירות המבחן. שירות המבחן הוא גורם מקצועי שבוחן בזהירות את המלצותיו ועושה כן לאחר התייחסות למכלול הנסיבות. </w:t>
      </w:r>
    </w:p>
    <w:p w14:paraId="0CDD0311" w14:textId="77777777" w:rsidR="00A86802" w:rsidRDefault="00A86802" w:rsidP="00A86802">
      <w:pPr>
        <w:spacing w:line="360" w:lineRule="auto"/>
        <w:ind w:left="720" w:hanging="720"/>
        <w:jc w:val="both"/>
        <w:rPr>
          <w:rtl/>
        </w:rPr>
      </w:pPr>
    </w:p>
    <w:p w14:paraId="15CB65B7" w14:textId="77777777" w:rsidR="00A86802" w:rsidRDefault="00A86802" w:rsidP="00A86802">
      <w:pPr>
        <w:spacing w:line="360" w:lineRule="auto"/>
        <w:ind w:left="720" w:hanging="720"/>
        <w:jc w:val="both"/>
        <w:rPr>
          <w:rtl/>
        </w:rPr>
      </w:pPr>
      <w:r>
        <w:rPr>
          <w:rFonts w:hint="cs"/>
          <w:rtl/>
        </w:rPr>
        <w:t>20.</w:t>
      </w:r>
      <w:r>
        <w:rPr>
          <w:rFonts w:hint="cs"/>
          <w:rtl/>
        </w:rPr>
        <w:tab/>
        <w:t xml:space="preserve">למרות האמור לעיל, האמור בתסקיר הוא בגדר המלצה שכאמור יש לשקול בכובד ראש. במקרה זה הגעתי לידי מסקנה כי לנאשם יש סיכוי ממשי כאמור בתסקיר להשתקם וכי יש מקום לפעול בעניינו בהתאם לקבוע בסעיף </w:t>
      </w:r>
      <w:hyperlink r:id="rId10" w:history="1">
        <w:r w:rsidR="00DD459D" w:rsidRPr="00DD459D">
          <w:rPr>
            <w:rStyle w:val="Hyperlink"/>
            <w:color w:val="0000FF"/>
            <w:rtl/>
          </w:rPr>
          <w:t>40 ד</w:t>
        </w:r>
      </w:hyperlink>
      <w:r>
        <w:rPr>
          <w:rFonts w:hint="cs"/>
          <w:rtl/>
        </w:rPr>
        <w:t xml:space="preserve"> ל</w:t>
      </w:r>
      <w:hyperlink r:id="rId11" w:history="1">
        <w:r w:rsidR="004A3208" w:rsidRPr="004A3208">
          <w:rPr>
            <w:color w:val="0000FF"/>
            <w:u w:val="single"/>
            <w:rtl/>
          </w:rPr>
          <w:t>חוק העונשין</w:t>
        </w:r>
      </w:hyperlink>
      <w:r>
        <w:rPr>
          <w:rFonts w:hint="cs"/>
          <w:rtl/>
        </w:rPr>
        <w:t xml:space="preserve">. </w:t>
      </w:r>
    </w:p>
    <w:p w14:paraId="3709DC59" w14:textId="77777777" w:rsidR="00A86802" w:rsidRDefault="00A86802" w:rsidP="00A86802">
      <w:pPr>
        <w:spacing w:line="360" w:lineRule="auto"/>
        <w:ind w:left="720" w:hanging="720"/>
        <w:jc w:val="both"/>
        <w:rPr>
          <w:rtl/>
        </w:rPr>
      </w:pPr>
    </w:p>
    <w:p w14:paraId="10570505" w14:textId="77777777" w:rsidR="00A86802" w:rsidRDefault="00A86802" w:rsidP="00A86802">
      <w:pPr>
        <w:spacing w:line="360" w:lineRule="auto"/>
        <w:ind w:left="720" w:hanging="720"/>
        <w:jc w:val="both"/>
        <w:rPr>
          <w:rtl/>
        </w:rPr>
      </w:pPr>
      <w:r>
        <w:rPr>
          <w:rFonts w:hint="cs"/>
          <w:rtl/>
        </w:rPr>
        <w:t>21.</w:t>
      </w:r>
      <w:r>
        <w:rPr>
          <w:rFonts w:hint="cs"/>
          <w:rtl/>
        </w:rPr>
        <w:tab/>
        <w:t xml:space="preserve">אולם נוכח חומרת המעשים ועברו של הנאשם, אין מקום לפטור אותו מעונש מאסר. </w:t>
      </w:r>
    </w:p>
    <w:p w14:paraId="75685D9D" w14:textId="77777777" w:rsidR="00A86802" w:rsidRDefault="00A86802" w:rsidP="00A86802">
      <w:pPr>
        <w:spacing w:line="360" w:lineRule="auto"/>
        <w:ind w:left="720" w:hanging="720"/>
        <w:jc w:val="both"/>
        <w:rPr>
          <w:rtl/>
        </w:rPr>
      </w:pPr>
    </w:p>
    <w:p w14:paraId="3FDC5735" w14:textId="77777777" w:rsidR="00A86802" w:rsidRDefault="00A86802" w:rsidP="00A86802">
      <w:pPr>
        <w:spacing w:line="360" w:lineRule="auto"/>
        <w:ind w:left="720" w:hanging="720"/>
        <w:jc w:val="both"/>
        <w:rPr>
          <w:rtl/>
        </w:rPr>
      </w:pPr>
      <w:r>
        <w:rPr>
          <w:rFonts w:hint="cs"/>
          <w:rtl/>
        </w:rPr>
        <w:t>22.</w:t>
      </w:r>
      <w:r>
        <w:rPr>
          <w:rFonts w:hint="cs"/>
          <w:rtl/>
        </w:rPr>
        <w:tab/>
        <w:t xml:space="preserve">לאור כל האמור לעיל, אני גוזר על הנאשם בגין שתי העבירות בהן הורשע, 15 חודשי מאסר מהם 6 חודשים לריצוי בפועל והיתרה מאסר על תנאי למשך שלוש שנים והתנאי הוא כי הוא לא יעבור עבירה מסוג פשע לפי </w:t>
      </w:r>
      <w:hyperlink r:id="rId12" w:history="1">
        <w:r w:rsidR="004A3208" w:rsidRPr="004A3208">
          <w:rPr>
            <w:color w:val="0000FF"/>
            <w:u w:val="single"/>
            <w:rtl/>
          </w:rPr>
          <w:t>פקודת הסמים המסוכנים</w:t>
        </w:r>
      </w:hyperlink>
      <w:r>
        <w:rPr>
          <w:rFonts w:hint="cs"/>
          <w:rtl/>
        </w:rPr>
        <w:t xml:space="preserve">. </w:t>
      </w:r>
    </w:p>
    <w:p w14:paraId="030A59CF" w14:textId="77777777" w:rsidR="00A86802" w:rsidRDefault="00A86802" w:rsidP="00A86802">
      <w:pPr>
        <w:spacing w:line="360" w:lineRule="auto"/>
        <w:ind w:left="720" w:hanging="720"/>
        <w:jc w:val="both"/>
        <w:rPr>
          <w:rtl/>
        </w:rPr>
      </w:pPr>
    </w:p>
    <w:p w14:paraId="3F240D9A" w14:textId="77777777" w:rsidR="00A86802" w:rsidRDefault="00A86802" w:rsidP="00A86802">
      <w:pPr>
        <w:spacing w:line="360" w:lineRule="auto"/>
        <w:ind w:left="720" w:hanging="720"/>
        <w:jc w:val="both"/>
        <w:rPr>
          <w:rtl/>
        </w:rPr>
      </w:pPr>
      <w:r>
        <w:rPr>
          <w:rFonts w:hint="cs"/>
          <w:rtl/>
        </w:rPr>
        <w:t>23.</w:t>
      </w:r>
      <w:r>
        <w:rPr>
          <w:rFonts w:hint="cs"/>
          <w:rtl/>
        </w:rPr>
        <w:tab/>
        <w:t>אני מפעיל את עונש המאסר המותנה בן 6 חודשים שהוטל ב</w:t>
      </w:r>
      <w:hyperlink r:id="rId13" w:history="1">
        <w:r w:rsidR="004A3208" w:rsidRPr="004A3208">
          <w:rPr>
            <w:color w:val="0000FF"/>
            <w:u w:val="single"/>
            <w:rtl/>
          </w:rPr>
          <w:t>ת"פ 65398-05-17</w:t>
        </w:r>
      </w:hyperlink>
      <w:r>
        <w:rPr>
          <w:rFonts w:hint="cs"/>
          <w:rtl/>
        </w:rPr>
        <w:t xml:space="preserve"> שלושה חודשים מהעונש המופעל יהיה חופף לעונש המוטל, כך שעל הנאשם יהיה לרצות 9 חודשי מאסר בניכוי ימי מעצרו מיום 21.10.2018 עד 22.12.2018. </w:t>
      </w:r>
    </w:p>
    <w:p w14:paraId="652A97A6" w14:textId="77777777" w:rsidR="00A86802" w:rsidRDefault="00A86802" w:rsidP="00A86802">
      <w:pPr>
        <w:spacing w:line="360" w:lineRule="auto"/>
        <w:ind w:left="720" w:hanging="720"/>
        <w:jc w:val="both"/>
        <w:rPr>
          <w:rtl/>
        </w:rPr>
      </w:pPr>
    </w:p>
    <w:p w14:paraId="2E08AFD2" w14:textId="77777777" w:rsidR="00A86802" w:rsidRDefault="00A86802" w:rsidP="00A86802">
      <w:pPr>
        <w:spacing w:line="360" w:lineRule="auto"/>
        <w:ind w:left="720" w:hanging="720"/>
        <w:jc w:val="both"/>
        <w:rPr>
          <w:rtl/>
        </w:rPr>
      </w:pPr>
      <w:r>
        <w:rPr>
          <w:rFonts w:hint="cs"/>
          <w:rtl/>
        </w:rPr>
        <w:t>24.</w:t>
      </w:r>
      <w:r>
        <w:rPr>
          <w:rFonts w:hint="cs"/>
          <w:rtl/>
        </w:rPr>
        <w:tab/>
        <w:t>אני קובע כי עונש המאסר ירוצה בדרך של עבודות שירות....תחילת העבודות השירות ביום.7.2.21 באותו יום על הנאשם להתייצב בפני הממונה. במפקדת מחוז מרכז בשעה 08.00 אוטובוס מתחנה מרכזית לוד קו 247 .</w:t>
      </w:r>
    </w:p>
    <w:p w14:paraId="1E4DD013" w14:textId="77777777" w:rsidR="00A86802" w:rsidRDefault="00A86802" w:rsidP="00A86802">
      <w:pPr>
        <w:spacing w:line="360" w:lineRule="auto"/>
        <w:ind w:left="720" w:hanging="720"/>
        <w:jc w:val="both"/>
        <w:rPr>
          <w:rtl/>
        </w:rPr>
      </w:pPr>
    </w:p>
    <w:p w14:paraId="2A343901" w14:textId="77777777" w:rsidR="00A86802" w:rsidRDefault="00A86802" w:rsidP="00A86802">
      <w:pPr>
        <w:spacing w:line="360" w:lineRule="auto"/>
        <w:ind w:left="720" w:hanging="720"/>
        <w:jc w:val="both"/>
        <w:rPr>
          <w:rtl/>
        </w:rPr>
      </w:pPr>
      <w:r>
        <w:rPr>
          <w:rFonts w:hint="cs"/>
          <w:rtl/>
        </w:rPr>
        <w:t>25.</w:t>
      </w:r>
      <w:r>
        <w:rPr>
          <w:rFonts w:hint="cs"/>
          <w:rtl/>
        </w:rPr>
        <w:tab/>
        <w:t xml:space="preserve">אני מכריז על הנאשם כסוחר סמים. הכסף שנתפס יחולט, הסמים יושמדו. </w:t>
      </w:r>
    </w:p>
    <w:p w14:paraId="307B9582" w14:textId="77777777" w:rsidR="00A86802" w:rsidRDefault="00A86802" w:rsidP="00A86802">
      <w:pPr>
        <w:spacing w:line="360" w:lineRule="auto"/>
        <w:ind w:left="720" w:hanging="720"/>
        <w:jc w:val="both"/>
        <w:rPr>
          <w:rtl/>
        </w:rPr>
      </w:pPr>
    </w:p>
    <w:p w14:paraId="10237445" w14:textId="77777777" w:rsidR="00A86802" w:rsidRDefault="00A86802" w:rsidP="00A86802">
      <w:pPr>
        <w:spacing w:line="360" w:lineRule="auto"/>
        <w:ind w:left="720" w:hanging="720"/>
        <w:jc w:val="both"/>
        <w:rPr>
          <w:rtl/>
        </w:rPr>
      </w:pPr>
      <w:r>
        <w:rPr>
          <w:rFonts w:hint="cs"/>
          <w:rtl/>
        </w:rPr>
        <w:t>26.</w:t>
      </w:r>
      <w:r>
        <w:rPr>
          <w:rFonts w:hint="cs"/>
          <w:rtl/>
        </w:rPr>
        <w:tab/>
        <w:t xml:space="preserve">העתק גזר הדין יועברו לממונה על עבודות השירות ולשירות המבחן. </w:t>
      </w:r>
    </w:p>
    <w:p w14:paraId="3B303EF4" w14:textId="77777777" w:rsidR="00A86802" w:rsidRDefault="00A86802" w:rsidP="00A86802">
      <w:pPr>
        <w:spacing w:line="360" w:lineRule="auto"/>
        <w:ind w:left="720" w:hanging="720"/>
        <w:jc w:val="both"/>
        <w:rPr>
          <w:rtl/>
        </w:rPr>
      </w:pPr>
    </w:p>
    <w:p w14:paraId="44EBDFD8" w14:textId="77777777" w:rsidR="00A86802" w:rsidRPr="004A3208" w:rsidRDefault="004A3208" w:rsidP="00A86802">
      <w:pPr>
        <w:rPr>
          <w:color w:val="FFFFFF"/>
          <w:sz w:val="2"/>
          <w:szCs w:val="2"/>
          <w:rtl/>
        </w:rPr>
      </w:pPr>
      <w:r w:rsidRPr="004A3208">
        <w:rPr>
          <w:color w:val="FFFFFF"/>
          <w:sz w:val="2"/>
          <w:szCs w:val="2"/>
          <w:rtl/>
        </w:rPr>
        <w:t>5129371</w:t>
      </w:r>
    </w:p>
    <w:p w14:paraId="27F74D11" w14:textId="77777777" w:rsidR="00A86802" w:rsidRPr="00250B83" w:rsidRDefault="004A3208" w:rsidP="00A86802">
      <w:pPr>
        <w:rPr>
          <w:rtl/>
        </w:rPr>
      </w:pPr>
      <w:bookmarkStart w:id="8" w:name="Nitan"/>
      <w:r w:rsidRPr="004A3208">
        <w:rPr>
          <w:rFonts w:ascii="Arial" w:hAnsi="Arial"/>
          <w:color w:val="FFFFFF"/>
          <w:sz w:val="2"/>
          <w:szCs w:val="2"/>
          <w:rtl/>
        </w:rPr>
        <w:t>54678313</w:t>
      </w:r>
      <w:r>
        <w:rPr>
          <w:rFonts w:ascii="Arial" w:hAnsi="Arial"/>
          <w:rtl/>
        </w:rPr>
        <w:t xml:space="preserve">ניתן היום,  כ"ח כסלו תשפ"א, 14 דצמבר 2020, בהעדר הצדדים. </w:t>
      </w:r>
      <w:bookmarkEnd w:id="8"/>
    </w:p>
    <w:p w14:paraId="555458B8" w14:textId="77777777" w:rsidR="00A86802" w:rsidRPr="00250B83" w:rsidRDefault="00A86802" w:rsidP="004A3208">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1FDC78FE" w14:textId="77777777" w:rsidR="00A86802" w:rsidRPr="00250B83" w:rsidRDefault="00A86802" w:rsidP="00A86802">
      <w:pPr>
        <w:jc w:val="center"/>
        <w:rPr>
          <w:rFonts w:ascii="Arial" w:hAnsi="Arial"/>
          <w:rtl/>
        </w:rPr>
      </w:pPr>
    </w:p>
    <w:p w14:paraId="681A5C32" w14:textId="77777777" w:rsidR="00A86802" w:rsidRPr="00250B83" w:rsidRDefault="00A86802" w:rsidP="00A86802">
      <w:pPr>
        <w:rPr>
          <w:rtl/>
        </w:rPr>
      </w:pPr>
    </w:p>
    <w:p w14:paraId="564FE5A5" w14:textId="77777777" w:rsidR="00A86802" w:rsidRPr="00DD459D" w:rsidRDefault="00DD459D" w:rsidP="00A86802">
      <w:pPr>
        <w:pStyle w:val="a3"/>
        <w:jc w:val="center"/>
        <w:rPr>
          <w:color w:val="FFFFFF"/>
          <w:sz w:val="2"/>
          <w:szCs w:val="2"/>
          <w:rtl/>
        </w:rPr>
      </w:pPr>
      <w:r w:rsidRPr="00DD459D">
        <w:rPr>
          <w:color w:val="FFFFFF"/>
          <w:sz w:val="2"/>
          <w:szCs w:val="2"/>
          <w:rtl/>
        </w:rPr>
        <w:t>5129371</w:t>
      </w:r>
    </w:p>
    <w:p w14:paraId="5229D1F8" w14:textId="77777777" w:rsidR="00B96546" w:rsidRPr="00DD459D" w:rsidRDefault="00DD459D" w:rsidP="004A3208">
      <w:pPr>
        <w:keepNext/>
        <w:rPr>
          <w:rFonts w:ascii="David" w:hAnsi="David"/>
          <w:color w:val="FFFFFF"/>
          <w:sz w:val="2"/>
          <w:szCs w:val="2"/>
          <w:rtl/>
        </w:rPr>
      </w:pPr>
      <w:r w:rsidRPr="00DD459D">
        <w:rPr>
          <w:rFonts w:ascii="David" w:hAnsi="David"/>
          <w:color w:val="FFFFFF"/>
          <w:sz w:val="2"/>
          <w:szCs w:val="2"/>
          <w:rtl/>
        </w:rPr>
        <w:t>54678313</w:t>
      </w:r>
    </w:p>
    <w:p w14:paraId="2968E792" w14:textId="77777777" w:rsidR="004A3208" w:rsidRDefault="004A3208" w:rsidP="004A3208">
      <w:pPr>
        <w:rPr>
          <w:rtl/>
        </w:rPr>
      </w:pPr>
    </w:p>
    <w:p w14:paraId="388882AA" w14:textId="77777777" w:rsidR="004A3208" w:rsidRDefault="004A3208" w:rsidP="004A3208">
      <w:pPr>
        <w:jc w:val="center"/>
        <w:rPr>
          <w:color w:val="0000FF"/>
          <w:u w:val="single"/>
        </w:rPr>
      </w:pPr>
      <w:hyperlink r:id="rId14" w:history="1">
        <w:r>
          <w:rPr>
            <w:color w:val="0000FF"/>
            <w:u w:val="single"/>
            <w:rtl/>
          </w:rPr>
          <w:t>בעניין עריכה ושינויים במסמכי פסיקה, חקיקה ועוד באתר נבו – הקש כאן</w:t>
        </w:r>
      </w:hyperlink>
    </w:p>
    <w:p w14:paraId="68097731" w14:textId="77777777" w:rsidR="00DD459D" w:rsidRPr="00DD459D" w:rsidRDefault="00DD459D" w:rsidP="00DD459D">
      <w:pPr>
        <w:keepNext/>
        <w:rPr>
          <w:rFonts w:ascii="David" w:hAnsi="David"/>
          <w:color w:val="000000"/>
          <w:sz w:val="22"/>
          <w:szCs w:val="22"/>
          <w:rtl/>
        </w:rPr>
      </w:pPr>
    </w:p>
    <w:p w14:paraId="4E2E7EEC" w14:textId="77777777" w:rsidR="00DD459D" w:rsidRPr="00DD459D" w:rsidRDefault="00DD459D" w:rsidP="00DD459D">
      <w:pPr>
        <w:keepNext/>
        <w:rPr>
          <w:rFonts w:ascii="David" w:hAnsi="David"/>
          <w:color w:val="000000"/>
          <w:sz w:val="22"/>
          <w:szCs w:val="22"/>
          <w:rtl/>
        </w:rPr>
      </w:pPr>
      <w:r w:rsidRPr="00DD459D">
        <w:rPr>
          <w:rFonts w:ascii="David" w:hAnsi="David"/>
          <w:color w:val="000000"/>
          <w:sz w:val="22"/>
          <w:szCs w:val="22"/>
          <w:rtl/>
        </w:rPr>
        <w:t>דניאל בארי 54678313-/</w:t>
      </w:r>
    </w:p>
    <w:p w14:paraId="68C801B1" w14:textId="77777777" w:rsidR="004A3208" w:rsidRPr="004A3208" w:rsidRDefault="00DD459D" w:rsidP="00DD459D">
      <w:pPr>
        <w:rPr>
          <w:color w:val="0000FF"/>
          <w:u w:val="single"/>
        </w:rPr>
      </w:pPr>
      <w:r w:rsidRPr="00DD459D">
        <w:rPr>
          <w:color w:val="000000"/>
          <w:u w:val="single"/>
          <w:rtl/>
        </w:rPr>
        <w:t>נוסח מסמך זה כפוף לשינויי ניסוח ועריכה</w:t>
      </w:r>
    </w:p>
    <w:sectPr w:rsidR="004A3208" w:rsidRPr="004A3208" w:rsidSect="00DD459D">
      <w:headerReference w:type="even" r:id="rId15"/>
      <w:headerReference w:type="default" r:id="rId16"/>
      <w:footerReference w:type="even" r:id="rId17"/>
      <w:footerReference w:type="default" r:id="rId18"/>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A8FC65" w14:textId="77777777" w:rsidR="009A05CF" w:rsidRDefault="009A05CF" w:rsidP="001A5744">
      <w:r>
        <w:separator/>
      </w:r>
    </w:p>
  </w:endnote>
  <w:endnote w:type="continuationSeparator" w:id="0">
    <w:p w14:paraId="375CB2E0" w14:textId="77777777" w:rsidR="009A05CF" w:rsidRDefault="009A05CF" w:rsidP="001A5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1CE75" w14:textId="77777777" w:rsidR="00DD459D" w:rsidRDefault="00DD459D" w:rsidP="00DD459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FEA0AEF" w14:textId="77777777" w:rsidR="0000236E" w:rsidRPr="00DD459D" w:rsidRDefault="00DD459D" w:rsidP="00DD459D">
    <w:pPr>
      <w:pStyle w:val="a5"/>
      <w:pBdr>
        <w:top w:val="single" w:sz="4" w:space="1" w:color="auto"/>
        <w:between w:val="single" w:sz="4" w:space="0" w:color="auto"/>
      </w:pBdr>
      <w:spacing w:after="60"/>
      <w:jc w:val="center"/>
      <w:rPr>
        <w:rFonts w:ascii="FrankRuehl" w:hAnsi="FrankRuehl" w:cs="FrankRuehl"/>
        <w:color w:val="000000"/>
      </w:rPr>
    </w:pPr>
    <w:r w:rsidRPr="00DD459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D1839" w14:textId="77777777" w:rsidR="00DD459D" w:rsidRDefault="00DD459D" w:rsidP="00DD459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96608">
      <w:rPr>
        <w:rFonts w:ascii="FrankRuehl" w:hAnsi="FrankRuehl" w:cs="FrankRuehl"/>
        <w:noProof/>
        <w:rtl/>
      </w:rPr>
      <w:t>1</w:t>
    </w:r>
    <w:r>
      <w:rPr>
        <w:rFonts w:ascii="FrankRuehl" w:hAnsi="FrankRuehl" w:cs="FrankRuehl"/>
        <w:rtl/>
      </w:rPr>
      <w:fldChar w:fldCharType="end"/>
    </w:r>
  </w:p>
  <w:p w14:paraId="13A73A72" w14:textId="77777777" w:rsidR="0000236E" w:rsidRPr="00DD459D" w:rsidRDefault="00DD459D" w:rsidP="00DD459D">
    <w:pPr>
      <w:pStyle w:val="a5"/>
      <w:pBdr>
        <w:top w:val="single" w:sz="4" w:space="1" w:color="auto"/>
        <w:between w:val="single" w:sz="4" w:space="0" w:color="auto"/>
      </w:pBdr>
      <w:spacing w:after="60"/>
      <w:jc w:val="center"/>
      <w:rPr>
        <w:rFonts w:ascii="FrankRuehl" w:hAnsi="FrankRuehl" w:cs="FrankRuehl"/>
        <w:color w:val="000000"/>
      </w:rPr>
    </w:pPr>
    <w:r w:rsidRPr="00DD459D">
      <w:rPr>
        <w:rFonts w:ascii="FrankRuehl" w:hAnsi="FrankRuehl" w:cs="FrankRuehl"/>
        <w:color w:val="000000"/>
      </w:rPr>
      <w:pict w14:anchorId="02132B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DEC48" w14:textId="77777777" w:rsidR="009A05CF" w:rsidRDefault="009A05CF" w:rsidP="001A5744">
      <w:r>
        <w:separator/>
      </w:r>
    </w:p>
  </w:footnote>
  <w:footnote w:type="continuationSeparator" w:id="0">
    <w:p w14:paraId="530EBE01" w14:textId="77777777" w:rsidR="009A05CF" w:rsidRDefault="009A05CF" w:rsidP="001A57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B80F3" w14:textId="77777777" w:rsidR="004A3208" w:rsidRPr="00DD459D" w:rsidRDefault="00DD459D" w:rsidP="00DD459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51139-10-18</w:t>
    </w:r>
    <w:r>
      <w:rPr>
        <w:rFonts w:ascii="David" w:hAnsi="David"/>
        <w:color w:val="000000"/>
        <w:sz w:val="22"/>
        <w:szCs w:val="22"/>
        <w:rtl/>
      </w:rPr>
      <w:tab/>
      <w:t xml:space="preserve"> מדינת ישראל נ' </w:t>
    </w:r>
    <w:r>
      <w:rPr>
        <w:rFonts w:ascii="David" w:hAnsi="David"/>
        <w:color w:val="000000"/>
        <w:sz w:val="22"/>
        <w:szCs w:val="22"/>
      </w:rPr>
      <w:t>MOHAMMED HALED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E92420" w14:textId="77777777" w:rsidR="004A3208" w:rsidRPr="00DD459D" w:rsidRDefault="00DD459D" w:rsidP="00DD459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51139-10-18</w:t>
    </w:r>
    <w:r>
      <w:rPr>
        <w:rFonts w:ascii="David" w:hAnsi="David"/>
        <w:color w:val="000000"/>
        <w:sz w:val="22"/>
        <w:szCs w:val="22"/>
        <w:rtl/>
      </w:rPr>
      <w:tab/>
      <w:t xml:space="preserve"> מדינת ישראל נ' </w:t>
    </w:r>
    <w:r>
      <w:rPr>
        <w:rFonts w:ascii="David" w:hAnsi="David"/>
        <w:color w:val="000000"/>
        <w:sz w:val="22"/>
        <w:szCs w:val="22"/>
      </w:rPr>
      <w:t>MOHAMMED HALED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86802"/>
    <w:rsid w:val="0000236E"/>
    <w:rsid w:val="00151712"/>
    <w:rsid w:val="001A5744"/>
    <w:rsid w:val="00396608"/>
    <w:rsid w:val="003A33AF"/>
    <w:rsid w:val="004A3208"/>
    <w:rsid w:val="004E6E99"/>
    <w:rsid w:val="009A05CF"/>
    <w:rsid w:val="00A86802"/>
    <w:rsid w:val="00B96546"/>
    <w:rsid w:val="00DD45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927A4A"/>
  <w15:chartTrackingRefBased/>
  <w15:docId w15:val="{D98C1A59-7864-4A70-BE8B-8459A1425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680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86802"/>
    <w:pPr>
      <w:tabs>
        <w:tab w:val="center" w:pos="4153"/>
        <w:tab w:val="right" w:pos="8306"/>
      </w:tabs>
    </w:pPr>
  </w:style>
  <w:style w:type="character" w:customStyle="1" w:styleId="a4">
    <w:name w:val="כותרת עליונה תו"/>
    <w:link w:val="a3"/>
    <w:rsid w:val="00A86802"/>
    <w:rPr>
      <w:rFonts w:ascii="Times New Roman" w:eastAsia="Times New Roman" w:hAnsi="Times New Roman" w:cs="David"/>
      <w:sz w:val="24"/>
      <w:szCs w:val="24"/>
    </w:rPr>
  </w:style>
  <w:style w:type="paragraph" w:styleId="a5">
    <w:name w:val="footer"/>
    <w:basedOn w:val="a"/>
    <w:link w:val="a6"/>
    <w:rsid w:val="00A86802"/>
    <w:pPr>
      <w:tabs>
        <w:tab w:val="center" w:pos="4153"/>
        <w:tab w:val="right" w:pos="8306"/>
      </w:tabs>
    </w:pPr>
  </w:style>
  <w:style w:type="character" w:customStyle="1" w:styleId="a6">
    <w:name w:val="כותרת תחתונה תו"/>
    <w:link w:val="a5"/>
    <w:rsid w:val="00A86802"/>
    <w:rPr>
      <w:rFonts w:ascii="Times New Roman" w:eastAsia="Times New Roman" w:hAnsi="Times New Roman" w:cs="David"/>
      <w:sz w:val="24"/>
      <w:szCs w:val="24"/>
    </w:rPr>
  </w:style>
  <w:style w:type="table" w:styleId="a7">
    <w:name w:val="Table Grid"/>
    <w:basedOn w:val="a1"/>
    <w:rsid w:val="00A8680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86802"/>
  </w:style>
  <w:style w:type="character" w:styleId="Hyperlink">
    <w:name w:val="Hyperlink"/>
    <w:rsid w:val="004A320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22660299"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40d" TargetMode="External"/><Relationship Id="rId12" Type="http://schemas.openxmlformats.org/officeDocument/2006/relationships/hyperlink" Target="http://www.nevo.co.il/law/4216"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70301/40d"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case/22660299" TargetMode="External"/><Relationship Id="rId14"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931</Words>
  <Characters>4656</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5576</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3997810</vt:i4>
      </vt:variant>
      <vt:variant>
        <vt:i4>21</vt:i4>
      </vt:variant>
      <vt:variant>
        <vt:i4>0</vt:i4>
      </vt:variant>
      <vt:variant>
        <vt:i4>5</vt:i4>
      </vt:variant>
      <vt:variant>
        <vt:lpwstr>http://www.nevo.co.il/case/22660299</vt:lpwstr>
      </vt:variant>
      <vt:variant>
        <vt:lpwstr/>
      </vt:variant>
      <vt:variant>
        <vt:i4>8257637</vt:i4>
      </vt:variant>
      <vt:variant>
        <vt:i4>18</vt:i4>
      </vt:variant>
      <vt:variant>
        <vt:i4>0</vt:i4>
      </vt:variant>
      <vt:variant>
        <vt:i4>5</vt:i4>
      </vt:variant>
      <vt:variant>
        <vt:lpwstr>http://www.nevo.co.il/law/4216</vt:lpwstr>
      </vt:variant>
      <vt:variant>
        <vt:lpwstr/>
      </vt:variant>
      <vt:variant>
        <vt:i4>7995492</vt:i4>
      </vt:variant>
      <vt:variant>
        <vt:i4>15</vt:i4>
      </vt:variant>
      <vt:variant>
        <vt:i4>0</vt:i4>
      </vt:variant>
      <vt:variant>
        <vt:i4>5</vt:i4>
      </vt:variant>
      <vt:variant>
        <vt:lpwstr>http://www.nevo.co.il/law/70301</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3997810</vt:i4>
      </vt:variant>
      <vt:variant>
        <vt:i4>9</vt:i4>
      </vt:variant>
      <vt:variant>
        <vt:i4>0</vt:i4>
      </vt:variant>
      <vt:variant>
        <vt:i4>5</vt:i4>
      </vt:variant>
      <vt:variant>
        <vt:lpwstr>http://www.nevo.co.il/case/22660299</vt:lpwstr>
      </vt:variant>
      <vt:variant>
        <vt:lpwstr/>
      </vt:variant>
      <vt:variant>
        <vt:i4>8257637</vt:i4>
      </vt:variant>
      <vt:variant>
        <vt:i4>6</vt:i4>
      </vt:variant>
      <vt:variant>
        <vt:i4>0</vt:i4>
      </vt:variant>
      <vt:variant>
        <vt:i4>5</vt:i4>
      </vt:variant>
      <vt:variant>
        <vt:lpwstr>http://www.nevo.co.il/law/4216</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2025-04-22T23:56:00Z</dcterms:created>
  <dcterms:modified xsi:type="dcterms:W3CDTF">2025-04-22T23:56:00Z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51139</vt:lpwstr>
  </property>
  <property fmtid="{D5CDD505-2E9C-101B-9397-08002B2CF9AE}" pid="6" name="NEWPARTB">
    <vt:lpwstr>10</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MOHAMMED HALED</vt:lpwstr>
  </property>
  <property fmtid="{D5CDD505-2E9C-101B-9397-08002B2CF9AE}" pid="10" name="LAWYER">
    <vt:lpwstr>אילנה קיפניס;שרון חזות</vt:lpwstr>
  </property>
  <property fmtid="{D5CDD505-2E9C-101B-9397-08002B2CF9AE}" pid="11" name="JUDGE">
    <vt:lpwstr>דניאל בארי</vt:lpwstr>
  </property>
  <property fmtid="{D5CDD505-2E9C-101B-9397-08002B2CF9AE}" pid="12" name="CITY">
    <vt:lpwstr>ת"א</vt:lpwstr>
  </property>
  <property fmtid="{D5CDD505-2E9C-101B-9397-08002B2CF9AE}" pid="13" name="DATE">
    <vt:lpwstr>20201214</vt:lpwstr>
  </property>
  <property fmtid="{D5CDD505-2E9C-101B-9397-08002B2CF9AE}" pid="14" name="TYPE_N_DATE">
    <vt:lpwstr>38020201214</vt:lpwstr>
  </property>
  <property fmtid="{D5CDD505-2E9C-101B-9397-08002B2CF9AE}" pid="15" name="CASESLISTTMP1">
    <vt:lpwstr>22660299:2</vt:lpwstr>
  </property>
  <property fmtid="{D5CDD505-2E9C-101B-9397-08002B2CF9AE}" pid="16" name="WORDNUMPAGES">
    <vt:lpwstr>4</vt:lpwstr>
  </property>
  <property fmtid="{D5CDD505-2E9C-101B-9397-08002B2CF9AE}" pid="17" name="TYPE_ABS_DATE">
    <vt:lpwstr>380020201214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70301/040d</vt:lpwstr>
  </property>
  <property fmtid="{D5CDD505-2E9C-101B-9397-08002B2CF9AE}" pid="37" name="LAWLISTTMP2">
    <vt:lpwstr>4216</vt:lpwstr>
  </property>
</Properties>
</file>