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12831" w:rsidRPr="0078175A" w14:paraId="0C298BB2" w14:textId="77777777" w:rsidTr="009021A7">
        <w:trPr>
          <w:trHeight w:hRule="exact" w:val="418"/>
          <w:jc w:val="center"/>
        </w:trPr>
        <w:tc>
          <w:tcPr>
            <w:tcW w:w="8721" w:type="dxa"/>
            <w:gridSpan w:val="2"/>
          </w:tcPr>
          <w:p w14:paraId="20703838" w14:textId="77777777" w:rsidR="00312831" w:rsidRPr="0078175A" w:rsidRDefault="00312831" w:rsidP="00846BC7">
            <w:pPr>
              <w:pStyle w:val="a3"/>
              <w:jc w:val="center"/>
              <w:rPr>
                <w:rFonts w:ascii="Tahoma" w:hAnsi="Tahoma" w:cs="Tahoma"/>
                <w:color w:val="000080"/>
                <w:rtl/>
              </w:rPr>
            </w:pPr>
            <w:bookmarkStart w:id="0" w:name="FirstLawyer"/>
            <w:bookmarkStart w:id="1" w:name="LastJudge"/>
            <w:r w:rsidRPr="0078175A">
              <w:rPr>
                <w:rFonts w:ascii="Tahoma" w:hAnsi="Tahoma" w:cs="Tahoma"/>
                <w:b/>
                <w:bCs/>
                <w:color w:val="000080"/>
                <w:rtl/>
              </w:rPr>
              <w:t>בית משפט השלום בפתח תקווה</w:t>
            </w:r>
          </w:p>
        </w:tc>
      </w:tr>
      <w:tr w:rsidR="00312831" w:rsidRPr="0078175A" w14:paraId="6F1F0C68" w14:textId="77777777" w:rsidTr="009021A7">
        <w:trPr>
          <w:trHeight w:val="337"/>
          <w:jc w:val="center"/>
        </w:trPr>
        <w:tc>
          <w:tcPr>
            <w:tcW w:w="5054" w:type="dxa"/>
          </w:tcPr>
          <w:p w14:paraId="30E0ECDA" w14:textId="77777777" w:rsidR="00312831" w:rsidRPr="0078175A" w:rsidRDefault="00312831" w:rsidP="00846BC7">
            <w:pPr>
              <w:rPr>
                <w:rFonts w:cs="FrankRuehl"/>
                <w:sz w:val="28"/>
                <w:szCs w:val="28"/>
                <w:rtl/>
              </w:rPr>
            </w:pPr>
            <w:r w:rsidRPr="0078175A">
              <w:rPr>
                <w:rFonts w:cs="FrankRuehl"/>
                <w:sz w:val="28"/>
                <w:szCs w:val="28"/>
                <w:rtl/>
              </w:rPr>
              <w:t>ת"פ</w:t>
            </w:r>
            <w:r w:rsidRPr="0078175A">
              <w:rPr>
                <w:rFonts w:cs="FrankRuehl" w:hint="cs"/>
                <w:sz w:val="28"/>
                <w:szCs w:val="28"/>
                <w:rtl/>
              </w:rPr>
              <w:t xml:space="preserve"> </w:t>
            </w:r>
            <w:r w:rsidRPr="0078175A">
              <w:rPr>
                <w:rFonts w:cs="FrankRuehl"/>
                <w:sz w:val="28"/>
                <w:szCs w:val="28"/>
                <w:rtl/>
              </w:rPr>
              <w:t>29779-11-18</w:t>
            </w:r>
            <w:r w:rsidRPr="0078175A">
              <w:rPr>
                <w:rFonts w:cs="FrankRuehl" w:hint="cs"/>
                <w:sz w:val="28"/>
                <w:szCs w:val="28"/>
                <w:rtl/>
              </w:rPr>
              <w:t xml:space="preserve"> </w:t>
            </w:r>
            <w:r w:rsidRPr="0078175A">
              <w:rPr>
                <w:rFonts w:cs="FrankRuehl"/>
                <w:sz w:val="28"/>
                <w:szCs w:val="28"/>
                <w:rtl/>
              </w:rPr>
              <w:t>מדינת ישראל נ' יחבס</w:t>
            </w:r>
          </w:p>
          <w:p w14:paraId="3FEB4215" w14:textId="77777777" w:rsidR="00312831" w:rsidRPr="0078175A" w:rsidRDefault="00312831" w:rsidP="00846BC7">
            <w:pPr>
              <w:pStyle w:val="a3"/>
              <w:rPr>
                <w:rFonts w:cs="FrankRuehl"/>
                <w:sz w:val="28"/>
                <w:szCs w:val="28"/>
                <w:rtl/>
              </w:rPr>
            </w:pPr>
          </w:p>
        </w:tc>
        <w:tc>
          <w:tcPr>
            <w:tcW w:w="3667" w:type="dxa"/>
          </w:tcPr>
          <w:p w14:paraId="3F530622" w14:textId="77777777" w:rsidR="00312831" w:rsidRPr="0078175A" w:rsidRDefault="00312831" w:rsidP="00846BC7">
            <w:pPr>
              <w:pStyle w:val="a3"/>
              <w:jc w:val="right"/>
              <w:rPr>
                <w:rFonts w:cs="FrankRuehl"/>
                <w:sz w:val="28"/>
                <w:szCs w:val="28"/>
                <w:rtl/>
              </w:rPr>
            </w:pPr>
          </w:p>
        </w:tc>
      </w:tr>
    </w:tbl>
    <w:p w14:paraId="152BEB9E" w14:textId="77777777" w:rsidR="00312831" w:rsidRPr="0078175A" w:rsidRDefault="00312831" w:rsidP="00312831">
      <w:pPr>
        <w:pStyle w:val="a3"/>
        <w:rPr>
          <w:rtl/>
        </w:rPr>
      </w:pPr>
      <w:r w:rsidRPr="0078175A">
        <w:rPr>
          <w:rFonts w:hint="cs"/>
          <w:rtl/>
        </w:rPr>
        <w:t xml:space="preserve"> </w:t>
      </w:r>
    </w:p>
    <w:p w14:paraId="50FACD5C" w14:textId="77777777" w:rsidR="00312831" w:rsidRPr="0078175A" w:rsidRDefault="00312831" w:rsidP="00312831">
      <w:pPr>
        <w:rPr>
          <w:rtl/>
        </w:rPr>
      </w:pPr>
    </w:p>
    <w:p w14:paraId="40A52EC5" w14:textId="77777777" w:rsidR="00312831" w:rsidRPr="0078175A" w:rsidRDefault="00312831" w:rsidP="0031283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12831" w:rsidRPr="0078175A" w14:paraId="0A2CE0ED" w14:textId="77777777" w:rsidTr="00312831">
        <w:trPr>
          <w:trHeight w:val="295"/>
          <w:jc w:val="center"/>
        </w:trPr>
        <w:tc>
          <w:tcPr>
            <w:tcW w:w="923" w:type="dxa"/>
            <w:tcBorders>
              <w:top w:val="nil"/>
              <w:left w:val="nil"/>
              <w:bottom w:val="nil"/>
              <w:right w:val="nil"/>
            </w:tcBorders>
            <w:shd w:val="clear" w:color="auto" w:fill="auto"/>
          </w:tcPr>
          <w:p w14:paraId="1C000812" w14:textId="77777777" w:rsidR="00312831" w:rsidRPr="0078175A" w:rsidRDefault="00312831" w:rsidP="00312831">
            <w:pPr>
              <w:jc w:val="both"/>
              <w:rPr>
                <w:rFonts w:ascii="Arial" w:hAnsi="Arial" w:cs="FrankRuehl"/>
                <w:sz w:val="28"/>
                <w:szCs w:val="28"/>
              </w:rPr>
            </w:pPr>
            <w:r w:rsidRPr="0078175A">
              <w:rPr>
                <w:rFonts w:ascii="Arial" w:hAnsi="Arial" w:cs="FrankRuehl" w:hint="cs"/>
                <w:sz w:val="28"/>
                <w:szCs w:val="28"/>
                <w:rtl/>
              </w:rPr>
              <w:t>ב</w:t>
            </w:r>
            <w:r w:rsidRPr="0078175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8425F79" w14:textId="77777777" w:rsidR="00312831" w:rsidRPr="0078175A" w:rsidRDefault="00312831" w:rsidP="00846BC7">
            <w:pPr>
              <w:rPr>
                <w:rFonts w:ascii="Arial" w:hAnsi="Arial"/>
                <w:b/>
                <w:bCs/>
                <w:rtl/>
              </w:rPr>
            </w:pPr>
            <w:r w:rsidRPr="0078175A">
              <w:rPr>
                <w:rFonts w:ascii="Arial" w:hAnsi="Arial" w:hint="cs"/>
                <w:b/>
                <w:bCs/>
                <w:rtl/>
              </w:rPr>
              <w:t>כבוד ה</w:t>
            </w:r>
            <w:r w:rsidRPr="0078175A">
              <w:rPr>
                <w:rFonts w:ascii="Arial" w:hAnsi="Arial"/>
                <w:b/>
                <w:bCs/>
                <w:rtl/>
              </w:rPr>
              <w:t>שופט</w:t>
            </w:r>
            <w:r w:rsidRPr="0078175A">
              <w:rPr>
                <w:rFonts w:ascii="Arial" w:hAnsi="Arial" w:hint="cs"/>
                <w:b/>
                <w:bCs/>
                <w:rtl/>
              </w:rPr>
              <w:t xml:space="preserve">  </w:t>
            </w:r>
            <w:r w:rsidRPr="0078175A">
              <w:rPr>
                <w:rFonts w:ascii="Arial" w:hAnsi="Arial"/>
                <w:b/>
                <w:bCs/>
                <w:rtl/>
              </w:rPr>
              <w:t>דרור קלייטמן</w:t>
            </w:r>
          </w:p>
          <w:p w14:paraId="355582FE" w14:textId="77777777" w:rsidR="00312831" w:rsidRPr="0078175A" w:rsidRDefault="00312831" w:rsidP="00846BC7">
            <w:pPr>
              <w:rPr>
                <w:rtl/>
              </w:rPr>
            </w:pPr>
          </w:p>
          <w:p w14:paraId="2C8F228A" w14:textId="77777777" w:rsidR="00312831" w:rsidRPr="0078175A" w:rsidRDefault="00312831" w:rsidP="00312831">
            <w:pPr>
              <w:jc w:val="both"/>
              <w:rPr>
                <w:rFonts w:ascii="Arial" w:hAnsi="Arial" w:cs="FrankRuehl"/>
                <w:sz w:val="28"/>
                <w:szCs w:val="28"/>
              </w:rPr>
            </w:pPr>
          </w:p>
        </w:tc>
      </w:tr>
      <w:tr w:rsidR="00312831" w:rsidRPr="0078175A" w14:paraId="34BB12B0" w14:textId="77777777" w:rsidTr="00312831">
        <w:trPr>
          <w:trHeight w:val="355"/>
          <w:jc w:val="center"/>
        </w:trPr>
        <w:tc>
          <w:tcPr>
            <w:tcW w:w="923" w:type="dxa"/>
            <w:tcBorders>
              <w:top w:val="nil"/>
              <w:left w:val="nil"/>
              <w:bottom w:val="nil"/>
              <w:right w:val="nil"/>
            </w:tcBorders>
            <w:shd w:val="clear" w:color="auto" w:fill="auto"/>
          </w:tcPr>
          <w:p w14:paraId="76BDA0F0" w14:textId="77777777" w:rsidR="00312831" w:rsidRPr="0078175A" w:rsidRDefault="00312831" w:rsidP="00312831">
            <w:pPr>
              <w:jc w:val="both"/>
              <w:rPr>
                <w:rFonts w:ascii="Arial" w:hAnsi="Arial" w:cs="FrankRuehl"/>
                <w:sz w:val="28"/>
                <w:szCs w:val="28"/>
              </w:rPr>
            </w:pPr>
            <w:bookmarkStart w:id="2" w:name="FirstAppellant"/>
            <w:r w:rsidRPr="0078175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3D403E8" w14:textId="77777777" w:rsidR="00312831" w:rsidRPr="0078175A" w:rsidRDefault="00312831" w:rsidP="00846BC7">
            <w:r w:rsidRPr="0078175A">
              <w:rPr>
                <w:rFonts w:ascii="Arial" w:hAnsi="Arial" w:cs="FrankRuehl"/>
                <w:sz w:val="28"/>
                <w:szCs w:val="28"/>
                <w:rtl/>
              </w:rPr>
              <w:t>מדינת ישראל</w:t>
            </w:r>
            <w:r w:rsidRPr="0078175A">
              <w:rPr>
                <w:rFonts w:ascii="Arial" w:hAnsi="Arial" w:cs="FrankRuehl"/>
                <w:sz w:val="28"/>
                <w:szCs w:val="28"/>
                <w:rtl/>
              </w:rPr>
              <w:br/>
            </w:r>
            <w:r w:rsidRPr="0078175A">
              <w:rPr>
                <w:rFonts w:hint="cs"/>
                <w:rtl/>
              </w:rPr>
              <w:t>באמצעות ב"כ עו"ד מאיה אשכנזי- לשכת תביעת פתח תקווה</w:t>
            </w:r>
          </w:p>
        </w:tc>
        <w:tc>
          <w:tcPr>
            <w:tcW w:w="3771" w:type="dxa"/>
            <w:tcBorders>
              <w:top w:val="nil"/>
              <w:left w:val="nil"/>
              <w:bottom w:val="nil"/>
              <w:right w:val="nil"/>
            </w:tcBorders>
            <w:shd w:val="clear" w:color="auto" w:fill="auto"/>
          </w:tcPr>
          <w:p w14:paraId="57A6CAB3" w14:textId="77777777" w:rsidR="00312831" w:rsidRPr="0078175A" w:rsidRDefault="00312831" w:rsidP="00312831">
            <w:pPr>
              <w:jc w:val="both"/>
              <w:rPr>
                <w:rFonts w:ascii="Arial" w:hAnsi="Arial" w:cs="FrankRuehl"/>
                <w:sz w:val="28"/>
                <w:szCs w:val="28"/>
              </w:rPr>
            </w:pPr>
          </w:p>
        </w:tc>
      </w:tr>
      <w:bookmarkEnd w:id="2"/>
      <w:tr w:rsidR="00312831" w:rsidRPr="0078175A" w14:paraId="5CD1ABC2" w14:textId="77777777" w:rsidTr="00312831">
        <w:trPr>
          <w:trHeight w:val="355"/>
          <w:jc w:val="center"/>
        </w:trPr>
        <w:tc>
          <w:tcPr>
            <w:tcW w:w="923" w:type="dxa"/>
            <w:tcBorders>
              <w:top w:val="nil"/>
              <w:left w:val="nil"/>
              <w:bottom w:val="nil"/>
              <w:right w:val="nil"/>
            </w:tcBorders>
            <w:shd w:val="clear" w:color="auto" w:fill="auto"/>
          </w:tcPr>
          <w:p w14:paraId="07C8C5BA" w14:textId="77777777" w:rsidR="00312831" w:rsidRPr="0078175A" w:rsidRDefault="00312831" w:rsidP="0031283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C56379A" w14:textId="77777777" w:rsidR="00312831" w:rsidRPr="0078175A" w:rsidRDefault="00312831" w:rsidP="00312831">
            <w:pPr>
              <w:jc w:val="both"/>
              <w:rPr>
                <w:rtl/>
              </w:rPr>
            </w:pPr>
          </w:p>
        </w:tc>
        <w:tc>
          <w:tcPr>
            <w:tcW w:w="3771" w:type="dxa"/>
            <w:tcBorders>
              <w:top w:val="nil"/>
              <w:left w:val="nil"/>
              <w:bottom w:val="nil"/>
              <w:right w:val="nil"/>
            </w:tcBorders>
            <w:shd w:val="clear" w:color="auto" w:fill="auto"/>
          </w:tcPr>
          <w:p w14:paraId="529FF047" w14:textId="77777777" w:rsidR="00312831" w:rsidRPr="0078175A" w:rsidRDefault="00312831" w:rsidP="00312831">
            <w:pPr>
              <w:jc w:val="right"/>
              <w:rPr>
                <w:rFonts w:ascii="Arial" w:hAnsi="Arial" w:cs="FrankRuehl"/>
                <w:sz w:val="28"/>
                <w:szCs w:val="28"/>
                <w:rtl/>
              </w:rPr>
            </w:pPr>
            <w:r w:rsidRPr="0078175A">
              <w:rPr>
                <w:rFonts w:ascii="Arial" w:hAnsi="Arial" w:cs="FrankRuehl" w:hint="cs"/>
                <w:sz w:val="28"/>
                <w:szCs w:val="28"/>
                <w:rtl/>
              </w:rPr>
              <w:t>ה</w:t>
            </w:r>
            <w:r w:rsidRPr="0078175A">
              <w:rPr>
                <w:rFonts w:ascii="Arial" w:hAnsi="Arial" w:cs="FrankRuehl"/>
                <w:sz w:val="28"/>
                <w:szCs w:val="28"/>
                <w:rtl/>
              </w:rPr>
              <w:t>מאשימה</w:t>
            </w:r>
          </w:p>
        </w:tc>
      </w:tr>
      <w:tr w:rsidR="00312831" w:rsidRPr="0078175A" w14:paraId="5B1F0331" w14:textId="77777777" w:rsidTr="00312831">
        <w:trPr>
          <w:trHeight w:val="355"/>
          <w:jc w:val="center"/>
        </w:trPr>
        <w:tc>
          <w:tcPr>
            <w:tcW w:w="923" w:type="dxa"/>
            <w:tcBorders>
              <w:top w:val="nil"/>
              <w:left w:val="nil"/>
              <w:bottom w:val="nil"/>
              <w:right w:val="nil"/>
            </w:tcBorders>
            <w:shd w:val="clear" w:color="auto" w:fill="auto"/>
          </w:tcPr>
          <w:p w14:paraId="72B714C1" w14:textId="77777777" w:rsidR="00312831" w:rsidRPr="0078175A" w:rsidRDefault="00312831" w:rsidP="0031283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4A423CD" w14:textId="77777777" w:rsidR="00312831" w:rsidRPr="0078175A" w:rsidRDefault="00312831" w:rsidP="00312831">
            <w:pPr>
              <w:jc w:val="center"/>
              <w:rPr>
                <w:rFonts w:ascii="Arial" w:hAnsi="Arial" w:cs="FrankRuehl"/>
                <w:b/>
                <w:bCs/>
                <w:sz w:val="28"/>
                <w:szCs w:val="28"/>
                <w:rtl/>
              </w:rPr>
            </w:pPr>
          </w:p>
          <w:p w14:paraId="57FE5AB2" w14:textId="77777777" w:rsidR="00312831" w:rsidRPr="0078175A" w:rsidRDefault="00312831" w:rsidP="00312831">
            <w:pPr>
              <w:jc w:val="center"/>
              <w:rPr>
                <w:rFonts w:ascii="Arial" w:hAnsi="Arial" w:cs="FrankRuehl"/>
                <w:b/>
                <w:bCs/>
                <w:sz w:val="28"/>
                <w:szCs w:val="28"/>
                <w:rtl/>
              </w:rPr>
            </w:pPr>
            <w:r w:rsidRPr="0078175A">
              <w:rPr>
                <w:rFonts w:ascii="Arial" w:hAnsi="Arial" w:cs="FrankRuehl"/>
                <w:b/>
                <w:bCs/>
                <w:sz w:val="28"/>
                <w:szCs w:val="28"/>
                <w:rtl/>
              </w:rPr>
              <w:t>נגד</w:t>
            </w:r>
          </w:p>
          <w:p w14:paraId="53EA35CE" w14:textId="77777777" w:rsidR="00312831" w:rsidRPr="0078175A" w:rsidRDefault="00312831" w:rsidP="00312831">
            <w:pPr>
              <w:jc w:val="both"/>
              <w:rPr>
                <w:rFonts w:ascii="Arial" w:hAnsi="Arial" w:cs="FrankRuehl"/>
                <w:sz w:val="28"/>
                <w:szCs w:val="28"/>
              </w:rPr>
            </w:pPr>
          </w:p>
        </w:tc>
      </w:tr>
      <w:tr w:rsidR="00312831" w:rsidRPr="0078175A" w14:paraId="08FD97CD" w14:textId="77777777" w:rsidTr="00312831">
        <w:trPr>
          <w:trHeight w:val="355"/>
          <w:jc w:val="center"/>
        </w:trPr>
        <w:tc>
          <w:tcPr>
            <w:tcW w:w="923" w:type="dxa"/>
            <w:tcBorders>
              <w:top w:val="nil"/>
              <w:left w:val="nil"/>
              <w:bottom w:val="nil"/>
              <w:right w:val="nil"/>
            </w:tcBorders>
            <w:shd w:val="clear" w:color="auto" w:fill="auto"/>
          </w:tcPr>
          <w:p w14:paraId="4FCA4318" w14:textId="77777777" w:rsidR="00312831" w:rsidRPr="0078175A" w:rsidRDefault="00312831" w:rsidP="00846BC7">
            <w:pPr>
              <w:rPr>
                <w:rFonts w:ascii="Arial" w:hAnsi="Arial" w:cs="FrankRuehl"/>
                <w:sz w:val="28"/>
                <w:szCs w:val="28"/>
                <w:rtl/>
              </w:rPr>
            </w:pPr>
          </w:p>
        </w:tc>
        <w:tc>
          <w:tcPr>
            <w:tcW w:w="4126" w:type="dxa"/>
            <w:tcBorders>
              <w:top w:val="nil"/>
              <w:left w:val="nil"/>
              <w:bottom w:val="nil"/>
              <w:right w:val="nil"/>
            </w:tcBorders>
            <w:shd w:val="clear" w:color="auto" w:fill="auto"/>
          </w:tcPr>
          <w:p w14:paraId="1D7CD6D3" w14:textId="77777777" w:rsidR="00312831" w:rsidRPr="0078175A" w:rsidRDefault="00312831" w:rsidP="00846BC7">
            <w:pPr>
              <w:rPr>
                <w:rtl/>
              </w:rPr>
            </w:pPr>
            <w:r w:rsidRPr="0078175A">
              <w:rPr>
                <w:rFonts w:ascii="Arial" w:hAnsi="Arial" w:cs="FrankRuehl"/>
                <w:sz w:val="28"/>
                <w:szCs w:val="28"/>
                <w:rtl/>
              </w:rPr>
              <w:t>גל יחבס</w:t>
            </w:r>
            <w:r w:rsidRPr="0078175A">
              <w:rPr>
                <w:rFonts w:ascii="Arial" w:hAnsi="Arial" w:cs="FrankRuehl"/>
                <w:sz w:val="28"/>
                <w:szCs w:val="28"/>
                <w:rtl/>
              </w:rPr>
              <w:br/>
            </w:r>
            <w:r w:rsidRPr="0078175A">
              <w:rPr>
                <w:rFonts w:hint="cs"/>
                <w:rtl/>
              </w:rPr>
              <w:t>באמצעות ב"כ עו"ד משה סוחמי</w:t>
            </w:r>
          </w:p>
        </w:tc>
        <w:tc>
          <w:tcPr>
            <w:tcW w:w="3771" w:type="dxa"/>
            <w:tcBorders>
              <w:top w:val="nil"/>
              <w:left w:val="nil"/>
              <w:bottom w:val="nil"/>
              <w:right w:val="nil"/>
            </w:tcBorders>
            <w:shd w:val="clear" w:color="auto" w:fill="auto"/>
          </w:tcPr>
          <w:p w14:paraId="594A0DBB" w14:textId="77777777" w:rsidR="00312831" w:rsidRPr="0078175A" w:rsidRDefault="00312831" w:rsidP="00312831">
            <w:pPr>
              <w:jc w:val="right"/>
              <w:rPr>
                <w:rFonts w:ascii="Arial" w:hAnsi="Arial" w:cs="FrankRuehl"/>
                <w:sz w:val="28"/>
                <w:szCs w:val="28"/>
              </w:rPr>
            </w:pPr>
          </w:p>
        </w:tc>
      </w:tr>
      <w:tr w:rsidR="00312831" w:rsidRPr="0078175A" w14:paraId="356AC28D" w14:textId="77777777" w:rsidTr="00312831">
        <w:trPr>
          <w:trHeight w:val="355"/>
          <w:jc w:val="center"/>
        </w:trPr>
        <w:tc>
          <w:tcPr>
            <w:tcW w:w="923" w:type="dxa"/>
            <w:tcBorders>
              <w:top w:val="nil"/>
              <w:left w:val="nil"/>
              <w:bottom w:val="nil"/>
              <w:right w:val="nil"/>
            </w:tcBorders>
            <w:shd w:val="clear" w:color="auto" w:fill="auto"/>
          </w:tcPr>
          <w:p w14:paraId="03B55749" w14:textId="77777777" w:rsidR="00312831" w:rsidRPr="0078175A" w:rsidRDefault="00312831" w:rsidP="0031283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EE24DC1" w14:textId="77777777" w:rsidR="00312831" w:rsidRPr="0078175A" w:rsidRDefault="00312831" w:rsidP="00312831">
            <w:pPr>
              <w:jc w:val="both"/>
              <w:rPr>
                <w:rtl/>
              </w:rPr>
            </w:pPr>
          </w:p>
        </w:tc>
        <w:tc>
          <w:tcPr>
            <w:tcW w:w="3771" w:type="dxa"/>
            <w:tcBorders>
              <w:top w:val="nil"/>
              <w:left w:val="nil"/>
              <w:bottom w:val="nil"/>
              <w:right w:val="nil"/>
            </w:tcBorders>
            <w:shd w:val="clear" w:color="auto" w:fill="auto"/>
          </w:tcPr>
          <w:p w14:paraId="2ACDD4D5" w14:textId="77777777" w:rsidR="00312831" w:rsidRPr="0078175A" w:rsidRDefault="00312831" w:rsidP="00312831">
            <w:pPr>
              <w:jc w:val="right"/>
              <w:rPr>
                <w:rFonts w:ascii="Arial" w:hAnsi="Arial" w:cs="FrankRuehl"/>
                <w:sz w:val="28"/>
                <w:szCs w:val="28"/>
              </w:rPr>
            </w:pPr>
            <w:r w:rsidRPr="0078175A">
              <w:rPr>
                <w:rFonts w:ascii="Arial" w:hAnsi="Arial" w:cs="FrankRuehl" w:hint="cs"/>
                <w:sz w:val="28"/>
                <w:szCs w:val="28"/>
                <w:rtl/>
              </w:rPr>
              <w:t>ה</w:t>
            </w:r>
            <w:r w:rsidRPr="0078175A">
              <w:rPr>
                <w:rFonts w:ascii="Arial" w:hAnsi="Arial" w:cs="FrankRuehl"/>
                <w:sz w:val="28"/>
                <w:szCs w:val="28"/>
                <w:rtl/>
              </w:rPr>
              <w:t>נאשם</w:t>
            </w:r>
          </w:p>
        </w:tc>
      </w:tr>
    </w:tbl>
    <w:p w14:paraId="5BB66686" w14:textId="77777777" w:rsidR="009021A7" w:rsidRDefault="009021A7" w:rsidP="00312831">
      <w:pPr>
        <w:rPr>
          <w:rtl/>
        </w:rPr>
      </w:pPr>
      <w:bookmarkStart w:id="3" w:name="LawTable"/>
      <w:bookmarkEnd w:id="3"/>
    </w:p>
    <w:p w14:paraId="7F881192" w14:textId="77777777" w:rsidR="009021A7" w:rsidRPr="009021A7" w:rsidRDefault="009021A7" w:rsidP="009021A7">
      <w:pPr>
        <w:spacing w:after="120" w:line="240" w:lineRule="exact"/>
        <w:ind w:left="283" w:hanging="283"/>
        <w:jc w:val="both"/>
        <w:rPr>
          <w:rFonts w:ascii="FrankRuehl" w:hAnsi="FrankRuehl" w:cs="FrankRuehl"/>
          <w:rtl/>
        </w:rPr>
      </w:pPr>
      <w:r w:rsidRPr="009021A7">
        <w:rPr>
          <w:rFonts w:ascii="FrankRuehl" w:hAnsi="FrankRuehl" w:cs="FrankRuehl"/>
          <w:rtl/>
        </w:rPr>
        <w:t xml:space="preserve">חקיקה שאוזכרה: </w:t>
      </w:r>
    </w:p>
    <w:p w14:paraId="221707A6" w14:textId="77777777" w:rsidR="009021A7" w:rsidRPr="009021A7" w:rsidRDefault="009021A7" w:rsidP="009021A7">
      <w:pPr>
        <w:spacing w:after="120" w:line="240" w:lineRule="exact"/>
        <w:ind w:left="283" w:hanging="283"/>
        <w:jc w:val="both"/>
        <w:rPr>
          <w:rFonts w:ascii="FrankRuehl" w:hAnsi="FrankRuehl" w:cs="FrankRuehl"/>
          <w:rtl/>
        </w:rPr>
      </w:pPr>
      <w:hyperlink r:id="rId7" w:history="1">
        <w:r w:rsidRPr="009021A7">
          <w:rPr>
            <w:rFonts w:ascii="FrankRuehl" w:hAnsi="FrankRuehl" w:cs="FrankRuehl"/>
            <w:color w:val="0000FF"/>
            <w:u w:val="single"/>
            <w:rtl/>
          </w:rPr>
          <w:t>פקודת הסמים המסוכנים [נוסח חדש], תשל"ג-1973</w:t>
        </w:r>
      </w:hyperlink>
      <w:r w:rsidRPr="009021A7">
        <w:rPr>
          <w:rFonts w:ascii="FrankRuehl" w:hAnsi="FrankRuehl" w:cs="FrankRuehl"/>
          <w:rtl/>
        </w:rPr>
        <w:t xml:space="preserve">: סע'  </w:t>
      </w:r>
      <w:hyperlink r:id="rId8" w:history="1">
        <w:r w:rsidRPr="009021A7">
          <w:rPr>
            <w:rFonts w:ascii="FrankRuehl" w:hAnsi="FrankRuehl" w:cs="FrankRuehl"/>
            <w:color w:val="0000FF"/>
            <w:u w:val="single"/>
            <w:rtl/>
          </w:rPr>
          <w:t>6</w:t>
        </w:r>
      </w:hyperlink>
      <w:r w:rsidRPr="009021A7">
        <w:rPr>
          <w:rFonts w:ascii="FrankRuehl" w:hAnsi="FrankRuehl" w:cs="FrankRuehl"/>
          <w:rtl/>
        </w:rPr>
        <w:t xml:space="preserve">, </w:t>
      </w:r>
      <w:hyperlink r:id="rId9" w:history="1">
        <w:r w:rsidRPr="009021A7">
          <w:rPr>
            <w:rFonts w:ascii="FrankRuehl" w:hAnsi="FrankRuehl" w:cs="FrankRuehl"/>
            <w:color w:val="0000FF"/>
            <w:u w:val="single"/>
            <w:rtl/>
          </w:rPr>
          <w:t>10</w:t>
        </w:r>
      </w:hyperlink>
      <w:r w:rsidRPr="009021A7">
        <w:rPr>
          <w:rFonts w:ascii="FrankRuehl" w:hAnsi="FrankRuehl" w:cs="FrankRuehl"/>
          <w:rtl/>
        </w:rPr>
        <w:t xml:space="preserve">, </w:t>
      </w:r>
      <w:hyperlink r:id="rId10" w:history="1">
        <w:r w:rsidRPr="009021A7">
          <w:rPr>
            <w:rFonts w:ascii="FrankRuehl" w:hAnsi="FrankRuehl" w:cs="FrankRuehl"/>
            <w:color w:val="0000FF"/>
            <w:u w:val="single"/>
            <w:rtl/>
          </w:rPr>
          <w:t>36</w:t>
        </w:r>
      </w:hyperlink>
    </w:p>
    <w:p w14:paraId="688D3DA6" w14:textId="77777777" w:rsidR="009021A7" w:rsidRPr="009021A7" w:rsidRDefault="009021A7" w:rsidP="009021A7">
      <w:pPr>
        <w:spacing w:after="120" w:line="240" w:lineRule="exact"/>
        <w:ind w:left="283" w:hanging="283"/>
        <w:jc w:val="both"/>
        <w:rPr>
          <w:rFonts w:ascii="FrankRuehl" w:hAnsi="FrankRuehl" w:cs="FrankRuehl"/>
          <w:rtl/>
        </w:rPr>
      </w:pPr>
      <w:hyperlink r:id="rId11" w:history="1">
        <w:r w:rsidRPr="009021A7">
          <w:rPr>
            <w:rFonts w:ascii="FrankRuehl" w:hAnsi="FrankRuehl" w:cs="FrankRuehl"/>
            <w:color w:val="0000FF"/>
            <w:u w:val="single"/>
            <w:rtl/>
          </w:rPr>
          <w:t>חוק העונשין, תשל"ז-1977</w:t>
        </w:r>
      </w:hyperlink>
      <w:r w:rsidRPr="009021A7">
        <w:rPr>
          <w:rFonts w:ascii="FrankRuehl" w:hAnsi="FrankRuehl" w:cs="FrankRuehl"/>
          <w:rtl/>
        </w:rPr>
        <w:t xml:space="preserve">: סע'  </w:t>
      </w:r>
      <w:hyperlink r:id="rId12" w:history="1">
        <w:r w:rsidRPr="009021A7">
          <w:rPr>
            <w:rFonts w:ascii="FrankRuehl" w:hAnsi="FrankRuehl" w:cs="FrankRuehl"/>
            <w:color w:val="0000FF"/>
            <w:u w:val="single"/>
            <w:rtl/>
          </w:rPr>
          <w:t>51ג (ג)</w:t>
        </w:r>
      </w:hyperlink>
      <w:r w:rsidRPr="009021A7">
        <w:rPr>
          <w:rFonts w:ascii="FrankRuehl" w:hAnsi="FrankRuehl" w:cs="FrankRuehl"/>
          <w:rtl/>
        </w:rPr>
        <w:t xml:space="preserve">, </w:t>
      </w:r>
      <w:hyperlink r:id="rId13" w:history="1">
        <w:r w:rsidRPr="009021A7">
          <w:rPr>
            <w:rFonts w:ascii="FrankRuehl" w:hAnsi="FrankRuehl" w:cs="FrankRuehl"/>
            <w:color w:val="0000FF"/>
            <w:u w:val="single"/>
            <w:rtl/>
          </w:rPr>
          <w:t>400</w:t>
        </w:r>
      </w:hyperlink>
    </w:p>
    <w:p w14:paraId="0D82FB0D" w14:textId="77777777" w:rsidR="009021A7" w:rsidRPr="009021A7" w:rsidRDefault="009021A7" w:rsidP="009021A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2831" w14:paraId="6AC78401" w14:textId="77777777" w:rsidTr="00312831">
        <w:trPr>
          <w:trHeight w:val="355"/>
          <w:jc w:val="center"/>
        </w:trPr>
        <w:tc>
          <w:tcPr>
            <w:tcW w:w="8820" w:type="dxa"/>
            <w:tcBorders>
              <w:top w:val="nil"/>
              <w:left w:val="nil"/>
              <w:bottom w:val="nil"/>
              <w:right w:val="nil"/>
            </w:tcBorders>
            <w:shd w:val="clear" w:color="auto" w:fill="auto"/>
          </w:tcPr>
          <w:p w14:paraId="74E5CADB" w14:textId="77777777" w:rsidR="0078175A" w:rsidRPr="0078175A" w:rsidRDefault="0078175A" w:rsidP="0078175A">
            <w:pPr>
              <w:jc w:val="center"/>
              <w:rPr>
                <w:rFonts w:ascii="Arial" w:hAnsi="Arial" w:cs="FrankRuehl"/>
                <w:b/>
                <w:bCs/>
                <w:sz w:val="32"/>
                <w:szCs w:val="32"/>
                <w:u w:val="single"/>
                <w:rtl/>
              </w:rPr>
            </w:pPr>
            <w:bookmarkStart w:id="4" w:name="LawTable_End"/>
            <w:bookmarkStart w:id="5" w:name="PsakDin" w:colFirst="0" w:colLast="0"/>
            <w:bookmarkEnd w:id="0"/>
            <w:bookmarkEnd w:id="1"/>
            <w:bookmarkEnd w:id="4"/>
            <w:r w:rsidRPr="0078175A">
              <w:rPr>
                <w:rFonts w:ascii="Arial" w:hAnsi="Arial" w:cs="FrankRuehl"/>
                <w:b/>
                <w:bCs/>
                <w:sz w:val="32"/>
                <w:szCs w:val="32"/>
                <w:u w:val="single"/>
                <w:rtl/>
              </w:rPr>
              <w:t>גזר דין</w:t>
            </w:r>
          </w:p>
          <w:p w14:paraId="2EA4290C" w14:textId="77777777" w:rsidR="00312831" w:rsidRPr="0078175A" w:rsidRDefault="00312831" w:rsidP="0078175A">
            <w:pPr>
              <w:jc w:val="center"/>
              <w:rPr>
                <w:rFonts w:ascii="Arial" w:hAnsi="Arial" w:cs="FrankRuehl"/>
                <w:bCs/>
                <w:sz w:val="32"/>
                <w:szCs w:val="32"/>
                <w:u w:val="single"/>
                <w:rtl/>
              </w:rPr>
            </w:pPr>
          </w:p>
        </w:tc>
      </w:tr>
      <w:bookmarkEnd w:id="5"/>
    </w:tbl>
    <w:p w14:paraId="0320019E" w14:textId="77777777" w:rsidR="00312831" w:rsidRPr="00B05847" w:rsidRDefault="00312831" w:rsidP="00312831">
      <w:pPr>
        <w:rPr>
          <w:rFonts w:ascii="Arial" w:hAnsi="Arial"/>
          <w:rtl/>
        </w:rPr>
      </w:pPr>
    </w:p>
    <w:p w14:paraId="7DEAC98F" w14:textId="77777777" w:rsidR="00312831" w:rsidRPr="00B05847" w:rsidRDefault="00312831" w:rsidP="00312831">
      <w:pPr>
        <w:rPr>
          <w:rFonts w:ascii="Arial" w:hAnsi="Arial"/>
          <w:rtl/>
        </w:rPr>
      </w:pPr>
    </w:p>
    <w:p w14:paraId="334377E0" w14:textId="77777777" w:rsidR="00312831" w:rsidRPr="00E036B5" w:rsidRDefault="00312831" w:rsidP="00312831">
      <w:pPr>
        <w:spacing w:after="160" w:line="480" w:lineRule="auto"/>
        <w:jc w:val="both"/>
        <w:rPr>
          <w:rFonts w:ascii="Calibri" w:eastAsia="Calibri" w:hAnsi="Calibri"/>
          <w:b/>
          <w:bCs/>
          <w:u w:val="single"/>
        </w:rPr>
      </w:pPr>
      <w:r w:rsidRPr="00E036B5">
        <w:rPr>
          <w:rFonts w:ascii="Calibri" w:eastAsia="Calibri" w:hAnsi="Calibri"/>
          <w:b/>
          <w:bCs/>
          <w:u w:val="single"/>
          <w:rtl/>
        </w:rPr>
        <w:t>רקע</w:t>
      </w:r>
    </w:p>
    <w:p w14:paraId="3E5A9FC5" w14:textId="77777777" w:rsidR="00312831" w:rsidRPr="00E036B5" w:rsidRDefault="00312831" w:rsidP="00312831">
      <w:pPr>
        <w:numPr>
          <w:ilvl w:val="0"/>
          <w:numId w:val="1"/>
        </w:numPr>
        <w:spacing w:after="160" w:line="480" w:lineRule="auto"/>
        <w:contextualSpacing/>
        <w:jc w:val="both"/>
        <w:rPr>
          <w:rFonts w:ascii="Calibri" w:eastAsia="Calibri" w:hAnsi="Calibri"/>
          <w:rtl/>
        </w:rPr>
      </w:pPr>
      <w:bookmarkStart w:id="6" w:name="ABSTRACT_START"/>
      <w:bookmarkEnd w:id="6"/>
      <w:r w:rsidRPr="00E036B5">
        <w:rPr>
          <w:rFonts w:ascii="Calibri" w:eastAsia="Calibri" w:hAnsi="Calibri"/>
          <w:rtl/>
        </w:rPr>
        <w:t xml:space="preserve">הנאשם הורשע, בהתאם להודאתו, בביצוע עבירות של גידול סמים, בהתאם </w:t>
      </w:r>
      <w:hyperlink r:id="rId14" w:history="1">
        <w:r w:rsidR="009021A7" w:rsidRPr="009021A7">
          <w:rPr>
            <w:rFonts w:ascii="Calibri" w:eastAsia="Calibri" w:hAnsi="Calibri" w:hint="cs"/>
            <w:color w:val="0000FF"/>
            <w:u w:val="single"/>
            <w:rtl/>
          </w:rPr>
          <w:t>לסעיף</w:t>
        </w:r>
        <w:r w:rsidR="009021A7" w:rsidRPr="009021A7">
          <w:rPr>
            <w:rFonts w:ascii="Calibri" w:eastAsia="Calibri" w:hAnsi="Calibri"/>
            <w:color w:val="0000FF"/>
            <w:u w:val="single"/>
            <w:rtl/>
          </w:rPr>
          <w:t xml:space="preserve"> 6</w:t>
        </w:r>
      </w:hyperlink>
      <w:r w:rsidRPr="00E036B5">
        <w:rPr>
          <w:rFonts w:ascii="Calibri" w:eastAsia="Calibri" w:hAnsi="Calibri"/>
          <w:rtl/>
        </w:rPr>
        <w:t xml:space="preserve"> ל</w:t>
      </w:r>
      <w:hyperlink r:id="rId15" w:history="1">
        <w:r w:rsidR="0078175A" w:rsidRPr="0078175A">
          <w:rPr>
            <w:rFonts w:ascii="Calibri" w:eastAsia="Calibri" w:hAnsi="Calibri" w:hint="cs"/>
            <w:color w:val="0000FF"/>
            <w:u w:val="single"/>
            <w:rtl/>
          </w:rPr>
          <w:t>פקודת</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הסמים</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המסוכנים</w:t>
        </w:r>
      </w:hyperlink>
      <w:r w:rsidRPr="00E036B5">
        <w:rPr>
          <w:rFonts w:ascii="Calibri" w:eastAsia="Calibri" w:hAnsi="Calibri"/>
          <w:rtl/>
        </w:rPr>
        <w:t xml:space="preserve"> (נוסח חדש), התשל"ג -1973, החזקת כלים להכנת סמים שלא לצריכה עצמית בהתאם </w:t>
      </w:r>
      <w:hyperlink r:id="rId16" w:history="1">
        <w:r w:rsidR="009021A7" w:rsidRPr="009021A7">
          <w:rPr>
            <w:rFonts w:ascii="Calibri" w:eastAsia="Calibri" w:hAnsi="Calibri" w:hint="cs"/>
            <w:color w:val="0000FF"/>
            <w:u w:val="single"/>
            <w:rtl/>
          </w:rPr>
          <w:t>לסעיף</w:t>
        </w:r>
        <w:r w:rsidR="009021A7" w:rsidRPr="009021A7">
          <w:rPr>
            <w:rFonts w:ascii="Calibri" w:eastAsia="Calibri" w:hAnsi="Calibri"/>
            <w:color w:val="0000FF"/>
            <w:u w:val="single"/>
            <w:rtl/>
          </w:rPr>
          <w:t xml:space="preserve"> 10</w:t>
        </w:r>
      </w:hyperlink>
      <w:r w:rsidRPr="00E036B5">
        <w:rPr>
          <w:rFonts w:ascii="Calibri" w:eastAsia="Calibri" w:hAnsi="Calibri"/>
          <w:rtl/>
        </w:rPr>
        <w:t xml:space="preserve"> רישא לפקודת הסמים המסוכנים (נוסח חדש), התשל"ג- 1973, גניבת חשמל בהתאם </w:t>
      </w:r>
      <w:hyperlink r:id="rId17" w:history="1">
        <w:r w:rsidR="009021A7" w:rsidRPr="009021A7">
          <w:rPr>
            <w:rFonts w:ascii="Calibri" w:eastAsia="Calibri" w:hAnsi="Calibri" w:hint="cs"/>
            <w:color w:val="0000FF"/>
            <w:u w:val="single"/>
            <w:rtl/>
          </w:rPr>
          <w:t>לסעיף</w:t>
        </w:r>
        <w:r w:rsidR="009021A7" w:rsidRPr="009021A7">
          <w:rPr>
            <w:rFonts w:ascii="Calibri" w:eastAsia="Calibri" w:hAnsi="Calibri"/>
            <w:color w:val="0000FF"/>
            <w:u w:val="single"/>
            <w:rtl/>
          </w:rPr>
          <w:t xml:space="preserve"> 400</w:t>
        </w:r>
      </w:hyperlink>
      <w:r w:rsidRPr="00E036B5">
        <w:rPr>
          <w:rFonts w:ascii="Calibri" w:eastAsia="Calibri" w:hAnsi="Calibri"/>
          <w:rtl/>
        </w:rPr>
        <w:t xml:space="preserve"> ל</w:t>
      </w:r>
      <w:hyperlink r:id="rId18" w:history="1">
        <w:r w:rsidR="0078175A" w:rsidRPr="0078175A">
          <w:rPr>
            <w:rFonts w:ascii="Calibri" w:eastAsia="Calibri" w:hAnsi="Calibri" w:hint="cs"/>
            <w:color w:val="0000FF"/>
            <w:u w:val="single"/>
            <w:rtl/>
          </w:rPr>
          <w:t>חוק</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העונשין</w:t>
        </w:r>
      </w:hyperlink>
      <w:r w:rsidRPr="00E036B5">
        <w:rPr>
          <w:rFonts w:ascii="Calibri" w:eastAsia="Calibri" w:hAnsi="Calibri"/>
          <w:rtl/>
        </w:rPr>
        <w:t>, התשל"ז – 1977.</w:t>
      </w:r>
    </w:p>
    <w:p w14:paraId="35B028C6" w14:textId="77777777" w:rsidR="00312831" w:rsidRPr="00E036B5" w:rsidRDefault="00312831" w:rsidP="00312831">
      <w:pPr>
        <w:numPr>
          <w:ilvl w:val="0"/>
          <w:numId w:val="1"/>
        </w:numPr>
        <w:spacing w:after="160" w:line="480" w:lineRule="auto"/>
        <w:contextualSpacing/>
        <w:jc w:val="both"/>
        <w:rPr>
          <w:rFonts w:ascii="Calibri" w:eastAsia="Calibri" w:hAnsi="Calibri"/>
        </w:rPr>
      </w:pPr>
      <w:bookmarkStart w:id="7" w:name="ABSTRACT_END"/>
      <w:bookmarkEnd w:id="7"/>
      <w:r w:rsidRPr="00E036B5">
        <w:rPr>
          <w:rFonts w:ascii="Calibri" w:eastAsia="Calibri" w:hAnsi="Calibri"/>
          <w:rtl/>
        </w:rPr>
        <w:t xml:space="preserve">הנאשם הקים, עובר לתאריך 7.11.18, במהלך תקופה שאינה ידועה למאשימה, ברחוב המשוררת זלדה 6 בפתח תקווה, מעבדה לגידול סמים מסוכנים מסוג קנבוס וזאת בשני חדרים במרתף ביתו. לצורך כך ביצע מעקף במונה החשמל של ביתו, כך שלא נרשמה צריכת החשמל במונה וכתוצאה מכך צרך הנאשם חשמל בשווי של  18,324.90 ₪ בלא לשלם עבורו. </w:t>
      </w:r>
      <w:r w:rsidRPr="00E036B5">
        <w:rPr>
          <w:rFonts w:ascii="Calibri" w:eastAsia="Calibri" w:hAnsi="Calibri"/>
          <w:rtl/>
        </w:rPr>
        <w:lastRenderedPageBreak/>
        <w:t xml:space="preserve">במעבדה זו גידל הנאשם 328 שתילים של סם מסוכן מסוג קנבוס, במשקל כולל של 14.25 ק"ג נטו. כמו כן, החזיק לצורך כך באדניות ,שעון טמפרטורה, שנאי, מנורת הלוגן עם גגון אלומיניום, שעון דיגיטלי, חוט קשירה, סליל הדבקה, מלכודות דבק, 2 מבחנות, 2 מזרקים, 2 מדי טמפרטורה, חצי שק תערובת דישון, 2 מנורות, 5 בקבוקי דשן, מפוח, 20 מנורות 600 וואט ושלושה מזגנים. ברשותו נתפס כסף מזומן על סך 4,800 ₪ ו275 לירות טורקיות. </w:t>
      </w:r>
    </w:p>
    <w:p w14:paraId="42191676" w14:textId="77777777" w:rsidR="00312831" w:rsidRPr="00E036B5" w:rsidRDefault="00312831" w:rsidP="00312831">
      <w:pPr>
        <w:spacing w:after="160" w:line="480" w:lineRule="auto"/>
        <w:jc w:val="both"/>
        <w:rPr>
          <w:rFonts w:ascii="Calibri" w:eastAsia="Calibri" w:hAnsi="Calibri"/>
          <w:b/>
          <w:bCs/>
          <w:u w:val="single"/>
        </w:rPr>
      </w:pPr>
      <w:r w:rsidRPr="00E036B5">
        <w:rPr>
          <w:rFonts w:ascii="Calibri" w:eastAsia="Calibri" w:hAnsi="Calibri"/>
          <w:b/>
          <w:bCs/>
          <w:u w:val="single"/>
          <w:rtl/>
        </w:rPr>
        <w:t>תסקיר שירות המבחן</w:t>
      </w:r>
    </w:p>
    <w:p w14:paraId="577F813C"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 xml:space="preserve">בעניינו של הנאשם הוגשו שני תסקירים מטעם שירות המבחן. </w:t>
      </w:r>
    </w:p>
    <w:p w14:paraId="518DC8DE"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בתסקיר הראשון שהתקבל לדיון שנערך בתאריך 1.5.19, מתאר שירות המבחן את נסיבות חייו של הנאשם אשר הינו בן 40, פרוד מאשתו ואב לתאומים בני חמש, אשר בעברו עבד כזכיין של רשתות מזון שונות לאחר ששירת בצבא בהתנדבות. על רקע החלטות עסקיות שגויות נקלע לקשיים כלכליים וצבר חובות לבנקים ולגורמים שוליים. על רקע זה ביצע את העבירות בהן הורשע. כיום הוא מצוי במעצר בית במשך מספר חודשים.  הקשיים הכלכליים הביאו אף להתדרדרות היחסים בינו לבין אשתו ולפרידתם.  הנאשם חסר כל עבר פלילי ולא נפתחו נגדו כל תיקים נוספים. תיאר כי על רקע חובותיו הכספיים אפשר את גידול הסמים בביתו בתמורה לשכר חודשי גבוה. הוא הביע חרטה ובושה על מעשיו ושלל שימוש בסמים. בדיקות שתן שנערכו לו נמצאו נקיות מסמים.  שירות המבחן התרשם מאדם בעל יכולות וכישורים, אשר ניהל אורח חיים תקין בפן המשפחתי והתעסוקתי וכיום מביע חרטה כנה על מעשיו, כאשר ההליך המשפטי מהווה גורם מרסן ומציב גבול עבורו וכעת הוא מבצע צעדים אופרטיביים חוקיים להסדרת חובותיו והמחירים ששילם הובילו אותו להפנמת חומרת מעשיו ולתהליך של הפקת לקחים. שירות המבחן המליץ על שילובו בהליך טיפולי.</w:t>
      </w:r>
    </w:p>
    <w:p w14:paraId="475FBFF8" w14:textId="77777777" w:rsidR="00312831" w:rsidRPr="00E036B5" w:rsidRDefault="00312831" w:rsidP="00312831">
      <w:pPr>
        <w:numPr>
          <w:ilvl w:val="0"/>
          <w:numId w:val="1"/>
        </w:numPr>
        <w:spacing w:after="160" w:line="480" w:lineRule="auto"/>
        <w:contextualSpacing/>
        <w:jc w:val="both"/>
        <w:rPr>
          <w:rFonts w:ascii="Calibri" w:eastAsia="Calibri" w:hAnsi="Calibri"/>
          <w:b/>
          <w:bCs/>
          <w:u w:val="single"/>
        </w:rPr>
      </w:pPr>
      <w:r w:rsidRPr="00E036B5">
        <w:rPr>
          <w:rFonts w:ascii="Calibri" w:eastAsia="Calibri" w:hAnsi="Calibri"/>
          <w:rtl/>
        </w:rPr>
        <w:t xml:space="preserve">תסקיר נוסף בעניינו של הנאשם התקבל לדיון שנערך בתאריך 10.7.19 ובו תיאר שירות המבחן כי הנאשם השתלב בהליך טיפולי קבוצתי ופרטני. הנאשם הגיע לפגישות כנדרש והיה משתתף פעיל ומשמעותי אשר שיתף בכנות בתחושותיו ואף בחששותיו מענישה של מאסר בפועל. ניכר כי הוא מגלה מודעות לאלטרנטיבות מקדמות יותר בהן יכול  היה לפעול ומעוניין לשקם את חייו. נמסר כי הוא מצוי במעצר בית בבית הוריו ואינו עובד ומצבו </w:t>
      </w:r>
      <w:r w:rsidRPr="00E036B5">
        <w:rPr>
          <w:rFonts w:ascii="Calibri" w:eastAsia="Calibri" w:hAnsi="Calibri"/>
          <w:rtl/>
        </w:rPr>
        <w:lastRenderedPageBreak/>
        <w:t xml:space="preserve">הכלכלי ירוד. סובל מקשיי שינה וחרדות בעקבות חששו מענישה בדמות מאסר בפועל. לא נפתחו תיקים חדשים ובדיקות לגילוי סמים בשתן נמצאו נקיות. שירות המבחן התרשם כי ההליך המשפטי הציב לו גבול ברור להתנהגותו וסייע לו לטיפול במצבו והוא מונע ממוטיבציה פנימית להמשך טיפול. התרשמות שירות המבחן כי המשך טיפול יסייע בהפחתת הסיכון להישנות עבירות. שירות המבחן סבור כי ענישה בדמות של מאסר בפועל עלולה להוות גורם רגרסיבי במצבו אשר ישפיע על מצבו הרגשי ויקטע את הליך השיקום בו הוא מצוי. אשר על כן, המלצת שירות המבחן היא להטלת צו מבחן וענישה בדמות מאסר בעבודות שירות אשר תסייע בהפחתת הסיכון מהנאשם ותחזק את סיכויי שיקומו. </w:t>
      </w:r>
    </w:p>
    <w:p w14:paraId="3F546655" w14:textId="77777777" w:rsidR="00312831" w:rsidRPr="00E036B5" w:rsidRDefault="00312831" w:rsidP="00312831">
      <w:pPr>
        <w:spacing w:after="160" w:line="480" w:lineRule="auto"/>
        <w:ind w:left="720"/>
        <w:contextualSpacing/>
        <w:jc w:val="both"/>
        <w:rPr>
          <w:rFonts w:ascii="Calibri" w:eastAsia="Calibri" w:hAnsi="Calibri"/>
        </w:rPr>
      </w:pPr>
      <w:r w:rsidRPr="00E036B5">
        <w:rPr>
          <w:rFonts w:ascii="Calibri" w:eastAsia="Calibri" w:hAnsi="Calibri"/>
          <w:rtl/>
        </w:rPr>
        <w:t xml:space="preserve"> </w:t>
      </w:r>
    </w:p>
    <w:p w14:paraId="23E6B188" w14:textId="77777777" w:rsidR="00312831" w:rsidRPr="00E036B5" w:rsidRDefault="00312831" w:rsidP="00312831">
      <w:pPr>
        <w:spacing w:after="160" w:line="480" w:lineRule="auto"/>
        <w:jc w:val="both"/>
        <w:rPr>
          <w:rFonts w:ascii="DaunPenh" w:eastAsia="Calibri" w:hAnsi="DaunPenh"/>
        </w:rPr>
      </w:pPr>
      <w:r w:rsidRPr="00E036B5">
        <w:rPr>
          <w:rFonts w:ascii="Calibri" w:eastAsia="Calibri" w:hAnsi="Calibri"/>
          <w:rtl/>
        </w:rPr>
        <w:t xml:space="preserve"> </w:t>
      </w:r>
      <w:r w:rsidRPr="00E036B5">
        <w:rPr>
          <w:rFonts w:ascii="DaunPenh" w:eastAsia="Calibri" w:hAnsi="DaunPenh"/>
          <w:b/>
          <w:bCs/>
          <w:u w:val="single"/>
          <w:rtl/>
        </w:rPr>
        <w:t>חוות דעת הממונה על עבודות שירות</w:t>
      </w:r>
      <w:r w:rsidRPr="00E036B5">
        <w:rPr>
          <w:rFonts w:ascii="DaunPenh" w:eastAsia="Calibri" w:hAnsi="DaunPenh"/>
          <w:rtl/>
        </w:rPr>
        <w:t xml:space="preserve">  </w:t>
      </w:r>
    </w:p>
    <w:p w14:paraId="64358266"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DaunPenh" w:eastAsia="Calibri" w:hAnsi="DaunPenh"/>
          <w:rtl/>
        </w:rPr>
        <w:t>בעניינו של הנאשם הוגשה חוות דעת מטעם הממונה על עבודות השירות וזאת לאחר שנשלח אליו על פי בקשתו וללא התנגדות המאשימה, אשר הצהירה כי למרות זאת עמדתה היא לענישה של מאסר בפועל. הנאשם נמצא כשיר לביצוע עבודות שירות.</w:t>
      </w:r>
    </w:p>
    <w:p w14:paraId="73D874A5" w14:textId="77777777" w:rsidR="00312831" w:rsidRPr="00E036B5" w:rsidRDefault="00312831" w:rsidP="00312831">
      <w:pPr>
        <w:spacing w:after="160" w:line="480" w:lineRule="auto"/>
        <w:jc w:val="both"/>
        <w:rPr>
          <w:rFonts w:ascii="Calibri" w:eastAsia="Calibri" w:hAnsi="Calibri"/>
          <w:b/>
          <w:bCs/>
          <w:u w:val="single"/>
          <w:rtl/>
        </w:rPr>
      </w:pPr>
      <w:r w:rsidRPr="00E036B5">
        <w:rPr>
          <w:rFonts w:ascii="Calibri" w:eastAsia="Calibri" w:hAnsi="Calibri"/>
          <w:b/>
          <w:bCs/>
          <w:u w:val="single"/>
          <w:rtl/>
        </w:rPr>
        <w:t>טיעוני הצדדים</w:t>
      </w:r>
    </w:p>
    <w:p w14:paraId="51FFC5DE"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ב"כ המאשימה, עו"ד מאיה אשכנזי, חזרה על עובדות כתב האישום והגישה תמונות של המעבדה. טענה לפגיעה בערכים המוגנים של בריאות הציבור והמלחמה בהפצת הסם. הצביעה על הכמות הגדולה של הסמים ועתרה למתחם ענישה הנע בין 18 ל-24 חודשי מאסר בפועל ואף הגישה פסיקה בנושא. התייחסה לתסקירי שירות המבחן וטענה כי המלצת שירות המבחן חורגת מהעונש הראוי. היא סבורה כי על בית המשפט לנקוט בענישה מחמירה על מנת להעביר מסר ברור לצורך מיגור התופעה של גידול והפצת סמים. דווקא מאחר ומדובר באדם נורמטיבי יש לחדד את המסר כי זו אינה דרך לחילוץ ממצב כלכלי קשה. היא התחשבה בעברו הנקי של הנאשם ובאמור בתסקירי שירות המבחן ועתרה לענישה ברף הנמוך של המתחם יחד עם ענישה נלווית, לרבות חילוט.</w:t>
      </w:r>
    </w:p>
    <w:p w14:paraId="5C56AD17"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ב"כ הנאשם, עו"ד משה סוחמי, הפנה לפסיקה בה הוענשו מגדלי סמים ואף בכמויות גדולות יותר במאסר בעבודות שירות. הוא הצביע על כך שמדובר באדם נורמטיבי שלא צרך ולא צורך סמים. הפנה לאמור בתסקירי שירות המבחן ולרקע לביצוע העבירות והדגיש כי הנאשם לא עסק בשיווק הסמים. הוא הצביע על כך שהנאשם היה מצוי תקופה ארוכה ביותר בתנאי מעצר בית ועבר הליך של פשיטת רגל, כעת חזר לעבוד, כאשר מעסיקו מוכן לתת לו הזדמנות ואף כתב מכתב לבית המשפט בנושא. הוא מסכים כי האינטרס הציבורי הוא להענשת עבריינים אולם לצד זה קיים אינטרס השיקום ולנוכח נתוניו של נאשם זה על אינטרס השיקום לגבור. הנאשם מסכים לחילוט רכבו שערכו עומד על סך 25,000 ₪.</w:t>
      </w:r>
    </w:p>
    <w:p w14:paraId="043B2439"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הנאשם עצמו התנצל מעומק ליבו וטען כי עשה את טעות חייו, איבד את כל מה שהיה לו ולהוריו וכעת מנסה להשתקם. מודע לכך שפירק את ביתו ומבקש להתנצל על כך.</w:t>
      </w:r>
    </w:p>
    <w:p w14:paraId="6BE96284" w14:textId="77777777" w:rsidR="00312831" w:rsidRPr="00E036B5" w:rsidRDefault="00312831" w:rsidP="00312831">
      <w:pPr>
        <w:spacing w:after="160" w:line="480" w:lineRule="auto"/>
        <w:jc w:val="both"/>
        <w:rPr>
          <w:rFonts w:ascii="Calibri" w:eastAsia="Calibri" w:hAnsi="Calibri"/>
          <w:b/>
          <w:bCs/>
          <w:u w:val="single"/>
        </w:rPr>
      </w:pPr>
      <w:r w:rsidRPr="00E036B5">
        <w:rPr>
          <w:rFonts w:ascii="Calibri" w:eastAsia="Calibri" w:hAnsi="Calibri"/>
          <w:b/>
          <w:bCs/>
          <w:u w:val="single"/>
          <w:rtl/>
        </w:rPr>
        <w:t>דיון והכרעה</w:t>
      </w:r>
    </w:p>
    <w:p w14:paraId="73754A8D" w14:textId="77777777" w:rsidR="00312831" w:rsidRPr="00E036B5" w:rsidRDefault="00312831" w:rsidP="00312831">
      <w:pPr>
        <w:spacing w:after="160" w:line="480" w:lineRule="auto"/>
        <w:jc w:val="both"/>
        <w:rPr>
          <w:rFonts w:ascii="Calibri" w:eastAsia="Calibri" w:hAnsi="Calibri"/>
          <w:b/>
          <w:bCs/>
          <w:u w:val="single"/>
          <w:rtl/>
        </w:rPr>
      </w:pPr>
      <w:r w:rsidRPr="00E036B5">
        <w:rPr>
          <w:rFonts w:ascii="Calibri" w:eastAsia="Calibri" w:hAnsi="Calibri"/>
          <w:rtl/>
        </w:rPr>
        <w:t xml:space="preserve">    </w:t>
      </w:r>
      <w:r w:rsidRPr="00E036B5">
        <w:rPr>
          <w:rFonts w:ascii="Calibri" w:eastAsia="Calibri" w:hAnsi="Calibri"/>
          <w:b/>
          <w:bCs/>
          <w:u w:val="single"/>
          <w:rtl/>
        </w:rPr>
        <w:t>מתחם העונש</w:t>
      </w:r>
    </w:p>
    <w:p w14:paraId="75B9F2F0"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הערך החברתי המוגן אשר נפגע כתוצאה מהעבירה אותה ביצע הנאשם הינו בריאות הציבור והצורך להילחם בתופעת גידול הסמים. כאשר נאמר רבות כבר על ידי בתי המשפט השונים לרבות בית המשפט העליון בדבר חשיבות המלחמה בתופעה זו.</w:t>
      </w:r>
    </w:p>
    <w:p w14:paraId="79A9DACB"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בבחינת הנסיבות הקשורות בביצוע העבירה, שקלתי לחומרא את העובדה כי העבירה בוצעה תוך תכנון מראש ותוך נקיטת מאמצים ומשאבים רבים וזאת מתוך רצון להפקת רווח כלכלי. לקחתי בחשבון אף את הכמות הגדולה של הסמים שנתפסה וכן את הנזק שנגרם לחברת החשמל וכתוצאה מכך לציבור כתוצאה מגניבת החשמל על ידי הנאשם. ניכר כי מדובר במעבדה מאובזרת ומושקעת אשר הפיקה כמות נכבדה של סמים ויכלה להמשיך ולעשות זאת לולא נתפס הנאשם.</w:t>
      </w:r>
    </w:p>
    <w:p w14:paraId="043B9676" w14:textId="77777777" w:rsidR="00312831" w:rsidRPr="00E036B5" w:rsidRDefault="00312831" w:rsidP="00312831">
      <w:pPr>
        <w:numPr>
          <w:ilvl w:val="0"/>
          <w:numId w:val="1"/>
        </w:numPr>
        <w:spacing w:after="160" w:line="480" w:lineRule="auto"/>
        <w:jc w:val="both"/>
        <w:rPr>
          <w:rFonts w:ascii="Calibri" w:hAnsi="Calibri"/>
        </w:rPr>
      </w:pPr>
      <w:r w:rsidRPr="00E036B5">
        <w:rPr>
          <w:rFonts w:ascii="Calibri" w:hAnsi="Calibri"/>
          <w:rtl/>
        </w:rPr>
        <w:t>בבחינת מדיניות הענישה הנוהגת ניתן להצביע על מקרים דומים, לרבות אלו שהוצגו בפניי על ידי הצדדים, העוסקים בביצוע עבירה של גידול סמים במעבדה, כמפורט להלן:</w:t>
      </w:r>
    </w:p>
    <w:p w14:paraId="7D07D1F4" w14:textId="77777777" w:rsidR="00312831" w:rsidRPr="00E036B5" w:rsidRDefault="0078175A" w:rsidP="00312831">
      <w:pPr>
        <w:numPr>
          <w:ilvl w:val="0"/>
          <w:numId w:val="2"/>
        </w:numPr>
        <w:spacing w:before="120" w:after="120" w:line="480" w:lineRule="auto"/>
        <w:contextualSpacing/>
        <w:jc w:val="both"/>
        <w:rPr>
          <w:noProof/>
        </w:rPr>
      </w:pPr>
      <w:hyperlink r:id="rId19" w:history="1">
        <w:r w:rsidRPr="0078175A">
          <w:rPr>
            <w:noProof/>
            <w:color w:val="0000FF"/>
            <w:u w:val="single"/>
            <w:rtl/>
          </w:rPr>
          <w:t>רע"פ 6987/13</w:t>
        </w:r>
      </w:hyperlink>
      <w:r w:rsidR="00312831" w:rsidRPr="00E036B5">
        <w:rPr>
          <w:noProof/>
          <w:rtl/>
        </w:rPr>
        <w:t xml:space="preserve"> </w:t>
      </w:r>
      <w:r w:rsidR="00312831" w:rsidRPr="00E036B5">
        <w:rPr>
          <w:b/>
          <w:bCs/>
          <w:noProof/>
          <w:rtl/>
        </w:rPr>
        <w:t>אנטוני אברמוב נ'</w:t>
      </w:r>
      <w:r w:rsidR="00312831" w:rsidRPr="00E036B5">
        <w:rPr>
          <w:noProof/>
          <w:rtl/>
        </w:rPr>
        <w:t xml:space="preserve"> </w:t>
      </w:r>
      <w:r w:rsidR="00312831" w:rsidRPr="00E036B5">
        <w:rPr>
          <w:b/>
          <w:bCs/>
          <w:noProof/>
          <w:rtl/>
        </w:rPr>
        <w:t>מדינת ישראל</w:t>
      </w:r>
      <w:r w:rsidR="00312831" w:rsidRPr="00E036B5">
        <w:rPr>
          <w:noProof/>
          <w:rtl/>
        </w:rPr>
        <w:t xml:space="preserve"> (21.10.13), בית המשפט העליון דחה ערעור על פסיקת בית המשפט המחוזי אשר גם הוא דחה ערעור על פסיקת בית המשפט השלום בעניינו של נאשם גידל סמים במעבדה בביו ונתפס נוהג ללא רישיון וללא ביטוח. כאשר דובר על שתילי קנבוס במשקל של 10 ק"ג ואביזרים ששימשו לגידולו. מתחם הענישה נקבע בין 6 חודשי מאסר בעבודות שירות ועד 24 חודשי מאסר בפועל. נאשם חסר עבר פלילי, הודה מיידית, הביע צער וחרטה ופעל ממניעים כלכליים. הוטל עליו עונש של 12 חודשי מאסר בפועל לצד ענישה נלווית. </w:t>
      </w:r>
    </w:p>
    <w:p w14:paraId="300E7A79" w14:textId="77777777" w:rsidR="00312831" w:rsidRPr="00E036B5" w:rsidRDefault="0078175A" w:rsidP="00312831">
      <w:pPr>
        <w:numPr>
          <w:ilvl w:val="0"/>
          <w:numId w:val="2"/>
        </w:numPr>
        <w:spacing w:after="160" w:line="480" w:lineRule="auto"/>
        <w:contextualSpacing/>
        <w:jc w:val="both"/>
        <w:rPr>
          <w:rFonts w:ascii="David" w:hAnsi="David"/>
          <w:noProof/>
        </w:rPr>
      </w:pPr>
      <w:hyperlink r:id="rId20" w:history="1">
        <w:r w:rsidRPr="0078175A">
          <w:rPr>
            <w:rFonts w:ascii="David" w:hAnsi="David"/>
            <w:noProof/>
            <w:color w:val="0000FF"/>
            <w:u w:val="single"/>
            <w:rtl/>
          </w:rPr>
          <w:t>רע"פ 7005/14</w:t>
        </w:r>
      </w:hyperlink>
      <w:r w:rsidR="00312831" w:rsidRPr="00E036B5">
        <w:rPr>
          <w:rFonts w:ascii="David" w:hAnsi="David"/>
          <w:noProof/>
          <w:rtl/>
        </w:rPr>
        <w:t xml:space="preserve"> </w:t>
      </w:r>
      <w:r w:rsidR="00312831" w:rsidRPr="00E036B5">
        <w:rPr>
          <w:rFonts w:ascii="David" w:hAnsi="David"/>
          <w:b/>
          <w:bCs/>
          <w:noProof/>
          <w:rtl/>
        </w:rPr>
        <w:t xml:space="preserve">עידן דגן נ' מדינת ישראל </w:t>
      </w:r>
      <w:r w:rsidR="00312831" w:rsidRPr="00E036B5">
        <w:rPr>
          <w:rFonts w:ascii="David" w:hAnsi="David"/>
          <w:noProof/>
          <w:rtl/>
        </w:rPr>
        <w:t xml:space="preserve"> (30.11.14), בית המשפט העליון דחה ערעור על פסיקת בית המשפט המחוזי אשר דחה ערעור על פסיקת בית המשפט השלום בעניינו של נאשם אשר גידל סמים מסוג קנבוס, במעבדה בביתו, במשקל כולל של 2,721 גרם. הביע חרטה וטען שגידל את הסם על רקע רפואי, תסקיר בעניינו נשא אופי שלילי והמליץ על ענישה בדמות מאסר בפועל. נגזרו על הנאשם 10 חודשי מאסר בפועל וענישה נלווית.</w:t>
      </w:r>
    </w:p>
    <w:p w14:paraId="367D3F1C" w14:textId="77777777" w:rsidR="00312831" w:rsidRPr="00E036B5" w:rsidRDefault="0078175A" w:rsidP="00312831">
      <w:pPr>
        <w:numPr>
          <w:ilvl w:val="0"/>
          <w:numId w:val="2"/>
        </w:numPr>
        <w:spacing w:after="160" w:line="480" w:lineRule="auto"/>
        <w:contextualSpacing/>
        <w:jc w:val="both"/>
        <w:rPr>
          <w:rFonts w:ascii="David" w:hAnsi="David"/>
          <w:noProof/>
        </w:rPr>
      </w:pPr>
      <w:hyperlink r:id="rId21" w:history="1">
        <w:r w:rsidRPr="0078175A">
          <w:rPr>
            <w:rFonts w:ascii="David" w:hAnsi="David"/>
            <w:noProof/>
            <w:color w:val="0000FF"/>
            <w:u w:val="single"/>
            <w:rtl/>
          </w:rPr>
          <w:t>ת"פ  (שלום ת"א) 29401-11-12</w:t>
        </w:r>
      </w:hyperlink>
      <w:r w:rsidR="00312831" w:rsidRPr="00E036B5">
        <w:rPr>
          <w:rFonts w:ascii="David" w:hAnsi="David"/>
          <w:noProof/>
          <w:rtl/>
        </w:rPr>
        <w:t xml:space="preserve"> </w:t>
      </w:r>
      <w:r w:rsidR="00312831" w:rsidRPr="00E036B5">
        <w:rPr>
          <w:rFonts w:ascii="David" w:hAnsi="David"/>
          <w:b/>
          <w:bCs/>
          <w:noProof/>
          <w:rtl/>
        </w:rPr>
        <w:t xml:space="preserve">מדינת ישראל נ' רונן לוין </w:t>
      </w:r>
      <w:r w:rsidR="00312831" w:rsidRPr="00E036B5">
        <w:rPr>
          <w:rFonts w:ascii="David" w:hAnsi="David"/>
          <w:noProof/>
          <w:rtl/>
        </w:rPr>
        <w:t>(25.2.13), נאשם שהקים מעבדה לדיגול סמים מסוג קנבוס והידרו ובה 392 שתילים במשקל 24.4. ק"ג וכן נטל חשמל בגניבה בסכום של 164,344 ₪. נקבע מתחם ענישה הנ</w:t>
      </w:r>
      <w:r w:rsidR="00312831">
        <w:rPr>
          <w:rFonts w:ascii="David" w:hAnsi="David"/>
          <w:noProof/>
          <w:rtl/>
        </w:rPr>
        <w:t>ע בים 10 ל- 24 חודשי מאסר בפועל</w:t>
      </w:r>
      <w:r w:rsidR="00312831" w:rsidRPr="00E036B5">
        <w:rPr>
          <w:rFonts w:ascii="David" w:hAnsi="David"/>
          <w:noProof/>
          <w:rtl/>
        </w:rPr>
        <w:t xml:space="preserve">. הנאשם הודה מיידית ונטל אחריות, חסר עבר פלילי עם סיכויי שיקום. נגדרו עליו 10 חודשי מאסר בפועל וענישה נלווית. </w:t>
      </w:r>
    </w:p>
    <w:p w14:paraId="7DEAF620" w14:textId="77777777" w:rsidR="00312831" w:rsidRPr="00E036B5" w:rsidRDefault="0078175A" w:rsidP="00312831">
      <w:pPr>
        <w:numPr>
          <w:ilvl w:val="0"/>
          <w:numId w:val="2"/>
        </w:numPr>
        <w:spacing w:before="120" w:after="120" w:line="480" w:lineRule="auto"/>
        <w:contextualSpacing/>
        <w:jc w:val="both"/>
        <w:rPr>
          <w:noProof/>
        </w:rPr>
      </w:pPr>
      <w:hyperlink r:id="rId22" w:history="1">
        <w:r w:rsidRPr="0078175A">
          <w:rPr>
            <w:rFonts w:ascii="David" w:eastAsia="Calibri" w:hAnsi="David"/>
            <w:noProof/>
            <w:color w:val="0000FF"/>
            <w:u w:val="single"/>
            <w:rtl/>
          </w:rPr>
          <w:t>ת"פ 25603-08-15</w:t>
        </w:r>
      </w:hyperlink>
      <w:r w:rsidR="00312831" w:rsidRPr="00E036B5">
        <w:rPr>
          <w:rFonts w:ascii="David" w:eastAsia="Calibri" w:hAnsi="David"/>
          <w:noProof/>
          <w:rtl/>
        </w:rPr>
        <w:t xml:space="preserve"> </w:t>
      </w:r>
      <w:r w:rsidR="00312831" w:rsidRPr="00E036B5">
        <w:rPr>
          <w:rFonts w:ascii="David" w:eastAsia="Calibri" w:hAnsi="David"/>
          <w:b/>
          <w:bCs/>
          <w:noProof/>
          <w:rtl/>
        </w:rPr>
        <w:t xml:space="preserve">מדינת ישראל  נ' יבגני פילברג </w:t>
      </w:r>
      <w:r w:rsidR="00312831">
        <w:rPr>
          <w:rFonts w:ascii="David" w:eastAsia="Calibri" w:hAnsi="David"/>
          <w:noProof/>
          <w:rtl/>
        </w:rPr>
        <w:t>(21.12.16)</w:t>
      </w:r>
      <w:r w:rsidR="00312831" w:rsidRPr="00E036B5">
        <w:rPr>
          <w:rFonts w:ascii="David" w:eastAsia="Calibri" w:hAnsi="David"/>
          <w:noProof/>
          <w:rtl/>
        </w:rPr>
        <w:t>, נאשם שגידל במעבדה 229 שתילי קנבוס והידרו במשקל 19 ק"ג והחזיק כלים לגידול הסם. חסר עבר פלילי, היה עצור חודשיים, הודה והחל הליך שיקומי, חולט רכוש בסך 25,000 ₪. נקבע מתחם הנע בין 12 ל- 36 חודשי מאסר בפועל. נגזרו עליו, תוך סטיה מהמתחם לנוכח שיקולי שיקום, 6 חודשי מאסר בעבודות שירות וענישה נלווית.</w:t>
      </w:r>
    </w:p>
    <w:p w14:paraId="39F12B7A" w14:textId="77777777" w:rsidR="00312831" w:rsidRPr="00E036B5" w:rsidRDefault="0078175A" w:rsidP="00312831">
      <w:pPr>
        <w:numPr>
          <w:ilvl w:val="0"/>
          <w:numId w:val="2"/>
        </w:numPr>
        <w:spacing w:after="160" w:line="480" w:lineRule="auto"/>
        <w:contextualSpacing/>
        <w:jc w:val="both"/>
        <w:rPr>
          <w:rFonts w:ascii="David" w:eastAsia="Calibri" w:hAnsi="David"/>
        </w:rPr>
      </w:pPr>
      <w:hyperlink r:id="rId23" w:history="1">
        <w:r w:rsidRPr="0078175A">
          <w:rPr>
            <w:rFonts w:ascii="David" w:eastAsia="Calibri" w:hAnsi="David"/>
            <w:color w:val="0000FF"/>
            <w:u w:val="single"/>
            <w:rtl/>
          </w:rPr>
          <w:t>ת"פ 16673-04-17</w:t>
        </w:r>
      </w:hyperlink>
      <w:r w:rsidR="00312831" w:rsidRPr="00E036B5">
        <w:rPr>
          <w:rFonts w:ascii="David" w:eastAsia="Calibri" w:hAnsi="David"/>
          <w:rtl/>
        </w:rPr>
        <w:t xml:space="preserve"> </w:t>
      </w:r>
      <w:r w:rsidR="00312831" w:rsidRPr="00E036B5">
        <w:rPr>
          <w:rFonts w:ascii="David" w:eastAsia="Calibri" w:hAnsi="David"/>
          <w:b/>
          <w:bCs/>
          <w:rtl/>
        </w:rPr>
        <w:t>מדינת ישראל נ' אברהם טרגנו</w:t>
      </w:r>
      <w:r w:rsidR="00312831" w:rsidRPr="00E036B5">
        <w:rPr>
          <w:rFonts w:ascii="David" w:eastAsia="Calibri" w:hAnsi="David"/>
          <w:rtl/>
        </w:rPr>
        <w:t xml:space="preserve"> (17.1.19),נאשם שגידל המעבדה 534 שתילים של סם מסוכן מסוג קנבוס במשקל 38.3. ק"ג ונטל חשמל בגנבה בסך 30,000 ₪. חסר עבר פלילי, שירות המבחן הצביע על הליך שיקומי. נקבע מתחם ענישה הנע בין 10 ל-30 חודשי מאסר בפועל. נגזרו עליו תוך סטייה מהמתחם 6 חודשי מאסר בעבודות שירות וענישה נלווית. </w:t>
      </w:r>
    </w:p>
    <w:p w14:paraId="741DB8EA" w14:textId="77777777" w:rsidR="00312831" w:rsidRPr="00E036B5" w:rsidRDefault="00312831" w:rsidP="00312831">
      <w:pPr>
        <w:spacing w:after="160" w:line="256" w:lineRule="auto"/>
        <w:ind w:left="720"/>
        <w:contextualSpacing/>
        <w:rPr>
          <w:rFonts w:ascii="David" w:eastAsia="Calibri" w:hAnsi="David" w:cs="Arial"/>
          <w:sz w:val="22"/>
          <w:szCs w:val="22"/>
        </w:rPr>
      </w:pPr>
    </w:p>
    <w:p w14:paraId="334BE1CB" w14:textId="77777777" w:rsidR="00312831" w:rsidRPr="00E036B5" w:rsidRDefault="00312831" w:rsidP="00312831">
      <w:pPr>
        <w:numPr>
          <w:ilvl w:val="0"/>
          <w:numId w:val="1"/>
        </w:numPr>
        <w:spacing w:after="160" w:line="480" w:lineRule="auto"/>
        <w:contextualSpacing/>
        <w:jc w:val="both"/>
        <w:rPr>
          <w:rFonts w:ascii="Calibri" w:eastAsia="Calibri" w:hAnsi="Calibri"/>
          <w:rtl/>
        </w:rPr>
      </w:pPr>
      <w:r w:rsidRPr="00E036B5">
        <w:rPr>
          <w:rFonts w:ascii="Calibri" w:eastAsia="Calibri" w:hAnsi="Calibri"/>
          <w:rtl/>
        </w:rPr>
        <w:t>לנוכח כל האמור לעיל, אני קובע כי מתחם הענישה ההולם בנסיבות המקרה שבפניי נע בין 10 ל-24 חודשי מאסר בפועל.</w:t>
      </w:r>
    </w:p>
    <w:p w14:paraId="0121FB19" w14:textId="77777777" w:rsidR="00312831" w:rsidRPr="00E036B5" w:rsidRDefault="00312831" w:rsidP="00312831">
      <w:pPr>
        <w:spacing w:after="160" w:line="480" w:lineRule="auto"/>
        <w:jc w:val="both"/>
        <w:rPr>
          <w:rFonts w:ascii="Calibri" w:eastAsia="Calibri" w:hAnsi="Calibri"/>
          <w:b/>
          <w:bCs/>
          <w:u w:val="single"/>
        </w:rPr>
      </w:pPr>
      <w:r w:rsidRPr="00E036B5">
        <w:rPr>
          <w:rFonts w:ascii="Calibri" w:eastAsia="Calibri" w:hAnsi="Calibri"/>
          <w:rtl/>
        </w:rPr>
        <w:t xml:space="preserve">     </w:t>
      </w:r>
      <w:r w:rsidRPr="00E036B5">
        <w:rPr>
          <w:rFonts w:ascii="Calibri" w:eastAsia="Calibri" w:hAnsi="Calibri"/>
          <w:b/>
          <w:bCs/>
          <w:u w:val="single"/>
          <w:rtl/>
        </w:rPr>
        <w:t>גזירת העונש</w:t>
      </w:r>
    </w:p>
    <w:p w14:paraId="0FAA931A" w14:textId="77777777" w:rsidR="00312831" w:rsidRPr="00E036B5" w:rsidRDefault="00312831" w:rsidP="00312831">
      <w:pPr>
        <w:numPr>
          <w:ilvl w:val="0"/>
          <w:numId w:val="1"/>
        </w:numPr>
        <w:spacing w:after="160" w:line="480" w:lineRule="auto"/>
        <w:contextualSpacing/>
        <w:jc w:val="both"/>
        <w:rPr>
          <w:rFonts w:ascii="Calibri" w:eastAsia="Calibri" w:hAnsi="Calibri"/>
          <w:rtl/>
        </w:rPr>
      </w:pPr>
      <w:r w:rsidRPr="00E036B5">
        <w:rPr>
          <w:rFonts w:ascii="Calibri" w:eastAsia="Calibri" w:hAnsi="Calibri"/>
          <w:rtl/>
        </w:rPr>
        <w:t>סעף 40ד ל</w:t>
      </w:r>
      <w:hyperlink r:id="rId24" w:history="1">
        <w:r w:rsidR="0078175A" w:rsidRPr="0078175A">
          <w:rPr>
            <w:rFonts w:ascii="Calibri" w:eastAsia="Calibri" w:hAnsi="Calibri" w:hint="cs"/>
            <w:color w:val="0000FF"/>
            <w:u w:val="single"/>
            <w:rtl/>
          </w:rPr>
          <w:t>חוק</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העונשין</w:t>
        </w:r>
      </w:hyperlink>
      <w:r w:rsidRPr="00E036B5">
        <w:rPr>
          <w:rFonts w:ascii="Calibri" w:eastAsia="Calibri" w:hAnsi="Calibri"/>
          <w:rtl/>
        </w:rPr>
        <w:t xml:space="preserve"> קובע כי בית משפט רשאי לחרוג לקולא ממתחם הענישה שנקבע, אם מצא כי הנאשם השתקם או כי יש סיכוי של ממש לשיקומו.</w:t>
      </w:r>
    </w:p>
    <w:p w14:paraId="1DD9F596"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שירות המבחן התרשם, כאמור, כי מדובר בנאשם המונע כעת ממוטיבציה פנימית להשתקם וכי הוא מביע חרטה וצער כנים על מעשיו ועושה מאמצים מעשיים לשיקומו הכלכלי ולשיקום משפחתו. שירות המבחן סבור כי ענישה בדמות מאסר בפועל מאחורי סורג ובריח עלולה להוות גורם רגרסיבי במצבו של הנאשם, אשר ישפיע על מצבו הרגשי ויקטע את הליך השיקום בו הוא מצוי כיום.</w:t>
      </w:r>
    </w:p>
    <w:p w14:paraId="4DAF2FC1"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האינטרס הציבורי בהענשת נאשמים אשר עסקו בגידול סם בכמויות גדולות במעבדה הוא ברור ובעל משקל ממשי. כפי שניתן ללמוד, בין היתר, מהפסיקה שהובאה לעיל, לא אחת מדובר בנאשמים חסרי עבר פלילי.</w:t>
      </w:r>
    </w:p>
    <w:p w14:paraId="54C7E068"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מנגד, מצוי האינטרס הפרטי של שיקום הנאשם. המדובר בנאשם חסר כל עבר פלילי, אשר הודה בהזדמנות הראשונה, לא נפתחו נגדו כל תיקים נוספים. ניכר כי הוא מתחרט בכנות על מעשיו אשר גרמו לו ולמשפחתו לנזק רב ביותר. הוא משתף פעולה באופן מלא עם ההליך הטיפולי והשיקומי. גם מעסיקו נחלץ לעזרתו, למרות הנזקים שנגרמו לו כתוצאה ממעשיו של הנאשם והוא שילבו מחדש בעבודה ומלווה את שיקומו תוך התרשמות שמדובר בשיקום אמיתי.</w:t>
      </w:r>
    </w:p>
    <w:p w14:paraId="12F8DD7C"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 xml:space="preserve">אני סבור כי במצב דברים זה, שיקומו של הנאשם עולה בקנה אחד עם האינטרס הציבורי. הציבור לא יצא נשכר מקטיעת ההליך השיקומי של הנאשם והשמתו מאחורי סורג ובריח. נראה כי מדובר בנאשם שיש ביכולתו לחזור לדרך הישר, לעבוד לפרנסת משפחתו ולא להוות נטל על הציבור. </w:t>
      </w:r>
    </w:p>
    <w:p w14:paraId="7055A081"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בתא</w:t>
      </w:r>
      <w:r>
        <w:rPr>
          <w:rFonts w:ascii="Calibri" w:eastAsia="Calibri" w:hAnsi="Calibri"/>
          <w:rtl/>
        </w:rPr>
        <w:t xml:space="preserve">ריך 1.4.19 נכנס לתוקף תיקון </w:t>
      </w:r>
      <w:r>
        <w:rPr>
          <w:rFonts w:ascii="Calibri" w:eastAsia="Calibri" w:hAnsi="Calibri" w:hint="cs"/>
          <w:rtl/>
        </w:rPr>
        <w:t xml:space="preserve">133 </w:t>
      </w:r>
      <w:r w:rsidRPr="00E036B5">
        <w:rPr>
          <w:rFonts w:ascii="Calibri" w:eastAsia="Calibri" w:hAnsi="Calibri"/>
          <w:rtl/>
        </w:rPr>
        <w:t>ל</w:t>
      </w:r>
      <w:hyperlink r:id="rId25" w:history="1">
        <w:r w:rsidR="0078175A" w:rsidRPr="0078175A">
          <w:rPr>
            <w:rFonts w:ascii="Calibri" w:eastAsia="Calibri" w:hAnsi="Calibri" w:hint="cs"/>
            <w:color w:val="0000FF"/>
            <w:u w:val="single"/>
            <w:rtl/>
          </w:rPr>
          <w:t>חוק</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העונשין</w:t>
        </w:r>
      </w:hyperlink>
      <w:r w:rsidRPr="00E036B5">
        <w:rPr>
          <w:rFonts w:ascii="Calibri" w:eastAsia="Calibri" w:hAnsi="Calibri"/>
          <w:rtl/>
        </w:rPr>
        <w:t xml:space="preserve"> שמהותו היא הוראת שעה המאפשרת ריצוי מאסר בפועל בדרך של עבודות שירות לתקופה שאינה עולה על תשעה חודשים. כפי שניתן ללמוד מדברי ההסבר להצעת החוק, תיקון זה התקבל לנוכח מסקנות הוועדה הציבורית לבחינת מדיניות הענישה והטיפול בעבריינים בראשותה של כב' השופטת בדימוס דליה דורנר . מטרת התיקון היא להביא לצמצום השימוש במאסרים במקרים</w:t>
      </w:r>
      <w:r w:rsidRPr="00E036B5">
        <w:rPr>
          <w:rFonts w:ascii="Calibri" w:eastAsia="Calibri" w:hAnsi="Calibri" w:hint="cs"/>
        </w:rPr>
        <w:t xml:space="preserve"> </w:t>
      </w:r>
      <w:r w:rsidRPr="00E036B5">
        <w:rPr>
          <w:rFonts w:ascii="Calibri" w:eastAsia="Calibri" w:hAnsi="Calibri"/>
          <w:rtl/>
        </w:rPr>
        <w:t>שבהם</w:t>
      </w:r>
      <w:r w:rsidRPr="00E036B5">
        <w:rPr>
          <w:rFonts w:ascii="Calibri" w:eastAsia="Calibri" w:hAnsi="Calibri" w:hint="cs"/>
        </w:rPr>
        <w:t xml:space="preserve"> </w:t>
      </w:r>
      <w:r w:rsidRPr="00E036B5">
        <w:rPr>
          <w:rFonts w:ascii="Calibri" w:eastAsia="Calibri" w:hAnsi="Calibri"/>
          <w:rtl/>
        </w:rPr>
        <w:t>המאסר</w:t>
      </w:r>
      <w:r w:rsidRPr="00E036B5">
        <w:rPr>
          <w:rFonts w:ascii="Calibri" w:eastAsia="Calibri" w:hAnsi="Calibri" w:hint="cs"/>
        </w:rPr>
        <w:t xml:space="preserve"> </w:t>
      </w:r>
      <w:r w:rsidRPr="00E036B5">
        <w:rPr>
          <w:rFonts w:ascii="Calibri" w:eastAsia="Calibri" w:hAnsi="Calibri"/>
          <w:rtl/>
        </w:rPr>
        <w:t>אינו</w:t>
      </w:r>
      <w:r w:rsidRPr="00E036B5">
        <w:rPr>
          <w:rFonts w:ascii="Calibri" w:eastAsia="Calibri" w:hAnsi="Calibri" w:hint="cs"/>
        </w:rPr>
        <w:t xml:space="preserve"> </w:t>
      </w:r>
      <w:r w:rsidRPr="00E036B5">
        <w:rPr>
          <w:rFonts w:ascii="Calibri" w:eastAsia="Calibri" w:hAnsi="Calibri"/>
          <w:rtl/>
        </w:rPr>
        <w:t>הכרחי</w:t>
      </w:r>
      <w:r w:rsidRPr="00E036B5">
        <w:rPr>
          <w:rFonts w:ascii="Calibri" w:eastAsia="Calibri" w:hAnsi="Calibri" w:hint="cs"/>
        </w:rPr>
        <w:t xml:space="preserve"> </w:t>
      </w:r>
      <w:r w:rsidRPr="00E036B5">
        <w:rPr>
          <w:rFonts w:ascii="Calibri" w:eastAsia="Calibri" w:hAnsi="Calibri"/>
          <w:rtl/>
        </w:rPr>
        <w:t>לצורך</w:t>
      </w:r>
      <w:r w:rsidRPr="00E036B5">
        <w:rPr>
          <w:rFonts w:ascii="Calibri" w:eastAsia="Calibri" w:hAnsi="Calibri" w:hint="cs"/>
        </w:rPr>
        <w:t xml:space="preserve"> </w:t>
      </w:r>
      <w:r w:rsidRPr="00E036B5">
        <w:rPr>
          <w:rFonts w:ascii="Calibri" w:eastAsia="Calibri" w:hAnsi="Calibri"/>
          <w:rtl/>
        </w:rPr>
        <w:t>הגבלת יכולתו</w:t>
      </w:r>
      <w:r w:rsidRPr="00E036B5">
        <w:rPr>
          <w:rFonts w:ascii="Calibri" w:eastAsia="Calibri" w:hAnsi="Calibri" w:hint="cs"/>
        </w:rPr>
        <w:t xml:space="preserve"> </w:t>
      </w:r>
      <w:r w:rsidRPr="00E036B5">
        <w:rPr>
          <w:rFonts w:ascii="Calibri" w:eastAsia="Calibri" w:hAnsi="Calibri"/>
          <w:rtl/>
        </w:rPr>
        <w:t>של</w:t>
      </w:r>
      <w:r w:rsidRPr="00E036B5">
        <w:rPr>
          <w:rFonts w:ascii="Calibri" w:eastAsia="Calibri" w:hAnsi="Calibri" w:hint="cs"/>
        </w:rPr>
        <w:t xml:space="preserve"> </w:t>
      </w:r>
      <w:r w:rsidRPr="00E036B5">
        <w:rPr>
          <w:rFonts w:ascii="Calibri" w:eastAsia="Calibri" w:hAnsi="Calibri"/>
          <w:rtl/>
        </w:rPr>
        <w:t>העבריין</w:t>
      </w:r>
      <w:r w:rsidRPr="00E036B5">
        <w:rPr>
          <w:rFonts w:ascii="Calibri" w:eastAsia="Calibri" w:hAnsi="Calibri" w:hint="cs"/>
        </w:rPr>
        <w:t xml:space="preserve"> </w:t>
      </w:r>
      <w:r w:rsidRPr="00E036B5">
        <w:rPr>
          <w:rFonts w:ascii="Calibri" w:eastAsia="Calibri" w:hAnsi="Calibri"/>
          <w:rtl/>
        </w:rPr>
        <w:t>לביצוע</w:t>
      </w:r>
      <w:r w:rsidRPr="00E036B5">
        <w:rPr>
          <w:rFonts w:ascii="Calibri" w:eastAsia="Calibri" w:hAnsi="Calibri" w:hint="cs"/>
        </w:rPr>
        <w:t xml:space="preserve"> </w:t>
      </w:r>
      <w:r w:rsidRPr="00E036B5">
        <w:rPr>
          <w:rFonts w:ascii="Calibri" w:eastAsia="Calibri" w:hAnsi="Calibri"/>
          <w:rtl/>
        </w:rPr>
        <w:t>עבירות</w:t>
      </w:r>
      <w:r w:rsidRPr="00E036B5">
        <w:rPr>
          <w:rFonts w:ascii="Calibri" w:eastAsia="Calibri" w:hAnsi="Calibri" w:hint="cs"/>
        </w:rPr>
        <w:t xml:space="preserve"> </w:t>
      </w:r>
      <w:r w:rsidRPr="00E036B5">
        <w:rPr>
          <w:rFonts w:ascii="Calibri" w:eastAsia="Calibri" w:hAnsi="Calibri"/>
          <w:rtl/>
        </w:rPr>
        <w:t>וכן</w:t>
      </w:r>
      <w:r w:rsidRPr="00E036B5">
        <w:rPr>
          <w:rFonts w:ascii="Calibri" w:eastAsia="Calibri" w:hAnsi="Calibri" w:hint="cs"/>
        </w:rPr>
        <w:t xml:space="preserve"> </w:t>
      </w:r>
      <w:r w:rsidRPr="00E036B5">
        <w:rPr>
          <w:rFonts w:ascii="Calibri" w:eastAsia="Calibri" w:hAnsi="Calibri"/>
          <w:rtl/>
        </w:rPr>
        <w:t>לגבי</w:t>
      </w:r>
      <w:r w:rsidRPr="00E036B5">
        <w:rPr>
          <w:rFonts w:ascii="Calibri" w:eastAsia="Calibri" w:hAnsi="Calibri" w:hint="cs"/>
        </w:rPr>
        <w:t xml:space="preserve"> </w:t>
      </w:r>
      <w:r w:rsidRPr="00E036B5">
        <w:rPr>
          <w:rFonts w:ascii="Calibri" w:eastAsia="Calibri" w:hAnsi="Calibri"/>
          <w:rtl/>
        </w:rPr>
        <w:t>עבריינים שהמסוכנות</w:t>
      </w:r>
      <w:r w:rsidRPr="00E036B5">
        <w:rPr>
          <w:rFonts w:ascii="Calibri" w:eastAsia="Calibri" w:hAnsi="Calibri" w:hint="cs"/>
        </w:rPr>
        <w:t xml:space="preserve"> </w:t>
      </w:r>
      <w:r w:rsidRPr="00E036B5">
        <w:rPr>
          <w:rFonts w:ascii="Calibri" w:eastAsia="Calibri" w:hAnsi="Calibri"/>
          <w:rtl/>
        </w:rPr>
        <w:t>שלהם</w:t>
      </w:r>
      <w:r w:rsidRPr="00E036B5">
        <w:rPr>
          <w:rFonts w:ascii="Calibri" w:eastAsia="Calibri" w:hAnsi="Calibri" w:hint="cs"/>
        </w:rPr>
        <w:t xml:space="preserve"> </w:t>
      </w:r>
      <w:r w:rsidRPr="00E036B5">
        <w:rPr>
          <w:rFonts w:ascii="Calibri" w:eastAsia="Calibri" w:hAnsi="Calibri"/>
          <w:rtl/>
        </w:rPr>
        <w:t>לחברה</w:t>
      </w:r>
      <w:r w:rsidRPr="00E036B5">
        <w:rPr>
          <w:rFonts w:ascii="Calibri" w:eastAsia="Calibri" w:hAnsi="Calibri" w:hint="cs"/>
        </w:rPr>
        <w:t xml:space="preserve"> </w:t>
      </w:r>
      <w:r w:rsidRPr="00E036B5">
        <w:rPr>
          <w:rFonts w:ascii="Calibri" w:eastAsia="Calibri" w:hAnsi="Calibri"/>
          <w:rtl/>
        </w:rPr>
        <w:t>אינה</w:t>
      </w:r>
      <w:r w:rsidRPr="00E036B5">
        <w:rPr>
          <w:rFonts w:ascii="Calibri" w:eastAsia="Calibri" w:hAnsi="Calibri" w:hint="cs"/>
        </w:rPr>
        <w:t xml:space="preserve"> </w:t>
      </w:r>
      <w:r w:rsidRPr="00E036B5">
        <w:rPr>
          <w:rFonts w:ascii="Calibri" w:eastAsia="Calibri" w:hAnsi="Calibri"/>
          <w:rtl/>
        </w:rPr>
        <w:t>גבוהה. הוועדה במסקנותיה קבעה כי: "שימוש יעיל במאסר ככלי למניעת עבירות חייב להבחין בין עבריינים שצפויים לחזור ולבצע עבירות לבין אלו שלא". עניינו של נאשם זה עולה בקנה אחד עם האמור במסקנות וועדה זו.</w:t>
      </w:r>
    </w:p>
    <w:p w14:paraId="1FFB797D"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 xml:space="preserve"> </w:t>
      </w:r>
      <w:r w:rsidRPr="00E036B5">
        <w:rPr>
          <w:rFonts w:ascii="Calibri" w:eastAsia="Calibri" w:hAnsi="Calibri" w:hint="cs"/>
          <w:rtl/>
        </w:rPr>
        <w:t>לקחתי אף בחשבון כי העונש שייגזר על הנאשם בדמות ריצוי התקופה המקסימלית של עבודות שירות לצד חילוט רכוש משמעותי וקנס יהווה ענישה כלכלית ממשית וכואבת, זאת לצד צו מבחן אשר יבטיח את המשך הליך השיקום.</w:t>
      </w:r>
    </w:p>
    <w:p w14:paraId="0D70775F" w14:textId="77777777" w:rsidR="00312831" w:rsidRPr="00E036B5" w:rsidRDefault="00312831" w:rsidP="00312831">
      <w:pPr>
        <w:numPr>
          <w:ilvl w:val="0"/>
          <w:numId w:val="1"/>
        </w:numPr>
        <w:spacing w:after="160" w:line="480" w:lineRule="auto"/>
        <w:contextualSpacing/>
        <w:jc w:val="both"/>
        <w:rPr>
          <w:rFonts w:ascii="Calibri" w:eastAsia="Calibri" w:hAnsi="Calibri"/>
        </w:rPr>
      </w:pPr>
      <w:r w:rsidRPr="00E036B5">
        <w:rPr>
          <w:rFonts w:ascii="Calibri" w:eastAsia="Calibri" w:hAnsi="Calibri"/>
          <w:rtl/>
        </w:rPr>
        <w:t>לאחר ששקלתי את כל האמור לעיל, אני גוזר על הנאשם את העונשים הבאים:</w:t>
      </w:r>
    </w:p>
    <w:p w14:paraId="2EA02B83" w14:textId="77777777" w:rsidR="00312831" w:rsidRPr="001724B8" w:rsidRDefault="00312831" w:rsidP="00312831">
      <w:pPr>
        <w:numPr>
          <w:ilvl w:val="0"/>
          <w:numId w:val="3"/>
        </w:numPr>
        <w:spacing w:after="160" w:line="480" w:lineRule="auto"/>
        <w:contextualSpacing/>
        <w:jc w:val="both"/>
        <w:rPr>
          <w:rFonts w:ascii="Calibri" w:eastAsia="Calibri" w:hAnsi="Calibri"/>
        </w:rPr>
      </w:pPr>
      <w:r w:rsidRPr="00E036B5">
        <w:rPr>
          <w:rFonts w:ascii="Calibri" w:eastAsia="Calibri" w:hAnsi="Calibri"/>
          <w:rtl/>
        </w:rPr>
        <w:t>9 חודשי מאסר אשר ירוצו בדרך של עבודות שירות.</w:t>
      </w:r>
    </w:p>
    <w:p w14:paraId="51B21CAD" w14:textId="77777777" w:rsidR="00312831" w:rsidRPr="00E036B5" w:rsidRDefault="00312831" w:rsidP="00312831">
      <w:pPr>
        <w:numPr>
          <w:ilvl w:val="0"/>
          <w:numId w:val="3"/>
        </w:numPr>
        <w:spacing w:after="160" w:line="480" w:lineRule="auto"/>
        <w:contextualSpacing/>
        <w:jc w:val="both"/>
        <w:rPr>
          <w:rFonts w:ascii="Calibri" w:eastAsia="Calibri" w:hAnsi="Calibri"/>
        </w:rPr>
      </w:pPr>
      <w:r w:rsidRPr="00E036B5">
        <w:rPr>
          <w:rFonts w:ascii="Calibri" w:eastAsia="Calibri" w:hAnsi="Calibri"/>
          <w:rtl/>
        </w:rPr>
        <w:t xml:space="preserve">10 חודשי מאסר על תנאי למשך שלש שנים החל מהיום והתנאי הוא שלא יעבור עבירה מסוג פשע על פי </w:t>
      </w:r>
      <w:hyperlink r:id="rId26" w:history="1">
        <w:r w:rsidR="0078175A" w:rsidRPr="0078175A">
          <w:rPr>
            <w:rFonts w:ascii="Calibri" w:eastAsia="Calibri" w:hAnsi="Calibri" w:hint="cs"/>
            <w:color w:val="0000FF"/>
            <w:u w:val="single"/>
            <w:rtl/>
          </w:rPr>
          <w:t>פקודת</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הסמים</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המסוכנים</w:t>
        </w:r>
      </w:hyperlink>
      <w:r w:rsidRPr="00E036B5">
        <w:rPr>
          <w:rFonts w:ascii="Calibri" w:eastAsia="Calibri" w:hAnsi="Calibri"/>
          <w:rtl/>
        </w:rPr>
        <w:t>.</w:t>
      </w:r>
    </w:p>
    <w:p w14:paraId="3902FBC1" w14:textId="77777777" w:rsidR="00312831" w:rsidRPr="00E036B5" w:rsidRDefault="00312831" w:rsidP="00312831">
      <w:pPr>
        <w:numPr>
          <w:ilvl w:val="0"/>
          <w:numId w:val="3"/>
        </w:numPr>
        <w:spacing w:after="160" w:line="480" w:lineRule="auto"/>
        <w:contextualSpacing/>
        <w:jc w:val="both"/>
        <w:rPr>
          <w:rFonts w:ascii="Calibri" w:eastAsia="Calibri" w:hAnsi="Calibri"/>
        </w:rPr>
      </w:pPr>
      <w:r w:rsidRPr="00E036B5">
        <w:rPr>
          <w:rFonts w:ascii="Calibri" w:eastAsia="Calibri" w:hAnsi="Calibri"/>
          <w:rtl/>
        </w:rPr>
        <w:t xml:space="preserve">6 חודשי מאסר על תנאי למשך שלש שנים החל מהיום והתנאי שלא יעבור עבירה מסוג עוון על </w:t>
      </w:r>
      <w:hyperlink r:id="rId27" w:history="1">
        <w:r w:rsidR="0078175A" w:rsidRPr="0078175A">
          <w:rPr>
            <w:rFonts w:ascii="Calibri" w:eastAsia="Calibri" w:hAnsi="Calibri" w:hint="cs"/>
            <w:color w:val="0000FF"/>
            <w:u w:val="single"/>
            <w:rtl/>
          </w:rPr>
          <w:t>פקודת</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הסמים</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המסוכנים</w:t>
        </w:r>
      </w:hyperlink>
      <w:r w:rsidRPr="00E036B5">
        <w:rPr>
          <w:rFonts w:ascii="Calibri" w:eastAsia="Calibri" w:hAnsi="Calibri"/>
          <w:rtl/>
        </w:rPr>
        <w:t xml:space="preserve"> או עבירת רכוש על פי </w:t>
      </w:r>
      <w:hyperlink r:id="rId28" w:history="1">
        <w:r w:rsidR="0078175A" w:rsidRPr="0078175A">
          <w:rPr>
            <w:rFonts w:ascii="Calibri" w:eastAsia="Calibri" w:hAnsi="Calibri" w:hint="cs"/>
            <w:color w:val="0000FF"/>
            <w:u w:val="single"/>
            <w:rtl/>
          </w:rPr>
          <w:t>חוק</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העונשין</w:t>
        </w:r>
      </w:hyperlink>
      <w:r w:rsidRPr="00E036B5">
        <w:rPr>
          <w:rFonts w:ascii="Calibri" w:eastAsia="Calibri" w:hAnsi="Calibri"/>
          <w:rtl/>
        </w:rPr>
        <w:t>.</w:t>
      </w:r>
    </w:p>
    <w:p w14:paraId="4280EBF6" w14:textId="77777777" w:rsidR="00312831" w:rsidRDefault="00312831" w:rsidP="00312831">
      <w:pPr>
        <w:numPr>
          <w:ilvl w:val="0"/>
          <w:numId w:val="3"/>
        </w:numPr>
        <w:spacing w:after="160" w:line="480" w:lineRule="auto"/>
        <w:contextualSpacing/>
        <w:jc w:val="both"/>
        <w:rPr>
          <w:rFonts w:ascii="Calibri" w:eastAsia="Calibri" w:hAnsi="Calibri"/>
        </w:rPr>
      </w:pPr>
      <w:r>
        <w:rPr>
          <w:rFonts w:ascii="Calibri" w:eastAsia="Calibri" w:hAnsi="Calibri"/>
          <w:rtl/>
        </w:rPr>
        <w:t xml:space="preserve">קנס כספי בסך 7,500 ₪ אשר </w:t>
      </w:r>
      <w:r>
        <w:rPr>
          <w:rFonts w:ascii="Calibri" w:eastAsia="Calibri" w:hAnsi="Calibri" w:hint="cs"/>
          <w:rtl/>
        </w:rPr>
        <w:t>יקוזז מהפקדה כספית אשר מצויה בתיק המעצרים.</w:t>
      </w:r>
    </w:p>
    <w:p w14:paraId="66E915D4" w14:textId="77777777" w:rsidR="00312831" w:rsidRPr="00E036B5" w:rsidRDefault="00312831" w:rsidP="00312831">
      <w:pPr>
        <w:spacing w:after="160" w:line="480" w:lineRule="auto"/>
        <w:ind w:left="1080"/>
        <w:contextualSpacing/>
        <w:jc w:val="both"/>
        <w:rPr>
          <w:rFonts w:ascii="Calibri" w:eastAsia="Calibri" w:hAnsi="Calibri"/>
        </w:rPr>
      </w:pPr>
      <w:r>
        <w:rPr>
          <w:rFonts w:ascii="Calibri" w:eastAsia="Calibri" w:hAnsi="Calibri" w:hint="cs"/>
          <w:rtl/>
        </w:rPr>
        <w:t>שאר ההפקדה תושב לנאשם.</w:t>
      </w:r>
    </w:p>
    <w:p w14:paraId="16F76193" w14:textId="77777777" w:rsidR="00312831" w:rsidRPr="00E036B5" w:rsidRDefault="00312831" w:rsidP="00312831">
      <w:pPr>
        <w:numPr>
          <w:ilvl w:val="0"/>
          <w:numId w:val="3"/>
        </w:numPr>
        <w:spacing w:after="160" w:line="480" w:lineRule="auto"/>
        <w:contextualSpacing/>
        <w:jc w:val="both"/>
        <w:rPr>
          <w:rFonts w:ascii="Calibri" w:eastAsia="Calibri" w:hAnsi="Calibri"/>
        </w:rPr>
      </w:pPr>
      <w:r w:rsidRPr="00E036B5">
        <w:rPr>
          <w:rFonts w:ascii="Calibri" w:eastAsia="Calibri" w:hAnsi="Calibri"/>
          <w:rtl/>
        </w:rPr>
        <w:t xml:space="preserve">פסילת רישיון נהיגה למשך 6 חודשים וזאת על תנאי למשך שלש שנים, והתנאי הוא שלא יעבור עבירה על פי </w:t>
      </w:r>
      <w:hyperlink r:id="rId29" w:history="1">
        <w:r w:rsidR="0078175A" w:rsidRPr="0078175A">
          <w:rPr>
            <w:rFonts w:ascii="Calibri" w:eastAsia="Calibri" w:hAnsi="Calibri" w:hint="cs"/>
            <w:color w:val="0000FF"/>
            <w:u w:val="single"/>
            <w:rtl/>
          </w:rPr>
          <w:t>פקודת</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הסמים</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המסוכנים</w:t>
        </w:r>
      </w:hyperlink>
      <w:r w:rsidRPr="00E036B5">
        <w:rPr>
          <w:rFonts w:ascii="Calibri" w:eastAsia="Calibri" w:hAnsi="Calibri"/>
          <w:rtl/>
        </w:rPr>
        <w:t>.</w:t>
      </w:r>
    </w:p>
    <w:p w14:paraId="2B670C09" w14:textId="77777777" w:rsidR="00312831" w:rsidRPr="00E036B5" w:rsidRDefault="00312831" w:rsidP="00312831">
      <w:pPr>
        <w:numPr>
          <w:ilvl w:val="0"/>
          <w:numId w:val="3"/>
        </w:numPr>
        <w:spacing w:after="160" w:line="480" w:lineRule="auto"/>
        <w:contextualSpacing/>
        <w:jc w:val="both"/>
        <w:rPr>
          <w:rFonts w:ascii="Calibri" w:eastAsia="Calibri" w:hAnsi="Calibri"/>
        </w:rPr>
      </w:pPr>
      <w:r w:rsidRPr="00E036B5">
        <w:rPr>
          <w:rFonts w:ascii="Calibri" w:eastAsia="Calibri" w:hAnsi="Calibri"/>
          <w:rtl/>
        </w:rPr>
        <w:t>צו מבחן למשך שנה. הובהר לנאשם כי עליו למלא אחר הוראות שירות המבחן וכי אם לא יעשה זאת ניתן יהיה להפקיע את הצו ולהטיל עליו ענישה חילופית.</w:t>
      </w:r>
    </w:p>
    <w:p w14:paraId="2B4581A0" w14:textId="77777777" w:rsidR="00312831" w:rsidRPr="00E036B5" w:rsidRDefault="00312831" w:rsidP="00312831">
      <w:pPr>
        <w:numPr>
          <w:ilvl w:val="0"/>
          <w:numId w:val="3"/>
        </w:numPr>
        <w:spacing w:after="160" w:line="480" w:lineRule="auto"/>
        <w:contextualSpacing/>
        <w:jc w:val="both"/>
        <w:rPr>
          <w:rFonts w:ascii="Calibri" w:eastAsia="Calibri" w:hAnsi="Calibri"/>
        </w:rPr>
      </w:pPr>
      <w:r w:rsidRPr="00E036B5">
        <w:rPr>
          <w:rFonts w:ascii="Calibri" w:eastAsia="Calibri" w:hAnsi="Calibri"/>
          <w:rtl/>
        </w:rPr>
        <w:t xml:space="preserve">בהתאם </w:t>
      </w:r>
      <w:hyperlink r:id="rId30" w:history="1">
        <w:r w:rsidR="009021A7" w:rsidRPr="009021A7">
          <w:rPr>
            <w:rFonts w:ascii="Calibri" w:eastAsia="Calibri" w:hAnsi="Calibri" w:hint="cs"/>
            <w:color w:val="0000FF"/>
            <w:u w:val="single"/>
            <w:rtl/>
          </w:rPr>
          <w:t>לסעיף</w:t>
        </w:r>
        <w:r w:rsidR="009021A7" w:rsidRPr="009021A7">
          <w:rPr>
            <w:rFonts w:ascii="Calibri" w:eastAsia="Calibri" w:hAnsi="Calibri"/>
            <w:color w:val="0000FF"/>
            <w:u w:val="single"/>
            <w:rtl/>
          </w:rPr>
          <w:t xml:space="preserve"> 36</w:t>
        </w:r>
      </w:hyperlink>
      <w:r w:rsidRPr="00E036B5">
        <w:rPr>
          <w:rFonts w:ascii="Calibri" w:eastAsia="Calibri" w:hAnsi="Calibri"/>
          <w:rtl/>
        </w:rPr>
        <w:t xml:space="preserve"> ל</w:t>
      </w:r>
      <w:hyperlink r:id="rId31" w:history="1">
        <w:r w:rsidR="0078175A" w:rsidRPr="0078175A">
          <w:rPr>
            <w:rFonts w:ascii="Calibri" w:eastAsia="Calibri" w:hAnsi="Calibri" w:hint="cs"/>
            <w:color w:val="0000FF"/>
            <w:u w:val="single"/>
            <w:rtl/>
          </w:rPr>
          <w:t>פקודת</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הסמים</w:t>
        </w:r>
        <w:r w:rsidR="0078175A" w:rsidRPr="0078175A">
          <w:rPr>
            <w:rFonts w:ascii="Calibri" w:eastAsia="Calibri" w:hAnsi="Calibri"/>
            <w:color w:val="0000FF"/>
            <w:u w:val="single"/>
            <w:rtl/>
          </w:rPr>
          <w:t xml:space="preserve"> </w:t>
        </w:r>
        <w:r w:rsidR="0078175A" w:rsidRPr="0078175A">
          <w:rPr>
            <w:rFonts w:ascii="Calibri" w:eastAsia="Calibri" w:hAnsi="Calibri" w:hint="cs"/>
            <w:color w:val="0000FF"/>
            <w:u w:val="single"/>
            <w:rtl/>
          </w:rPr>
          <w:t>המסוכנים</w:t>
        </w:r>
      </w:hyperlink>
      <w:r w:rsidRPr="00E036B5">
        <w:rPr>
          <w:rFonts w:ascii="Calibri" w:eastAsia="Calibri" w:hAnsi="Calibri"/>
          <w:rtl/>
        </w:rPr>
        <w:t>, אני מכריז על הנאשם כסוחר סמים ומורה על חילוט רכב מסוג שברולט 54-326-70 וכן סך של 4,800 ₪ וציוד המעבדה שנתפס לטובת קרן החילוט. שאר המוצגים יושמדו.</w:t>
      </w:r>
    </w:p>
    <w:p w14:paraId="248A8E20" w14:textId="77777777" w:rsidR="00312831" w:rsidRPr="00E036B5" w:rsidRDefault="00312831" w:rsidP="00312831">
      <w:pPr>
        <w:spacing w:after="160" w:line="480" w:lineRule="auto"/>
        <w:ind w:left="1080"/>
        <w:contextualSpacing/>
        <w:rPr>
          <w:rFonts w:ascii="Calibri" w:eastAsia="Calibri" w:hAnsi="Calibri"/>
        </w:rPr>
      </w:pPr>
    </w:p>
    <w:p w14:paraId="727B2189" w14:textId="77777777" w:rsidR="00312831" w:rsidRPr="00E036B5" w:rsidRDefault="00312831" w:rsidP="00312831">
      <w:pPr>
        <w:spacing w:after="160" w:line="480" w:lineRule="auto"/>
        <w:ind w:left="1080"/>
        <w:contextualSpacing/>
        <w:jc w:val="both"/>
        <w:rPr>
          <w:rFonts w:ascii="Calibri" w:eastAsia="Calibri" w:hAnsi="Calibri"/>
          <w:b/>
          <w:bCs/>
          <w:rtl/>
        </w:rPr>
      </w:pPr>
      <w:r w:rsidRPr="00E036B5">
        <w:rPr>
          <w:rFonts w:ascii="Calibri" w:eastAsia="Calibri" w:hAnsi="Calibri"/>
          <w:b/>
          <w:bCs/>
          <w:rtl/>
        </w:rPr>
        <w:t>עונש עבודות השירות יבוצע על ידי הנאשם במרכז לקשיש בראש העין</w:t>
      </w:r>
      <w:r>
        <w:rPr>
          <w:rFonts w:ascii="Calibri" w:eastAsia="Calibri" w:hAnsi="Calibri" w:hint="cs"/>
          <w:b/>
          <w:bCs/>
          <w:rtl/>
        </w:rPr>
        <w:t>.</w:t>
      </w:r>
    </w:p>
    <w:p w14:paraId="78C282A5" w14:textId="77777777" w:rsidR="00312831" w:rsidRPr="00E036B5" w:rsidRDefault="00312831" w:rsidP="00312831">
      <w:pPr>
        <w:spacing w:after="160" w:line="480" w:lineRule="auto"/>
        <w:ind w:left="1080"/>
        <w:contextualSpacing/>
        <w:jc w:val="both"/>
        <w:rPr>
          <w:rFonts w:ascii="Calibri" w:eastAsia="Calibri" w:hAnsi="Calibri"/>
          <w:b/>
          <w:bCs/>
          <w:rtl/>
        </w:rPr>
      </w:pPr>
      <w:r w:rsidRPr="00E036B5">
        <w:rPr>
          <w:rFonts w:ascii="Calibri" w:eastAsia="Calibri" w:hAnsi="Calibri"/>
          <w:b/>
          <w:bCs/>
          <w:rtl/>
        </w:rPr>
        <w:t>לצורך ריצוי עונש זה יתייצב הנאשם במשרדי הממונה על עבודות השירות ברמלה, בתאריך  14.11.19 בשעה 8:00.</w:t>
      </w:r>
    </w:p>
    <w:p w14:paraId="591AFA23" w14:textId="77777777" w:rsidR="00312831" w:rsidRPr="00E036B5" w:rsidRDefault="00312831" w:rsidP="00312831">
      <w:pPr>
        <w:spacing w:after="160" w:line="480" w:lineRule="auto"/>
        <w:ind w:left="1080"/>
        <w:contextualSpacing/>
        <w:jc w:val="both"/>
        <w:rPr>
          <w:rFonts w:ascii="Calibri" w:eastAsia="Calibri" w:hAnsi="Calibri"/>
          <w:b/>
          <w:bCs/>
          <w:rtl/>
        </w:rPr>
      </w:pPr>
      <w:r w:rsidRPr="00E036B5">
        <w:rPr>
          <w:rFonts w:ascii="Calibri" w:eastAsia="Calibri" w:hAnsi="Calibri"/>
          <w:b/>
          <w:bCs/>
          <w:rtl/>
        </w:rPr>
        <w:t>מובהר לנאשם כי עליו לבצע את עבודות השירות לשביעות רצון הממונה וכי אם לא יעשה כן, ניתן יהיה להפקיע את העונש והוא יישא ביתרת התקופה בכלא.</w:t>
      </w:r>
    </w:p>
    <w:p w14:paraId="7AFAF6D7" w14:textId="77777777" w:rsidR="00312831" w:rsidRPr="00E036B5" w:rsidRDefault="00312831" w:rsidP="00312831">
      <w:pPr>
        <w:spacing w:after="160" w:line="480" w:lineRule="auto"/>
        <w:ind w:left="1080"/>
        <w:contextualSpacing/>
        <w:jc w:val="both"/>
        <w:rPr>
          <w:rFonts w:ascii="Calibri" w:eastAsia="Calibri" w:hAnsi="Calibri"/>
          <w:rtl/>
        </w:rPr>
      </w:pPr>
      <w:r w:rsidRPr="00E036B5">
        <w:rPr>
          <w:rFonts w:ascii="Calibri" w:eastAsia="Calibri" w:hAnsi="Calibri"/>
          <w:b/>
          <w:bCs/>
          <w:rtl/>
        </w:rPr>
        <w:t xml:space="preserve">בהתאם לסעיף </w:t>
      </w:r>
      <w:hyperlink r:id="rId32" w:history="1">
        <w:r w:rsidR="009021A7" w:rsidRPr="009021A7">
          <w:rPr>
            <w:rFonts w:ascii="Calibri" w:eastAsia="Calibri" w:hAnsi="Calibri"/>
            <w:b/>
            <w:bCs/>
            <w:color w:val="0000FF"/>
            <w:u w:val="single"/>
            <w:rtl/>
          </w:rPr>
          <w:t>51</w:t>
        </w:r>
        <w:r w:rsidR="009021A7" w:rsidRPr="009021A7">
          <w:rPr>
            <w:rFonts w:ascii="Calibri" w:eastAsia="Calibri" w:hAnsi="Calibri" w:hint="cs"/>
            <w:b/>
            <w:bCs/>
            <w:color w:val="0000FF"/>
            <w:u w:val="single"/>
            <w:rtl/>
          </w:rPr>
          <w:t>ג</w:t>
        </w:r>
        <w:r w:rsidR="009021A7" w:rsidRPr="009021A7">
          <w:rPr>
            <w:rFonts w:ascii="Calibri" w:eastAsia="Calibri" w:hAnsi="Calibri"/>
            <w:b/>
            <w:bCs/>
            <w:color w:val="0000FF"/>
            <w:u w:val="single"/>
            <w:rtl/>
          </w:rPr>
          <w:t xml:space="preserve"> (</w:t>
        </w:r>
        <w:r w:rsidR="009021A7" w:rsidRPr="009021A7">
          <w:rPr>
            <w:rFonts w:ascii="Calibri" w:eastAsia="Calibri" w:hAnsi="Calibri" w:hint="cs"/>
            <w:b/>
            <w:bCs/>
            <w:color w:val="0000FF"/>
            <w:u w:val="single"/>
            <w:rtl/>
          </w:rPr>
          <w:t>ג</w:t>
        </w:r>
        <w:r w:rsidR="009021A7" w:rsidRPr="009021A7">
          <w:rPr>
            <w:rFonts w:ascii="Calibri" w:eastAsia="Calibri" w:hAnsi="Calibri"/>
            <w:b/>
            <w:bCs/>
            <w:color w:val="0000FF"/>
            <w:u w:val="single"/>
            <w:rtl/>
          </w:rPr>
          <w:t>)</w:t>
        </w:r>
      </w:hyperlink>
      <w:r w:rsidRPr="00E036B5">
        <w:rPr>
          <w:rFonts w:ascii="Calibri" w:eastAsia="Calibri" w:hAnsi="Calibri"/>
          <w:b/>
          <w:bCs/>
          <w:rtl/>
        </w:rPr>
        <w:t xml:space="preserve"> ל</w:t>
      </w:r>
      <w:hyperlink r:id="rId33" w:history="1">
        <w:r w:rsidR="0078175A" w:rsidRPr="0078175A">
          <w:rPr>
            <w:rFonts w:ascii="Calibri" w:eastAsia="Calibri" w:hAnsi="Calibri" w:hint="cs"/>
            <w:b/>
            <w:bCs/>
            <w:color w:val="0000FF"/>
            <w:u w:val="single"/>
            <w:rtl/>
          </w:rPr>
          <w:t>חוק</w:t>
        </w:r>
        <w:r w:rsidR="0078175A" w:rsidRPr="0078175A">
          <w:rPr>
            <w:rFonts w:ascii="Calibri" w:eastAsia="Calibri" w:hAnsi="Calibri"/>
            <w:b/>
            <w:bCs/>
            <w:color w:val="0000FF"/>
            <w:u w:val="single"/>
            <w:rtl/>
          </w:rPr>
          <w:t xml:space="preserve"> </w:t>
        </w:r>
        <w:r w:rsidR="0078175A" w:rsidRPr="0078175A">
          <w:rPr>
            <w:rFonts w:ascii="Calibri" w:eastAsia="Calibri" w:hAnsi="Calibri" w:hint="cs"/>
            <w:b/>
            <w:bCs/>
            <w:color w:val="0000FF"/>
            <w:u w:val="single"/>
            <w:rtl/>
          </w:rPr>
          <w:t>העונשין</w:t>
        </w:r>
      </w:hyperlink>
      <w:r w:rsidRPr="00E036B5">
        <w:rPr>
          <w:rFonts w:ascii="Calibri" w:eastAsia="Calibri" w:hAnsi="Calibri"/>
          <w:b/>
          <w:bCs/>
          <w:rtl/>
        </w:rPr>
        <w:t>, יועבר העתק מהחלטה זו לידי שירות המבחן אשר יכין לנאשם תכנית ליווי ושיקום אלא אם כן ימצא קצין המבחן כי לא נדרשת תכנית שכזו.</w:t>
      </w:r>
    </w:p>
    <w:p w14:paraId="08DC860D" w14:textId="77777777" w:rsidR="00312831" w:rsidRPr="00E036B5" w:rsidRDefault="00312831" w:rsidP="00312831">
      <w:pPr>
        <w:spacing w:after="160"/>
        <w:ind w:left="1080"/>
        <w:contextualSpacing/>
        <w:rPr>
          <w:rFonts w:ascii="Calibri" w:eastAsia="Calibri" w:hAnsi="Calibri"/>
          <w:rtl/>
        </w:rPr>
      </w:pPr>
    </w:p>
    <w:p w14:paraId="0F0F6297" w14:textId="77777777" w:rsidR="00312831" w:rsidRPr="00E036B5" w:rsidRDefault="00312831" w:rsidP="00312831">
      <w:pPr>
        <w:spacing w:after="160"/>
        <w:ind w:left="1080"/>
        <w:contextualSpacing/>
        <w:jc w:val="both"/>
        <w:rPr>
          <w:rFonts w:ascii="Calibri" w:eastAsia="Calibri" w:hAnsi="Calibri"/>
          <w:u w:val="single"/>
          <w:rtl/>
        </w:rPr>
      </w:pPr>
      <w:r w:rsidRPr="00E036B5">
        <w:rPr>
          <w:rFonts w:ascii="Calibri" w:eastAsia="Calibri" w:hAnsi="Calibri"/>
          <w:u w:val="single"/>
          <w:rtl/>
        </w:rPr>
        <w:t>העתק גזר הדין יועבר לידי הממונה על עבודות השירות</w:t>
      </w:r>
    </w:p>
    <w:p w14:paraId="5C45E15E" w14:textId="77777777" w:rsidR="00312831" w:rsidRDefault="00312831" w:rsidP="00312831">
      <w:pPr>
        <w:spacing w:after="160"/>
        <w:ind w:left="1080"/>
        <w:contextualSpacing/>
        <w:jc w:val="both"/>
        <w:rPr>
          <w:rFonts w:ascii="Calibri" w:eastAsia="Calibri" w:hAnsi="Calibri"/>
          <w:u w:val="single"/>
          <w:rtl/>
        </w:rPr>
      </w:pPr>
    </w:p>
    <w:p w14:paraId="7FE3BAEC" w14:textId="77777777" w:rsidR="00312831" w:rsidRPr="00E036B5" w:rsidRDefault="00312831" w:rsidP="00312831">
      <w:pPr>
        <w:spacing w:after="160" w:line="480" w:lineRule="auto"/>
        <w:ind w:left="1080"/>
        <w:contextualSpacing/>
        <w:jc w:val="both"/>
        <w:rPr>
          <w:rFonts w:ascii="Calibri" w:eastAsia="Calibri" w:hAnsi="Calibri"/>
          <w:u w:val="single"/>
          <w:rtl/>
        </w:rPr>
      </w:pPr>
      <w:r w:rsidRPr="00E036B5">
        <w:rPr>
          <w:rFonts w:ascii="Calibri" w:eastAsia="Calibri" w:hAnsi="Calibri"/>
          <w:u w:val="single"/>
          <w:rtl/>
        </w:rPr>
        <w:t>העתק גזר הדין יישלח לשירות המבחן</w:t>
      </w:r>
    </w:p>
    <w:p w14:paraId="5E86DF87" w14:textId="77777777" w:rsidR="00312831" w:rsidRPr="00E036B5" w:rsidRDefault="00312831" w:rsidP="00312831">
      <w:pPr>
        <w:spacing w:after="160" w:line="480" w:lineRule="auto"/>
        <w:ind w:left="1080"/>
        <w:contextualSpacing/>
        <w:jc w:val="both"/>
        <w:rPr>
          <w:rFonts w:ascii="Calibri" w:eastAsia="Calibri" w:hAnsi="Calibri"/>
          <w:u w:val="single"/>
          <w:rtl/>
        </w:rPr>
      </w:pPr>
    </w:p>
    <w:p w14:paraId="773A182E" w14:textId="77777777" w:rsidR="00312831" w:rsidRPr="00E036B5" w:rsidRDefault="00312831" w:rsidP="00312831">
      <w:pPr>
        <w:spacing w:after="160" w:line="480" w:lineRule="auto"/>
        <w:contextualSpacing/>
        <w:jc w:val="both"/>
        <w:rPr>
          <w:rFonts w:ascii="Calibri" w:eastAsia="Calibri" w:hAnsi="Calibri"/>
          <w:b/>
          <w:bCs/>
          <w:rtl/>
        </w:rPr>
      </w:pPr>
      <w:r w:rsidRPr="00E036B5">
        <w:rPr>
          <w:rFonts w:ascii="Calibri" w:eastAsia="Calibri" w:hAnsi="Calibri"/>
          <w:b/>
          <w:bCs/>
          <w:rtl/>
        </w:rPr>
        <w:t>זכות ערעור לבית המ</w:t>
      </w:r>
      <w:r>
        <w:rPr>
          <w:rFonts w:ascii="Calibri" w:eastAsia="Calibri" w:hAnsi="Calibri"/>
          <w:b/>
          <w:bCs/>
          <w:rtl/>
        </w:rPr>
        <w:t>שפט המחוזי מרכז-לוד בתוך 45 יום</w:t>
      </w:r>
      <w:r>
        <w:rPr>
          <w:rFonts w:ascii="Calibri" w:eastAsia="Calibri" w:hAnsi="Calibri" w:hint="cs"/>
          <w:b/>
          <w:bCs/>
          <w:rtl/>
        </w:rPr>
        <w:t>.</w:t>
      </w:r>
    </w:p>
    <w:p w14:paraId="0ABE8A42" w14:textId="77777777" w:rsidR="00312831" w:rsidRPr="0078175A" w:rsidRDefault="0078175A" w:rsidP="00312831">
      <w:pPr>
        <w:spacing w:after="160" w:line="480" w:lineRule="auto"/>
        <w:ind w:left="720"/>
        <w:contextualSpacing/>
        <w:jc w:val="both"/>
        <w:rPr>
          <w:rFonts w:ascii="Calibri" w:eastAsia="Calibri" w:hAnsi="Calibri"/>
          <w:b/>
          <w:bCs/>
          <w:color w:val="FFFFFF"/>
          <w:sz w:val="2"/>
          <w:szCs w:val="2"/>
          <w:u w:val="single"/>
          <w:rtl/>
        </w:rPr>
      </w:pPr>
      <w:r w:rsidRPr="0078175A">
        <w:rPr>
          <w:rFonts w:ascii="Calibri" w:eastAsia="Calibri" w:hAnsi="Calibri"/>
          <w:b/>
          <w:bCs/>
          <w:color w:val="FFFFFF"/>
          <w:sz w:val="2"/>
          <w:szCs w:val="2"/>
          <w:rtl/>
        </w:rPr>
        <w:t>5129371</w:t>
      </w:r>
      <w:r w:rsidR="00312831" w:rsidRPr="0078175A">
        <w:rPr>
          <w:rFonts w:ascii="Calibri" w:eastAsia="Calibri" w:hAnsi="Calibri"/>
          <w:b/>
          <w:bCs/>
          <w:color w:val="FFFFFF"/>
          <w:sz w:val="2"/>
          <w:szCs w:val="2"/>
          <w:rtl/>
        </w:rPr>
        <w:t xml:space="preserve">      </w:t>
      </w:r>
    </w:p>
    <w:p w14:paraId="4ACACF08" w14:textId="77777777" w:rsidR="00312831" w:rsidRDefault="0078175A" w:rsidP="00312831">
      <w:pPr>
        <w:rPr>
          <w:rFonts w:cs="FrankRuehl"/>
          <w:sz w:val="28"/>
          <w:szCs w:val="28"/>
          <w:rtl/>
        </w:rPr>
      </w:pPr>
      <w:bookmarkStart w:id="8" w:name="Nitan"/>
      <w:r w:rsidRPr="0078175A">
        <w:rPr>
          <w:rFonts w:ascii="Calibri" w:eastAsia="Calibri" w:hAnsi="Calibri"/>
          <w:b/>
          <w:bCs/>
          <w:color w:val="FFFFFF"/>
          <w:sz w:val="2"/>
          <w:szCs w:val="2"/>
          <w:rtl/>
        </w:rPr>
        <w:t>54678313</w:t>
      </w:r>
      <w:r>
        <w:rPr>
          <w:rFonts w:ascii="Calibri" w:eastAsia="Calibri" w:hAnsi="Calibri"/>
          <w:b/>
          <w:bCs/>
          <w:rtl/>
        </w:rPr>
        <w:t xml:space="preserve">    </w:t>
      </w:r>
      <w:r>
        <w:rPr>
          <w:rFonts w:ascii="Calibri" w:eastAsia="Calibri" w:hAnsi="Calibri" w:hint="cs"/>
          <w:b/>
          <w:bCs/>
          <w:rtl/>
        </w:rPr>
        <w:t>ניתן</w:t>
      </w:r>
      <w:r>
        <w:rPr>
          <w:rFonts w:ascii="Calibri" w:eastAsia="Calibri" w:hAnsi="Calibri"/>
          <w:b/>
          <w:bCs/>
          <w:rtl/>
        </w:rPr>
        <w:t xml:space="preserve"> </w:t>
      </w:r>
      <w:r>
        <w:rPr>
          <w:rFonts w:ascii="Calibri" w:eastAsia="Calibri" w:hAnsi="Calibri" w:hint="cs"/>
          <w:b/>
          <w:bCs/>
          <w:rtl/>
        </w:rPr>
        <w:t>היום</w:t>
      </w:r>
      <w:r>
        <w:rPr>
          <w:rFonts w:ascii="Calibri" w:eastAsia="Calibri" w:hAnsi="Calibri"/>
          <w:b/>
          <w:bCs/>
          <w:rtl/>
        </w:rPr>
        <w:t xml:space="preserve">,  </w:t>
      </w:r>
      <w:r>
        <w:rPr>
          <w:rFonts w:ascii="Calibri" w:eastAsia="Calibri" w:hAnsi="Calibri" w:hint="cs"/>
          <w:b/>
          <w:bCs/>
          <w:rtl/>
        </w:rPr>
        <w:t>כ</w:t>
      </w:r>
      <w:r>
        <w:rPr>
          <w:rFonts w:ascii="Calibri" w:eastAsia="Calibri" w:hAnsi="Calibri"/>
          <w:b/>
          <w:bCs/>
          <w:rtl/>
        </w:rPr>
        <w:t>"</w:t>
      </w:r>
      <w:r>
        <w:rPr>
          <w:rFonts w:ascii="Calibri" w:eastAsia="Calibri" w:hAnsi="Calibri" w:hint="cs"/>
          <w:b/>
          <w:bCs/>
          <w:rtl/>
        </w:rPr>
        <w:t>ח</w:t>
      </w:r>
      <w:r>
        <w:rPr>
          <w:rFonts w:ascii="Calibri" w:eastAsia="Calibri" w:hAnsi="Calibri"/>
          <w:b/>
          <w:bCs/>
          <w:rtl/>
        </w:rPr>
        <w:t xml:space="preserve"> </w:t>
      </w:r>
      <w:r>
        <w:rPr>
          <w:rFonts w:ascii="Calibri" w:eastAsia="Calibri" w:hAnsi="Calibri" w:hint="cs"/>
          <w:b/>
          <w:bCs/>
          <w:rtl/>
        </w:rPr>
        <w:t>תשרי</w:t>
      </w:r>
      <w:r>
        <w:rPr>
          <w:rFonts w:ascii="Calibri" w:eastAsia="Calibri" w:hAnsi="Calibri"/>
          <w:b/>
          <w:bCs/>
          <w:rtl/>
        </w:rPr>
        <w:t xml:space="preserve"> </w:t>
      </w:r>
      <w:r>
        <w:rPr>
          <w:rFonts w:ascii="Calibri" w:eastAsia="Calibri" w:hAnsi="Calibri" w:hint="cs"/>
          <w:b/>
          <w:bCs/>
          <w:rtl/>
        </w:rPr>
        <w:t>תש</w:t>
      </w:r>
      <w:r>
        <w:rPr>
          <w:rFonts w:ascii="Calibri" w:eastAsia="Calibri" w:hAnsi="Calibri"/>
          <w:b/>
          <w:bCs/>
          <w:rtl/>
        </w:rPr>
        <w:t>"</w:t>
      </w:r>
      <w:r>
        <w:rPr>
          <w:rFonts w:ascii="Calibri" w:eastAsia="Calibri" w:hAnsi="Calibri" w:hint="cs"/>
          <w:b/>
          <w:bCs/>
          <w:rtl/>
        </w:rPr>
        <w:t>פ</w:t>
      </w:r>
      <w:r>
        <w:rPr>
          <w:rFonts w:ascii="Calibri" w:eastAsia="Calibri" w:hAnsi="Calibri"/>
          <w:b/>
          <w:bCs/>
          <w:rtl/>
        </w:rPr>
        <w:t xml:space="preserve">, 27 </w:t>
      </w:r>
      <w:r>
        <w:rPr>
          <w:rFonts w:ascii="Calibri" w:eastAsia="Calibri" w:hAnsi="Calibri" w:hint="cs"/>
          <w:b/>
          <w:bCs/>
          <w:rtl/>
        </w:rPr>
        <w:t>אוקטובר</w:t>
      </w:r>
      <w:r>
        <w:rPr>
          <w:rFonts w:ascii="Calibri" w:eastAsia="Calibri" w:hAnsi="Calibri"/>
          <w:b/>
          <w:bCs/>
          <w:rtl/>
        </w:rPr>
        <w:t xml:space="preserve"> 2019, </w:t>
      </w:r>
      <w:r>
        <w:rPr>
          <w:rFonts w:ascii="Calibri" w:eastAsia="Calibri" w:hAnsi="Calibri" w:hint="cs"/>
          <w:b/>
          <w:bCs/>
          <w:rtl/>
        </w:rPr>
        <w:t>בהעדר</w:t>
      </w:r>
      <w:r>
        <w:rPr>
          <w:rFonts w:ascii="Calibri" w:eastAsia="Calibri" w:hAnsi="Calibri"/>
          <w:b/>
          <w:bCs/>
          <w:rtl/>
        </w:rPr>
        <w:t xml:space="preserve"> </w:t>
      </w:r>
      <w:r>
        <w:rPr>
          <w:rFonts w:ascii="Calibri" w:eastAsia="Calibri" w:hAnsi="Calibri" w:hint="cs"/>
          <w:b/>
          <w:bCs/>
          <w:rtl/>
        </w:rPr>
        <w:t>הצדדים</w:t>
      </w:r>
      <w:r>
        <w:rPr>
          <w:rFonts w:ascii="Calibri" w:eastAsia="Calibri" w:hAnsi="Calibri"/>
          <w:b/>
          <w:bCs/>
          <w:rtl/>
        </w:rPr>
        <w:t xml:space="preserve">. </w:t>
      </w:r>
      <w:bookmarkEnd w:id="8"/>
    </w:p>
    <w:p w14:paraId="61754391" w14:textId="77777777" w:rsidR="00312831" w:rsidRDefault="00312831" w:rsidP="0078175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AADED76" w14:textId="77777777" w:rsidR="00312831" w:rsidRDefault="00312831" w:rsidP="00312831">
      <w:pPr>
        <w:jc w:val="center"/>
        <w:rPr>
          <w:rFonts w:ascii="Arial" w:hAnsi="Arial" w:cs="FrankRuehl"/>
          <w:sz w:val="28"/>
          <w:szCs w:val="28"/>
          <w:rtl/>
        </w:rPr>
      </w:pPr>
    </w:p>
    <w:p w14:paraId="2D7BB544" w14:textId="77777777" w:rsidR="0078175A" w:rsidRDefault="0078175A" w:rsidP="0078175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DE5ACAB" w14:textId="77777777" w:rsidR="009021A7" w:rsidRPr="009021A7" w:rsidRDefault="009021A7" w:rsidP="009021A7">
      <w:pPr>
        <w:keepNext/>
        <w:rPr>
          <w:rFonts w:ascii="David" w:hAnsi="David"/>
          <w:color w:val="000000"/>
          <w:sz w:val="22"/>
          <w:szCs w:val="22"/>
          <w:rtl/>
        </w:rPr>
      </w:pPr>
    </w:p>
    <w:p w14:paraId="6F1E1A73" w14:textId="77777777" w:rsidR="009021A7" w:rsidRPr="009021A7" w:rsidRDefault="009021A7" w:rsidP="009021A7">
      <w:pPr>
        <w:keepNext/>
        <w:rPr>
          <w:rFonts w:ascii="David" w:hAnsi="David"/>
          <w:color w:val="000000"/>
          <w:sz w:val="22"/>
          <w:szCs w:val="22"/>
          <w:rtl/>
        </w:rPr>
      </w:pPr>
      <w:r w:rsidRPr="009021A7">
        <w:rPr>
          <w:rFonts w:ascii="David" w:hAnsi="David"/>
          <w:color w:val="000000"/>
          <w:sz w:val="22"/>
          <w:szCs w:val="22"/>
          <w:rtl/>
        </w:rPr>
        <w:t>דרור קלייטמן 54678313-/</w:t>
      </w:r>
    </w:p>
    <w:p w14:paraId="70E99134" w14:textId="77777777" w:rsidR="0078175A" w:rsidRPr="0078175A" w:rsidRDefault="009021A7" w:rsidP="009021A7">
      <w:pPr>
        <w:rPr>
          <w:color w:val="0000FF"/>
          <w:u w:val="single"/>
        </w:rPr>
      </w:pPr>
      <w:r w:rsidRPr="009021A7">
        <w:rPr>
          <w:color w:val="000000"/>
          <w:u w:val="single"/>
          <w:rtl/>
        </w:rPr>
        <w:t>נוסח מסמך זה כפוף לשינויי ניסוח ועריכה</w:t>
      </w:r>
    </w:p>
    <w:sectPr w:rsidR="0078175A" w:rsidRPr="0078175A" w:rsidSect="009021A7">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ED4B9" w14:textId="77777777" w:rsidR="00010661" w:rsidRDefault="00010661" w:rsidP="009661C8">
      <w:r>
        <w:separator/>
      </w:r>
    </w:p>
  </w:endnote>
  <w:endnote w:type="continuationSeparator" w:id="0">
    <w:p w14:paraId="37DE91DD" w14:textId="77777777" w:rsidR="00010661" w:rsidRDefault="00010661" w:rsidP="0096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69428" w14:textId="77777777" w:rsidR="009021A7" w:rsidRDefault="009021A7" w:rsidP="009021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7E89CA" w14:textId="77777777" w:rsidR="00846BC7" w:rsidRPr="009021A7" w:rsidRDefault="009021A7" w:rsidP="009021A7">
    <w:pPr>
      <w:pStyle w:val="a5"/>
      <w:pBdr>
        <w:top w:val="single" w:sz="4" w:space="1" w:color="auto"/>
        <w:between w:val="single" w:sz="4" w:space="0" w:color="auto"/>
      </w:pBdr>
      <w:spacing w:after="60"/>
      <w:jc w:val="center"/>
      <w:rPr>
        <w:rFonts w:ascii="FrankRuehl" w:hAnsi="FrankRuehl" w:cs="FrankRuehl"/>
        <w:color w:val="000000"/>
      </w:rPr>
    </w:pPr>
    <w:r w:rsidRPr="009021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9E195" w14:textId="77777777" w:rsidR="009021A7" w:rsidRDefault="009021A7" w:rsidP="009021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19DA">
      <w:rPr>
        <w:rFonts w:ascii="FrankRuehl" w:hAnsi="FrankRuehl" w:cs="FrankRuehl"/>
        <w:noProof/>
        <w:rtl/>
      </w:rPr>
      <w:t>1</w:t>
    </w:r>
    <w:r>
      <w:rPr>
        <w:rFonts w:ascii="FrankRuehl" w:hAnsi="FrankRuehl" w:cs="FrankRuehl"/>
        <w:rtl/>
      </w:rPr>
      <w:fldChar w:fldCharType="end"/>
    </w:r>
  </w:p>
  <w:p w14:paraId="2A2FCF2C" w14:textId="77777777" w:rsidR="00846BC7" w:rsidRPr="009021A7" w:rsidRDefault="009021A7" w:rsidP="009021A7">
    <w:pPr>
      <w:pStyle w:val="a5"/>
      <w:pBdr>
        <w:top w:val="single" w:sz="4" w:space="1" w:color="auto"/>
        <w:between w:val="single" w:sz="4" w:space="0" w:color="auto"/>
      </w:pBdr>
      <w:spacing w:after="60"/>
      <w:jc w:val="center"/>
      <w:rPr>
        <w:rFonts w:ascii="FrankRuehl" w:hAnsi="FrankRuehl" w:cs="FrankRuehl"/>
        <w:color w:val="000000"/>
      </w:rPr>
    </w:pPr>
    <w:r w:rsidRPr="009021A7">
      <w:rPr>
        <w:rFonts w:ascii="FrankRuehl" w:hAnsi="FrankRuehl" w:cs="FrankRuehl"/>
        <w:color w:val="000000"/>
      </w:rPr>
      <w:pict w14:anchorId="1B7E5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97FE1" w14:textId="77777777" w:rsidR="00010661" w:rsidRDefault="00010661" w:rsidP="009661C8">
      <w:r>
        <w:separator/>
      </w:r>
    </w:p>
  </w:footnote>
  <w:footnote w:type="continuationSeparator" w:id="0">
    <w:p w14:paraId="194B0204" w14:textId="77777777" w:rsidR="00010661" w:rsidRDefault="00010661" w:rsidP="00966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867E8" w14:textId="77777777" w:rsidR="0078175A" w:rsidRPr="009021A7" w:rsidRDefault="009021A7" w:rsidP="009021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29779-11-18</w:t>
    </w:r>
    <w:r>
      <w:rPr>
        <w:rFonts w:ascii="David" w:hAnsi="David"/>
        <w:color w:val="000000"/>
        <w:sz w:val="22"/>
        <w:szCs w:val="22"/>
        <w:rtl/>
      </w:rPr>
      <w:tab/>
      <w:t xml:space="preserve"> מדינת ישראל נ' גל יחבס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16D15" w14:textId="77777777" w:rsidR="0078175A" w:rsidRPr="009021A7" w:rsidRDefault="009021A7" w:rsidP="009021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29779-11-18</w:t>
    </w:r>
    <w:r>
      <w:rPr>
        <w:rFonts w:ascii="David" w:hAnsi="David"/>
        <w:color w:val="000000"/>
        <w:sz w:val="22"/>
        <w:szCs w:val="22"/>
        <w:rtl/>
      </w:rPr>
      <w:tab/>
      <w:t xml:space="preserve"> מדינת ישראל נ' גל יחבס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6565E"/>
    <w:multiLevelType w:val="hybridMultilevel"/>
    <w:tmpl w:val="7F10FA30"/>
    <w:lvl w:ilvl="0" w:tplc="1F64BDD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A4F5EA0"/>
    <w:multiLevelType w:val="hybridMultilevel"/>
    <w:tmpl w:val="AD6C9DDA"/>
    <w:lvl w:ilvl="0" w:tplc="73A03DF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4F5868"/>
    <w:multiLevelType w:val="hybridMultilevel"/>
    <w:tmpl w:val="BE5A058C"/>
    <w:lvl w:ilvl="0" w:tplc="BA446ACE">
      <w:start w:val="1"/>
      <w:numFmt w:val="hebrew1"/>
      <w:lvlText w:val="%1."/>
      <w:lvlJc w:val="center"/>
      <w:pPr>
        <w:ind w:left="1080" w:hanging="360"/>
      </w:pPr>
      <w:rPr>
        <w:b w:val="0"/>
        <w:bCs w:val="0"/>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85571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0138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9522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2831"/>
    <w:rsid w:val="00010661"/>
    <w:rsid w:val="00312831"/>
    <w:rsid w:val="00381020"/>
    <w:rsid w:val="005245E5"/>
    <w:rsid w:val="007504B4"/>
    <w:rsid w:val="0078175A"/>
    <w:rsid w:val="00846BC7"/>
    <w:rsid w:val="009021A7"/>
    <w:rsid w:val="009661C8"/>
    <w:rsid w:val="009769EA"/>
    <w:rsid w:val="00FF19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A3A64F"/>
  <w15:chartTrackingRefBased/>
  <w15:docId w15:val="{B5B8BAA5-5781-4963-BC25-041D602D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283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2831"/>
    <w:pPr>
      <w:tabs>
        <w:tab w:val="center" w:pos="4153"/>
        <w:tab w:val="right" w:pos="8306"/>
      </w:tabs>
    </w:pPr>
  </w:style>
  <w:style w:type="character" w:customStyle="1" w:styleId="a4">
    <w:name w:val="כותרת עליונה תו"/>
    <w:link w:val="a3"/>
    <w:rsid w:val="00312831"/>
    <w:rPr>
      <w:rFonts w:ascii="Times New Roman" w:eastAsia="Times New Roman" w:hAnsi="Times New Roman" w:cs="David"/>
      <w:sz w:val="24"/>
      <w:szCs w:val="24"/>
    </w:rPr>
  </w:style>
  <w:style w:type="paragraph" w:styleId="a5">
    <w:name w:val="footer"/>
    <w:basedOn w:val="a"/>
    <w:link w:val="a6"/>
    <w:rsid w:val="00312831"/>
    <w:pPr>
      <w:tabs>
        <w:tab w:val="center" w:pos="4153"/>
        <w:tab w:val="right" w:pos="8306"/>
      </w:tabs>
    </w:pPr>
  </w:style>
  <w:style w:type="character" w:customStyle="1" w:styleId="a6">
    <w:name w:val="כותרת תחתונה תו"/>
    <w:link w:val="a5"/>
    <w:rsid w:val="00312831"/>
    <w:rPr>
      <w:rFonts w:ascii="Times New Roman" w:eastAsia="Times New Roman" w:hAnsi="Times New Roman" w:cs="David"/>
      <w:sz w:val="24"/>
      <w:szCs w:val="24"/>
    </w:rPr>
  </w:style>
  <w:style w:type="table" w:styleId="a7">
    <w:name w:val="Table Grid"/>
    <w:basedOn w:val="a1"/>
    <w:rsid w:val="0031283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12831"/>
  </w:style>
  <w:style w:type="character" w:styleId="Hyperlink">
    <w:name w:val="Hyperlink"/>
    <w:rsid w:val="0078175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 TargetMode="External"/><Relationship Id="rId39" Type="http://schemas.openxmlformats.org/officeDocument/2006/relationships/fontTable" Target="fontTable.xml"/><Relationship Id="rId21" Type="http://schemas.openxmlformats.org/officeDocument/2006/relationships/hyperlink" Target="http://www.nevo.co.il/case/4044896"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51c.c" TargetMode="External"/><Relationship Id="rId17" Type="http://schemas.openxmlformats.org/officeDocument/2006/relationships/hyperlink" Target="http://www.nevo.co.il/law/70301/400"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case/18107527"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51c.c"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2526505"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4216/36" TargetMode="External"/><Relationship Id="rId19" Type="http://schemas.openxmlformats.org/officeDocument/2006/relationships/hyperlink" Target="http://www.nevo.co.il/case/829166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0505652"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36" TargetMode="External"/><Relationship Id="rId35" Type="http://schemas.openxmlformats.org/officeDocument/2006/relationships/header" Target="head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2185</Words>
  <Characters>10925</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13084</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4849667</vt:i4>
      </vt:variant>
      <vt:variant>
        <vt:i4>75</vt:i4>
      </vt:variant>
      <vt:variant>
        <vt:i4>0</vt:i4>
      </vt:variant>
      <vt:variant>
        <vt:i4>5</vt:i4>
      </vt:variant>
      <vt:variant>
        <vt:lpwstr>http://www.nevo.co.il/law/70301/51c.c</vt:lpwstr>
      </vt:variant>
      <vt:variant>
        <vt:lpwstr/>
      </vt:variant>
      <vt:variant>
        <vt:i4>8257637</vt:i4>
      </vt:variant>
      <vt:variant>
        <vt:i4>72</vt:i4>
      </vt:variant>
      <vt:variant>
        <vt:i4>0</vt:i4>
      </vt:variant>
      <vt:variant>
        <vt:i4>5</vt:i4>
      </vt:variant>
      <vt:variant>
        <vt:lpwstr>http://www.nevo.co.il/law/4216</vt:lpwstr>
      </vt:variant>
      <vt:variant>
        <vt:lpwstr/>
      </vt:variant>
      <vt:variant>
        <vt:i4>5046346</vt:i4>
      </vt:variant>
      <vt:variant>
        <vt:i4>69</vt:i4>
      </vt:variant>
      <vt:variant>
        <vt:i4>0</vt:i4>
      </vt:variant>
      <vt:variant>
        <vt:i4>5</vt:i4>
      </vt:variant>
      <vt:variant>
        <vt:lpwstr>http://www.nevo.co.il/law/4216/36</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3211377</vt:i4>
      </vt:variant>
      <vt:variant>
        <vt:i4>48</vt:i4>
      </vt:variant>
      <vt:variant>
        <vt:i4>0</vt:i4>
      </vt:variant>
      <vt:variant>
        <vt:i4>5</vt:i4>
      </vt:variant>
      <vt:variant>
        <vt:lpwstr>http://www.nevo.co.il/case/22526505</vt:lpwstr>
      </vt:variant>
      <vt:variant>
        <vt:lpwstr/>
      </vt:variant>
      <vt:variant>
        <vt:i4>3604594</vt:i4>
      </vt:variant>
      <vt:variant>
        <vt:i4>45</vt:i4>
      </vt:variant>
      <vt:variant>
        <vt:i4>0</vt:i4>
      </vt:variant>
      <vt:variant>
        <vt:i4>5</vt:i4>
      </vt:variant>
      <vt:variant>
        <vt:lpwstr>http://www.nevo.co.il/case/20505652</vt:lpwstr>
      </vt:variant>
      <vt:variant>
        <vt:lpwstr/>
      </vt:variant>
      <vt:variant>
        <vt:i4>4063353</vt:i4>
      </vt:variant>
      <vt:variant>
        <vt:i4>42</vt:i4>
      </vt:variant>
      <vt:variant>
        <vt:i4>0</vt:i4>
      </vt:variant>
      <vt:variant>
        <vt:i4>5</vt:i4>
      </vt:variant>
      <vt:variant>
        <vt:lpwstr>http://www.nevo.co.il/case/4044896</vt:lpwstr>
      </vt:variant>
      <vt:variant>
        <vt:lpwstr/>
      </vt:variant>
      <vt:variant>
        <vt:i4>3473529</vt:i4>
      </vt:variant>
      <vt:variant>
        <vt:i4>39</vt:i4>
      </vt:variant>
      <vt:variant>
        <vt:i4>0</vt:i4>
      </vt:variant>
      <vt:variant>
        <vt:i4>5</vt:i4>
      </vt:variant>
      <vt:variant>
        <vt:lpwstr>http://www.nevo.co.il/case/18107527</vt:lpwstr>
      </vt:variant>
      <vt:variant>
        <vt:lpwstr/>
      </vt:variant>
      <vt:variant>
        <vt:i4>3539057</vt:i4>
      </vt:variant>
      <vt:variant>
        <vt:i4>36</vt:i4>
      </vt:variant>
      <vt:variant>
        <vt:i4>0</vt:i4>
      </vt:variant>
      <vt:variant>
        <vt:i4>5</vt:i4>
      </vt:variant>
      <vt:variant>
        <vt:lpwstr>http://www.nevo.co.il/case/8291661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5177418</vt:i4>
      </vt:variant>
      <vt:variant>
        <vt:i4>27</vt:i4>
      </vt:variant>
      <vt:variant>
        <vt:i4>0</vt:i4>
      </vt:variant>
      <vt:variant>
        <vt:i4>5</vt:i4>
      </vt:variant>
      <vt:variant>
        <vt:lpwstr>http://www.nevo.co.il/law/4216/10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4849667</vt:i4>
      </vt:variant>
      <vt:variant>
        <vt:i4>15</vt:i4>
      </vt:variant>
      <vt:variant>
        <vt:i4>0</vt:i4>
      </vt:variant>
      <vt:variant>
        <vt:i4>5</vt:i4>
      </vt:variant>
      <vt:variant>
        <vt:lpwstr>http://www.nevo.co.il/law/70301/51c.c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5046346</vt:i4>
      </vt:variant>
      <vt:variant>
        <vt:i4>9</vt:i4>
      </vt:variant>
      <vt:variant>
        <vt:i4>0</vt:i4>
      </vt:variant>
      <vt:variant>
        <vt:i4>5</vt:i4>
      </vt:variant>
      <vt:variant>
        <vt:lpwstr>http://www.nevo.co.il/law/4216/36</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2025-04-22T23:57:00Z</dcterms:created>
  <dcterms:modified xsi:type="dcterms:W3CDTF">2025-04-22T23:57:00Z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29779</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גל יחבס</vt:lpwstr>
  </property>
  <property fmtid="{D5CDD505-2E9C-101B-9397-08002B2CF9AE}" pid="10" name="LAWYER">
    <vt:lpwstr>מאיה אשכנזי;משה סוחמי</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20191027</vt:lpwstr>
  </property>
  <property fmtid="{D5CDD505-2E9C-101B-9397-08002B2CF9AE}" pid="14" name="TYPE_N_DATE">
    <vt:lpwstr>38020191027</vt:lpwstr>
  </property>
  <property fmtid="{D5CDD505-2E9C-101B-9397-08002B2CF9AE}" pid="15" name="CASESLISTTMP1">
    <vt:lpwstr>8291661;18107527;4044896;20505652;22526505</vt:lpwstr>
  </property>
  <property fmtid="{D5CDD505-2E9C-101B-9397-08002B2CF9AE}" pid="16" name="WORDNUMPAGES">
    <vt:lpwstr>8</vt:lpwstr>
  </property>
  <property fmtid="{D5CDD505-2E9C-101B-9397-08002B2CF9AE}" pid="17" name="TYPE_ABS_DATE">
    <vt:lpwstr>380020191027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4216/006;010;036</vt:lpwstr>
  </property>
  <property fmtid="{D5CDD505-2E9C-101B-9397-08002B2CF9AE}" pid="37" name="LAWLISTTMP2">
    <vt:lpwstr>70301/400;051c.c</vt:lpwstr>
  </property>
</Properties>
</file>