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414447" w:rsidRPr="00335130" w14:paraId="70A7CBB3" w14:textId="77777777" w:rsidTr="00766656">
        <w:trPr>
          <w:trHeight w:hRule="exact" w:val="704"/>
          <w:jc w:val="center"/>
        </w:trPr>
        <w:tc>
          <w:tcPr>
            <w:tcW w:w="8721" w:type="dxa"/>
            <w:gridSpan w:val="2"/>
          </w:tcPr>
          <w:p w14:paraId="61CC5FCA" w14:textId="77777777" w:rsidR="00414447" w:rsidRPr="00335130" w:rsidRDefault="00414447" w:rsidP="00766656">
            <w:pPr>
              <w:pStyle w:val="a3"/>
              <w:jc w:val="center"/>
              <w:rPr>
                <w:rFonts w:ascii="Tahoma" w:hAnsi="Tahoma" w:cs="Tahoma"/>
                <w:b/>
                <w:bCs/>
                <w:color w:val="000080"/>
                <w:rtl/>
              </w:rPr>
            </w:pPr>
            <w:bookmarkStart w:id="0" w:name="FirstLawyer"/>
            <w:bookmarkStart w:id="1" w:name="LastJudge"/>
            <w:r w:rsidRPr="00335130">
              <w:rPr>
                <w:rFonts w:ascii="Tahoma" w:hAnsi="Tahoma" w:cs="Tahoma"/>
                <w:b/>
                <w:bCs/>
                <w:color w:val="000080"/>
                <w:rtl/>
              </w:rPr>
              <w:t>בית משפט השלום בבאר שבע</w:t>
            </w:r>
          </w:p>
          <w:p w14:paraId="7883BAF2" w14:textId="77777777" w:rsidR="00414447" w:rsidRPr="00335130" w:rsidRDefault="00414447" w:rsidP="00766656">
            <w:pPr>
              <w:pStyle w:val="a3"/>
              <w:jc w:val="center"/>
              <w:rPr>
                <w:rFonts w:ascii="Tahoma" w:hAnsi="Tahoma" w:cs="Tahoma"/>
                <w:color w:val="000080"/>
                <w:rtl/>
              </w:rPr>
            </w:pPr>
          </w:p>
        </w:tc>
      </w:tr>
      <w:tr w:rsidR="00414447" w:rsidRPr="00335130" w14:paraId="183488AA" w14:textId="77777777" w:rsidTr="00766656">
        <w:trPr>
          <w:trHeight w:val="337"/>
          <w:jc w:val="center"/>
        </w:trPr>
        <w:tc>
          <w:tcPr>
            <w:tcW w:w="4473" w:type="dxa"/>
          </w:tcPr>
          <w:p w14:paraId="703E808B" w14:textId="77777777" w:rsidR="00414447" w:rsidRPr="00335130" w:rsidRDefault="00414447" w:rsidP="00766656">
            <w:pPr>
              <w:rPr>
                <w:b/>
                <w:bCs/>
                <w:sz w:val="26"/>
                <w:szCs w:val="26"/>
                <w:rtl/>
              </w:rPr>
            </w:pPr>
          </w:p>
        </w:tc>
        <w:tc>
          <w:tcPr>
            <w:tcW w:w="4248" w:type="dxa"/>
          </w:tcPr>
          <w:p w14:paraId="28D651B4" w14:textId="77777777" w:rsidR="00414447" w:rsidRPr="00335130" w:rsidRDefault="00414447" w:rsidP="00766656">
            <w:pPr>
              <w:pStyle w:val="a3"/>
              <w:jc w:val="right"/>
              <w:rPr>
                <w:b/>
                <w:bCs/>
                <w:sz w:val="26"/>
                <w:szCs w:val="26"/>
                <w:rtl/>
              </w:rPr>
            </w:pPr>
            <w:r w:rsidRPr="00335130">
              <w:rPr>
                <w:rFonts w:hint="cs"/>
                <w:b/>
                <w:bCs/>
                <w:sz w:val="26"/>
                <w:szCs w:val="26"/>
                <w:rtl/>
              </w:rPr>
              <w:t>י"ב אלול תשפ"ב</w:t>
            </w:r>
          </w:p>
          <w:p w14:paraId="41092DF3" w14:textId="77777777" w:rsidR="00414447" w:rsidRPr="00335130" w:rsidRDefault="00414447" w:rsidP="00766656">
            <w:pPr>
              <w:pStyle w:val="a3"/>
              <w:jc w:val="right"/>
              <w:rPr>
                <w:b/>
                <w:bCs/>
                <w:sz w:val="26"/>
                <w:szCs w:val="26"/>
                <w:rtl/>
              </w:rPr>
            </w:pPr>
            <w:r w:rsidRPr="00335130">
              <w:rPr>
                <w:rFonts w:hint="cs"/>
                <w:b/>
                <w:bCs/>
                <w:sz w:val="26"/>
                <w:szCs w:val="26"/>
                <w:rtl/>
              </w:rPr>
              <w:t>08 ספטמבר 2022</w:t>
            </w:r>
          </w:p>
        </w:tc>
      </w:tr>
      <w:tr w:rsidR="00414447" w:rsidRPr="00335130" w14:paraId="7FB9FA73" w14:textId="77777777" w:rsidTr="00766656">
        <w:trPr>
          <w:trHeight w:val="337"/>
          <w:jc w:val="center"/>
        </w:trPr>
        <w:tc>
          <w:tcPr>
            <w:tcW w:w="8721" w:type="dxa"/>
            <w:gridSpan w:val="2"/>
          </w:tcPr>
          <w:p w14:paraId="326B9CE1" w14:textId="77777777" w:rsidR="00414447" w:rsidRPr="00335130" w:rsidRDefault="00335130" w:rsidP="00766656">
            <w:pPr>
              <w:rPr>
                <w:b/>
                <w:bCs/>
                <w:sz w:val="26"/>
                <w:szCs w:val="26"/>
                <w:rtl/>
              </w:rPr>
            </w:pPr>
            <w:hyperlink r:id="rId7" w:history="1">
              <w:r w:rsidRPr="00335130">
                <w:rPr>
                  <w:b/>
                  <w:bCs/>
                  <w:color w:val="0000FF"/>
                  <w:sz w:val="26"/>
                  <w:szCs w:val="26"/>
                  <w:u w:val="single"/>
                  <w:rtl/>
                </w:rPr>
                <w:t>ת"פ 3518-11-18</w:t>
              </w:r>
            </w:hyperlink>
            <w:r w:rsidR="00414447" w:rsidRPr="00335130">
              <w:rPr>
                <w:b/>
                <w:bCs/>
                <w:sz w:val="26"/>
                <w:szCs w:val="26"/>
                <w:rtl/>
              </w:rPr>
              <w:t xml:space="preserve"> מדינת ישראל נ' אבו כפיף</w:t>
            </w:r>
          </w:p>
          <w:p w14:paraId="656E2347" w14:textId="77777777" w:rsidR="00414447" w:rsidRPr="00335130" w:rsidRDefault="00414447" w:rsidP="00766656">
            <w:pPr>
              <w:rPr>
                <w:rtl/>
              </w:rPr>
            </w:pPr>
          </w:p>
          <w:p w14:paraId="4D4C35D5" w14:textId="77777777" w:rsidR="00414447" w:rsidRPr="00335130" w:rsidRDefault="00414447" w:rsidP="00766656">
            <w:pPr>
              <w:rPr>
                <w:rtl/>
              </w:rPr>
            </w:pPr>
            <w:r w:rsidRPr="00335130">
              <w:rPr>
                <w:rFonts w:hint="cs"/>
                <w:sz w:val="20"/>
                <w:szCs w:val="20"/>
                <w:rtl/>
              </w:rPr>
              <w:t>תיק חיצוני</w:t>
            </w:r>
            <w:r w:rsidRPr="00335130">
              <w:rPr>
                <w:rFonts w:hint="cs"/>
                <w:rtl/>
              </w:rPr>
              <w:t xml:space="preserve">: </w:t>
            </w:r>
            <w:r w:rsidRPr="00335130">
              <w:rPr>
                <w:sz w:val="20"/>
                <w:szCs w:val="20"/>
              </w:rPr>
              <w:t>480891/2018</w:t>
            </w:r>
          </w:p>
        </w:tc>
      </w:tr>
    </w:tbl>
    <w:p w14:paraId="1CCA1852" w14:textId="77777777" w:rsidR="00414447" w:rsidRPr="00335130" w:rsidRDefault="00414447" w:rsidP="00414447">
      <w:pPr>
        <w:pStyle w:val="a3"/>
        <w:rPr>
          <w:rtl/>
        </w:rPr>
      </w:pPr>
      <w:r w:rsidRPr="00335130">
        <w:rPr>
          <w:rtl/>
        </w:rPr>
        <w:t xml:space="preserve"> </w:t>
      </w:r>
    </w:p>
    <w:p w14:paraId="1013D616" w14:textId="77777777" w:rsidR="00414447" w:rsidRPr="00335130" w:rsidRDefault="00414447" w:rsidP="00414447">
      <w:pPr>
        <w:suppressLineNumbers/>
        <w:rPr>
          <w:rtl/>
        </w:rPr>
      </w:pPr>
    </w:p>
    <w:p w14:paraId="6408CABA" w14:textId="77777777" w:rsidR="00414447" w:rsidRPr="00335130" w:rsidRDefault="00414447" w:rsidP="0041444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414447" w:rsidRPr="00335130" w14:paraId="0FE72DFB" w14:textId="77777777" w:rsidTr="00414447">
        <w:trPr>
          <w:jc w:val="center"/>
        </w:trPr>
        <w:tc>
          <w:tcPr>
            <w:tcW w:w="743" w:type="dxa"/>
            <w:shd w:val="clear" w:color="auto" w:fill="auto"/>
          </w:tcPr>
          <w:p w14:paraId="40563F60" w14:textId="77777777" w:rsidR="00414447" w:rsidRPr="00335130" w:rsidRDefault="00414447" w:rsidP="00414447">
            <w:pPr>
              <w:jc w:val="both"/>
              <w:rPr>
                <w:rFonts w:ascii="Arial" w:hAnsi="Arial"/>
                <w:b/>
                <w:bCs/>
              </w:rPr>
            </w:pPr>
            <w:r w:rsidRPr="00335130">
              <w:rPr>
                <w:rFonts w:ascii="Arial" w:hAnsi="Arial" w:hint="cs"/>
                <w:b/>
                <w:bCs/>
                <w:rtl/>
              </w:rPr>
              <w:t>לפני</w:t>
            </w:r>
          </w:p>
        </w:tc>
        <w:tc>
          <w:tcPr>
            <w:tcW w:w="8077" w:type="dxa"/>
            <w:gridSpan w:val="2"/>
            <w:shd w:val="clear" w:color="auto" w:fill="auto"/>
          </w:tcPr>
          <w:p w14:paraId="47CA1EBD" w14:textId="77777777" w:rsidR="00414447" w:rsidRPr="00335130" w:rsidRDefault="00414447" w:rsidP="00766656">
            <w:pPr>
              <w:rPr>
                <w:rFonts w:ascii="Arial" w:hAnsi="Arial"/>
                <w:b/>
                <w:bCs/>
                <w:rtl/>
              </w:rPr>
            </w:pPr>
            <w:r w:rsidRPr="00335130">
              <w:rPr>
                <w:rFonts w:ascii="Arial" w:hAnsi="Arial" w:hint="cs"/>
                <w:b/>
                <w:bCs/>
                <w:rtl/>
              </w:rPr>
              <w:t>כב' ה</w:t>
            </w:r>
            <w:r w:rsidRPr="00335130">
              <w:rPr>
                <w:rFonts w:ascii="Arial" w:hAnsi="Arial"/>
                <w:b/>
                <w:bCs/>
                <w:rtl/>
              </w:rPr>
              <w:t>שופט</w:t>
            </w:r>
            <w:r w:rsidRPr="00335130">
              <w:rPr>
                <w:rFonts w:ascii="Arial" w:hAnsi="Arial" w:hint="cs"/>
                <w:b/>
                <w:bCs/>
                <w:rtl/>
              </w:rPr>
              <w:t xml:space="preserve">  </w:t>
            </w:r>
            <w:r w:rsidRPr="00335130">
              <w:rPr>
                <w:rFonts w:ascii="Arial" w:hAnsi="Arial"/>
                <w:b/>
                <w:bCs/>
                <w:rtl/>
              </w:rPr>
              <w:t>רון סולקין</w:t>
            </w:r>
          </w:p>
          <w:p w14:paraId="300A22D6" w14:textId="77777777" w:rsidR="00414447" w:rsidRPr="00335130" w:rsidRDefault="00414447" w:rsidP="00766656">
            <w:pPr>
              <w:rPr>
                <w:rFonts w:ascii="Arial" w:hAnsi="Arial" w:cs="FrankRuehl"/>
                <w:sz w:val="28"/>
                <w:szCs w:val="28"/>
                <w:highlight w:val="yellow"/>
              </w:rPr>
            </w:pPr>
          </w:p>
        </w:tc>
      </w:tr>
      <w:tr w:rsidR="00414447" w:rsidRPr="00335130" w14:paraId="7802786A" w14:textId="77777777" w:rsidTr="00414447">
        <w:trPr>
          <w:jc w:val="center"/>
        </w:trPr>
        <w:tc>
          <w:tcPr>
            <w:tcW w:w="3249" w:type="dxa"/>
            <w:gridSpan w:val="2"/>
            <w:shd w:val="clear" w:color="auto" w:fill="auto"/>
          </w:tcPr>
          <w:p w14:paraId="32DBBF8A" w14:textId="77777777" w:rsidR="00414447" w:rsidRPr="00335130" w:rsidRDefault="00414447" w:rsidP="00414447">
            <w:pPr>
              <w:bidi w:val="0"/>
              <w:jc w:val="right"/>
              <w:rPr>
                <w:rFonts w:ascii="Arial" w:hAnsi="Arial"/>
                <w:b/>
                <w:bCs/>
                <w:sz w:val="26"/>
                <w:szCs w:val="26"/>
              </w:rPr>
            </w:pPr>
            <w:bookmarkStart w:id="2" w:name="FirstAppellant"/>
          </w:p>
          <w:p w14:paraId="334FE44E" w14:textId="77777777" w:rsidR="00414447" w:rsidRPr="00335130" w:rsidRDefault="00414447" w:rsidP="00414447">
            <w:pPr>
              <w:bidi w:val="0"/>
              <w:jc w:val="right"/>
              <w:rPr>
                <w:rFonts w:ascii="Arial" w:hAnsi="Arial"/>
                <w:b/>
                <w:bCs/>
                <w:sz w:val="26"/>
                <w:szCs w:val="26"/>
                <w:rtl/>
              </w:rPr>
            </w:pPr>
            <w:r w:rsidRPr="00335130">
              <w:rPr>
                <w:rFonts w:ascii="Arial" w:hAnsi="Arial" w:hint="cs"/>
                <w:b/>
                <w:bCs/>
                <w:sz w:val="26"/>
                <w:szCs w:val="26"/>
                <w:rtl/>
              </w:rPr>
              <w:t>המאשימה</w:t>
            </w:r>
          </w:p>
        </w:tc>
        <w:tc>
          <w:tcPr>
            <w:tcW w:w="5571" w:type="dxa"/>
            <w:shd w:val="clear" w:color="auto" w:fill="auto"/>
          </w:tcPr>
          <w:p w14:paraId="1AF64FA4" w14:textId="77777777" w:rsidR="00414447" w:rsidRPr="00335130" w:rsidRDefault="00414447" w:rsidP="00766656">
            <w:pPr>
              <w:rPr>
                <w:rFonts w:ascii="Arial" w:hAnsi="Arial"/>
                <w:b/>
                <w:bCs/>
                <w:sz w:val="26"/>
                <w:szCs w:val="26"/>
                <w:rtl/>
              </w:rPr>
            </w:pPr>
          </w:p>
          <w:p w14:paraId="765A0F1B" w14:textId="77777777" w:rsidR="00414447" w:rsidRPr="00335130" w:rsidRDefault="00414447" w:rsidP="00766656">
            <w:pPr>
              <w:rPr>
                <w:b/>
                <w:bCs/>
                <w:sz w:val="26"/>
                <w:szCs w:val="26"/>
              </w:rPr>
            </w:pPr>
            <w:r w:rsidRPr="00335130">
              <w:rPr>
                <w:rFonts w:ascii="Arial" w:hAnsi="Arial"/>
                <w:b/>
                <w:bCs/>
                <w:sz w:val="26"/>
                <w:szCs w:val="26"/>
                <w:rtl/>
              </w:rPr>
              <w:t xml:space="preserve">מדינת ישראל – תביעות </w:t>
            </w:r>
            <w:r w:rsidRPr="00335130">
              <w:rPr>
                <w:rFonts w:ascii="Arial" w:hAnsi="Arial" w:hint="cs"/>
                <w:b/>
                <w:bCs/>
                <w:sz w:val="26"/>
                <w:szCs w:val="26"/>
                <w:rtl/>
              </w:rPr>
              <w:t>נגב</w:t>
            </w:r>
            <w:r w:rsidRPr="00335130">
              <w:rPr>
                <w:rFonts w:ascii="Arial" w:hAnsi="Arial"/>
                <w:b/>
                <w:bCs/>
                <w:sz w:val="26"/>
                <w:szCs w:val="26"/>
                <w:rtl/>
              </w:rPr>
              <w:br/>
            </w:r>
            <w:r w:rsidRPr="00335130">
              <w:rPr>
                <w:rFonts w:hint="cs"/>
                <w:rtl/>
              </w:rPr>
              <w:t>ע"י ב"כ עו"ד מורן אלקבץ-עומסי ועו"ד לי גורמן</w:t>
            </w:r>
          </w:p>
        </w:tc>
      </w:tr>
      <w:bookmarkEnd w:id="2"/>
      <w:tr w:rsidR="00414447" w:rsidRPr="00335130" w14:paraId="6FA0E6C4" w14:textId="77777777" w:rsidTr="00414447">
        <w:trPr>
          <w:jc w:val="center"/>
        </w:trPr>
        <w:tc>
          <w:tcPr>
            <w:tcW w:w="8820" w:type="dxa"/>
            <w:gridSpan w:val="3"/>
            <w:shd w:val="clear" w:color="auto" w:fill="auto"/>
          </w:tcPr>
          <w:p w14:paraId="11D27338" w14:textId="77777777" w:rsidR="00414447" w:rsidRPr="00335130" w:rsidRDefault="00414447" w:rsidP="00766656">
            <w:pPr>
              <w:rPr>
                <w:rFonts w:ascii="Arial" w:hAnsi="Arial"/>
                <w:b/>
                <w:bCs/>
                <w:sz w:val="26"/>
                <w:szCs w:val="26"/>
                <w:rtl/>
              </w:rPr>
            </w:pPr>
          </w:p>
          <w:p w14:paraId="519AF6CC" w14:textId="77777777" w:rsidR="00414447" w:rsidRPr="00335130" w:rsidRDefault="00414447" w:rsidP="00414447">
            <w:pPr>
              <w:jc w:val="center"/>
              <w:rPr>
                <w:rFonts w:ascii="Arial" w:hAnsi="Arial"/>
                <w:b/>
                <w:bCs/>
                <w:sz w:val="26"/>
                <w:szCs w:val="26"/>
                <w:rtl/>
              </w:rPr>
            </w:pPr>
            <w:r w:rsidRPr="00335130">
              <w:rPr>
                <w:rFonts w:ascii="Arial" w:hAnsi="Arial"/>
                <w:b/>
                <w:bCs/>
                <w:sz w:val="26"/>
                <w:szCs w:val="26"/>
                <w:rtl/>
              </w:rPr>
              <w:t>נגד</w:t>
            </w:r>
          </w:p>
          <w:p w14:paraId="40FAC694" w14:textId="77777777" w:rsidR="00414447" w:rsidRPr="00335130" w:rsidRDefault="00414447" w:rsidP="00766656">
            <w:pPr>
              <w:rPr>
                <w:rFonts w:ascii="Arial" w:hAnsi="Arial"/>
                <w:b/>
                <w:bCs/>
                <w:sz w:val="26"/>
                <w:szCs w:val="26"/>
              </w:rPr>
            </w:pPr>
          </w:p>
        </w:tc>
      </w:tr>
      <w:tr w:rsidR="00414447" w:rsidRPr="00335130" w14:paraId="34FF6A07" w14:textId="77777777" w:rsidTr="00414447">
        <w:trPr>
          <w:jc w:val="center"/>
        </w:trPr>
        <w:tc>
          <w:tcPr>
            <w:tcW w:w="3249" w:type="dxa"/>
            <w:gridSpan w:val="2"/>
            <w:shd w:val="clear" w:color="auto" w:fill="auto"/>
          </w:tcPr>
          <w:p w14:paraId="0AC1E697" w14:textId="77777777" w:rsidR="00414447" w:rsidRPr="00335130" w:rsidRDefault="00414447" w:rsidP="00766656">
            <w:pPr>
              <w:rPr>
                <w:rFonts w:ascii="Arial" w:hAnsi="Arial"/>
                <w:b/>
                <w:bCs/>
                <w:sz w:val="26"/>
                <w:szCs w:val="26"/>
                <w:rtl/>
              </w:rPr>
            </w:pPr>
          </w:p>
          <w:p w14:paraId="4BB7EC39" w14:textId="77777777" w:rsidR="00414447" w:rsidRPr="00335130" w:rsidRDefault="00414447" w:rsidP="00766656">
            <w:pPr>
              <w:rPr>
                <w:rFonts w:ascii="Arial" w:hAnsi="Arial"/>
                <w:b/>
                <w:bCs/>
                <w:sz w:val="26"/>
                <w:szCs w:val="26"/>
              </w:rPr>
            </w:pPr>
            <w:r w:rsidRPr="00335130">
              <w:rPr>
                <w:rFonts w:ascii="Arial" w:hAnsi="Arial" w:hint="cs"/>
                <w:b/>
                <w:bCs/>
                <w:sz w:val="26"/>
                <w:szCs w:val="26"/>
                <w:rtl/>
              </w:rPr>
              <w:t>הנאשם</w:t>
            </w:r>
          </w:p>
        </w:tc>
        <w:tc>
          <w:tcPr>
            <w:tcW w:w="5571" w:type="dxa"/>
            <w:shd w:val="clear" w:color="auto" w:fill="auto"/>
          </w:tcPr>
          <w:p w14:paraId="69EE177A" w14:textId="77777777" w:rsidR="00414447" w:rsidRPr="00335130" w:rsidRDefault="00414447" w:rsidP="00766656">
            <w:pPr>
              <w:rPr>
                <w:rFonts w:ascii="Arial" w:hAnsi="Arial"/>
                <w:b/>
                <w:bCs/>
                <w:sz w:val="26"/>
                <w:szCs w:val="26"/>
                <w:rtl/>
              </w:rPr>
            </w:pPr>
          </w:p>
          <w:p w14:paraId="6E079C2D" w14:textId="77777777" w:rsidR="00414447" w:rsidRPr="00335130" w:rsidRDefault="00414447" w:rsidP="00766656">
            <w:pPr>
              <w:rPr>
                <w:b/>
                <w:bCs/>
                <w:sz w:val="26"/>
                <w:szCs w:val="26"/>
                <w:rtl/>
              </w:rPr>
            </w:pPr>
            <w:r w:rsidRPr="00335130">
              <w:rPr>
                <w:rFonts w:ascii="Arial" w:hAnsi="Arial"/>
                <w:b/>
                <w:bCs/>
                <w:sz w:val="26"/>
                <w:szCs w:val="26"/>
                <w:rtl/>
              </w:rPr>
              <w:t>מחמד</w:t>
            </w:r>
            <w:r w:rsidRPr="00335130">
              <w:rPr>
                <w:rFonts w:ascii="Arial" w:hAnsi="Arial" w:hint="cs"/>
                <w:b/>
                <w:bCs/>
                <w:sz w:val="26"/>
                <w:szCs w:val="26"/>
                <w:rtl/>
              </w:rPr>
              <w:t xml:space="preserve"> בן עודה</w:t>
            </w:r>
            <w:r w:rsidRPr="00335130">
              <w:rPr>
                <w:rFonts w:ascii="Arial" w:hAnsi="Arial"/>
                <w:b/>
                <w:bCs/>
                <w:sz w:val="26"/>
                <w:szCs w:val="26"/>
                <w:rtl/>
              </w:rPr>
              <w:t xml:space="preserve"> אבו כפיף</w:t>
            </w:r>
            <w:r w:rsidRPr="00335130">
              <w:rPr>
                <w:rFonts w:ascii="Arial" w:hAnsi="Arial"/>
                <w:b/>
                <w:bCs/>
                <w:sz w:val="26"/>
                <w:szCs w:val="26"/>
                <w:rtl/>
              </w:rPr>
              <w:br/>
            </w:r>
            <w:r w:rsidRPr="00335130">
              <w:rPr>
                <w:rFonts w:hint="cs"/>
                <w:rtl/>
              </w:rPr>
              <w:t>ע"י ב"כ עו"ד אחמד ותד</w:t>
            </w:r>
          </w:p>
        </w:tc>
      </w:tr>
    </w:tbl>
    <w:p w14:paraId="459355CD" w14:textId="77777777" w:rsidR="006F56E5" w:rsidRDefault="006F56E5" w:rsidP="00414447">
      <w:pPr>
        <w:suppressLineNumbers/>
        <w:rPr>
          <w:rtl/>
        </w:rPr>
      </w:pPr>
    </w:p>
    <w:p w14:paraId="404F6959" w14:textId="77777777" w:rsidR="006F56E5" w:rsidRPr="006F56E5" w:rsidRDefault="006F56E5" w:rsidP="006F56E5">
      <w:pPr>
        <w:suppressLineNumbers/>
        <w:spacing w:after="120" w:line="240" w:lineRule="exact"/>
        <w:ind w:left="283" w:hanging="283"/>
        <w:jc w:val="both"/>
        <w:rPr>
          <w:rFonts w:ascii="FrankRuehl" w:hAnsi="FrankRuehl" w:cs="FrankRuehl"/>
          <w:rtl/>
        </w:rPr>
      </w:pPr>
    </w:p>
    <w:p w14:paraId="418946EF" w14:textId="77777777" w:rsidR="00276252" w:rsidRPr="00276252" w:rsidRDefault="00276252" w:rsidP="00276252">
      <w:pPr>
        <w:suppressLineNumbers/>
        <w:spacing w:before="120" w:after="120" w:line="240" w:lineRule="exact"/>
        <w:ind w:left="283" w:hanging="283"/>
        <w:jc w:val="both"/>
        <w:rPr>
          <w:rFonts w:ascii="FrankRuehl" w:hAnsi="FrankRuehl" w:cs="FrankRuehl"/>
          <w:rtl/>
        </w:rPr>
      </w:pPr>
    </w:p>
    <w:p w14:paraId="4A73233A" w14:textId="77777777" w:rsidR="00C15E89" w:rsidRDefault="00C15E89" w:rsidP="00C15E89">
      <w:pPr>
        <w:suppressLineNumbers/>
        <w:rPr>
          <w:rtl/>
        </w:rPr>
      </w:pPr>
      <w:bookmarkStart w:id="3" w:name="LawTable"/>
      <w:bookmarkEnd w:id="3"/>
    </w:p>
    <w:p w14:paraId="3E1B5132" w14:textId="77777777" w:rsidR="00C15E89" w:rsidRPr="00C15E89" w:rsidRDefault="00C15E89" w:rsidP="00C15E89">
      <w:pPr>
        <w:suppressLineNumbers/>
        <w:spacing w:before="120" w:after="120" w:line="240" w:lineRule="exact"/>
        <w:ind w:left="283" w:hanging="283"/>
        <w:jc w:val="both"/>
        <w:rPr>
          <w:rFonts w:ascii="FrankRuehl" w:hAnsi="FrankRuehl" w:cs="FrankRuehl"/>
          <w:rtl/>
        </w:rPr>
      </w:pPr>
    </w:p>
    <w:p w14:paraId="3906BEEF" w14:textId="77777777" w:rsidR="00C15E89" w:rsidRPr="00C15E89" w:rsidRDefault="00C15E89" w:rsidP="00C15E89">
      <w:pPr>
        <w:suppressLineNumbers/>
        <w:spacing w:before="120" w:after="120" w:line="240" w:lineRule="exact"/>
        <w:ind w:left="283" w:hanging="283"/>
        <w:jc w:val="both"/>
        <w:rPr>
          <w:rFonts w:ascii="FrankRuehl" w:hAnsi="FrankRuehl" w:cs="FrankRuehl"/>
          <w:rtl/>
        </w:rPr>
      </w:pPr>
    </w:p>
    <w:p w14:paraId="52D7B382" w14:textId="77777777" w:rsidR="00C15E89" w:rsidRPr="00C15E89" w:rsidRDefault="00C15E89" w:rsidP="00C15E89">
      <w:pPr>
        <w:suppressLineNumbers/>
        <w:spacing w:before="120" w:after="120" w:line="240" w:lineRule="exact"/>
        <w:ind w:left="283" w:hanging="283"/>
        <w:jc w:val="both"/>
        <w:rPr>
          <w:rFonts w:ascii="FrankRuehl" w:hAnsi="FrankRuehl" w:cs="FrankRuehl"/>
          <w:rtl/>
        </w:rPr>
      </w:pPr>
      <w:r w:rsidRPr="00C15E89">
        <w:rPr>
          <w:rFonts w:ascii="FrankRuehl" w:hAnsi="FrankRuehl" w:cs="FrankRuehl"/>
          <w:rtl/>
        </w:rPr>
        <w:t xml:space="preserve">חקיקה שאוזכרה: </w:t>
      </w:r>
    </w:p>
    <w:p w14:paraId="380E7684" w14:textId="77777777" w:rsidR="00C15E89" w:rsidRPr="00C15E89" w:rsidRDefault="00C15E89" w:rsidP="00C15E89">
      <w:pPr>
        <w:suppressLineNumbers/>
        <w:spacing w:before="120" w:after="120" w:line="240" w:lineRule="exact"/>
        <w:ind w:left="283" w:hanging="283"/>
        <w:jc w:val="both"/>
        <w:rPr>
          <w:rFonts w:ascii="FrankRuehl" w:hAnsi="FrankRuehl" w:cs="FrankRuehl"/>
          <w:rtl/>
        </w:rPr>
      </w:pPr>
      <w:hyperlink r:id="rId8" w:history="1">
        <w:r w:rsidRPr="00C15E89">
          <w:rPr>
            <w:rFonts w:ascii="FrankRuehl" w:hAnsi="FrankRuehl" w:cs="FrankRuehl"/>
            <w:color w:val="0000FF"/>
            <w:rtl/>
          </w:rPr>
          <w:t>פקודת הסמים המסוכנים [נוסח חדש], תשל"ג-1973</w:t>
        </w:r>
      </w:hyperlink>
      <w:r w:rsidRPr="00C15E89">
        <w:rPr>
          <w:rFonts w:ascii="FrankRuehl" w:hAnsi="FrankRuehl" w:cs="FrankRuehl"/>
          <w:rtl/>
        </w:rPr>
        <w:t xml:space="preserve">: סע'  </w:t>
      </w:r>
      <w:hyperlink r:id="rId9" w:history="1">
        <w:r w:rsidRPr="00C15E89">
          <w:rPr>
            <w:rFonts w:ascii="FrankRuehl" w:hAnsi="FrankRuehl" w:cs="FrankRuehl"/>
            <w:color w:val="0000FF"/>
            <w:rtl/>
          </w:rPr>
          <w:t>13</w:t>
        </w:r>
      </w:hyperlink>
      <w:r w:rsidRPr="00C15E89">
        <w:rPr>
          <w:rFonts w:ascii="FrankRuehl" w:hAnsi="FrankRuehl" w:cs="FrankRuehl"/>
          <w:rtl/>
        </w:rPr>
        <w:t xml:space="preserve">, </w:t>
      </w:r>
      <w:hyperlink r:id="rId10" w:history="1">
        <w:r w:rsidRPr="00C15E89">
          <w:rPr>
            <w:rFonts w:ascii="FrankRuehl" w:hAnsi="FrankRuehl" w:cs="FrankRuehl"/>
            <w:color w:val="0000FF"/>
            <w:rtl/>
          </w:rPr>
          <w:t>19א</w:t>
        </w:r>
      </w:hyperlink>
      <w:r w:rsidRPr="00C15E89">
        <w:rPr>
          <w:rFonts w:ascii="FrankRuehl" w:hAnsi="FrankRuehl" w:cs="FrankRuehl"/>
          <w:rtl/>
        </w:rPr>
        <w:t xml:space="preserve">, </w:t>
      </w:r>
      <w:hyperlink r:id="rId11" w:history="1">
        <w:r w:rsidRPr="00C15E89">
          <w:rPr>
            <w:rFonts w:ascii="FrankRuehl" w:hAnsi="FrankRuehl" w:cs="FrankRuehl"/>
            <w:color w:val="0000FF"/>
            <w:rtl/>
          </w:rPr>
          <w:t>21(א)(1)</w:t>
        </w:r>
      </w:hyperlink>
    </w:p>
    <w:p w14:paraId="1DE57C33" w14:textId="77777777" w:rsidR="00C15E89" w:rsidRPr="00C15E89" w:rsidRDefault="00C15E89" w:rsidP="00C15E89">
      <w:pPr>
        <w:suppressLineNumbers/>
        <w:spacing w:before="120" w:after="120" w:line="240" w:lineRule="exact"/>
        <w:ind w:left="283" w:hanging="283"/>
        <w:jc w:val="both"/>
        <w:rPr>
          <w:rFonts w:ascii="FrankRuehl" w:hAnsi="FrankRuehl" w:cs="FrankRuehl"/>
          <w:rtl/>
        </w:rPr>
      </w:pPr>
      <w:hyperlink r:id="rId12" w:history="1">
        <w:r w:rsidRPr="00C15E89">
          <w:rPr>
            <w:rFonts w:ascii="FrankRuehl" w:hAnsi="FrankRuehl" w:cs="FrankRuehl"/>
            <w:color w:val="0000FF"/>
            <w:rtl/>
          </w:rPr>
          <w:t>חוק העונשין, תשל"ז-1977</w:t>
        </w:r>
      </w:hyperlink>
      <w:r w:rsidRPr="00C15E89">
        <w:rPr>
          <w:rFonts w:ascii="FrankRuehl" w:hAnsi="FrankRuehl" w:cs="FrankRuehl"/>
          <w:rtl/>
        </w:rPr>
        <w:t xml:space="preserve">: סע'  </w:t>
      </w:r>
      <w:hyperlink r:id="rId13" w:history="1">
        <w:r w:rsidRPr="00C15E89">
          <w:rPr>
            <w:rFonts w:ascii="FrankRuehl" w:hAnsi="FrankRuehl" w:cs="FrankRuehl"/>
            <w:color w:val="0000FF"/>
            <w:rtl/>
          </w:rPr>
          <w:t>40ט'</w:t>
        </w:r>
      </w:hyperlink>
    </w:p>
    <w:p w14:paraId="07DA66A1" w14:textId="77777777" w:rsidR="00C15E89" w:rsidRPr="00C15E89" w:rsidRDefault="00C15E89" w:rsidP="00C15E89">
      <w:pPr>
        <w:suppressLineNumbers/>
        <w:rPr>
          <w:rtl/>
        </w:rPr>
      </w:pPr>
      <w:bookmarkStart w:id="4" w:name="LawTable_End"/>
      <w:bookmarkEnd w:id="4"/>
    </w:p>
    <w:p w14:paraId="609FE782" w14:textId="77777777" w:rsidR="00414447" w:rsidRPr="00276252" w:rsidRDefault="00414447" w:rsidP="00276252">
      <w:pPr>
        <w:suppressLineNumbers/>
      </w:pPr>
    </w:p>
    <w:tbl>
      <w:tblPr>
        <w:bidiVisual/>
        <w:tblW w:w="8820" w:type="dxa"/>
        <w:jc w:val="center"/>
        <w:tblLook w:val="01E0" w:firstRow="1" w:lastRow="1" w:firstColumn="1" w:lastColumn="1" w:noHBand="0" w:noVBand="0"/>
      </w:tblPr>
      <w:tblGrid>
        <w:gridCol w:w="8820"/>
      </w:tblGrid>
      <w:tr w:rsidR="00414447" w14:paraId="6879CC80" w14:textId="77777777" w:rsidTr="00414447">
        <w:trPr>
          <w:jc w:val="center"/>
        </w:trPr>
        <w:tc>
          <w:tcPr>
            <w:tcW w:w="8820" w:type="dxa"/>
            <w:shd w:val="clear" w:color="auto" w:fill="auto"/>
          </w:tcPr>
          <w:p w14:paraId="718148D4" w14:textId="77777777" w:rsidR="00335130" w:rsidRPr="00335130" w:rsidRDefault="00335130" w:rsidP="00335130">
            <w:pPr>
              <w:bidi w:val="0"/>
              <w:jc w:val="center"/>
              <w:rPr>
                <w:rFonts w:ascii="Arial" w:hAnsi="Arial"/>
                <w:b/>
                <w:bCs/>
                <w:sz w:val="28"/>
                <w:szCs w:val="28"/>
                <w:u w:val="single"/>
              </w:rPr>
            </w:pPr>
            <w:bookmarkStart w:id="5" w:name="PsakDin" w:colFirst="0" w:colLast="0"/>
            <w:bookmarkEnd w:id="0"/>
            <w:bookmarkEnd w:id="1"/>
            <w:r w:rsidRPr="00335130">
              <w:rPr>
                <w:rFonts w:ascii="Arial" w:hAnsi="Arial"/>
                <w:b/>
                <w:bCs/>
                <w:sz w:val="28"/>
                <w:szCs w:val="28"/>
                <w:u w:val="single"/>
                <w:rtl/>
              </w:rPr>
              <w:t>גזר דין</w:t>
            </w:r>
          </w:p>
          <w:p w14:paraId="07D3EEB8" w14:textId="77777777" w:rsidR="00414447" w:rsidRPr="00335130" w:rsidRDefault="00414447" w:rsidP="00335130">
            <w:pPr>
              <w:bidi w:val="0"/>
              <w:jc w:val="center"/>
              <w:rPr>
                <w:rFonts w:ascii="Arial" w:hAnsi="Arial"/>
                <w:b/>
                <w:bCs/>
                <w:sz w:val="28"/>
                <w:szCs w:val="28"/>
                <w:u w:val="single"/>
              </w:rPr>
            </w:pPr>
          </w:p>
        </w:tc>
      </w:tr>
      <w:bookmarkEnd w:id="5"/>
    </w:tbl>
    <w:p w14:paraId="23A74B87" w14:textId="77777777" w:rsidR="00414447" w:rsidRDefault="00414447" w:rsidP="00414447">
      <w:pPr>
        <w:spacing w:line="360" w:lineRule="auto"/>
        <w:jc w:val="both"/>
        <w:rPr>
          <w:rFonts w:ascii="Arial" w:hAnsi="Arial"/>
          <w:rtl/>
        </w:rPr>
      </w:pPr>
    </w:p>
    <w:p w14:paraId="64094BA3" w14:textId="77777777" w:rsidR="00414447" w:rsidRDefault="00414447" w:rsidP="00414447">
      <w:pPr>
        <w:spacing w:line="360" w:lineRule="auto"/>
        <w:jc w:val="both"/>
        <w:rPr>
          <w:rFonts w:ascii="Arial" w:hAnsi="Arial"/>
          <w:rtl/>
        </w:rPr>
      </w:pPr>
      <w:r>
        <w:rPr>
          <w:rFonts w:ascii="Arial" w:hAnsi="Arial" w:hint="cs"/>
          <w:b/>
          <w:bCs/>
          <w:rtl/>
        </w:rPr>
        <w:t>כתב האישום והסדר הטיעון</w:t>
      </w:r>
    </w:p>
    <w:p w14:paraId="53A7A500" w14:textId="77777777" w:rsidR="00414447" w:rsidRDefault="00414447" w:rsidP="00414447">
      <w:pPr>
        <w:spacing w:line="360" w:lineRule="auto"/>
        <w:jc w:val="both"/>
        <w:rPr>
          <w:rFonts w:ascii="Arial" w:hAnsi="Arial"/>
          <w:rtl/>
        </w:rPr>
      </w:pPr>
    </w:p>
    <w:p w14:paraId="6171C358" w14:textId="77777777" w:rsidR="00414447" w:rsidRDefault="00414447" w:rsidP="00414447">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645FF8B5" w14:textId="77777777" w:rsidR="00414447" w:rsidRDefault="00414447" w:rsidP="00414447">
      <w:pPr>
        <w:pStyle w:val="a9"/>
        <w:numPr>
          <w:ilvl w:val="0"/>
          <w:numId w:val="1"/>
        </w:numPr>
        <w:spacing w:line="360" w:lineRule="auto"/>
        <w:jc w:val="both"/>
        <w:rPr>
          <w:rFonts w:ascii="Arial" w:hAnsi="Arial"/>
        </w:rPr>
      </w:pPr>
      <w:r>
        <w:rPr>
          <w:rFonts w:ascii="Arial" w:hAnsi="Arial" w:hint="cs"/>
          <w:rtl/>
        </w:rPr>
        <w:t xml:space="preserve">יצוא, יבוא, מסחר, הספקה של סמים מסוכנים, בניגוד </w:t>
      </w:r>
      <w:hyperlink r:id="rId14" w:history="1">
        <w:r w:rsidR="006F56E5" w:rsidRPr="006F56E5">
          <w:rPr>
            <w:rStyle w:val="Hyperlink"/>
            <w:rFonts w:ascii="Arial" w:hAnsi="Arial" w:hint="eastAsia"/>
            <w:rtl/>
          </w:rPr>
          <w:t>לסעיף</w:t>
        </w:r>
        <w:r w:rsidR="006F56E5" w:rsidRPr="006F56E5">
          <w:rPr>
            <w:rStyle w:val="Hyperlink"/>
            <w:rFonts w:ascii="Arial" w:hAnsi="Arial"/>
            <w:rtl/>
          </w:rPr>
          <w:t xml:space="preserve"> 13</w:t>
        </w:r>
      </w:hyperlink>
      <w:r>
        <w:rPr>
          <w:rFonts w:ascii="Arial" w:hAnsi="Arial" w:hint="cs"/>
          <w:rtl/>
        </w:rPr>
        <w:t xml:space="preserve"> בצירוף סעיף </w:t>
      </w:r>
      <w:hyperlink r:id="rId15" w:history="1">
        <w:r w:rsidR="006F56E5" w:rsidRPr="006F56E5">
          <w:rPr>
            <w:rStyle w:val="Hyperlink"/>
            <w:rFonts w:ascii="Arial" w:hAnsi="Arial"/>
            <w:rtl/>
          </w:rPr>
          <w:t>19א</w:t>
        </w:r>
      </w:hyperlink>
      <w:r>
        <w:rPr>
          <w:rFonts w:ascii="Arial" w:hAnsi="Arial" w:hint="cs"/>
          <w:rtl/>
        </w:rPr>
        <w:t xml:space="preserve"> ל</w:t>
      </w:r>
      <w:hyperlink r:id="rId16" w:history="1">
        <w:r w:rsidR="00335130" w:rsidRPr="00335130">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"הפקודה") </w:t>
      </w:r>
      <w:r>
        <w:rPr>
          <w:rFonts w:ascii="Arial" w:hAnsi="Arial"/>
          <w:rtl/>
        </w:rPr>
        <w:t>–</w:t>
      </w:r>
      <w:r>
        <w:rPr>
          <w:rFonts w:ascii="Arial" w:hAnsi="Arial" w:hint="cs"/>
          <w:rtl/>
        </w:rPr>
        <w:t xml:space="preserve"> שתי עבירות;</w:t>
      </w:r>
    </w:p>
    <w:p w14:paraId="50D52D9E" w14:textId="77777777" w:rsidR="00414447" w:rsidRDefault="00414447" w:rsidP="00414447">
      <w:pPr>
        <w:pStyle w:val="a9"/>
        <w:numPr>
          <w:ilvl w:val="0"/>
          <w:numId w:val="1"/>
        </w:numPr>
        <w:spacing w:line="360" w:lineRule="auto"/>
        <w:jc w:val="both"/>
        <w:rPr>
          <w:rFonts w:ascii="Arial" w:hAnsi="Arial"/>
        </w:rPr>
      </w:pPr>
      <w:r>
        <w:rPr>
          <w:rFonts w:ascii="Arial" w:hAnsi="Arial" w:hint="cs"/>
          <w:rtl/>
        </w:rPr>
        <w:t xml:space="preserve">הדחת קטין לסמים מסוכנים, בניגוד </w:t>
      </w:r>
      <w:hyperlink r:id="rId17" w:history="1">
        <w:r w:rsidR="006F56E5" w:rsidRPr="006F56E5">
          <w:rPr>
            <w:rStyle w:val="Hyperlink"/>
            <w:rFonts w:ascii="Arial" w:hAnsi="Arial" w:hint="eastAsia"/>
            <w:rtl/>
          </w:rPr>
          <w:t>לסעיף</w:t>
        </w:r>
        <w:r w:rsidR="006F56E5" w:rsidRPr="006F56E5">
          <w:rPr>
            <w:rStyle w:val="Hyperlink"/>
            <w:rFonts w:ascii="Arial" w:hAnsi="Arial"/>
            <w:rtl/>
          </w:rPr>
          <w:t xml:space="preserve"> 21(א)(1)</w:t>
        </w:r>
      </w:hyperlink>
      <w:r>
        <w:rPr>
          <w:rFonts w:ascii="Arial" w:hAnsi="Arial" w:hint="cs"/>
          <w:rtl/>
        </w:rPr>
        <w:t xml:space="preserve"> לפקודה </w:t>
      </w:r>
      <w:r>
        <w:rPr>
          <w:rFonts w:ascii="Arial" w:hAnsi="Arial"/>
          <w:rtl/>
        </w:rPr>
        <w:t>–</w:t>
      </w:r>
      <w:r>
        <w:rPr>
          <w:rFonts w:ascii="Arial" w:hAnsi="Arial" w:hint="cs"/>
          <w:rtl/>
        </w:rPr>
        <w:t xml:space="preserve"> עבירה אחת.</w:t>
      </w:r>
    </w:p>
    <w:p w14:paraId="1D43D586" w14:textId="77777777" w:rsidR="00414447" w:rsidRDefault="00414447" w:rsidP="00414447">
      <w:pPr>
        <w:spacing w:line="360" w:lineRule="auto"/>
        <w:jc w:val="both"/>
        <w:rPr>
          <w:rFonts w:ascii="Arial" w:hAnsi="Arial"/>
          <w:rtl/>
        </w:rPr>
      </w:pPr>
    </w:p>
    <w:p w14:paraId="4E634853" w14:textId="77777777" w:rsidR="00414447" w:rsidRDefault="00414447" w:rsidP="00414447">
      <w:pPr>
        <w:spacing w:line="360" w:lineRule="auto"/>
        <w:jc w:val="both"/>
        <w:rPr>
          <w:rFonts w:ascii="Arial" w:hAnsi="Arial"/>
          <w:rtl/>
        </w:rPr>
      </w:pPr>
      <w:bookmarkStart w:id="7" w:name="ABSTRACT_END"/>
      <w:bookmarkEnd w:id="7"/>
      <w:r>
        <w:rPr>
          <w:rFonts w:ascii="Arial" w:hAnsi="Arial" w:hint="cs"/>
          <w:rtl/>
        </w:rPr>
        <w:t>בהתאם לעובדות כתב האישום המתוקן (כא/1) במועדים הרלוונטיים לכתב האישום, שימש השוטר תומר מאנאי (להלן: "השוטר") כסוכן סמוי בפעילות כנגד סוחרי סמים בגזרת היישוב ערוער והסביבה.</w:t>
      </w:r>
    </w:p>
    <w:p w14:paraId="51DA7F67" w14:textId="77777777" w:rsidR="00414447" w:rsidRDefault="00414447" w:rsidP="00414447">
      <w:pPr>
        <w:spacing w:line="360" w:lineRule="auto"/>
        <w:jc w:val="both"/>
        <w:rPr>
          <w:rFonts w:ascii="Arial" w:hAnsi="Arial"/>
          <w:rtl/>
        </w:rPr>
      </w:pPr>
    </w:p>
    <w:p w14:paraId="465677CC" w14:textId="77777777" w:rsidR="00414447" w:rsidRDefault="00414447" w:rsidP="00414447">
      <w:pPr>
        <w:spacing w:line="360" w:lineRule="auto"/>
        <w:jc w:val="both"/>
        <w:rPr>
          <w:rFonts w:ascii="Arial" w:hAnsi="Arial"/>
          <w:rtl/>
        </w:rPr>
      </w:pPr>
      <w:r>
        <w:rPr>
          <w:rFonts w:ascii="Arial" w:hAnsi="Arial" w:hint="cs"/>
          <w:u w:val="single"/>
          <w:rtl/>
        </w:rPr>
        <w:t>אישום ראשון</w:t>
      </w:r>
    </w:p>
    <w:p w14:paraId="7E3E9DBB" w14:textId="77777777" w:rsidR="00414447" w:rsidRPr="0009617E" w:rsidRDefault="00414447" w:rsidP="00414447">
      <w:pPr>
        <w:spacing w:line="360" w:lineRule="auto"/>
        <w:jc w:val="both"/>
        <w:rPr>
          <w:rFonts w:ascii="Arial" w:hAnsi="Arial"/>
          <w:rtl/>
        </w:rPr>
      </w:pPr>
    </w:p>
    <w:p w14:paraId="4335F9DB" w14:textId="77777777" w:rsidR="00414447" w:rsidRDefault="00414447" w:rsidP="00414447">
      <w:pPr>
        <w:spacing w:line="360" w:lineRule="auto"/>
        <w:jc w:val="both"/>
        <w:rPr>
          <w:rFonts w:ascii="Arial" w:hAnsi="Arial"/>
          <w:rtl/>
        </w:rPr>
      </w:pPr>
      <w:r>
        <w:rPr>
          <w:rFonts w:ascii="Arial" w:hAnsi="Arial" w:hint="cs"/>
          <w:rtl/>
        </w:rPr>
        <w:t>ביום 22.10.18, סמוך לשעה 18:23, במסגרת פעילותו של השוטר, התקשר השוטר לנאשם ובמהלך שיחה שניהל עמו, סיכם הנאשם עם השוטר, כי יספק לו סם מסוכן מסוג קנביס ויערוך עמו את העסקה ביום למחרת.</w:t>
      </w:r>
    </w:p>
    <w:p w14:paraId="08BF2832" w14:textId="77777777" w:rsidR="00414447" w:rsidRDefault="00414447" w:rsidP="00414447">
      <w:pPr>
        <w:spacing w:line="360" w:lineRule="auto"/>
        <w:jc w:val="both"/>
        <w:rPr>
          <w:rFonts w:ascii="Arial" w:hAnsi="Arial"/>
          <w:rtl/>
        </w:rPr>
      </w:pPr>
    </w:p>
    <w:p w14:paraId="2875AD47" w14:textId="77777777" w:rsidR="00414447" w:rsidRDefault="00414447" w:rsidP="00414447">
      <w:pPr>
        <w:spacing w:line="360" w:lineRule="auto"/>
        <w:jc w:val="both"/>
        <w:rPr>
          <w:rFonts w:ascii="Arial" w:hAnsi="Arial"/>
          <w:rtl/>
        </w:rPr>
      </w:pPr>
      <w:r>
        <w:rPr>
          <w:rFonts w:ascii="Arial" w:hAnsi="Arial" w:hint="cs"/>
          <w:rtl/>
        </w:rPr>
        <w:t>בשיחה נוספת שניהם השוטר עם הנאשם, ביום 23.10.18, סמוך לשעה 11:26, סיכם הנאשם עם השוטר, כי ימכור לו סם מסוכן מסוג קנביס במשקל של כ-10 או 15 גרם, תמורת 200 ₪ וקבע עמו מפגש בשעה 13:00 בצומת אוהלים (נוקדים).</w:t>
      </w:r>
    </w:p>
    <w:p w14:paraId="45854F97" w14:textId="77777777" w:rsidR="00414447" w:rsidRDefault="00414447" w:rsidP="00414447">
      <w:pPr>
        <w:spacing w:line="360" w:lineRule="auto"/>
        <w:jc w:val="both"/>
        <w:rPr>
          <w:rFonts w:ascii="Arial" w:hAnsi="Arial"/>
          <w:rtl/>
        </w:rPr>
      </w:pPr>
    </w:p>
    <w:p w14:paraId="264B22AF" w14:textId="77777777" w:rsidR="00414447" w:rsidRDefault="00414447" w:rsidP="00414447">
      <w:pPr>
        <w:spacing w:line="360" w:lineRule="auto"/>
        <w:jc w:val="both"/>
        <w:rPr>
          <w:rFonts w:ascii="Arial" w:hAnsi="Arial"/>
          <w:rtl/>
        </w:rPr>
      </w:pPr>
      <w:r>
        <w:rPr>
          <w:rFonts w:ascii="Arial" w:hAnsi="Arial" w:hint="cs"/>
          <w:rtl/>
        </w:rPr>
        <w:t>בהמשך, סמוך לשעה 14:40, בעת שהשוטר המתין לנאשם בצומת אוהלים, הגיע הנאשם ביחד עם אדם אחר שזהותו אינה ידועה למאשימה, לרכבו של השוטר, ובמעמד זה, נתן הנאשם לשוטר סם מסוכן מסוג קנביס במשקל נטו של 10.80 גרם (להלן: "הסם") ובתמורה, נתן השוטר לנאשם שטר בסך 200 ₪.</w:t>
      </w:r>
    </w:p>
    <w:p w14:paraId="2B7E4A59" w14:textId="77777777" w:rsidR="00414447" w:rsidRDefault="00414447" w:rsidP="00414447">
      <w:pPr>
        <w:spacing w:line="360" w:lineRule="auto"/>
        <w:jc w:val="both"/>
        <w:rPr>
          <w:rFonts w:ascii="Arial" w:hAnsi="Arial"/>
          <w:rtl/>
        </w:rPr>
      </w:pPr>
    </w:p>
    <w:p w14:paraId="26F709B5" w14:textId="77777777" w:rsidR="00414447" w:rsidRDefault="00414447" w:rsidP="00414447">
      <w:pPr>
        <w:spacing w:line="360" w:lineRule="auto"/>
        <w:jc w:val="both"/>
        <w:rPr>
          <w:rFonts w:ascii="Arial" w:hAnsi="Arial"/>
          <w:rtl/>
        </w:rPr>
      </w:pPr>
      <w:r>
        <w:rPr>
          <w:rFonts w:ascii="Arial" w:hAnsi="Arial" w:hint="cs"/>
          <w:u w:val="single"/>
          <w:rtl/>
        </w:rPr>
        <w:t>אישום שני</w:t>
      </w:r>
    </w:p>
    <w:p w14:paraId="6E3C2244" w14:textId="77777777" w:rsidR="00414447" w:rsidRDefault="00414447" w:rsidP="00414447">
      <w:pPr>
        <w:spacing w:line="360" w:lineRule="auto"/>
        <w:jc w:val="both"/>
        <w:rPr>
          <w:rFonts w:ascii="Arial" w:hAnsi="Arial"/>
          <w:rtl/>
        </w:rPr>
      </w:pPr>
    </w:p>
    <w:p w14:paraId="13FB8FC7" w14:textId="77777777" w:rsidR="00414447" w:rsidRDefault="00414447" w:rsidP="00414447">
      <w:pPr>
        <w:spacing w:line="360" w:lineRule="auto"/>
        <w:jc w:val="both"/>
        <w:rPr>
          <w:rFonts w:ascii="Arial" w:hAnsi="Arial"/>
          <w:rtl/>
        </w:rPr>
      </w:pPr>
      <w:r>
        <w:rPr>
          <w:rFonts w:ascii="Arial" w:hAnsi="Arial" w:hint="cs"/>
          <w:rtl/>
        </w:rPr>
        <w:t>ביום 28.10.18 בצהריים, במסגרת פעילותו של השוטר, התקשר השוטר בטלפון לנאשם, ובמהלך שיחה ביניהם, סיכם הנאשם עם השוטר כי ימכור לו סם מסוכן מסוג קנביס במשקל של 100 גרם תמורת 1,000 ₪ ושהם ישוחחו על כך למחרת.</w:t>
      </w:r>
    </w:p>
    <w:p w14:paraId="34C78F8C" w14:textId="77777777" w:rsidR="00414447" w:rsidRDefault="00414447" w:rsidP="00414447">
      <w:pPr>
        <w:spacing w:line="360" w:lineRule="auto"/>
        <w:jc w:val="both"/>
        <w:rPr>
          <w:rFonts w:ascii="Arial" w:hAnsi="Arial"/>
          <w:rtl/>
        </w:rPr>
      </w:pPr>
    </w:p>
    <w:p w14:paraId="66DAC7EC" w14:textId="77777777" w:rsidR="00414447" w:rsidRDefault="00414447" w:rsidP="00414447">
      <w:pPr>
        <w:spacing w:line="360" w:lineRule="auto"/>
        <w:jc w:val="both"/>
        <w:rPr>
          <w:rFonts w:ascii="Arial" w:hAnsi="Arial"/>
          <w:rtl/>
        </w:rPr>
      </w:pPr>
      <w:r>
        <w:rPr>
          <w:rFonts w:ascii="Arial" w:hAnsi="Arial" w:hint="cs"/>
          <w:rtl/>
        </w:rPr>
        <w:t>ביום 29.10.18 סמוך לשעה 11:00 התקשר השוטר למכשיר הטלפון של הנאשם ובמהלך שיחה עמו, סיכם הנאשם עם השוטר כי ייפגש עמו בשעה 14:00 בצומת אוהלים (נוקדים) ושם ימכור לו את הסם.</w:t>
      </w:r>
    </w:p>
    <w:p w14:paraId="72348F4F" w14:textId="77777777" w:rsidR="00414447" w:rsidRDefault="00414447" w:rsidP="00414447">
      <w:pPr>
        <w:spacing w:line="360" w:lineRule="auto"/>
        <w:jc w:val="both"/>
        <w:rPr>
          <w:rFonts w:ascii="Arial" w:hAnsi="Arial"/>
          <w:rtl/>
        </w:rPr>
      </w:pPr>
    </w:p>
    <w:p w14:paraId="656ABD16" w14:textId="77777777" w:rsidR="00414447" w:rsidRDefault="00414447" w:rsidP="00414447">
      <w:pPr>
        <w:spacing w:line="360" w:lineRule="auto"/>
        <w:jc w:val="both"/>
        <w:rPr>
          <w:rFonts w:ascii="Arial" w:hAnsi="Arial"/>
          <w:rtl/>
        </w:rPr>
      </w:pPr>
      <w:r>
        <w:rPr>
          <w:rFonts w:ascii="Arial" w:hAnsi="Arial" w:hint="cs"/>
          <w:rtl/>
        </w:rPr>
        <w:t>בהמשך ובסמוך למתואר לעיל, קשר הנאשם קשר עם ס.א.כ (להלן: "ס.א.כ."), קטין יליד 20.09.01 ועם מ.א.כ, קטין יליד 31.07.01 (להלן: "מ.א.כ."), לעשות פשע, בכך שקשר עמם קשר למכור סם מסוכן לשוטר.</w:t>
      </w:r>
    </w:p>
    <w:p w14:paraId="4AE4EAB4" w14:textId="77777777" w:rsidR="00414447" w:rsidRDefault="00414447" w:rsidP="00414447">
      <w:pPr>
        <w:spacing w:line="360" w:lineRule="auto"/>
        <w:jc w:val="both"/>
        <w:rPr>
          <w:rFonts w:ascii="Arial" w:hAnsi="Arial"/>
          <w:rtl/>
        </w:rPr>
      </w:pPr>
    </w:p>
    <w:p w14:paraId="4B0CE2F1" w14:textId="77777777" w:rsidR="00414447" w:rsidRDefault="00414447" w:rsidP="00414447">
      <w:pPr>
        <w:spacing w:line="360" w:lineRule="auto"/>
        <w:jc w:val="both"/>
        <w:rPr>
          <w:rFonts w:ascii="Arial" w:hAnsi="Arial"/>
          <w:rtl/>
        </w:rPr>
      </w:pPr>
      <w:r>
        <w:rPr>
          <w:rFonts w:ascii="Arial" w:hAnsi="Arial" w:hint="cs"/>
          <w:rtl/>
        </w:rPr>
        <w:lastRenderedPageBreak/>
        <w:t>במסגרת הקשר האמור לעיל ולשם קידומו, נתן הנאשם לקטין מ.א.כ. סם מסוכן מסוג קנביס במשקל נטו של 42.90 גרם (להלן: "הסם").</w:t>
      </w:r>
    </w:p>
    <w:p w14:paraId="486B1270" w14:textId="77777777" w:rsidR="00414447" w:rsidRDefault="00414447" w:rsidP="00414447">
      <w:pPr>
        <w:spacing w:line="360" w:lineRule="auto"/>
        <w:jc w:val="both"/>
        <w:rPr>
          <w:rFonts w:ascii="Arial" w:hAnsi="Arial"/>
          <w:rtl/>
        </w:rPr>
      </w:pPr>
    </w:p>
    <w:p w14:paraId="4EAF3930" w14:textId="77777777" w:rsidR="00414447" w:rsidRDefault="00414447" w:rsidP="00414447">
      <w:pPr>
        <w:spacing w:line="360" w:lineRule="auto"/>
        <w:jc w:val="both"/>
        <w:rPr>
          <w:rFonts w:ascii="Arial" w:hAnsi="Arial"/>
          <w:rtl/>
        </w:rPr>
      </w:pPr>
      <w:r>
        <w:rPr>
          <w:rFonts w:ascii="Arial" w:hAnsi="Arial" w:hint="cs"/>
          <w:rtl/>
        </w:rPr>
        <w:t>בתאריך הנ"ל סמוך לשעה 14:30, הגיע השוטר ברכבו לצומת אוהלים, ולאחר שיצר קשר טלפוני עם הנאשם, הגיע הקטין ס.א.כ. ליד רכבו של השוטר וזמן קצר אחר כך, יצא הנאשם ממקום מסתור, מעבר לחומה שמאחורי תחנת האוטובוס, ושניהם עלו לרכבו של השוטר. הנאשם התיישב במושב שליד השוטר והקטין ס.א.כ התיישב מאחור.</w:t>
      </w:r>
    </w:p>
    <w:p w14:paraId="3331D2DC" w14:textId="77777777" w:rsidR="00414447" w:rsidRDefault="00414447" w:rsidP="00414447">
      <w:pPr>
        <w:spacing w:line="360" w:lineRule="auto"/>
        <w:jc w:val="both"/>
        <w:rPr>
          <w:rFonts w:ascii="Arial" w:hAnsi="Arial"/>
          <w:rtl/>
        </w:rPr>
      </w:pPr>
    </w:p>
    <w:p w14:paraId="19731565" w14:textId="77777777" w:rsidR="00414447" w:rsidRPr="0009617E" w:rsidRDefault="00414447" w:rsidP="00414447">
      <w:pPr>
        <w:spacing w:line="360" w:lineRule="auto"/>
        <w:jc w:val="both"/>
        <w:rPr>
          <w:rFonts w:ascii="Arial" w:hAnsi="Arial"/>
          <w:rtl/>
        </w:rPr>
      </w:pPr>
      <w:r>
        <w:rPr>
          <w:rFonts w:ascii="Arial" w:hAnsi="Arial" w:hint="cs"/>
          <w:rtl/>
        </w:rPr>
        <w:t xml:space="preserve">בתוך כך, שרק הנאשם מבעד לחלון רכבו של השוטר. או אז, הגיח הקטין </w:t>
      </w:r>
      <w:r w:rsidRPr="005310DC">
        <w:rPr>
          <w:rFonts w:ascii="Arial" w:hAnsi="Arial" w:hint="cs"/>
          <w:rtl/>
        </w:rPr>
        <w:t xml:space="preserve">מ.א.כ. (בכתב האישום נרשם בטעות: הקטין ס.א.כ.) </w:t>
      </w:r>
      <w:r>
        <w:rPr>
          <w:rFonts w:ascii="Arial" w:hAnsi="Arial" w:hint="cs"/>
          <w:rtl/>
        </w:rPr>
        <w:t>מאחורי חומה הסמוכה לתחנת האוטובוס, ניגש לרכבו של השוטר, הוציא מתחת לבגדיו שקית, שהכילה את הסם אותו קיבל מהנאשם כמפורט לעיל, העביר את הסם לנאשם והנאשם נתן את הסם לשוטר. במעמד זה, הגיעו שוטרים ועצרו את הנאשם ואת הקטינים.</w:t>
      </w:r>
    </w:p>
    <w:p w14:paraId="6F088480" w14:textId="77777777" w:rsidR="00414447" w:rsidRDefault="00414447" w:rsidP="00414447">
      <w:pPr>
        <w:spacing w:line="360" w:lineRule="auto"/>
        <w:jc w:val="both"/>
        <w:rPr>
          <w:rFonts w:ascii="Arial" w:hAnsi="Arial"/>
          <w:rtl/>
        </w:rPr>
      </w:pPr>
    </w:p>
    <w:p w14:paraId="34D02746" w14:textId="77777777" w:rsidR="00414447" w:rsidRDefault="00414447" w:rsidP="00414447">
      <w:pPr>
        <w:spacing w:line="360" w:lineRule="auto"/>
        <w:jc w:val="both"/>
        <w:rPr>
          <w:rFonts w:ascii="Arial" w:hAnsi="Arial"/>
          <w:rtl/>
        </w:rPr>
      </w:pPr>
      <w:r>
        <w:rPr>
          <w:rFonts w:ascii="Arial" w:hAnsi="Arial" w:hint="cs"/>
          <w:rtl/>
        </w:rPr>
        <w:t>בין הצדדים נערך הסדר טיעון, אשר לא כלל הסכמה לענין העונש, במסגרתו תוקן כתב האישום.</w:t>
      </w:r>
    </w:p>
    <w:p w14:paraId="307F7D2D" w14:textId="77777777" w:rsidR="00414447" w:rsidRDefault="00414447" w:rsidP="00414447">
      <w:pPr>
        <w:spacing w:line="360" w:lineRule="auto"/>
        <w:jc w:val="both"/>
        <w:rPr>
          <w:rFonts w:ascii="Arial" w:hAnsi="Arial"/>
          <w:rtl/>
        </w:rPr>
      </w:pPr>
    </w:p>
    <w:p w14:paraId="25F1EB89" w14:textId="77777777" w:rsidR="00414447" w:rsidRDefault="00414447" w:rsidP="00414447">
      <w:pPr>
        <w:spacing w:line="360" w:lineRule="auto"/>
        <w:jc w:val="both"/>
        <w:rPr>
          <w:rFonts w:ascii="Arial" w:hAnsi="Arial"/>
          <w:rtl/>
        </w:rPr>
      </w:pPr>
      <w:r>
        <w:rPr>
          <w:rFonts w:ascii="Arial" w:hAnsi="Arial" w:hint="cs"/>
          <w:rtl/>
        </w:rPr>
        <w:t>הנאשם הורשע על פי הודאתו בעבירות שבכתב האישום המתוקן, ובשל גילו, נשלח להערכת שירות המבחן למבוגרים.</w:t>
      </w:r>
    </w:p>
    <w:p w14:paraId="4CE5A57C" w14:textId="77777777" w:rsidR="00414447" w:rsidRDefault="00414447" w:rsidP="00414447">
      <w:pPr>
        <w:spacing w:line="360" w:lineRule="auto"/>
        <w:jc w:val="both"/>
        <w:rPr>
          <w:rFonts w:ascii="Arial" w:hAnsi="Arial"/>
          <w:rtl/>
        </w:rPr>
      </w:pPr>
    </w:p>
    <w:p w14:paraId="210A6129" w14:textId="77777777" w:rsidR="00414447" w:rsidRDefault="00414447" w:rsidP="00414447">
      <w:pPr>
        <w:spacing w:line="360" w:lineRule="auto"/>
        <w:jc w:val="both"/>
        <w:rPr>
          <w:rFonts w:ascii="Arial" w:hAnsi="Arial"/>
          <w:rtl/>
        </w:rPr>
      </w:pPr>
      <w:r>
        <w:rPr>
          <w:rFonts w:ascii="Arial" w:hAnsi="Arial" w:hint="cs"/>
          <w:rtl/>
        </w:rPr>
        <w:t>לאחר קבלת התסקירים, טענו הצדדים לעונש בפני חברי, כב' השופט יואב עטר, אשר הורה על הגשת תסקיר סופי בענינו של הנאשם, בטרם ייגזר דינו.</w:t>
      </w:r>
    </w:p>
    <w:p w14:paraId="263E36F1" w14:textId="77777777" w:rsidR="00414447" w:rsidRDefault="00414447" w:rsidP="00414447">
      <w:pPr>
        <w:spacing w:line="360" w:lineRule="auto"/>
        <w:jc w:val="both"/>
        <w:rPr>
          <w:rFonts w:ascii="Arial" w:hAnsi="Arial"/>
          <w:rtl/>
        </w:rPr>
      </w:pPr>
    </w:p>
    <w:p w14:paraId="3BCE753F" w14:textId="77777777" w:rsidR="00414447" w:rsidRDefault="00414447" w:rsidP="00414447">
      <w:pPr>
        <w:spacing w:line="360" w:lineRule="auto"/>
        <w:jc w:val="both"/>
        <w:rPr>
          <w:rFonts w:ascii="Arial" w:hAnsi="Arial"/>
          <w:rtl/>
        </w:rPr>
      </w:pPr>
      <w:r>
        <w:rPr>
          <w:rFonts w:ascii="Arial" w:hAnsi="Arial" w:hint="cs"/>
          <w:rtl/>
        </w:rPr>
        <w:t>לאחר הגשת התסקיר הסופי, ולאחר מינוי המותב הקודם לבית המשפט המחוזי, השלימו הצדדים טיעוניהם לעונש לפני מותב זה.</w:t>
      </w:r>
    </w:p>
    <w:p w14:paraId="7A74C67A" w14:textId="77777777" w:rsidR="00414447" w:rsidRDefault="00414447" w:rsidP="00414447">
      <w:pPr>
        <w:spacing w:line="360" w:lineRule="auto"/>
        <w:jc w:val="both"/>
        <w:rPr>
          <w:rFonts w:ascii="Arial" w:hAnsi="Arial"/>
          <w:rtl/>
        </w:rPr>
      </w:pPr>
    </w:p>
    <w:p w14:paraId="6CEF394B" w14:textId="77777777" w:rsidR="00414447" w:rsidRDefault="00414447" w:rsidP="00414447">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3075DF91" w14:textId="77777777" w:rsidR="00414447" w:rsidRDefault="00414447" w:rsidP="00414447">
      <w:pPr>
        <w:spacing w:line="360" w:lineRule="auto"/>
        <w:jc w:val="both"/>
        <w:rPr>
          <w:rFonts w:ascii="Arial" w:hAnsi="Arial"/>
          <w:rtl/>
        </w:rPr>
      </w:pPr>
    </w:p>
    <w:p w14:paraId="350E981D" w14:textId="77777777" w:rsidR="00414447" w:rsidRDefault="00414447" w:rsidP="00414447">
      <w:pPr>
        <w:spacing w:line="360" w:lineRule="auto"/>
        <w:jc w:val="both"/>
        <w:rPr>
          <w:rFonts w:ascii="Arial" w:hAnsi="Arial"/>
          <w:rtl/>
        </w:rPr>
      </w:pPr>
      <w:r>
        <w:rPr>
          <w:rFonts w:ascii="Arial" w:hAnsi="Arial" w:hint="cs"/>
          <w:b/>
          <w:bCs/>
          <w:rtl/>
        </w:rPr>
        <w:t>ראיות לעונש</w:t>
      </w:r>
    </w:p>
    <w:p w14:paraId="0BEE7398" w14:textId="77777777" w:rsidR="00414447" w:rsidRDefault="00414447" w:rsidP="00414447">
      <w:pPr>
        <w:spacing w:line="360" w:lineRule="auto"/>
        <w:jc w:val="both"/>
        <w:rPr>
          <w:rFonts w:ascii="Arial" w:hAnsi="Arial"/>
          <w:rtl/>
        </w:rPr>
      </w:pPr>
    </w:p>
    <w:p w14:paraId="55D546A4" w14:textId="77777777" w:rsidR="00414447" w:rsidRDefault="00414447" w:rsidP="00414447">
      <w:pPr>
        <w:spacing w:line="360" w:lineRule="auto"/>
        <w:jc w:val="both"/>
        <w:rPr>
          <w:rFonts w:ascii="Arial" w:hAnsi="Arial"/>
          <w:rtl/>
        </w:rPr>
      </w:pPr>
      <w:r>
        <w:rPr>
          <w:rFonts w:ascii="Arial" w:hAnsi="Arial" w:hint="cs"/>
          <w:rtl/>
        </w:rPr>
        <w:t>מי מהצדדים לא הגיש ראיות לענין העונש.</w:t>
      </w:r>
    </w:p>
    <w:p w14:paraId="7203D2CC" w14:textId="77777777" w:rsidR="00414447" w:rsidRDefault="00414447" w:rsidP="00414447">
      <w:pPr>
        <w:spacing w:line="360" w:lineRule="auto"/>
        <w:jc w:val="both"/>
        <w:rPr>
          <w:rFonts w:ascii="Arial" w:hAnsi="Arial"/>
          <w:rtl/>
        </w:rPr>
      </w:pPr>
    </w:p>
    <w:p w14:paraId="17BAD86B" w14:textId="77777777" w:rsidR="00414447" w:rsidRDefault="00414447" w:rsidP="00414447">
      <w:pPr>
        <w:spacing w:line="360" w:lineRule="auto"/>
        <w:jc w:val="both"/>
        <w:rPr>
          <w:rFonts w:ascii="Arial" w:hAnsi="Arial"/>
          <w:rtl/>
        </w:rPr>
      </w:pPr>
    </w:p>
    <w:p w14:paraId="760D4188" w14:textId="77777777" w:rsidR="00414447" w:rsidRPr="00812B02" w:rsidRDefault="00414447" w:rsidP="00414447">
      <w:pPr>
        <w:spacing w:line="360" w:lineRule="auto"/>
        <w:jc w:val="both"/>
        <w:rPr>
          <w:rFonts w:ascii="Arial" w:hAnsi="Arial"/>
          <w:rtl/>
        </w:rPr>
      </w:pPr>
      <w:r>
        <w:rPr>
          <w:rFonts w:ascii="Arial" w:hAnsi="Arial" w:hint="cs"/>
          <w:b/>
          <w:bCs/>
          <w:rtl/>
        </w:rPr>
        <w:t>הערכת שירות המבחן למבוגרים</w:t>
      </w:r>
    </w:p>
    <w:p w14:paraId="7597F53D" w14:textId="77777777" w:rsidR="00414447" w:rsidRDefault="00414447" w:rsidP="00414447">
      <w:pPr>
        <w:spacing w:line="360" w:lineRule="auto"/>
        <w:jc w:val="both"/>
        <w:rPr>
          <w:rFonts w:ascii="Arial" w:hAnsi="Arial"/>
          <w:rtl/>
        </w:rPr>
      </w:pPr>
    </w:p>
    <w:p w14:paraId="61A828A8" w14:textId="77777777" w:rsidR="00414447" w:rsidRDefault="00414447" w:rsidP="00414447">
      <w:pPr>
        <w:spacing w:line="360" w:lineRule="auto"/>
        <w:jc w:val="both"/>
        <w:rPr>
          <w:rFonts w:ascii="Arial" w:hAnsi="Arial"/>
          <w:rtl/>
        </w:rPr>
      </w:pPr>
      <w:r>
        <w:rPr>
          <w:rFonts w:ascii="Arial" w:hAnsi="Arial" w:hint="cs"/>
          <w:rtl/>
        </w:rPr>
        <w:t xml:space="preserve">בענינו של הנאשם הוגשו מספר תסקירים. </w:t>
      </w:r>
    </w:p>
    <w:p w14:paraId="0B2CACD8" w14:textId="77777777" w:rsidR="00414447" w:rsidRDefault="00414447" w:rsidP="00414447">
      <w:pPr>
        <w:spacing w:line="360" w:lineRule="auto"/>
        <w:jc w:val="both"/>
        <w:rPr>
          <w:rFonts w:ascii="Arial" w:hAnsi="Arial"/>
          <w:rtl/>
        </w:rPr>
      </w:pPr>
    </w:p>
    <w:p w14:paraId="4BEF9EF4" w14:textId="77777777" w:rsidR="00414447" w:rsidRDefault="00414447" w:rsidP="00414447">
      <w:pPr>
        <w:spacing w:line="360" w:lineRule="auto"/>
        <w:jc w:val="both"/>
        <w:rPr>
          <w:rFonts w:ascii="Arial" w:hAnsi="Arial"/>
          <w:rtl/>
        </w:rPr>
      </w:pPr>
      <w:r>
        <w:rPr>
          <w:rFonts w:ascii="Arial" w:hAnsi="Arial" w:hint="cs"/>
          <w:rtl/>
        </w:rPr>
        <w:t>הנאשם, כבן 19 שנים בעת עריכת התסקיר הראשון, מתגורר עם משפחתו בפזורה הבדואית שבט אל עזאזמה, אינו עובד.</w:t>
      </w:r>
    </w:p>
    <w:p w14:paraId="42B1D13B" w14:textId="77777777" w:rsidR="00414447" w:rsidRDefault="00414447" w:rsidP="00414447">
      <w:pPr>
        <w:spacing w:line="360" w:lineRule="auto"/>
        <w:jc w:val="both"/>
        <w:rPr>
          <w:rFonts w:ascii="Arial" w:hAnsi="Arial"/>
          <w:rtl/>
        </w:rPr>
      </w:pPr>
    </w:p>
    <w:p w14:paraId="3AB48F10" w14:textId="77777777" w:rsidR="00414447" w:rsidRDefault="00414447" w:rsidP="00414447">
      <w:pPr>
        <w:spacing w:line="360" w:lineRule="auto"/>
        <w:jc w:val="both"/>
        <w:rPr>
          <w:rFonts w:ascii="Arial" w:hAnsi="Arial"/>
          <w:rtl/>
        </w:rPr>
      </w:pPr>
      <w:r>
        <w:rPr>
          <w:rFonts w:ascii="Arial" w:hAnsi="Arial" w:hint="cs"/>
          <w:rtl/>
        </w:rPr>
        <w:t>הנאשם סיים 12 שנות לימוד, כאשר לדבריו, התמודד עם קושי בכתיבה ויודע קרוא וכתוב בשפה הערבית.</w:t>
      </w:r>
    </w:p>
    <w:p w14:paraId="3BE12F5B" w14:textId="77777777" w:rsidR="00414447" w:rsidRDefault="00414447" w:rsidP="00414447">
      <w:pPr>
        <w:spacing w:line="360" w:lineRule="auto"/>
        <w:jc w:val="both"/>
        <w:rPr>
          <w:rFonts w:ascii="Arial" w:hAnsi="Arial"/>
          <w:rtl/>
        </w:rPr>
      </w:pPr>
    </w:p>
    <w:p w14:paraId="48E28808" w14:textId="77777777" w:rsidR="00414447" w:rsidRDefault="00414447" w:rsidP="00414447">
      <w:pPr>
        <w:spacing w:line="360" w:lineRule="auto"/>
        <w:jc w:val="both"/>
        <w:rPr>
          <w:rFonts w:ascii="Arial" w:hAnsi="Arial"/>
          <w:rtl/>
        </w:rPr>
      </w:pPr>
      <w:r>
        <w:rPr>
          <w:rFonts w:ascii="Arial" w:hAnsi="Arial" w:hint="cs"/>
          <w:rtl/>
        </w:rPr>
        <w:t>הנאשם נעדר עבר פלילי.</w:t>
      </w:r>
    </w:p>
    <w:p w14:paraId="358969CF" w14:textId="77777777" w:rsidR="00414447" w:rsidRDefault="00414447" w:rsidP="00414447">
      <w:pPr>
        <w:spacing w:line="360" w:lineRule="auto"/>
        <w:jc w:val="both"/>
        <w:rPr>
          <w:rFonts w:ascii="Arial" w:hAnsi="Arial"/>
          <w:rtl/>
        </w:rPr>
      </w:pPr>
    </w:p>
    <w:p w14:paraId="73ACE7F0" w14:textId="77777777" w:rsidR="00414447" w:rsidRDefault="00414447" w:rsidP="00414447">
      <w:pPr>
        <w:spacing w:line="360" w:lineRule="auto"/>
        <w:jc w:val="both"/>
        <w:rPr>
          <w:rFonts w:ascii="Arial" w:hAnsi="Arial"/>
          <w:rtl/>
        </w:rPr>
      </w:pPr>
      <w:r>
        <w:rPr>
          <w:rFonts w:ascii="Arial" w:hAnsi="Arial" w:hint="cs"/>
          <w:rtl/>
        </w:rPr>
        <w:t>הנאשם הודה בעבירה. לדבריו, מצא שקית עם סמים קרוב לביתו, והבין שבתחום עסקאות הסמים טמון כסף רב, לכן, החליט למכור את הסמים שמצא.</w:t>
      </w:r>
    </w:p>
    <w:p w14:paraId="4B4AD5CD" w14:textId="77777777" w:rsidR="00414447" w:rsidRDefault="00414447" w:rsidP="00414447">
      <w:pPr>
        <w:spacing w:line="360" w:lineRule="auto"/>
        <w:jc w:val="both"/>
        <w:rPr>
          <w:rFonts w:ascii="Arial" w:hAnsi="Arial"/>
          <w:rtl/>
        </w:rPr>
      </w:pPr>
    </w:p>
    <w:p w14:paraId="10F8FDCE" w14:textId="77777777" w:rsidR="00414447" w:rsidRDefault="00414447" w:rsidP="00414447">
      <w:pPr>
        <w:spacing w:line="360" w:lineRule="auto"/>
        <w:jc w:val="both"/>
        <w:rPr>
          <w:rFonts w:ascii="Arial" w:hAnsi="Arial"/>
          <w:rtl/>
        </w:rPr>
      </w:pPr>
      <w:r>
        <w:rPr>
          <w:rFonts w:ascii="Arial" w:hAnsi="Arial" w:hint="cs"/>
          <w:rtl/>
        </w:rPr>
        <w:t>לדבריו של הנאשם, לא היה מעורב בעסקאות סמים, למעט אלו המפורטות בכתב האישום. הנאשם תיאר, כי הוא יודע שהוא עבר על החוק, אך לא הבין את ההשלכות של מעשיו. כן הוסיף, כי בעסקה השניה, היו עמו שני בני דודיו, אך הם לא היו חלק מעסקאותיו.</w:t>
      </w:r>
    </w:p>
    <w:p w14:paraId="3B2D83A1" w14:textId="77777777" w:rsidR="00414447" w:rsidRDefault="00414447" w:rsidP="00414447">
      <w:pPr>
        <w:spacing w:line="360" w:lineRule="auto"/>
        <w:jc w:val="both"/>
        <w:rPr>
          <w:rFonts w:ascii="Arial" w:hAnsi="Arial"/>
          <w:rtl/>
        </w:rPr>
      </w:pPr>
    </w:p>
    <w:p w14:paraId="5C1F8F61" w14:textId="77777777" w:rsidR="00414447" w:rsidRDefault="00414447" w:rsidP="00414447">
      <w:pPr>
        <w:spacing w:line="360" w:lineRule="auto"/>
        <w:jc w:val="both"/>
        <w:rPr>
          <w:rFonts w:ascii="Arial" w:hAnsi="Arial"/>
          <w:rtl/>
        </w:rPr>
      </w:pPr>
      <w:r>
        <w:rPr>
          <w:rFonts w:ascii="Arial" w:hAnsi="Arial" w:hint="cs"/>
          <w:rtl/>
        </w:rPr>
        <w:t>הנאשם שלל שימוש בחומרים ממכרים ומסר שתי בדיקות לאיתור שרידי סם, אשר יצאו שליליות.</w:t>
      </w:r>
    </w:p>
    <w:p w14:paraId="41CC588D" w14:textId="77777777" w:rsidR="00414447" w:rsidRDefault="00414447" w:rsidP="00414447">
      <w:pPr>
        <w:spacing w:line="360" w:lineRule="auto"/>
        <w:jc w:val="both"/>
        <w:rPr>
          <w:rFonts w:ascii="Arial" w:hAnsi="Arial"/>
          <w:rtl/>
        </w:rPr>
      </w:pPr>
    </w:p>
    <w:p w14:paraId="576DEAAB" w14:textId="77777777" w:rsidR="00414447" w:rsidRDefault="00414447" w:rsidP="00414447">
      <w:pPr>
        <w:spacing w:line="360" w:lineRule="auto"/>
        <w:jc w:val="both"/>
        <w:rPr>
          <w:rFonts w:ascii="Arial" w:hAnsi="Arial"/>
          <w:rtl/>
        </w:rPr>
      </w:pPr>
      <w:r>
        <w:rPr>
          <w:rFonts w:ascii="Arial" w:hAnsi="Arial" w:hint="cs"/>
          <w:rtl/>
        </w:rPr>
        <w:t>שירות המבחן התרשם, כי הנאשם נוטה לטשטש ולערפל את נסיבות העבירה והתרשם מנזקקות להתערבות טיפולית, אשר תסייע לו בהעמקת תהליך התבוננות עצמית ורכישת כלים להתמודדות במישורי החיים השונים.</w:t>
      </w:r>
    </w:p>
    <w:p w14:paraId="2ED08CF8" w14:textId="77777777" w:rsidR="00414447" w:rsidRDefault="00414447" w:rsidP="00414447">
      <w:pPr>
        <w:spacing w:line="360" w:lineRule="auto"/>
        <w:jc w:val="both"/>
        <w:rPr>
          <w:rFonts w:ascii="Arial" w:hAnsi="Arial"/>
          <w:rtl/>
        </w:rPr>
      </w:pPr>
    </w:p>
    <w:p w14:paraId="11BCE0AF" w14:textId="77777777" w:rsidR="00414447" w:rsidRDefault="00414447" w:rsidP="00414447">
      <w:pPr>
        <w:spacing w:line="360" w:lineRule="auto"/>
        <w:jc w:val="both"/>
        <w:rPr>
          <w:rFonts w:ascii="Arial" w:hAnsi="Arial"/>
          <w:rtl/>
        </w:rPr>
      </w:pPr>
      <w:r>
        <w:rPr>
          <w:rFonts w:ascii="Arial" w:hAnsi="Arial" w:hint="cs"/>
          <w:rtl/>
        </w:rPr>
        <w:t>הנאשם הופנה להליך טיפולי. בתסקירים מיום 14.08.19; 02.01.20; 24.05.20; 17.11.20 - עדכן שירות המבחן אודות שיתוף הפעולה של הנאשם בהליך הטיפולי ובא בהמלצה על ענישה שיקומית.</w:t>
      </w:r>
    </w:p>
    <w:p w14:paraId="16046435" w14:textId="77777777" w:rsidR="00414447" w:rsidRDefault="00414447" w:rsidP="00414447">
      <w:pPr>
        <w:spacing w:line="360" w:lineRule="auto"/>
        <w:jc w:val="both"/>
        <w:rPr>
          <w:rFonts w:ascii="Arial" w:hAnsi="Arial"/>
          <w:rtl/>
        </w:rPr>
      </w:pPr>
    </w:p>
    <w:p w14:paraId="4184F56F" w14:textId="77777777" w:rsidR="00414447" w:rsidRDefault="00414447" w:rsidP="00414447">
      <w:pPr>
        <w:spacing w:line="360" w:lineRule="auto"/>
        <w:jc w:val="both"/>
        <w:rPr>
          <w:rFonts w:ascii="Arial" w:hAnsi="Arial"/>
          <w:rtl/>
        </w:rPr>
      </w:pPr>
      <w:r>
        <w:rPr>
          <w:rFonts w:ascii="Arial" w:hAnsi="Arial" w:hint="cs"/>
          <w:rtl/>
        </w:rPr>
        <w:t>עם זאת, בתסקיר שהוגש ביום 06.04.21, הודיע שירות המבחן, כי הנאשם לפתע ניתק את הקשר עמם. בשיחה שקיימו עם אביו של הנאשם, מסר האחרון, כי הנאשם מבלה את מרבית היום בשינה ואינו יוצא מהבית.</w:t>
      </w:r>
    </w:p>
    <w:p w14:paraId="24C8754C" w14:textId="77777777" w:rsidR="00414447" w:rsidRDefault="00414447" w:rsidP="00414447">
      <w:pPr>
        <w:spacing w:line="360" w:lineRule="auto"/>
        <w:jc w:val="both"/>
        <w:rPr>
          <w:rFonts w:ascii="Arial" w:hAnsi="Arial"/>
          <w:rtl/>
        </w:rPr>
      </w:pPr>
    </w:p>
    <w:p w14:paraId="3948B382" w14:textId="77777777" w:rsidR="00414447" w:rsidRDefault="00414447" w:rsidP="00414447">
      <w:pPr>
        <w:spacing w:line="360" w:lineRule="auto"/>
        <w:jc w:val="both"/>
        <w:rPr>
          <w:rFonts w:ascii="Arial" w:hAnsi="Arial"/>
          <w:rtl/>
        </w:rPr>
      </w:pPr>
      <w:r>
        <w:rPr>
          <w:rFonts w:ascii="Arial" w:hAnsi="Arial" w:hint="cs"/>
          <w:rtl/>
        </w:rPr>
        <w:t>לפיכך, הודיע שירות המבחן, כי הנאשם מתקשה להתמיד בהליך הטיפולי וחזר בו מהמלצתו השיקומית. חלף המלצה זו, המליץ שירות המבחן על ענישה מציבה גבול , בדמות מאסר בפועל לריצוי בדרך של עבודות שירות, וזאת מתוך התחשבות בהליך הטיפולי שבכל זאת עבר עד כה.</w:t>
      </w:r>
    </w:p>
    <w:p w14:paraId="351B6655" w14:textId="77777777" w:rsidR="00414447" w:rsidRDefault="00414447" w:rsidP="00414447">
      <w:pPr>
        <w:spacing w:line="360" w:lineRule="auto"/>
        <w:jc w:val="both"/>
        <w:rPr>
          <w:rFonts w:ascii="Arial" w:hAnsi="Arial"/>
          <w:rtl/>
        </w:rPr>
      </w:pPr>
    </w:p>
    <w:p w14:paraId="77319820" w14:textId="77777777" w:rsidR="00414447" w:rsidRDefault="00414447" w:rsidP="00414447">
      <w:pPr>
        <w:spacing w:line="360" w:lineRule="auto"/>
        <w:jc w:val="both"/>
        <w:rPr>
          <w:rFonts w:ascii="Arial" w:hAnsi="Arial"/>
          <w:rtl/>
        </w:rPr>
      </w:pPr>
      <w:r>
        <w:rPr>
          <w:rFonts w:ascii="Arial" w:hAnsi="Arial" w:hint="cs"/>
          <w:rtl/>
        </w:rPr>
        <w:t>בהודעת עדכון מיום 27.10.21, שב שירות המבחן על המלצתו, והמליץ, בנוסף, על העמדת הנאשם במבחן למשך חצי שנה.</w:t>
      </w:r>
    </w:p>
    <w:p w14:paraId="44A60E3E" w14:textId="77777777" w:rsidR="00414447" w:rsidRDefault="00414447" w:rsidP="00414447">
      <w:pPr>
        <w:spacing w:line="360" w:lineRule="auto"/>
        <w:jc w:val="both"/>
        <w:rPr>
          <w:rFonts w:ascii="Arial" w:hAnsi="Arial"/>
          <w:rtl/>
        </w:rPr>
      </w:pPr>
    </w:p>
    <w:p w14:paraId="317D3BDD" w14:textId="77777777" w:rsidR="00414447" w:rsidRDefault="00414447" w:rsidP="00414447">
      <w:pPr>
        <w:spacing w:line="360" w:lineRule="auto"/>
        <w:jc w:val="both"/>
        <w:rPr>
          <w:rFonts w:ascii="Arial" w:hAnsi="Arial"/>
          <w:rtl/>
        </w:rPr>
      </w:pPr>
      <w:r>
        <w:rPr>
          <w:rFonts w:ascii="Arial" w:hAnsi="Arial" w:hint="cs"/>
          <w:rtl/>
        </w:rPr>
        <w:t>בהודעת עדכון מיום 24.02.22, מסר שירות המבחן, כי הטלת צו מבחן התייתרה היות שאין בידם לסייע לנאשם בתחום כלשהו בחייו. שירות המבחן הודיע כי מחד, הנאשם סיים בהצלחה את הקבוצה הטיפולית, אך מנגד, כי הגיע רק למחצית מהמפגשים בקבוצה. על כן, נתבקש שירות המבחן, שבהחלטה של המותב הקודם, להעביר פעם נוספת את תסקירו.</w:t>
      </w:r>
    </w:p>
    <w:p w14:paraId="2C6E50DF" w14:textId="77777777" w:rsidR="00414447" w:rsidRDefault="00414447" w:rsidP="00414447">
      <w:pPr>
        <w:spacing w:line="360" w:lineRule="auto"/>
        <w:jc w:val="both"/>
        <w:rPr>
          <w:rFonts w:ascii="Arial" w:hAnsi="Arial"/>
          <w:rtl/>
        </w:rPr>
      </w:pPr>
    </w:p>
    <w:p w14:paraId="1F214EB5" w14:textId="77777777" w:rsidR="00414447" w:rsidRDefault="00414447" w:rsidP="00414447">
      <w:pPr>
        <w:spacing w:line="360" w:lineRule="auto"/>
        <w:jc w:val="both"/>
        <w:rPr>
          <w:rFonts w:ascii="Arial" w:hAnsi="Arial"/>
          <w:rtl/>
        </w:rPr>
      </w:pPr>
      <w:r>
        <w:rPr>
          <w:rFonts w:ascii="Arial" w:hAnsi="Arial" w:hint="cs"/>
          <w:rtl/>
        </w:rPr>
        <w:t>בהודעת הבהרה ותסקיר סופי מיום 14.04.22 מסר שירות המבחן, כי הנאשם אכן התייצב רק למחצית המפגשים, אך הפיק תועלת מהמפגשים בהם נכח ולכן ניתן לראות בו שסיים בהצלחה את הקבוצה הטיפולית. שירות המבחן שב על המלצתו על הטלת מאסר לריצוי בדרך של עבודות שירות, לאור השינוי שערך הנאשם בחייו.</w:t>
      </w:r>
    </w:p>
    <w:p w14:paraId="5BD54B78" w14:textId="77777777" w:rsidR="00414447" w:rsidRDefault="00414447" w:rsidP="00414447">
      <w:pPr>
        <w:spacing w:line="360" w:lineRule="auto"/>
        <w:jc w:val="both"/>
        <w:rPr>
          <w:rFonts w:ascii="Arial" w:hAnsi="Arial"/>
          <w:rtl/>
        </w:rPr>
      </w:pPr>
    </w:p>
    <w:p w14:paraId="20BD3301" w14:textId="77777777" w:rsidR="00414447" w:rsidRDefault="00414447" w:rsidP="00414447">
      <w:pPr>
        <w:spacing w:line="360" w:lineRule="auto"/>
        <w:jc w:val="both"/>
        <w:rPr>
          <w:rFonts w:ascii="Arial" w:hAnsi="Arial"/>
          <w:rtl/>
        </w:rPr>
      </w:pPr>
      <w:r>
        <w:rPr>
          <w:rFonts w:ascii="Arial" w:hAnsi="Arial" w:hint="cs"/>
          <w:b/>
          <w:bCs/>
          <w:rtl/>
        </w:rPr>
        <w:t>חוות דעת הממונה על עבודות השירות בשב"ס</w:t>
      </w:r>
    </w:p>
    <w:p w14:paraId="155A833C" w14:textId="77777777" w:rsidR="00414447" w:rsidRDefault="00414447" w:rsidP="00414447">
      <w:pPr>
        <w:spacing w:line="360" w:lineRule="auto"/>
        <w:jc w:val="both"/>
        <w:rPr>
          <w:rFonts w:ascii="Arial" w:hAnsi="Arial"/>
          <w:rtl/>
        </w:rPr>
      </w:pPr>
    </w:p>
    <w:p w14:paraId="4C694E6B" w14:textId="77777777" w:rsidR="00414447" w:rsidRPr="00606636" w:rsidRDefault="00414447" w:rsidP="00414447">
      <w:pPr>
        <w:spacing w:line="360" w:lineRule="auto"/>
        <w:jc w:val="both"/>
        <w:rPr>
          <w:rFonts w:ascii="Arial" w:hAnsi="Arial"/>
          <w:rtl/>
        </w:rPr>
      </w:pPr>
      <w:r>
        <w:rPr>
          <w:rFonts w:ascii="Arial" w:hAnsi="Arial" w:hint="cs"/>
          <w:rtl/>
        </w:rPr>
        <w:t>הנאשם נמצא מתאים לריצוי עונשו בדרך של עבודות שירות תחת מגבלות.</w:t>
      </w:r>
    </w:p>
    <w:p w14:paraId="7EF22C7E" w14:textId="77777777" w:rsidR="00414447" w:rsidRDefault="00414447" w:rsidP="00414447">
      <w:pPr>
        <w:spacing w:line="360" w:lineRule="auto"/>
        <w:jc w:val="both"/>
        <w:rPr>
          <w:rFonts w:ascii="Arial" w:hAnsi="Arial"/>
          <w:rtl/>
        </w:rPr>
      </w:pPr>
    </w:p>
    <w:p w14:paraId="2BA1E4DF" w14:textId="77777777" w:rsidR="00414447" w:rsidRDefault="00414447" w:rsidP="00414447">
      <w:pPr>
        <w:spacing w:line="360" w:lineRule="auto"/>
        <w:jc w:val="both"/>
        <w:rPr>
          <w:rFonts w:ascii="Arial" w:hAnsi="Arial"/>
          <w:rtl/>
        </w:rPr>
      </w:pPr>
    </w:p>
    <w:p w14:paraId="7CD605AA" w14:textId="77777777" w:rsidR="00414447" w:rsidRDefault="00414447" w:rsidP="00414447">
      <w:pPr>
        <w:spacing w:line="360" w:lineRule="auto"/>
        <w:jc w:val="both"/>
        <w:rPr>
          <w:rFonts w:ascii="Arial" w:hAnsi="Arial"/>
          <w:rtl/>
        </w:rPr>
      </w:pPr>
      <w:r>
        <w:rPr>
          <w:rFonts w:ascii="Arial" w:hAnsi="Arial" w:hint="cs"/>
          <w:b/>
          <w:bCs/>
          <w:rtl/>
        </w:rPr>
        <w:t>טענות הצדדים</w:t>
      </w:r>
    </w:p>
    <w:p w14:paraId="39A455FA" w14:textId="77777777" w:rsidR="00414447" w:rsidRDefault="00414447" w:rsidP="00414447">
      <w:pPr>
        <w:spacing w:line="360" w:lineRule="auto"/>
        <w:jc w:val="both"/>
        <w:rPr>
          <w:rFonts w:ascii="Arial" w:hAnsi="Arial"/>
          <w:rtl/>
        </w:rPr>
      </w:pPr>
    </w:p>
    <w:p w14:paraId="70831E2D" w14:textId="77777777" w:rsidR="00414447" w:rsidRDefault="00414447" w:rsidP="00414447">
      <w:pPr>
        <w:spacing w:line="360" w:lineRule="auto"/>
        <w:jc w:val="both"/>
        <w:rPr>
          <w:rFonts w:ascii="Arial" w:hAnsi="Arial"/>
          <w:rtl/>
        </w:rPr>
      </w:pPr>
      <w:r>
        <w:rPr>
          <w:rFonts w:ascii="Arial" w:hAnsi="Arial" w:hint="cs"/>
          <w:rtl/>
        </w:rPr>
        <w:t>ביום 06.06.21, נשמעו טיעוני הצדדים לענין העונש לפני חברי, כב' השופט י' עטר והתביעה הגישה טיעוניה בכתב.</w:t>
      </w:r>
    </w:p>
    <w:p w14:paraId="712993B0" w14:textId="77777777" w:rsidR="00414447" w:rsidRDefault="00414447" w:rsidP="00414447">
      <w:pPr>
        <w:spacing w:line="360" w:lineRule="auto"/>
        <w:jc w:val="both"/>
        <w:rPr>
          <w:rFonts w:ascii="Arial" w:hAnsi="Arial"/>
          <w:rtl/>
        </w:rPr>
      </w:pPr>
    </w:p>
    <w:p w14:paraId="6313C424" w14:textId="77777777" w:rsidR="00414447" w:rsidRDefault="00414447" w:rsidP="00414447">
      <w:pPr>
        <w:spacing w:line="360" w:lineRule="auto"/>
        <w:jc w:val="both"/>
        <w:rPr>
          <w:rFonts w:ascii="Arial" w:hAnsi="Arial"/>
          <w:rtl/>
        </w:rPr>
      </w:pPr>
      <w:r>
        <w:rPr>
          <w:rFonts w:ascii="Arial" w:hAnsi="Arial" w:hint="cs"/>
          <w:rtl/>
        </w:rPr>
        <w:t>ביום 17.05.22, השלימו הצדדים טיעוניהם לענין העונש לפני מותב זה, היות שהמותב הקודם מונה לבית המשפט המחוזי.</w:t>
      </w:r>
    </w:p>
    <w:p w14:paraId="08588700" w14:textId="77777777" w:rsidR="00414447" w:rsidRDefault="00414447" w:rsidP="00414447">
      <w:pPr>
        <w:spacing w:line="360" w:lineRule="auto"/>
        <w:jc w:val="both"/>
        <w:rPr>
          <w:rFonts w:ascii="Arial" w:hAnsi="Arial"/>
          <w:rtl/>
        </w:rPr>
      </w:pPr>
    </w:p>
    <w:p w14:paraId="473FD062" w14:textId="77777777" w:rsidR="00414447" w:rsidRDefault="00414447" w:rsidP="00414447">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(ת/1) והשלימה אותן על פה.</w:t>
      </w:r>
    </w:p>
    <w:p w14:paraId="762A2115" w14:textId="77777777" w:rsidR="00414447" w:rsidRDefault="00414447" w:rsidP="00414447">
      <w:pPr>
        <w:spacing w:line="360" w:lineRule="auto"/>
        <w:jc w:val="both"/>
        <w:rPr>
          <w:rFonts w:ascii="Arial" w:hAnsi="Arial"/>
          <w:rtl/>
        </w:rPr>
      </w:pPr>
    </w:p>
    <w:p w14:paraId="49440888" w14:textId="77777777" w:rsidR="00414447" w:rsidRDefault="00414447" w:rsidP="00414447">
      <w:pPr>
        <w:spacing w:line="360" w:lineRule="auto"/>
        <w:jc w:val="both"/>
        <w:rPr>
          <w:rFonts w:ascii="Arial" w:hAnsi="Arial"/>
          <w:rtl/>
        </w:rPr>
      </w:pPr>
      <w:r>
        <w:rPr>
          <w:rFonts w:ascii="Arial" w:hAnsi="Arial" w:hint="cs"/>
          <w:rtl/>
        </w:rPr>
        <w:t>התביעה טענה, כי נגע הסמים הינו אחד ממחוללי הפשיעה העיקריים ועמדה על הנזקים הנגרמים הן לצרכני הסמים, אשר נפגעת בריאותם ואף לעתים מוצאים את מותם בשל נטילת מנת יתר, והן לציבור, אשר לעתים, נפגע מעבירות אלימות ורכוש מצד צרכני הסמים המנסים לממן את רכישת הסם.</w:t>
      </w:r>
    </w:p>
    <w:p w14:paraId="52082471" w14:textId="77777777" w:rsidR="00414447" w:rsidRDefault="00414447" w:rsidP="00414447">
      <w:pPr>
        <w:spacing w:line="360" w:lineRule="auto"/>
        <w:jc w:val="both"/>
        <w:rPr>
          <w:rFonts w:ascii="Arial" w:hAnsi="Arial"/>
          <w:rtl/>
        </w:rPr>
      </w:pPr>
    </w:p>
    <w:p w14:paraId="1D6AF77E" w14:textId="77777777" w:rsidR="00414447" w:rsidRDefault="00414447" w:rsidP="00414447">
      <w:pPr>
        <w:spacing w:line="360" w:lineRule="auto"/>
        <w:jc w:val="both"/>
        <w:rPr>
          <w:rFonts w:ascii="Arial" w:hAnsi="Arial"/>
          <w:rtl/>
        </w:rPr>
      </w:pPr>
      <w:r>
        <w:rPr>
          <w:rFonts w:ascii="Arial" w:hAnsi="Arial" w:hint="cs"/>
          <w:rtl/>
        </w:rPr>
        <w:t>התביעה טענה, כי מעשי הנאשם פגעו פגיעה משמעותית בערכים המוגנים של שלום הציבור ובריאותו וכן הגנה על הציבור מפני פשיעה, זאת לאור כמות הסם וזמינותו.</w:t>
      </w:r>
    </w:p>
    <w:p w14:paraId="2BA55A97" w14:textId="77777777" w:rsidR="00414447" w:rsidRDefault="00414447" w:rsidP="00414447">
      <w:pPr>
        <w:spacing w:line="360" w:lineRule="auto"/>
        <w:jc w:val="both"/>
        <w:rPr>
          <w:rFonts w:ascii="Arial" w:hAnsi="Arial"/>
          <w:rtl/>
        </w:rPr>
      </w:pPr>
    </w:p>
    <w:p w14:paraId="01912714" w14:textId="77777777" w:rsidR="00414447" w:rsidRDefault="00414447" w:rsidP="00414447">
      <w:pPr>
        <w:spacing w:line="360" w:lineRule="auto"/>
        <w:jc w:val="both"/>
        <w:rPr>
          <w:rFonts w:ascii="Arial" w:hAnsi="Arial"/>
          <w:rtl/>
        </w:rPr>
      </w:pPr>
      <w:r>
        <w:rPr>
          <w:rFonts w:ascii="Arial" w:hAnsi="Arial" w:hint="cs"/>
          <w:rtl/>
        </w:rPr>
        <w:t>התביעה טענה, כי זמינות הסם מלמדת על מעורבות הנאשם בסמים וכי אין מדובר באירוע חד פעמי אלא דפוס חוזר, ופרנסה מסחר בסמים.</w:t>
      </w:r>
    </w:p>
    <w:p w14:paraId="3894E409" w14:textId="77777777" w:rsidR="00414447" w:rsidRDefault="00414447" w:rsidP="00414447">
      <w:pPr>
        <w:spacing w:line="360" w:lineRule="auto"/>
        <w:jc w:val="both"/>
        <w:rPr>
          <w:rFonts w:ascii="Arial" w:hAnsi="Arial"/>
          <w:rtl/>
        </w:rPr>
      </w:pPr>
    </w:p>
    <w:p w14:paraId="42FD08D5" w14:textId="77777777" w:rsidR="00414447" w:rsidRDefault="00414447" w:rsidP="00414447">
      <w:pPr>
        <w:spacing w:line="360" w:lineRule="auto"/>
        <w:jc w:val="both"/>
        <w:rPr>
          <w:rFonts w:ascii="Arial" w:hAnsi="Arial"/>
          <w:rtl/>
        </w:rPr>
      </w:pPr>
      <w:r>
        <w:rPr>
          <w:rFonts w:ascii="Arial" w:hAnsi="Arial" w:hint="cs"/>
          <w:rtl/>
        </w:rPr>
        <w:t>התביעה טענה, כי בעבירות סמים, גובר האינטרס הציבורי על פני שיקולי שיקום הנאשם.</w:t>
      </w:r>
    </w:p>
    <w:p w14:paraId="0048B756" w14:textId="77777777" w:rsidR="00414447" w:rsidRDefault="00414447" w:rsidP="00414447">
      <w:pPr>
        <w:spacing w:line="360" w:lineRule="auto"/>
        <w:jc w:val="both"/>
        <w:rPr>
          <w:rFonts w:ascii="Arial" w:hAnsi="Arial"/>
          <w:rtl/>
        </w:rPr>
      </w:pPr>
    </w:p>
    <w:p w14:paraId="00AE1D90" w14:textId="77777777" w:rsidR="00414447" w:rsidRDefault="00414447" w:rsidP="00414447">
      <w:pPr>
        <w:spacing w:line="360" w:lineRule="auto"/>
        <w:jc w:val="both"/>
        <w:rPr>
          <w:rFonts w:ascii="Arial" w:hAnsi="Arial"/>
          <w:rtl/>
        </w:rPr>
      </w:pPr>
      <w:r>
        <w:rPr>
          <w:rFonts w:ascii="Arial" w:hAnsi="Arial" w:hint="cs"/>
          <w:rtl/>
        </w:rPr>
        <w:t>התביעה ביקשה לייחס משקל לחומרה לכך שהנאשם הפעיל קטינים וסיפק להם את הסם שהם העבירו לשוטר.</w:t>
      </w:r>
    </w:p>
    <w:p w14:paraId="32B0BD16" w14:textId="77777777" w:rsidR="00414447" w:rsidRDefault="00414447" w:rsidP="00414447">
      <w:pPr>
        <w:spacing w:line="360" w:lineRule="auto"/>
        <w:jc w:val="both"/>
        <w:rPr>
          <w:rFonts w:ascii="Arial" w:hAnsi="Arial"/>
          <w:rtl/>
        </w:rPr>
      </w:pPr>
    </w:p>
    <w:p w14:paraId="4152B771" w14:textId="77777777" w:rsidR="00414447" w:rsidRDefault="00414447" w:rsidP="00414447">
      <w:pPr>
        <w:spacing w:line="360" w:lineRule="auto"/>
        <w:jc w:val="both"/>
        <w:rPr>
          <w:rFonts w:ascii="Arial" w:hAnsi="Arial"/>
          <w:rtl/>
        </w:rPr>
      </w:pPr>
      <w:r>
        <w:rPr>
          <w:rFonts w:ascii="Arial" w:hAnsi="Arial" w:hint="cs"/>
          <w:rtl/>
        </w:rPr>
        <w:t>התביעה הפנתה לתסקירי שירות המבחן למבוגרים וטענה, כי בפועל, היה ניסיון לשלב את הנאשם בהליך טיפולי שלא צלח גם לאחר שבית המשפט העניק לנאשם מספר רב של הזדמנויות להשתלב בו.</w:t>
      </w:r>
    </w:p>
    <w:p w14:paraId="1D543CED" w14:textId="77777777" w:rsidR="00414447" w:rsidRDefault="00414447" w:rsidP="00414447">
      <w:pPr>
        <w:spacing w:line="360" w:lineRule="auto"/>
        <w:jc w:val="both"/>
        <w:rPr>
          <w:rFonts w:ascii="Arial" w:hAnsi="Arial"/>
          <w:rtl/>
        </w:rPr>
      </w:pPr>
    </w:p>
    <w:p w14:paraId="43B1FF87" w14:textId="77777777" w:rsidR="00414447" w:rsidRDefault="00414447" w:rsidP="00414447">
      <w:pPr>
        <w:spacing w:line="360" w:lineRule="auto"/>
        <w:jc w:val="both"/>
        <w:rPr>
          <w:rFonts w:ascii="Arial" w:hAnsi="Arial"/>
          <w:rtl/>
        </w:rPr>
      </w:pPr>
      <w:r>
        <w:rPr>
          <w:rFonts w:ascii="Arial" w:hAnsi="Arial" w:hint="cs"/>
          <w:rtl/>
        </w:rPr>
        <w:t>התביעה טענה, כי מאחר שמדובר בשתי עסקאות, אשר נעשו בזמנים שונים, ובנסיבות שונות, יש לקבוע מתחמי ענישה שונים, ועתרה למתחמים כדלקמן:</w:t>
      </w:r>
    </w:p>
    <w:p w14:paraId="1EA4B70F" w14:textId="77777777" w:rsidR="00414447" w:rsidRDefault="00414447" w:rsidP="00414447">
      <w:pPr>
        <w:spacing w:line="360" w:lineRule="auto"/>
        <w:jc w:val="both"/>
        <w:rPr>
          <w:rFonts w:ascii="Arial" w:hAnsi="Arial"/>
          <w:rtl/>
        </w:rPr>
      </w:pPr>
    </w:p>
    <w:p w14:paraId="300F8C33" w14:textId="77777777" w:rsidR="00414447" w:rsidRDefault="00414447" w:rsidP="00414447">
      <w:pPr>
        <w:spacing w:line="360" w:lineRule="auto"/>
        <w:jc w:val="both"/>
        <w:rPr>
          <w:rFonts w:ascii="Arial" w:hAnsi="Arial"/>
          <w:rtl/>
        </w:rPr>
      </w:pPr>
      <w:r>
        <w:rPr>
          <w:rFonts w:ascii="Arial" w:hAnsi="Arial" w:hint="cs"/>
          <w:rtl/>
        </w:rPr>
        <w:t>ביחס לאירוע הראשון, מתחם ענישה הנע בין 7 עד 13 חודשי מאסר בפועל.</w:t>
      </w:r>
    </w:p>
    <w:p w14:paraId="5F823A85" w14:textId="77777777" w:rsidR="00414447" w:rsidRDefault="00414447" w:rsidP="00414447">
      <w:pPr>
        <w:spacing w:line="360" w:lineRule="auto"/>
        <w:jc w:val="both"/>
        <w:rPr>
          <w:rFonts w:ascii="Arial" w:hAnsi="Arial"/>
          <w:rtl/>
        </w:rPr>
      </w:pPr>
    </w:p>
    <w:p w14:paraId="220BF0C9" w14:textId="77777777" w:rsidR="00414447" w:rsidRDefault="00414447" w:rsidP="00414447">
      <w:pPr>
        <w:spacing w:line="360" w:lineRule="auto"/>
        <w:jc w:val="both"/>
        <w:rPr>
          <w:rFonts w:ascii="Arial" w:hAnsi="Arial"/>
          <w:rtl/>
        </w:rPr>
      </w:pPr>
      <w:r>
        <w:rPr>
          <w:rFonts w:ascii="Arial" w:hAnsi="Arial" w:hint="cs"/>
          <w:rtl/>
        </w:rPr>
        <w:t>ביחס לאירוע השני, בו הדיח הנאשם קטינים בנוסף לעסקת הסחר, מתחם ענישה הנע בין 12 עד 22 חודשי מאסר בפועל.</w:t>
      </w:r>
    </w:p>
    <w:p w14:paraId="3F211B26" w14:textId="77777777" w:rsidR="00414447" w:rsidRDefault="00414447" w:rsidP="00414447">
      <w:pPr>
        <w:spacing w:line="360" w:lineRule="auto"/>
        <w:jc w:val="both"/>
        <w:rPr>
          <w:rFonts w:ascii="Arial" w:hAnsi="Arial"/>
          <w:rtl/>
        </w:rPr>
      </w:pPr>
    </w:p>
    <w:p w14:paraId="741B4942" w14:textId="77777777" w:rsidR="00414447" w:rsidRDefault="00414447" w:rsidP="00414447">
      <w:pPr>
        <w:spacing w:line="360" w:lineRule="auto"/>
        <w:jc w:val="both"/>
        <w:rPr>
          <w:rFonts w:ascii="Arial" w:hAnsi="Arial"/>
          <w:rtl/>
        </w:rPr>
      </w:pPr>
      <w:r>
        <w:rPr>
          <w:rFonts w:ascii="Arial" w:hAnsi="Arial" w:hint="cs"/>
          <w:rtl/>
        </w:rPr>
        <w:t>התביעה הביעה התנגדותה לריצוי עונשו של הנאשם בדרך של עבודות שירות וטענה, כי אינו משתף פעולה עם הרשויות ועל כן, סבורה, כי הנאשם לא יעמוד בעבודות השירות.</w:t>
      </w:r>
    </w:p>
    <w:p w14:paraId="55D65B9E" w14:textId="77777777" w:rsidR="00414447" w:rsidRDefault="00414447" w:rsidP="00414447">
      <w:pPr>
        <w:spacing w:line="360" w:lineRule="auto"/>
        <w:jc w:val="both"/>
        <w:rPr>
          <w:rFonts w:ascii="Arial" w:hAnsi="Arial"/>
          <w:rtl/>
        </w:rPr>
      </w:pPr>
    </w:p>
    <w:p w14:paraId="1B8592F1" w14:textId="77777777" w:rsidR="00414447" w:rsidRDefault="00414447" w:rsidP="00414447">
      <w:pPr>
        <w:spacing w:line="360" w:lineRule="auto"/>
        <w:jc w:val="both"/>
        <w:rPr>
          <w:rFonts w:ascii="Arial" w:hAnsi="Arial"/>
          <w:rtl/>
        </w:rPr>
      </w:pPr>
      <w:r>
        <w:rPr>
          <w:rFonts w:ascii="Arial" w:hAnsi="Arial" w:hint="cs"/>
          <w:rtl/>
        </w:rPr>
        <w:t xml:space="preserve">התביעה ביקשה למקם את עונשו של הנאשם ברף הבינוני </w:t>
      </w:r>
      <w:r>
        <w:rPr>
          <w:rFonts w:ascii="Arial" w:hAnsi="Arial"/>
          <w:rtl/>
        </w:rPr>
        <w:t>–</w:t>
      </w:r>
      <w:r>
        <w:rPr>
          <w:rFonts w:ascii="Arial" w:hAnsi="Arial" w:hint="cs"/>
          <w:rtl/>
        </w:rPr>
        <w:t xml:space="preserve"> נמוך של כל אחד ממתחמי הענישה אליהם עתרה (בטיעוניה בכתב נכתב ברף התחתון), במצטבר זה לזה.</w:t>
      </w:r>
    </w:p>
    <w:p w14:paraId="6E62F985" w14:textId="77777777" w:rsidR="00414447" w:rsidRDefault="00414447" w:rsidP="00414447">
      <w:pPr>
        <w:spacing w:line="360" w:lineRule="auto"/>
        <w:jc w:val="both"/>
        <w:rPr>
          <w:rFonts w:ascii="Arial" w:hAnsi="Arial"/>
          <w:rtl/>
        </w:rPr>
      </w:pPr>
    </w:p>
    <w:p w14:paraId="660B5894" w14:textId="77777777" w:rsidR="00414447" w:rsidRDefault="00414447" w:rsidP="00414447">
      <w:pPr>
        <w:spacing w:line="360" w:lineRule="auto"/>
        <w:jc w:val="both"/>
        <w:rPr>
          <w:rFonts w:ascii="Arial" w:hAnsi="Arial"/>
          <w:rtl/>
        </w:rPr>
      </w:pPr>
      <w:r>
        <w:rPr>
          <w:rFonts w:ascii="Arial" w:hAnsi="Arial" w:hint="cs"/>
          <w:rtl/>
        </w:rPr>
        <w:t>עוד עתרה התביעה, למאסר מותנה מרתיע; קנס; פסילת רישיון נהיגה בפועל ועל תנאי.</w:t>
      </w:r>
    </w:p>
    <w:p w14:paraId="5C5209F1" w14:textId="77777777" w:rsidR="00414447" w:rsidRDefault="00414447" w:rsidP="00414447">
      <w:pPr>
        <w:spacing w:line="360" w:lineRule="auto"/>
        <w:jc w:val="both"/>
        <w:rPr>
          <w:rFonts w:ascii="Arial" w:hAnsi="Arial"/>
          <w:rtl/>
        </w:rPr>
      </w:pPr>
    </w:p>
    <w:p w14:paraId="52545D22" w14:textId="77777777" w:rsidR="00414447" w:rsidRDefault="00414447" w:rsidP="00414447">
      <w:pPr>
        <w:spacing w:line="360" w:lineRule="auto"/>
        <w:jc w:val="both"/>
        <w:rPr>
          <w:rFonts w:ascii="Arial" w:hAnsi="Arial"/>
          <w:rtl/>
        </w:rPr>
      </w:pPr>
      <w:r>
        <w:rPr>
          <w:rFonts w:ascii="Arial" w:hAnsi="Arial" w:hint="cs"/>
          <w:b/>
          <w:bCs/>
          <w:rtl/>
        </w:rPr>
        <w:t>בהשלמת הטיעונים מיום 17.05.22</w:t>
      </w:r>
      <w:r>
        <w:rPr>
          <w:rFonts w:ascii="Arial" w:hAnsi="Arial" w:hint="cs"/>
          <w:rtl/>
        </w:rPr>
        <w:t>, התייחסה התביעה לתסקירים האחרונים מאת שירות המבחן למבוגרים וטענה, כי הלכה למעשה, הנאשם לא סיים הליך טיפולי ושירות המבחן לא בא בהמלצה טיפולית כלשהי, ואין סיכוי ממשי לשיקום המצריך חריגה ממתחם הענישה.</w:t>
      </w:r>
    </w:p>
    <w:p w14:paraId="0985C17D" w14:textId="77777777" w:rsidR="00414447" w:rsidRDefault="00414447" w:rsidP="00414447">
      <w:pPr>
        <w:spacing w:line="360" w:lineRule="auto"/>
        <w:jc w:val="both"/>
        <w:rPr>
          <w:rFonts w:ascii="Arial" w:hAnsi="Arial"/>
          <w:rtl/>
        </w:rPr>
      </w:pPr>
    </w:p>
    <w:p w14:paraId="6B5C8D9B" w14:textId="77777777" w:rsidR="00414447" w:rsidRDefault="00414447" w:rsidP="00414447">
      <w:pPr>
        <w:spacing w:line="360" w:lineRule="auto"/>
        <w:jc w:val="both"/>
        <w:rPr>
          <w:rFonts w:ascii="Arial" w:hAnsi="Arial"/>
          <w:rtl/>
        </w:rPr>
      </w:pPr>
      <w:r>
        <w:rPr>
          <w:rFonts w:ascii="Arial" w:hAnsi="Arial" w:hint="cs"/>
          <w:rtl/>
        </w:rPr>
        <w:t>התביעה טענה, כי הנאשם הפגין זלזול בהליך הטיפולי ובהזדמנויות הרבות שניתנו לו, ולכן, עתרה לאמץ את עתירתה העונשית מיום 06.06.21.</w:t>
      </w:r>
    </w:p>
    <w:p w14:paraId="58B17229" w14:textId="77777777" w:rsidR="00414447" w:rsidRDefault="00414447" w:rsidP="00414447">
      <w:pPr>
        <w:spacing w:line="360" w:lineRule="auto"/>
        <w:jc w:val="both"/>
        <w:rPr>
          <w:rFonts w:ascii="Arial" w:hAnsi="Arial"/>
          <w:rtl/>
        </w:rPr>
      </w:pPr>
    </w:p>
    <w:p w14:paraId="2A757CAB" w14:textId="77777777" w:rsidR="00414447" w:rsidRDefault="00414447" w:rsidP="00414447">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אין הצדקה לקבוע שני מתחמי ענישה ויש לבחון את הקשר ההדוק בין המקרים, ולקבוע מתחם ענישה אחד בגין שני האירועים.</w:t>
      </w:r>
    </w:p>
    <w:p w14:paraId="783C6391" w14:textId="77777777" w:rsidR="00414447" w:rsidRDefault="00414447" w:rsidP="00414447">
      <w:pPr>
        <w:spacing w:line="360" w:lineRule="auto"/>
        <w:jc w:val="both"/>
        <w:rPr>
          <w:rFonts w:ascii="Arial" w:hAnsi="Arial"/>
          <w:rtl/>
        </w:rPr>
      </w:pPr>
    </w:p>
    <w:p w14:paraId="3FC49B66" w14:textId="77777777" w:rsidR="00414447" w:rsidRDefault="00414447" w:rsidP="00414447">
      <w:pPr>
        <w:spacing w:line="360" w:lineRule="auto"/>
        <w:jc w:val="both"/>
        <w:rPr>
          <w:rFonts w:ascii="Arial" w:hAnsi="Arial"/>
          <w:rtl/>
        </w:rPr>
      </w:pPr>
      <w:r>
        <w:rPr>
          <w:rFonts w:ascii="Arial" w:hAnsi="Arial" w:hint="cs"/>
          <w:rtl/>
        </w:rPr>
        <w:t>ההגנה טענה, כי מתחמי הענישה אינם משקפים את מדיניות הענישה ביחס למשקל של הסמים.</w:t>
      </w:r>
    </w:p>
    <w:p w14:paraId="748A7D48" w14:textId="77777777" w:rsidR="00414447" w:rsidRDefault="00414447" w:rsidP="00414447">
      <w:pPr>
        <w:spacing w:line="360" w:lineRule="auto"/>
        <w:jc w:val="both"/>
        <w:rPr>
          <w:rFonts w:ascii="Arial" w:hAnsi="Arial"/>
          <w:rtl/>
        </w:rPr>
      </w:pPr>
    </w:p>
    <w:p w14:paraId="7FF51C34" w14:textId="77777777" w:rsidR="00414447" w:rsidRDefault="00414447" w:rsidP="00414447">
      <w:pPr>
        <w:spacing w:line="360" w:lineRule="auto"/>
        <w:jc w:val="both"/>
        <w:rPr>
          <w:rFonts w:ascii="Arial" w:hAnsi="Arial"/>
          <w:rtl/>
        </w:rPr>
      </w:pPr>
      <w:r>
        <w:rPr>
          <w:rFonts w:ascii="Arial" w:hAnsi="Arial" w:hint="cs"/>
          <w:rtl/>
        </w:rPr>
        <w:t>ההגנה טענה, כי התיק מתנהל משנת 2018, והדחיות בתיק אינן לפתחה אלא נתבקשו מטעם שירות המבחן למבוגרים.</w:t>
      </w:r>
    </w:p>
    <w:p w14:paraId="7947EA34" w14:textId="77777777" w:rsidR="00414447" w:rsidRDefault="00414447" w:rsidP="00414447">
      <w:pPr>
        <w:spacing w:line="360" w:lineRule="auto"/>
        <w:jc w:val="both"/>
        <w:rPr>
          <w:rFonts w:ascii="Arial" w:hAnsi="Arial"/>
          <w:rtl/>
        </w:rPr>
      </w:pPr>
    </w:p>
    <w:p w14:paraId="56F0BBB5" w14:textId="77777777" w:rsidR="00414447" w:rsidRDefault="00414447" w:rsidP="00414447">
      <w:pPr>
        <w:spacing w:line="360" w:lineRule="auto"/>
        <w:jc w:val="both"/>
        <w:rPr>
          <w:rFonts w:ascii="Arial" w:hAnsi="Arial"/>
          <w:rtl/>
        </w:rPr>
      </w:pPr>
      <w:r>
        <w:rPr>
          <w:rFonts w:ascii="Arial" w:hAnsi="Arial" w:hint="cs"/>
          <w:rtl/>
        </w:rPr>
        <w:t>ההגנה טענה, כי הנאשם נעדר הרשעות קודמות ובחלוף הזמן לא נפתחו נגדו תיקים חדשים, אלא הוא ערך שינוי בחייו והתחיל בעבודה חדשה.</w:t>
      </w:r>
    </w:p>
    <w:p w14:paraId="6C5E0177" w14:textId="77777777" w:rsidR="00414447" w:rsidRDefault="00414447" w:rsidP="00414447">
      <w:pPr>
        <w:spacing w:line="360" w:lineRule="auto"/>
        <w:jc w:val="both"/>
        <w:rPr>
          <w:rFonts w:ascii="Arial" w:hAnsi="Arial"/>
          <w:rtl/>
        </w:rPr>
      </w:pPr>
    </w:p>
    <w:p w14:paraId="6D6B35F4" w14:textId="77777777" w:rsidR="00414447" w:rsidRDefault="00414447" w:rsidP="00414447">
      <w:pPr>
        <w:spacing w:line="360" w:lineRule="auto"/>
        <w:jc w:val="both"/>
        <w:rPr>
          <w:rFonts w:ascii="Arial" w:hAnsi="Arial"/>
          <w:rtl/>
        </w:rPr>
      </w:pPr>
      <w:r>
        <w:rPr>
          <w:rFonts w:ascii="Arial" w:hAnsi="Arial" w:hint="cs"/>
          <w:rtl/>
        </w:rPr>
        <w:t xml:space="preserve">ההגנה טענה, כי גילם של הקטינים המעורבים, קרוב מאוד לגילו של הנאשם, אך הוא היה בגיר בעוד הם קטינים, ולכן הם נדונו בבית משפט לנוער, כאשר על אחד מהם נגזר מאסר על תנאי ואילו על השני </w:t>
      </w:r>
      <w:r>
        <w:rPr>
          <w:rFonts w:ascii="Arial" w:hAnsi="Arial"/>
          <w:rtl/>
        </w:rPr>
        <w:t>–</w:t>
      </w:r>
      <w:r>
        <w:rPr>
          <w:rFonts w:ascii="Arial" w:hAnsi="Arial" w:hint="cs"/>
          <w:rtl/>
        </w:rPr>
        <w:t xml:space="preserve"> ענישה שיקומית, והענישה לא צריכה להיות שונה בפער מהותי במקרה של הנאשם.</w:t>
      </w:r>
    </w:p>
    <w:p w14:paraId="4501B811" w14:textId="77777777" w:rsidR="00414447" w:rsidRDefault="00414447" w:rsidP="00414447">
      <w:pPr>
        <w:spacing w:line="360" w:lineRule="auto"/>
        <w:jc w:val="both"/>
        <w:rPr>
          <w:rFonts w:ascii="Arial" w:hAnsi="Arial"/>
          <w:rtl/>
        </w:rPr>
      </w:pPr>
    </w:p>
    <w:p w14:paraId="6DFF49B3" w14:textId="77777777" w:rsidR="00414447" w:rsidRDefault="00414447" w:rsidP="00414447">
      <w:pPr>
        <w:spacing w:line="360" w:lineRule="auto"/>
        <w:jc w:val="both"/>
        <w:rPr>
          <w:rFonts w:ascii="Arial" w:hAnsi="Arial"/>
          <w:rtl/>
        </w:rPr>
      </w:pPr>
      <w:r>
        <w:rPr>
          <w:rFonts w:ascii="Arial" w:hAnsi="Arial" w:hint="cs"/>
          <w:rtl/>
        </w:rPr>
        <w:t>ההגנה טענה, כי הנאשם התייצב לרוב המפגשים בשירות המבחן למבוגרים.</w:t>
      </w:r>
    </w:p>
    <w:p w14:paraId="75BB5CF2" w14:textId="77777777" w:rsidR="00414447" w:rsidRDefault="00414447" w:rsidP="00414447">
      <w:pPr>
        <w:spacing w:line="360" w:lineRule="auto"/>
        <w:jc w:val="both"/>
        <w:rPr>
          <w:rFonts w:ascii="Arial" w:hAnsi="Arial"/>
          <w:rtl/>
        </w:rPr>
      </w:pPr>
    </w:p>
    <w:p w14:paraId="2FE9B91C" w14:textId="77777777" w:rsidR="00414447" w:rsidRDefault="00414447" w:rsidP="00414447">
      <w:pPr>
        <w:spacing w:line="360" w:lineRule="auto"/>
        <w:jc w:val="both"/>
        <w:rPr>
          <w:rFonts w:ascii="Arial" w:hAnsi="Arial"/>
          <w:rtl/>
        </w:rPr>
      </w:pPr>
      <w:r>
        <w:rPr>
          <w:rFonts w:ascii="Arial" w:hAnsi="Arial" w:hint="cs"/>
          <w:rtl/>
        </w:rPr>
        <w:t>ההגנה טענה, כי הענישה הראויה הינה עבודות שירות, אך ביקשה להפנות שוב את הנאשם לקבלת תסקיר מאת שירות המבחן ולהשלים את ההליך הטיפולי.</w:t>
      </w:r>
    </w:p>
    <w:p w14:paraId="346F3121" w14:textId="77777777" w:rsidR="00414447" w:rsidRDefault="00414447" w:rsidP="00414447">
      <w:pPr>
        <w:spacing w:line="360" w:lineRule="auto"/>
        <w:jc w:val="both"/>
        <w:rPr>
          <w:rFonts w:ascii="Arial" w:hAnsi="Arial"/>
          <w:rtl/>
        </w:rPr>
      </w:pPr>
    </w:p>
    <w:p w14:paraId="28BC7D2E" w14:textId="77777777" w:rsidR="00414447" w:rsidRDefault="00414447" w:rsidP="00414447">
      <w:pPr>
        <w:spacing w:line="360" w:lineRule="auto"/>
        <w:jc w:val="both"/>
        <w:rPr>
          <w:rFonts w:ascii="Arial" w:hAnsi="Arial"/>
          <w:rtl/>
        </w:rPr>
      </w:pPr>
      <w:r>
        <w:rPr>
          <w:rFonts w:ascii="Arial" w:hAnsi="Arial" w:hint="cs"/>
          <w:rtl/>
        </w:rPr>
        <w:t>(התביעה התנגדה לבקשת ההגנה וטענה, כי לנאשם ניתנו מספיק הזדמנויות. הגם שבית המשפט הסכים עם התביעה, לפנים משורת הדין, נתן לנאשם הזדמנות נוספת להשלים את ההליך הטיפולי).</w:t>
      </w:r>
    </w:p>
    <w:p w14:paraId="621B1E68" w14:textId="77777777" w:rsidR="00414447" w:rsidRDefault="00414447" w:rsidP="00414447">
      <w:pPr>
        <w:spacing w:line="360" w:lineRule="auto"/>
        <w:jc w:val="both"/>
        <w:rPr>
          <w:rFonts w:ascii="Arial" w:hAnsi="Arial"/>
          <w:rtl/>
        </w:rPr>
      </w:pPr>
    </w:p>
    <w:p w14:paraId="456A6DAC" w14:textId="77777777" w:rsidR="00414447" w:rsidRDefault="00414447" w:rsidP="00414447">
      <w:pPr>
        <w:spacing w:line="360" w:lineRule="auto"/>
        <w:jc w:val="both"/>
        <w:rPr>
          <w:rFonts w:ascii="Arial" w:hAnsi="Arial"/>
          <w:rtl/>
        </w:rPr>
      </w:pPr>
      <w:r>
        <w:rPr>
          <w:rFonts w:ascii="Arial" w:hAnsi="Arial" w:hint="cs"/>
          <w:b/>
          <w:bCs/>
          <w:rtl/>
        </w:rPr>
        <w:t>בהשלמת הטיעונים מיום 17.05.22</w:t>
      </w:r>
      <w:r>
        <w:rPr>
          <w:rFonts w:ascii="Arial" w:hAnsi="Arial" w:hint="cs"/>
          <w:rtl/>
        </w:rPr>
        <w:t>, הפנתה ההגנה לתסקיר מיום 24.02.22 וכן להבהרת שירות המבחן למבוגרים מיום  14.04.22, שם נמסר, כי ההצלחה מיוחסת לדרך שעבר הנאשם ולא לכמות המפגשים אליה הגיע.</w:t>
      </w:r>
    </w:p>
    <w:p w14:paraId="1EFE3CEC" w14:textId="77777777" w:rsidR="00414447" w:rsidRDefault="00414447" w:rsidP="00414447">
      <w:pPr>
        <w:spacing w:line="360" w:lineRule="auto"/>
        <w:jc w:val="both"/>
        <w:rPr>
          <w:rFonts w:ascii="Arial" w:hAnsi="Arial"/>
          <w:rtl/>
        </w:rPr>
      </w:pPr>
    </w:p>
    <w:p w14:paraId="1A73F09F" w14:textId="77777777" w:rsidR="00414447" w:rsidRDefault="00414447" w:rsidP="00414447">
      <w:pPr>
        <w:spacing w:line="360" w:lineRule="auto"/>
        <w:jc w:val="both"/>
        <w:rPr>
          <w:rFonts w:ascii="Arial" w:hAnsi="Arial"/>
          <w:rtl/>
        </w:rPr>
      </w:pPr>
      <w:r>
        <w:rPr>
          <w:rFonts w:ascii="Arial" w:hAnsi="Arial" w:hint="cs"/>
          <w:rtl/>
        </w:rPr>
        <w:t>ההגנה טענה, כי המסוכנות של הנאשם הצטמצמה וביקשה להטיל על הנאשם מאסר מותנה או לחילופין, מספר חודשי מאסר לריצוי בדרך של עבודות שירות.</w:t>
      </w:r>
    </w:p>
    <w:p w14:paraId="6CE2B0CB" w14:textId="77777777" w:rsidR="00414447" w:rsidRDefault="00414447" w:rsidP="00414447">
      <w:pPr>
        <w:spacing w:line="360" w:lineRule="auto"/>
        <w:jc w:val="both"/>
        <w:rPr>
          <w:rFonts w:ascii="Arial" w:hAnsi="Arial"/>
          <w:rtl/>
        </w:rPr>
      </w:pPr>
    </w:p>
    <w:p w14:paraId="4FA53BF4" w14:textId="77777777" w:rsidR="00414447" w:rsidRDefault="00414447" w:rsidP="00414447">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 לדבריו, אינו מעורה יותר בעולם הפשע וכיום עובד, מספר חודשים בסופר "דבאח".</w:t>
      </w:r>
    </w:p>
    <w:p w14:paraId="10F9E22D" w14:textId="77777777" w:rsidR="00414447" w:rsidRDefault="00414447" w:rsidP="00414447">
      <w:pPr>
        <w:spacing w:line="360" w:lineRule="auto"/>
        <w:jc w:val="both"/>
        <w:rPr>
          <w:rFonts w:ascii="Arial" w:hAnsi="Arial"/>
          <w:rtl/>
        </w:rPr>
      </w:pPr>
    </w:p>
    <w:p w14:paraId="5D66865A" w14:textId="77777777" w:rsidR="00414447" w:rsidRDefault="00414447" w:rsidP="00414447">
      <w:pPr>
        <w:spacing w:line="360" w:lineRule="auto"/>
        <w:jc w:val="both"/>
        <w:rPr>
          <w:rFonts w:ascii="Arial" w:hAnsi="Arial"/>
          <w:rtl/>
        </w:rPr>
      </w:pPr>
    </w:p>
    <w:p w14:paraId="413D18C4" w14:textId="77777777" w:rsidR="00414447" w:rsidRDefault="00414447" w:rsidP="00414447">
      <w:pPr>
        <w:spacing w:line="360" w:lineRule="auto"/>
        <w:jc w:val="both"/>
        <w:rPr>
          <w:rFonts w:ascii="Arial" w:hAnsi="Arial"/>
          <w:rtl/>
        </w:rPr>
      </w:pPr>
      <w:r>
        <w:rPr>
          <w:rFonts w:ascii="Arial" w:hAnsi="Arial" w:hint="cs"/>
          <w:b/>
          <w:bCs/>
          <w:rtl/>
        </w:rPr>
        <w:t>דיון והכרעה</w:t>
      </w:r>
    </w:p>
    <w:p w14:paraId="5FEBEA86" w14:textId="77777777" w:rsidR="00414447" w:rsidRDefault="00414447" w:rsidP="00414447">
      <w:pPr>
        <w:spacing w:line="360" w:lineRule="auto"/>
        <w:jc w:val="both"/>
        <w:rPr>
          <w:rFonts w:ascii="Arial" w:hAnsi="Arial"/>
          <w:rtl/>
        </w:rPr>
      </w:pPr>
    </w:p>
    <w:p w14:paraId="7890EFEB" w14:textId="77777777" w:rsidR="00414447" w:rsidRPr="00DB3B13" w:rsidRDefault="00414447" w:rsidP="00414447">
      <w:pPr>
        <w:spacing w:line="360" w:lineRule="auto"/>
        <w:jc w:val="both"/>
        <w:rPr>
          <w:rFonts w:ascii="Arial" w:hAnsi="Arial"/>
        </w:rPr>
      </w:pPr>
      <w:r w:rsidRPr="00DB3B13">
        <w:rPr>
          <w:rFonts w:ascii="Arial" w:hAnsi="Arial"/>
          <w:rtl/>
        </w:rPr>
        <w:t>העבירות שעבר הנאשם – חמורות.</w:t>
      </w:r>
    </w:p>
    <w:p w14:paraId="6B50F105" w14:textId="77777777" w:rsidR="00414447" w:rsidRPr="00DB3B13" w:rsidRDefault="00414447" w:rsidP="00414447">
      <w:pPr>
        <w:spacing w:line="360" w:lineRule="auto"/>
        <w:jc w:val="both"/>
        <w:rPr>
          <w:rFonts w:ascii="Arial" w:hAnsi="Arial"/>
        </w:rPr>
      </w:pPr>
    </w:p>
    <w:p w14:paraId="1B3B4754" w14:textId="77777777" w:rsidR="00414447" w:rsidRPr="00DB3B13" w:rsidRDefault="00414447" w:rsidP="00414447">
      <w:pPr>
        <w:spacing w:line="360" w:lineRule="auto"/>
        <w:jc w:val="both"/>
        <w:rPr>
          <w:rFonts w:ascii="Arial" w:hAnsi="Arial"/>
        </w:rPr>
      </w:pPr>
      <w:r w:rsidRPr="00DB3B13">
        <w:rPr>
          <w:rFonts w:ascii="Arial" w:hAnsi="Arial"/>
          <w:rtl/>
        </w:rPr>
        <w:t>בית המשפט כבר אמר דברו, לא פעם, בדבר הצורך להילחם בנגע הסמים ובייחוד במי שמפיצים סם מסוכן.</w:t>
      </w:r>
    </w:p>
    <w:p w14:paraId="4C2C1464" w14:textId="77777777" w:rsidR="00414447" w:rsidRPr="00DB3B13" w:rsidRDefault="00414447" w:rsidP="00414447">
      <w:pPr>
        <w:spacing w:line="360" w:lineRule="auto"/>
        <w:jc w:val="both"/>
        <w:rPr>
          <w:rFonts w:ascii="Arial" w:hAnsi="Arial"/>
          <w:rtl/>
        </w:rPr>
      </w:pPr>
    </w:p>
    <w:p w14:paraId="521726FB" w14:textId="77777777" w:rsidR="00414447" w:rsidRPr="00DB3B13" w:rsidRDefault="00414447" w:rsidP="00414447">
      <w:pPr>
        <w:spacing w:line="360" w:lineRule="auto"/>
        <w:jc w:val="both"/>
        <w:rPr>
          <w:rFonts w:ascii="Arial" w:hAnsi="Arial"/>
          <w:rtl/>
        </w:rPr>
      </w:pPr>
      <w:r w:rsidRPr="00DB3B13">
        <w:rPr>
          <w:rFonts w:ascii="Arial" w:hAnsi="Arial"/>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5D3F3F2D" w14:textId="77777777" w:rsidR="00414447" w:rsidRPr="00DB3B13" w:rsidRDefault="00414447" w:rsidP="00414447">
      <w:pPr>
        <w:spacing w:line="360" w:lineRule="auto"/>
        <w:jc w:val="both"/>
        <w:rPr>
          <w:rFonts w:ascii="Arial" w:hAnsi="Arial"/>
          <w:rtl/>
        </w:rPr>
      </w:pPr>
    </w:p>
    <w:p w14:paraId="5E6792F0" w14:textId="77777777" w:rsidR="00414447" w:rsidRPr="00DB3B13" w:rsidRDefault="00414447" w:rsidP="00414447">
      <w:pPr>
        <w:spacing w:line="360" w:lineRule="auto"/>
        <w:jc w:val="both"/>
        <w:rPr>
          <w:rFonts w:ascii="Arial" w:hAnsi="Arial"/>
          <w:rtl/>
        </w:rPr>
      </w:pPr>
      <w:r w:rsidRPr="00DB3B13">
        <w:rPr>
          <w:rFonts w:ascii="Arial" w:hAnsi="Arial"/>
          <w:rtl/>
        </w:rPr>
        <w:t>מדובר ב</w:t>
      </w:r>
      <w:r>
        <w:rPr>
          <w:rFonts w:ascii="Arial" w:hAnsi="Arial" w:hint="cs"/>
          <w:rtl/>
        </w:rPr>
        <w:t>שתי</w:t>
      </w:r>
      <w:r w:rsidRPr="00DB3B13">
        <w:rPr>
          <w:rFonts w:ascii="Arial" w:hAnsi="Arial"/>
          <w:rtl/>
        </w:rPr>
        <w:t xml:space="preserve"> עסקאות, בהן הש</w:t>
      </w:r>
      <w:r>
        <w:rPr>
          <w:rFonts w:ascii="Arial" w:hAnsi="Arial"/>
          <w:rtl/>
        </w:rPr>
        <w:t>תתף הנאשם, ממניעים כלכליים בלבד</w:t>
      </w:r>
      <w:r>
        <w:rPr>
          <w:rFonts w:ascii="Arial" w:hAnsi="Arial" w:hint="cs"/>
          <w:rtl/>
        </w:rPr>
        <w:t>, תוך שבעסקה השניה, עירב את בני דודיו הקטינים.</w:t>
      </w:r>
    </w:p>
    <w:p w14:paraId="467CE91D" w14:textId="77777777" w:rsidR="00414447" w:rsidRPr="00DB3B13" w:rsidRDefault="00414447" w:rsidP="00414447">
      <w:pPr>
        <w:spacing w:line="360" w:lineRule="auto"/>
        <w:jc w:val="both"/>
        <w:rPr>
          <w:rFonts w:ascii="Arial" w:hAnsi="Arial"/>
          <w:rtl/>
        </w:rPr>
      </w:pPr>
    </w:p>
    <w:p w14:paraId="4107D4E7" w14:textId="77777777" w:rsidR="00414447" w:rsidRPr="00DB3B13" w:rsidRDefault="00414447" w:rsidP="00414447">
      <w:pPr>
        <w:spacing w:line="360" w:lineRule="auto"/>
        <w:jc w:val="both"/>
        <w:rPr>
          <w:rFonts w:ascii="Arial" w:hAnsi="Arial"/>
          <w:rtl/>
        </w:rPr>
      </w:pPr>
      <w:r w:rsidRPr="00DB3B13">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647F73D0" w14:textId="77777777" w:rsidR="00414447" w:rsidRPr="00DB3B13" w:rsidRDefault="00414447" w:rsidP="00414447">
      <w:pPr>
        <w:spacing w:line="360" w:lineRule="auto"/>
        <w:jc w:val="both"/>
        <w:rPr>
          <w:rFonts w:ascii="Arial" w:hAnsi="Arial"/>
          <w:rtl/>
        </w:rPr>
      </w:pPr>
    </w:p>
    <w:p w14:paraId="088AE0DC" w14:textId="77777777" w:rsidR="00414447" w:rsidRPr="00DB3B13" w:rsidRDefault="00414447" w:rsidP="00414447">
      <w:pPr>
        <w:spacing w:line="360" w:lineRule="auto"/>
        <w:jc w:val="both"/>
        <w:rPr>
          <w:rFonts w:ascii="David" w:hAnsi="David"/>
          <w:rtl/>
        </w:rPr>
      </w:pPr>
      <w:r w:rsidRPr="00DB3B13">
        <w:rPr>
          <w:rFonts w:ascii="Arial" w:hAnsi="Arial"/>
          <w:rtl/>
        </w:rPr>
        <w:t xml:space="preserve">על חומרתן של עבירות סחר בסם מסוכן, ראו </w:t>
      </w:r>
      <w:hyperlink r:id="rId18" w:history="1">
        <w:r w:rsidR="00335130" w:rsidRPr="00335130">
          <w:rPr>
            <w:rFonts w:ascii="David" w:hAnsi="David"/>
            <w:color w:val="0000FF"/>
            <w:u w:val="single"/>
            <w:rtl/>
          </w:rPr>
          <w:t>עפ"ג 53142-12-16</w:t>
        </w:r>
      </w:hyperlink>
      <w:r w:rsidRPr="00DB3B13">
        <w:rPr>
          <w:rFonts w:ascii="David" w:hAnsi="David"/>
          <w:rtl/>
        </w:rPr>
        <w:t xml:space="preserve"> רחמימוב נ' מדינת ישראל (פורסם במאגרים):</w:t>
      </w:r>
    </w:p>
    <w:p w14:paraId="52E119C8" w14:textId="77777777" w:rsidR="00414447" w:rsidRPr="00DB3B13" w:rsidRDefault="00414447" w:rsidP="00414447">
      <w:pPr>
        <w:spacing w:line="360" w:lineRule="auto"/>
        <w:jc w:val="both"/>
        <w:rPr>
          <w:rFonts w:ascii="David" w:hAnsi="David" w:cs="Aharoni"/>
          <w:rtl/>
        </w:rPr>
      </w:pPr>
    </w:p>
    <w:p w14:paraId="20A700E6" w14:textId="77777777" w:rsidR="00414447" w:rsidRPr="00DB3B13" w:rsidRDefault="00414447" w:rsidP="00414447">
      <w:pPr>
        <w:spacing w:line="360" w:lineRule="auto"/>
        <w:jc w:val="both"/>
        <w:rPr>
          <w:rFonts w:ascii="David" w:hAnsi="David" w:cs="Aharoni"/>
          <w:rtl/>
        </w:rPr>
      </w:pPr>
      <w:r w:rsidRPr="00DB3B13">
        <w:rPr>
          <w:rFonts w:ascii="David" w:hAnsi="David" w:cs="Aharoni" w:hint="cs"/>
          <w:rtl/>
        </w:rPr>
        <w:t>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יישא בעונש מאסר בפועל משמעותי וממושך מאחורי סורג ובריח.</w:t>
      </w:r>
    </w:p>
    <w:p w14:paraId="41DA38F8" w14:textId="77777777" w:rsidR="00414447" w:rsidRDefault="00414447" w:rsidP="00414447">
      <w:pPr>
        <w:spacing w:line="360" w:lineRule="auto"/>
        <w:jc w:val="both"/>
        <w:rPr>
          <w:rFonts w:ascii="Arial" w:hAnsi="Arial"/>
          <w:rtl/>
        </w:rPr>
      </w:pPr>
    </w:p>
    <w:p w14:paraId="6BC84B85" w14:textId="77777777" w:rsidR="00414447" w:rsidRPr="00436E93" w:rsidRDefault="00414447" w:rsidP="00414447">
      <w:pPr>
        <w:spacing w:line="360" w:lineRule="auto"/>
        <w:jc w:val="both"/>
        <w:rPr>
          <w:rFonts w:ascii="Arial" w:hAnsi="Arial"/>
          <w:rtl/>
        </w:rPr>
      </w:pPr>
    </w:p>
    <w:p w14:paraId="7E062DD1" w14:textId="77777777" w:rsidR="00414447" w:rsidRPr="00436E93" w:rsidRDefault="00414447" w:rsidP="00414447">
      <w:pPr>
        <w:spacing w:line="360" w:lineRule="auto"/>
        <w:jc w:val="both"/>
        <w:rPr>
          <w:rFonts w:ascii="Arial" w:hAnsi="Arial"/>
        </w:rPr>
      </w:pPr>
      <w:r w:rsidRPr="00436E93">
        <w:rPr>
          <w:rFonts w:ascii="Arial" w:hAnsi="Arial"/>
          <w:rtl/>
        </w:rPr>
        <w:t xml:space="preserve">עוד ראו </w:t>
      </w:r>
      <w:hyperlink r:id="rId19" w:history="1">
        <w:r w:rsidR="00335130" w:rsidRPr="00335130">
          <w:rPr>
            <w:rFonts w:ascii="Arial" w:hAnsi="Arial"/>
            <w:color w:val="0000FF"/>
            <w:u w:val="single"/>
            <w:rtl/>
          </w:rPr>
          <w:t>ע"פ 211/09</w:t>
        </w:r>
      </w:hyperlink>
      <w:r w:rsidRPr="00436E93">
        <w:rPr>
          <w:rFonts w:ascii="Arial" w:hAnsi="Arial"/>
          <w:rtl/>
        </w:rPr>
        <w:t xml:space="preserve"> </w:t>
      </w:r>
      <w:r w:rsidRPr="00436E93">
        <w:rPr>
          <w:rFonts w:ascii="Arial" w:hAnsi="Arial"/>
          <w:b/>
          <w:bCs/>
          <w:rtl/>
        </w:rPr>
        <w:t>אזולאי נ' מדינת ישראל</w:t>
      </w:r>
      <w:r w:rsidRPr="00436E93">
        <w:rPr>
          <w:rFonts w:ascii="Arial" w:hAnsi="Arial"/>
          <w:rtl/>
        </w:rPr>
        <w:t xml:space="preserve"> (פורסם במאגרים): </w:t>
      </w:r>
    </w:p>
    <w:p w14:paraId="4E18988C" w14:textId="77777777" w:rsidR="00414447" w:rsidRPr="00436E93" w:rsidRDefault="00414447" w:rsidP="00414447">
      <w:pPr>
        <w:spacing w:line="360" w:lineRule="auto"/>
        <w:jc w:val="both"/>
        <w:rPr>
          <w:rFonts w:ascii="Arial" w:hAnsi="Arial"/>
          <w:rtl/>
        </w:rPr>
      </w:pPr>
    </w:p>
    <w:p w14:paraId="20A102CF" w14:textId="77777777" w:rsidR="00414447" w:rsidRPr="00436E93" w:rsidRDefault="00414447" w:rsidP="00414447">
      <w:pPr>
        <w:spacing w:line="360" w:lineRule="auto"/>
        <w:jc w:val="both"/>
        <w:rPr>
          <w:rFonts w:ascii="Arial" w:hAnsi="Arial" w:cs="Aharoni"/>
          <w:rtl/>
        </w:rPr>
      </w:pPr>
      <w:r w:rsidRPr="00436E93">
        <w:rPr>
          <w:rFonts w:ascii="Arial" w:hAnsi="Arial" w:cs="Aharoni" w:hint="cs"/>
          <w:rtl/>
        </w:rPr>
        <w:t>מזה זמן רב, מדגישים בתי המשפט את חשיבות הערך הענישתי בעבירות סמים כאחד הכלים החשובים בפעילות לביעורו של נגע הסמים. ההחמרה בענישה משרתת את מטרות הגמול וההרתעה, שהן היעדים העיקריים של הענישה בתחום הסמים.</w:t>
      </w:r>
    </w:p>
    <w:p w14:paraId="5BF591C5" w14:textId="77777777" w:rsidR="00414447" w:rsidRPr="00436E93" w:rsidRDefault="00414447" w:rsidP="00414447">
      <w:pPr>
        <w:spacing w:line="360" w:lineRule="auto"/>
        <w:jc w:val="both"/>
        <w:rPr>
          <w:rFonts w:ascii="Arial" w:hAnsi="Arial"/>
          <w:rtl/>
        </w:rPr>
      </w:pPr>
    </w:p>
    <w:p w14:paraId="76E612D9" w14:textId="77777777" w:rsidR="00414447" w:rsidRPr="00436E93" w:rsidRDefault="00414447" w:rsidP="00414447">
      <w:pPr>
        <w:spacing w:line="360" w:lineRule="auto"/>
        <w:jc w:val="both"/>
        <w:rPr>
          <w:rFonts w:ascii="Arial" w:hAnsi="Arial"/>
          <w:rtl/>
        </w:rPr>
      </w:pPr>
      <w:r w:rsidRPr="00436E93">
        <w:rPr>
          <w:rFonts w:ascii="Arial" w:hAnsi="Arial"/>
          <w:rtl/>
        </w:rPr>
        <w:t>על בית המשפט להרתיע היחיד והרבים מפני עבירות הסמים, ולהילחם בתופעה הקשה של נגע הסמים, הצוברת תאוצה בשנים האחרונות.</w:t>
      </w:r>
    </w:p>
    <w:p w14:paraId="736DF854" w14:textId="77777777" w:rsidR="00414447" w:rsidRDefault="00414447" w:rsidP="00414447">
      <w:pPr>
        <w:spacing w:line="360" w:lineRule="auto"/>
        <w:jc w:val="both"/>
        <w:rPr>
          <w:rFonts w:ascii="Arial" w:hAnsi="Arial"/>
          <w:rtl/>
        </w:rPr>
      </w:pPr>
    </w:p>
    <w:p w14:paraId="5CDCA520" w14:textId="77777777" w:rsidR="00414447" w:rsidRDefault="00414447" w:rsidP="00414447">
      <w:pPr>
        <w:spacing w:line="360" w:lineRule="auto"/>
        <w:jc w:val="both"/>
        <w:rPr>
          <w:rFonts w:ascii="Arial" w:hAnsi="Arial"/>
          <w:rtl/>
        </w:rPr>
      </w:pPr>
      <w:r>
        <w:rPr>
          <w:rFonts w:ascii="Arial" w:hAnsi="Arial" w:hint="cs"/>
          <w:rtl/>
        </w:rPr>
        <w:t>להלן, תובא סקירה קצרה של מדיניות הענישה הנוהגת בעבירות דומות:</w:t>
      </w:r>
    </w:p>
    <w:p w14:paraId="17B7AB26" w14:textId="77777777" w:rsidR="00414447" w:rsidRDefault="00414447" w:rsidP="00414447">
      <w:pPr>
        <w:spacing w:line="360" w:lineRule="auto"/>
        <w:jc w:val="both"/>
        <w:rPr>
          <w:rFonts w:ascii="Arial" w:hAnsi="Arial"/>
          <w:rtl/>
        </w:rPr>
      </w:pPr>
    </w:p>
    <w:p w14:paraId="7C2D8134" w14:textId="77777777" w:rsidR="00414447" w:rsidRPr="002E5ABE" w:rsidRDefault="00335130" w:rsidP="00414447">
      <w:pPr>
        <w:numPr>
          <w:ilvl w:val="0"/>
          <w:numId w:val="2"/>
        </w:numPr>
        <w:spacing w:line="360" w:lineRule="auto"/>
        <w:contextualSpacing/>
        <w:jc w:val="both"/>
        <w:rPr>
          <w:rFonts w:ascii="Arial" w:hAnsi="Arial"/>
        </w:rPr>
      </w:pPr>
      <w:hyperlink r:id="rId20" w:history="1">
        <w:r w:rsidRPr="00335130">
          <w:rPr>
            <w:rFonts w:ascii="Arial" w:hAnsi="Arial"/>
            <w:color w:val="0000FF"/>
            <w:u w:val="single"/>
            <w:rtl/>
          </w:rPr>
          <w:t>רע"פ 3627/13</w:t>
        </w:r>
      </w:hyperlink>
      <w:r w:rsidR="00414447" w:rsidRPr="002E5ABE">
        <w:rPr>
          <w:rFonts w:ascii="Arial" w:hAnsi="Arial"/>
          <w:rtl/>
        </w:rPr>
        <w:t xml:space="preserve"> </w:t>
      </w:r>
      <w:r w:rsidR="00414447" w:rsidRPr="002E5ABE">
        <w:rPr>
          <w:rFonts w:ascii="Arial" w:hAnsi="Arial"/>
          <w:b/>
          <w:bCs/>
          <w:rtl/>
        </w:rPr>
        <w:t>שדה נ' מדינת ישראל</w:t>
      </w:r>
      <w:r w:rsidR="00414447" w:rsidRPr="002E5ABE">
        <w:rPr>
          <w:rFonts w:ascii="Arial" w:hAnsi="Arial"/>
          <w:rtl/>
        </w:rPr>
        <w:t xml:space="preserve"> (פורסם במאגרים) –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w:t>
      </w:r>
      <w:r w:rsidR="00414447">
        <w:rPr>
          <w:rFonts w:ascii="Arial" w:hAnsi="Arial" w:hint="cs"/>
          <w:rtl/>
        </w:rPr>
        <w:t>ם</w:t>
      </w:r>
      <w:r w:rsidR="00414447" w:rsidRPr="002E5ABE">
        <w:rPr>
          <w:rFonts w:ascii="Arial" w:hAnsi="Arial"/>
          <w:rtl/>
        </w:rPr>
        <w:t xml:space="preserve"> </w:t>
      </w:r>
      <w:r w:rsidR="00414447">
        <w:rPr>
          <w:rFonts w:ascii="Arial" w:hAnsi="Arial" w:hint="cs"/>
          <w:rtl/>
        </w:rPr>
        <w:t>מ</w:t>
      </w:r>
      <w:r w:rsidR="00414447" w:rsidRPr="002E5ABE">
        <w:rPr>
          <w:rFonts w:ascii="Arial" w:hAnsi="Arial"/>
          <w:rtl/>
        </w:rPr>
        <w:t>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78C2B521" w14:textId="77777777" w:rsidR="00414447" w:rsidRDefault="00335130" w:rsidP="00414447">
      <w:pPr>
        <w:pStyle w:val="a9"/>
        <w:numPr>
          <w:ilvl w:val="0"/>
          <w:numId w:val="2"/>
        </w:numPr>
        <w:spacing w:line="360" w:lineRule="auto"/>
        <w:jc w:val="both"/>
        <w:rPr>
          <w:rFonts w:ascii="Arial" w:hAnsi="Arial"/>
        </w:rPr>
      </w:pPr>
      <w:hyperlink r:id="rId21" w:history="1">
        <w:r w:rsidRPr="00335130">
          <w:rPr>
            <w:rFonts w:ascii="Arial" w:hAnsi="Arial"/>
            <w:color w:val="0000FF"/>
            <w:u w:val="single"/>
            <w:rtl/>
          </w:rPr>
          <w:t>ת"פ 4309-08-18</w:t>
        </w:r>
      </w:hyperlink>
      <w:r w:rsidR="00414447">
        <w:rPr>
          <w:rFonts w:ascii="Arial" w:hAnsi="Arial"/>
          <w:rtl/>
        </w:rPr>
        <w:t xml:space="preserve"> </w:t>
      </w:r>
      <w:r w:rsidR="00414447">
        <w:rPr>
          <w:rFonts w:ascii="Arial" w:hAnsi="Arial"/>
          <w:b/>
          <w:bCs/>
          <w:rtl/>
        </w:rPr>
        <w:t>מדינת ישראל נ' מקראי</w:t>
      </w:r>
      <w:r w:rsidR="00414447">
        <w:rPr>
          <w:rFonts w:ascii="Arial" w:hAnsi="Arial"/>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60AB9BF6" w14:textId="77777777" w:rsidR="00414447" w:rsidRDefault="00335130" w:rsidP="00414447">
      <w:pPr>
        <w:pStyle w:val="a9"/>
        <w:numPr>
          <w:ilvl w:val="0"/>
          <w:numId w:val="2"/>
        </w:numPr>
        <w:spacing w:line="360" w:lineRule="auto"/>
        <w:jc w:val="both"/>
        <w:rPr>
          <w:rFonts w:ascii="Arial" w:hAnsi="Arial"/>
        </w:rPr>
      </w:pPr>
      <w:hyperlink r:id="rId22" w:history="1">
        <w:r w:rsidRPr="00335130">
          <w:rPr>
            <w:rFonts w:ascii="Arial" w:hAnsi="Arial"/>
            <w:color w:val="0000FF"/>
            <w:u w:val="single"/>
            <w:rtl/>
          </w:rPr>
          <w:t>ת"פ 49876-03-19</w:t>
        </w:r>
      </w:hyperlink>
      <w:r w:rsidR="00414447">
        <w:rPr>
          <w:rFonts w:ascii="Arial" w:hAnsi="Arial"/>
          <w:rtl/>
        </w:rPr>
        <w:t xml:space="preserve"> </w:t>
      </w:r>
      <w:r w:rsidR="00414447">
        <w:rPr>
          <w:rFonts w:ascii="Arial" w:hAnsi="Arial"/>
          <w:b/>
          <w:bCs/>
          <w:rtl/>
        </w:rPr>
        <w:t>מדינת ישראל נ' שבצוב</w:t>
      </w:r>
      <w:r w:rsidR="00414447">
        <w:rPr>
          <w:rFonts w:ascii="Arial" w:hAnsi="Arial"/>
          <w:rtl/>
        </w:rPr>
        <w:t xml:space="preserve"> (לא פורסם</w:t>
      </w:r>
      <w:r w:rsidR="00414447">
        <w:rPr>
          <w:rFonts w:ascii="Arial" w:hAnsi="Arial" w:hint="cs"/>
          <w:rtl/>
        </w:rPr>
        <w:t>)</w:t>
      </w:r>
      <w:r w:rsidR="00414447">
        <w:rPr>
          <w:rFonts w:ascii="Arial" w:hAnsi="Arial"/>
          <w:rtl/>
        </w:rPr>
        <w:t xml:space="preserve"> – הנאשם הורשע, על פי הודאתו, בעבירה של קשירת קשר לפשע, שבע עבירות של סחר בסם מסוכן ועבירה של החזקת סם לא לצריכה עצמית. בית משפט השלום בבאר שבע קבע, כי בגין עבירה בודדת של סחר בסם מסוכן מסוג קנאביס, יש להעמיד את מתחם הענישה כך שינוע בין 6 עד 18 חודשי מאסר בפועל.</w:t>
      </w:r>
    </w:p>
    <w:p w14:paraId="328B18A4" w14:textId="77777777" w:rsidR="00414447" w:rsidRDefault="00335130" w:rsidP="00414447">
      <w:pPr>
        <w:pStyle w:val="a9"/>
        <w:numPr>
          <w:ilvl w:val="0"/>
          <w:numId w:val="2"/>
        </w:numPr>
        <w:spacing w:line="360" w:lineRule="auto"/>
        <w:jc w:val="both"/>
        <w:rPr>
          <w:rFonts w:ascii="Arial" w:hAnsi="Arial"/>
        </w:rPr>
      </w:pPr>
      <w:hyperlink r:id="rId23" w:history="1">
        <w:r w:rsidRPr="00335130">
          <w:rPr>
            <w:rFonts w:ascii="Arial" w:hAnsi="Arial"/>
            <w:color w:val="0000FF"/>
            <w:u w:val="single"/>
            <w:rtl/>
          </w:rPr>
          <w:t>ת"פ 7994-06-21</w:t>
        </w:r>
      </w:hyperlink>
      <w:r w:rsidR="00414447">
        <w:rPr>
          <w:rFonts w:ascii="Arial" w:hAnsi="Arial" w:hint="cs"/>
          <w:rtl/>
        </w:rPr>
        <w:t xml:space="preserve"> </w:t>
      </w:r>
      <w:r w:rsidR="00414447">
        <w:rPr>
          <w:rFonts w:ascii="Arial" w:hAnsi="Arial" w:hint="cs"/>
          <w:b/>
          <w:bCs/>
          <w:rtl/>
        </w:rPr>
        <w:t>מדינת ישראל נ' ונונו</w:t>
      </w:r>
      <w:r w:rsidR="00414447">
        <w:rPr>
          <w:rFonts w:ascii="Arial" w:hAnsi="Arial" w:hint="cs"/>
          <w:rtl/>
        </w:rPr>
        <w:t xml:space="preserve"> (פורסם במאגרים) </w:t>
      </w:r>
      <w:r w:rsidR="00414447">
        <w:rPr>
          <w:rFonts w:ascii="Arial" w:hAnsi="Arial"/>
          <w:rtl/>
        </w:rPr>
        <w:t>–</w:t>
      </w:r>
      <w:r w:rsidR="00414447">
        <w:rPr>
          <w:rFonts w:ascii="Arial" w:hAnsi="Arial" w:hint="cs"/>
          <w:rtl/>
        </w:rPr>
        <w:t xml:space="preserve">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בית המשפט לקבוע מתחם ענישה אחד הנע בין 6 עד 18 חודשי מאסר בפועל.</w:t>
      </w:r>
    </w:p>
    <w:p w14:paraId="1D3D111D" w14:textId="77777777" w:rsidR="00414447" w:rsidRPr="002E5ABE" w:rsidRDefault="00414447" w:rsidP="00414447">
      <w:pPr>
        <w:spacing w:line="360" w:lineRule="auto"/>
        <w:jc w:val="both"/>
        <w:rPr>
          <w:rFonts w:ascii="Arial" w:hAnsi="Arial"/>
          <w:rtl/>
        </w:rPr>
      </w:pPr>
    </w:p>
    <w:p w14:paraId="4AC64E97" w14:textId="77777777" w:rsidR="00414447" w:rsidRDefault="00414447" w:rsidP="00414447">
      <w:pPr>
        <w:spacing w:line="360" w:lineRule="auto"/>
        <w:jc w:val="both"/>
        <w:rPr>
          <w:rFonts w:ascii="Arial" w:hAnsi="Arial"/>
          <w:rtl/>
        </w:rPr>
      </w:pPr>
    </w:p>
    <w:p w14:paraId="34C1D484" w14:textId="77777777" w:rsidR="00414447" w:rsidRPr="00436E93" w:rsidRDefault="00414447" w:rsidP="00414447">
      <w:pPr>
        <w:spacing w:line="360" w:lineRule="auto"/>
        <w:jc w:val="both"/>
        <w:rPr>
          <w:rFonts w:ascii="Arial" w:hAnsi="Arial"/>
          <w:rtl/>
        </w:rPr>
      </w:pPr>
      <w:r w:rsidRPr="00436E93">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4" w:history="1">
        <w:r w:rsidR="006F56E5" w:rsidRPr="006F56E5">
          <w:rPr>
            <w:rStyle w:val="Hyperlink"/>
            <w:rFonts w:ascii="Arial" w:hAnsi="Arial"/>
            <w:rtl/>
          </w:rPr>
          <w:t>לסעיף 40ט'</w:t>
        </w:r>
      </w:hyperlink>
      <w:r w:rsidRPr="00436E93">
        <w:rPr>
          <w:rFonts w:ascii="Arial" w:hAnsi="Arial"/>
          <w:rtl/>
        </w:rPr>
        <w:t xml:space="preserve"> ל</w:t>
      </w:r>
      <w:hyperlink r:id="rId25" w:history="1">
        <w:r w:rsidR="00335130" w:rsidRPr="00335130">
          <w:rPr>
            <w:rFonts w:ascii="Arial" w:hAnsi="Arial"/>
            <w:color w:val="0000FF"/>
            <w:u w:val="single"/>
            <w:rtl/>
          </w:rPr>
          <w:t>חוק העונשין</w:t>
        </w:r>
      </w:hyperlink>
      <w:r w:rsidRPr="00436E93">
        <w:rPr>
          <w:rFonts w:ascii="Arial" w:hAnsi="Arial"/>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0B02A7BE" w14:textId="77777777" w:rsidR="00414447" w:rsidRPr="00436E93" w:rsidRDefault="00414447" w:rsidP="00414447">
      <w:pPr>
        <w:spacing w:line="360" w:lineRule="auto"/>
        <w:jc w:val="both"/>
        <w:rPr>
          <w:rFonts w:ascii="Arial" w:hAnsi="Arial"/>
          <w:rtl/>
        </w:rPr>
      </w:pPr>
    </w:p>
    <w:p w14:paraId="7FE9EB0D" w14:textId="77777777" w:rsidR="00414447" w:rsidRPr="00436E93" w:rsidRDefault="00414447" w:rsidP="00414447">
      <w:pPr>
        <w:spacing w:line="360" w:lineRule="auto"/>
        <w:jc w:val="both"/>
        <w:rPr>
          <w:rFonts w:ascii="Arial" w:hAnsi="Arial"/>
          <w:rtl/>
        </w:rPr>
      </w:pPr>
      <w:r w:rsidRPr="00436E93">
        <w:rPr>
          <w:rFonts w:ascii="Arial" w:hAnsi="Arial"/>
          <w:rtl/>
        </w:rPr>
        <w:t>בטרם ייקבע מתחם הענישה ההולם, יש לבחון האם</w:t>
      </w:r>
      <w:r>
        <w:rPr>
          <w:rFonts w:ascii="Arial" w:hAnsi="Arial" w:hint="cs"/>
          <w:rtl/>
        </w:rPr>
        <w:t xml:space="preserve"> שני</w:t>
      </w:r>
      <w:r w:rsidRPr="00436E93">
        <w:rPr>
          <w:rFonts w:ascii="Arial" w:hAnsi="Arial"/>
          <w:rtl/>
        </w:rPr>
        <w:t xml:space="preserve"> האישומים המפורטים בכתב האישום עולים לכדי אירוע אחד בגינו יש לקבוע מתחם עונש אחד, או שמא מדובר באירועים שונים, המצדיקים קביעת מתחם ענישה נפרד לכל אירוע.</w:t>
      </w:r>
    </w:p>
    <w:p w14:paraId="4BEB596B" w14:textId="77777777" w:rsidR="00414447" w:rsidRPr="00436E93" w:rsidRDefault="00414447" w:rsidP="00414447">
      <w:pPr>
        <w:spacing w:line="360" w:lineRule="auto"/>
        <w:jc w:val="both"/>
        <w:rPr>
          <w:rFonts w:ascii="Arial" w:hAnsi="Arial"/>
          <w:rtl/>
        </w:rPr>
      </w:pPr>
    </w:p>
    <w:p w14:paraId="1ED235EA" w14:textId="77777777" w:rsidR="00414447" w:rsidRPr="00436E93" w:rsidRDefault="00414447" w:rsidP="00414447">
      <w:pPr>
        <w:spacing w:line="360" w:lineRule="auto"/>
        <w:jc w:val="both"/>
        <w:rPr>
          <w:rFonts w:ascii="Arial" w:hAnsi="Arial"/>
          <w:rtl/>
        </w:rPr>
      </w:pPr>
      <w:r w:rsidRPr="00436E93">
        <w:rPr>
          <w:rFonts w:ascii="Arial" w:hAnsi="Arial"/>
          <w:rtl/>
        </w:rPr>
        <w:t>לשם כך, יש לבחון את הקשר ההדוק בין העבירות השונות, ולבחון האם הן עולות לכדי מסכת עבריינית אחת (</w:t>
      </w:r>
      <w:hyperlink r:id="rId26" w:history="1">
        <w:r w:rsidR="00335130" w:rsidRPr="00335130">
          <w:rPr>
            <w:rFonts w:ascii="Arial" w:hAnsi="Arial"/>
            <w:color w:val="0000FF"/>
            <w:u w:val="single"/>
            <w:rtl/>
          </w:rPr>
          <w:t>ע"פ 4910/13</w:t>
        </w:r>
      </w:hyperlink>
      <w:r w:rsidRPr="00436E93">
        <w:rPr>
          <w:rFonts w:ascii="Arial" w:hAnsi="Arial"/>
          <w:rtl/>
        </w:rPr>
        <w:t xml:space="preserve"> </w:t>
      </w:r>
      <w:r w:rsidRPr="00436E93">
        <w:rPr>
          <w:rFonts w:ascii="Arial" w:hAnsi="Arial"/>
          <w:b/>
          <w:bCs/>
          <w:rtl/>
        </w:rPr>
        <w:t>ג'אבר נ' מדינת ישראל</w:t>
      </w:r>
      <w:r>
        <w:rPr>
          <w:rFonts w:ascii="Arial" w:hAnsi="Arial"/>
          <w:rtl/>
        </w:rPr>
        <w:t xml:space="preserve"> (פורסם במאגרים</w:t>
      </w:r>
      <w:r>
        <w:rPr>
          <w:rFonts w:ascii="Arial" w:hAnsi="Arial" w:hint="cs"/>
          <w:rtl/>
        </w:rPr>
        <w:t>)</w:t>
      </w:r>
      <w:r w:rsidRPr="00436E93">
        <w:rPr>
          <w:rFonts w:ascii="Arial" w:hAnsi="Arial"/>
          <w:rtl/>
        </w:rPr>
        <w:t>).</w:t>
      </w:r>
    </w:p>
    <w:p w14:paraId="016B15E6" w14:textId="77777777" w:rsidR="00414447" w:rsidRPr="00436E93" w:rsidRDefault="00414447" w:rsidP="00414447">
      <w:pPr>
        <w:spacing w:line="360" w:lineRule="auto"/>
        <w:jc w:val="both"/>
        <w:rPr>
          <w:rFonts w:ascii="Arial" w:hAnsi="Arial"/>
          <w:rtl/>
        </w:rPr>
      </w:pPr>
    </w:p>
    <w:p w14:paraId="0433BB66" w14:textId="77777777" w:rsidR="00414447" w:rsidRDefault="00414447" w:rsidP="00414447">
      <w:pPr>
        <w:spacing w:line="360" w:lineRule="auto"/>
        <w:jc w:val="both"/>
        <w:rPr>
          <w:rFonts w:ascii="Arial" w:hAnsi="Arial"/>
          <w:rtl/>
        </w:rPr>
      </w:pPr>
      <w:r w:rsidRPr="00436E93">
        <w:rPr>
          <w:rFonts w:ascii="Arial" w:hAnsi="Arial"/>
          <w:rtl/>
        </w:rPr>
        <w:t>ההגנה טענה, כי יש לראות בכלל האירועים מקשה אחת ולקבוע מתחם ענישה אחד, בעוד התביעה ע</w:t>
      </w:r>
      <w:r>
        <w:rPr>
          <w:rFonts w:ascii="Arial" w:hAnsi="Arial"/>
          <w:rtl/>
        </w:rPr>
        <w:t xml:space="preserve">תרה למתחמי ענישה שונים, </w:t>
      </w:r>
      <w:r>
        <w:rPr>
          <w:rFonts w:ascii="Arial" w:hAnsi="Arial" w:hint="cs"/>
          <w:rtl/>
        </w:rPr>
        <w:t>הן בשל משקלים שונים והן בשל הדחת קטינים באישום השני.</w:t>
      </w:r>
    </w:p>
    <w:p w14:paraId="4FA8FD4A" w14:textId="77777777" w:rsidR="00414447" w:rsidRDefault="00414447" w:rsidP="00414447">
      <w:pPr>
        <w:spacing w:line="360" w:lineRule="auto"/>
        <w:jc w:val="both"/>
        <w:rPr>
          <w:rFonts w:ascii="Arial" w:hAnsi="Arial"/>
          <w:rtl/>
        </w:rPr>
      </w:pPr>
    </w:p>
    <w:p w14:paraId="2109DEED" w14:textId="77777777" w:rsidR="00414447" w:rsidRDefault="00414447" w:rsidP="00414447">
      <w:pPr>
        <w:spacing w:line="360" w:lineRule="auto"/>
        <w:jc w:val="both"/>
        <w:rPr>
          <w:rFonts w:ascii="Arial" w:hAnsi="Arial"/>
          <w:rtl/>
        </w:rPr>
      </w:pPr>
      <w:r>
        <w:rPr>
          <w:rFonts w:ascii="Arial" w:hAnsi="Arial" w:hint="cs"/>
          <w:rtl/>
        </w:rPr>
        <w:t>בית המשפט מוצא להיעתר לעמדת ההגנה, לפיה מדובר באירוע אחד בגינו ייקבע מתחם ענישה אחד.</w:t>
      </w:r>
    </w:p>
    <w:p w14:paraId="12B9F8ED" w14:textId="77777777" w:rsidR="00414447" w:rsidRDefault="00414447" w:rsidP="00414447">
      <w:pPr>
        <w:spacing w:line="360" w:lineRule="auto"/>
        <w:jc w:val="both"/>
        <w:rPr>
          <w:rFonts w:ascii="Arial" w:hAnsi="Arial"/>
          <w:rtl/>
        </w:rPr>
      </w:pPr>
    </w:p>
    <w:p w14:paraId="038F52E0" w14:textId="77777777" w:rsidR="00414447" w:rsidRDefault="00414447" w:rsidP="00414447">
      <w:pPr>
        <w:spacing w:line="360" w:lineRule="auto"/>
        <w:jc w:val="both"/>
        <w:rPr>
          <w:rFonts w:ascii="Arial" w:hAnsi="Arial"/>
          <w:rtl/>
        </w:rPr>
      </w:pPr>
      <w:r>
        <w:rPr>
          <w:rFonts w:ascii="Arial" w:hAnsi="Arial" w:hint="cs"/>
          <w:rtl/>
        </w:rPr>
        <w:t>במקרה דנן, מדובר בשתי עסקאות, אשר התבצעו בהפרש של מספר ימים, כאשר מדובר באותו נאשם ואותו השוטר.</w:t>
      </w:r>
    </w:p>
    <w:p w14:paraId="2C6B0663" w14:textId="77777777" w:rsidR="00414447" w:rsidRDefault="00414447" w:rsidP="00414447">
      <w:pPr>
        <w:spacing w:line="360" w:lineRule="auto"/>
        <w:jc w:val="both"/>
        <w:rPr>
          <w:rFonts w:ascii="Arial" w:hAnsi="Arial"/>
          <w:rtl/>
        </w:rPr>
      </w:pPr>
    </w:p>
    <w:p w14:paraId="20E0C17C" w14:textId="77777777" w:rsidR="00414447" w:rsidRDefault="00414447" w:rsidP="00414447">
      <w:pPr>
        <w:spacing w:line="360" w:lineRule="auto"/>
        <w:jc w:val="both"/>
        <w:rPr>
          <w:rFonts w:ascii="Arial" w:hAnsi="Arial"/>
          <w:rtl/>
        </w:rPr>
      </w:pPr>
      <w:r>
        <w:rPr>
          <w:rFonts w:ascii="Arial" w:hAnsi="Arial" w:hint="cs"/>
          <w:rtl/>
        </w:rPr>
        <w:t>אשר למשקל הסמים, בעסקה הראשונה, מדובר על 10.8 גרם נטו, ואילו בעסקה השניה, מדובר על 42.9 גרם נטו.</w:t>
      </w:r>
    </w:p>
    <w:p w14:paraId="696B6A64" w14:textId="77777777" w:rsidR="00414447" w:rsidRDefault="00414447" w:rsidP="00414447">
      <w:pPr>
        <w:spacing w:line="360" w:lineRule="auto"/>
        <w:jc w:val="both"/>
        <w:rPr>
          <w:rFonts w:ascii="Arial" w:hAnsi="Arial"/>
          <w:rtl/>
        </w:rPr>
      </w:pPr>
    </w:p>
    <w:p w14:paraId="58DD6EF2" w14:textId="77777777" w:rsidR="00414447" w:rsidRDefault="00414447" w:rsidP="00414447">
      <w:pPr>
        <w:spacing w:line="360" w:lineRule="auto"/>
        <w:jc w:val="both"/>
        <w:rPr>
          <w:rFonts w:ascii="Arial" w:hAnsi="Arial"/>
          <w:rtl/>
        </w:rPr>
      </w:pPr>
      <w:r>
        <w:rPr>
          <w:rFonts w:ascii="Arial" w:hAnsi="Arial" w:hint="cs"/>
          <w:rtl/>
        </w:rPr>
        <w:t>אשר לעובדה, כי מדובר בהדחת קטין לסם, בית המשפט ער לכך, כי מדובר בבני משפחתו של הנאשם, ופער הגילאים ביניהם הינו קטן יחסית, כך שהנאשם עבר העבירות כשלושה חודשים לאחר שמלאו לו 18 שנים, בעוד הקטינים המעורבים היו כבני 17.</w:t>
      </w:r>
    </w:p>
    <w:p w14:paraId="41F613FA" w14:textId="77777777" w:rsidR="00414447" w:rsidRDefault="00414447" w:rsidP="00414447">
      <w:pPr>
        <w:spacing w:line="360" w:lineRule="auto"/>
        <w:jc w:val="both"/>
        <w:rPr>
          <w:rFonts w:ascii="Arial" w:hAnsi="Arial"/>
          <w:rtl/>
        </w:rPr>
      </w:pPr>
    </w:p>
    <w:p w14:paraId="18694466" w14:textId="77777777" w:rsidR="00414447" w:rsidRDefault="00414447" w:rsidP="00414447">
      <w:pPr>
        <w:spacing w:line="360" w:lineRule="auto"/>
        <w:jc w:val="both"/>
        <w:rPr>
          <w:rFonts w:ascii="Arial" w:hAnsi="Arial"/>
          <w:rtl/>
        </w:rPr>
      </w:pPr>
      <w:r>
        <w:rPr>
          <w:rFonts w:ascii="Arial" w:hAnsi="Arial" w:hint="cs"/>
          <w:rtl/>
        </w:rPr>
        <w:t>לאור הנסיבות, ובשים לב לכמות הסמים, המלמדת על נגישות לסמים, מוצא בית המשפט לקבוע מתחם ענישה אחד, הנע בין 9 עד 21 חודשי מאסר בפועל.</w:t>
      </w:r>
    </w:p>
    <w:p w14:paraId="1971CA15" w14:textId="77777777" w:rsidR="00414447" w:rsidRDefault="00414447" w:rsidP="00414447">
      <w:pPr>
        <w:spacing w:line="360" w:lineRule="auto"/>
        <w:jc w:val="both"/>
        <w:rPr>
          <w:rFonts w:ascii="Arial" w:hAnsi="Arial"/>
          <w:rtl/>
        </w:rPr>
      </w:pPr>
    </w:p>
    <w:p w14:paraId="3D6256FA" w14:textId="77777777" w:rsidR="00414447" w:rsidRDefault="00414447" w:rsidP="00414447">
      <w:pPr>
        <w:spacing w:line="360" w:lineRule="auto"/>
        <w:jc w:val="both"/>
        <w:rPr>
          <w:rFonts w:ascii="Arial" w:hAnsi="Arial"/>
          <w:rtl/>
        </w:rPr>
      </w:pPr>
    </w:p>
    <w:p w14:paraId="00AF9C60" w14:textId="77777777" w:rsidR="00414447" w:rsidRDefault="00414447" w:rsidP="00414447">
      <w:pPr>
        <w:spacing w:line="360" w:lineRule="auto"/>
        <w:jc w:val="both"/>
        <w:rPr>
          <w:rFonts w:ascii="Arial" w:hAnsi="Arial"/>
          <w:rtl/>
        </w:rPr>
      </w:pPr>
    </w:p>
    <w:p w14:paraId="6C0EC366" w14:textId="77777777" w:rsidR="00414447" w:rsidRDefault="00414447" w:rsidP="00414447">
      <w:pPr>
        <w:spacing w:line="360" w:lineRule="auto"/>
        <w:jc w:val="both"/>
        <w:rPr>
          <w:rFonts w:ascii="Arial" w:hAnsi="Arial"/>
          <w:rtl/>
        </w:rPr>
      </w:pPr>
    </w:p>
    <w:p w14:paraId="0D6B0690" w14:textId="77777777" w:rsidR="00414447" w:rsidRDefault="00414447" w:rsidP="00414447">
      <w:pPr>
        <w:spacing w:line="360" w:lineRule="auto"/>
        <w:jc w:val="both"/>
        <w:rPr>
          <w:rFonts w:ascii="Arial" w:hAnsi="Arial"/>
          <w:rtl/>
        </w:rPr>
      </w:pPr>
    </w:p>
    <w:p w14:paraId="5DE76D8B" w14:textId="77777777" w:rsidR="00414447" w:rsidRDefault="00414447" w:rsidP="00414447">
      <w:pPr>
        <w:spacing w:line="360" w:lineRule="auto"/>
        <w:jc w:val="both"/>
        <w:rPr>
          <w:rFonts w:ascii="Arial" w:hAnsi="Arial"/>
          <w:rtl/>
        </w:rPr>
      </w:pPr>
    </w:p>
    <w:p w14:paraId="12626649" w14:textId="77777777" w:rsidR="00414447" w:rsidRDefault="00414447" w:rsidP="00414447">
      <w:pPr>
        <w:spacing w:line="360" w:lineRule="auto"/>
        <w:jc w:val="both"/>
        <w:rPr>
          <w:rFonts w:ascii="Arial" w:hAnsi="Arial"/>
          <w:rtl/>
        </w:rPr>
      </w:pPr>
      <w:r>
        <w:rPr>
          <w:rFonts w:ascii="Arial" w:hAnsi="Arial" w:hint="cs"/>
          <w:b/>
          <w:bCs/>
          <w:rtl/>
        </w:rPr>
        <w:t>קביעת הענישה הספציפית בתוך המתחם</w:t>
      </w:r>
    </w:p>
    <w:p w14:paraId="63FAAA80" w14:textId="77777777" w:rsidR="00414447" w:rsidRDefault="00414447" w:rsidP="00414447">
      <w:pPr>
        <w:spacing w:line="360" w:lineRule="auto"/>
        <w:jc w:val="both"/>
        <w:rPr>
          <w:rFonts w:ascii="Arial" w:hAnsi="Arial"/>
          <w:rtl/>
        </w:rPr>
      </w:pPr>
    </w:p>
    <w:p w14:paraId="226BE23E" w14:textId="77777777" w:rsidR="00414447" w:rsidRDefault="00414447" w:rsidP="00414447">
      <w:pPr>
        <w:spacing w:line="360" w:lineRule="auto"/>
        <w:jc w:val="both"/>
        <w:rPr>
          <w:rFonts w:ascii="Arial" w:hAnsi="Arial"/>
          <w:rtl/>
        </w:rPr>
      </w:pPr>
      <w:r>
        <w:rPr>
          <w:rFonts w:ascii="Arial" w:hAnsi="Arial" w:hint="cs"/>
          <w:rtl/>
        </w:rPr>
        <w:t>התנהלות הנאשם, ובפרט נגישות הסם בכמויות בהן סחר, מלמדות, כי הנאשם היה מעורב בפעילות שולית ועולם הסמים אינו זר לו.</w:t>
      </w:r>
    </w:p>
    <w:p w14:paraId="1FD33406" w14:textId="77777777" w:rsidR="00414447" w:rsidRDefault="00414447" w:rsidP="00414447">
      <w:pPr>
        <w:spacing w:line="360" w:lineRule="auto"/>
        <w:jc w:val="both"/>
        <w:rPr>
          <w:rFonts w:ascii="Arial" w:hAnsi="Arial"/>
          <w:rtl/>
        </w:rPr>
      </w:pPr>
    </w:p>
    <w:p w14:paraId="047F994F" w14:textId="77777777" w:rsidR="00414447" w:rsidRDefault="00414447" w:rsidP="00414447">
      <w:pPr>
        <w:spacing w:line="360" w:lineRule="auto"/>
        <w:jc w:val="both"/>
        <w:rPr>
          <w:rFonts w:ascii="Arial" w:hAnsi="Arial"/>
          <w:rtl/>
        </w:rPr>
      </w:pPr>
      <w:r>
        <w:rPr>
          <w:rFonts w:ascii="Arial" w:hAnsi="Arial" w:hint="cs"/>
          <w:rtl/>
        </w:rPr>
        <w:t>מנגד, לא היתה אינדיקציה, כי לנאשם הרשעות קודמות לאירועי כתב האישום, או, כי הסתבך שוב עם החוק לאחר מכן.</w:t>
      </w:r>
    </w:p>
    <w:p w14:paraId="2E2917FC" w14:textId="77777777" w:rsidR="00414447" w:rsidRDefault="00414447" w:rsidP="00414447">
      <w:pPr>
        <w:spacing w:line="360" w:lineRule="auto"/>
        <w:jc w:val="both"/>
        <w:rPr>
          <w:rFonts w:ascii="Arial" w:hAnsi="Arial"/>
          <w:rtl/>
        </w:rPr>
      </w:pPr>
    </w:p>
    <w:p w14:paraId="7989DF6E" w14:textId="77777777" w:rsidR="00414447" w:rsidRDefault="00414447" w:rsidP="00414447">
      <w:pPr>
        <w:spacing w:line="360" w:lineRule="auto"/>
        <w:jc w:val="both"/>
        <w:rPr>
          <w:rFonts w:ascii="Arial" w:hAnsi="Arial"/>
          <w:rtl/>
        </w:rPr>
      </w:pPr>
      <w:r>
        <w:rPr>
          <w:rFonts w:ascii="Arial" w:hAnsi="Arial" w:hint="cs"/>
          <w:rtl/>
        </w:rPr>
        <w:t>הנאשם השתלב בהליך טיפולי והגיע למחצית מהמפגשים. אין חולק, כי הנאשם לא השלים את הקבוצה הטיפולית כנדרש.</w:t>
      </w:r>
    </w:p>
    <w:p w14:paraId="394D8AB4" w14:textId="77777777" w:rsidR="00414447" w:rsidRDefault="00414447" w:rsidP="00414447">
      <w:pPr>
        <w:spacing w:line="360" w:lineRule="auto"/>
        <w:jc w:val="both"/>
        <w:rPr>
          <w:rFonts w:ascii="Arial" w:hAnsi="Arial"/>
          <w:rtl/>
        </w:rPr>
      </w:pPr>
    </w:p>
    <w:p w14:paraId="6ECEEC16" w14:textId="77777777" w:rsidR="00414447" w:rsidRDefault="00414447" w:rsidP="00414447">
      <w:pPr>
        <w:spacing w:line="360" w:lineRule="auto"/>
        <w:jc w:val="both"/>
        <w:rPr>
          <w:rFonts w:ascii="Arial" w:hAnsi="Arial"/>
          <w:rtl/>
        </w:rPr>
      </w:pPr>
      <w:r>
        <w:rPr>
          <w:rFonts w:ascii="Arial" w:hAnsi="Arial" w:hint="cs"/>
          <w:rtl/>
        </w:rPr>
        <w:t>עם זאת, התרשם שירות המבחן למבוגרים, כי הנאשם כן הצליח לערוך התבוננות בדפוסיו, לשנות את התנהלותו ואף השתלב במקום עבודה לאחר תקופה ממושכת בה המעיט לצאת מביתו.</w:t>
      </w:r>
    </w:p>
    <w:p w14:paraId="1343F9E3" w14:textId="77777777" w:rsidR="00414447" w:rsidRDefault="00414447" w:rsidP="00414447">
      <w:pPr>
        <w:spacing w:line="360" w:lineRule="auto"/>
        <w:jc w:val="both"/>
        <w:rPr>
          <w:rFonts w:ascii="Arial" w:hAnsi="Arial"/>
          <w:rtl/>
        </w:rPr>
      </w:pPr>
    </w:p>
    <w:p w14:paraId="31D6308A" w14:textId="77777777" w:rsidR="00414447" w:rsidRDefault="00414447" w:rsidP="00414447">
      <w:pPr>
        <w:spacing w:line="360" w:lineRule="auto"/>
        <w:jc w:val="both"/>
        <w:rPr>
          <w:rFonts w:ascii="Arial" w:hAnsi="Arial"/>
          <w:rtl/>
        </w:rPr>
      </w:pPr>
      <w:r>
        <w:rPr>
          <w:rFonts w:ascii="Arial" w:hAnsi="Arial" w:hint="cs"/>
          <w:rtl/>
        </w:rPr>
        <w:t>הנאשם עבר את העבירות בהיותו בן 18, בלא שהיו בעבורו מי שיהוו דוגמה ויכווינו אותו לחיים אזרחיים עמלניים.</w:t>
      </w:r>
    </w:p>
    <w:p w14:paraId="0110E505" w14:textId="77777777" w:rsidR="00414447" w:rsidRDefault="00414447" w:rsidP="00414447">
      <w:pPr>
        <w:spacing w:line="360" w:lineRule="auto"/>
        <w:jc w:val="both"/>
        <w:rPr>
          <w:rFonts w:ascii="Arial" w:hAnsi="Arial"/>
          <w:rtl/>
        </w:rPr>
      </w:pPr>
    </w:p>
    <w:p w14:paraId="002E9DDA" w14:textId="77777777" w:rsidR="00414447" w:rsidRDefault="00414447" w:rsidP="00414447">
      <w:pPr>
        <w:spacing w:line="360" w:lineRule="auto"/>
        <w:jc w:val="both"/>
        <w:rPr>
          <w:rFonts w:ascii="Arial" w:hAnsi="Arial"/>
          <w:rtl/>
        </w:rPr>
      </w:pPr>
      <w:r>
        <w:rPr>
          <w:rFonts w:ascii="Arial" w:hAnsi="Arial" w:hint="cs"/>
          <w:rtl/>
        </w:rPr>
        <w:t>אכן, הורשע הנאשם גם בעבירה של הדחת קטין לסם, אך כאמור לעיל, מדובר בשני בני משפחתו, אשר היו כבני 17 בעת שנעברה העבירה, פער הגיל בינו לבינם אינו משמעותי, ואין אינדיקציה לכך, כי הנאשם הפעיל לחץ או ניצל פערי כוחות על מנת להדיח אותם להשתתף עמו במעשים העברייניים.</w:t>
      </w:r>
    </w:p>
    <w:p w14:paraId="176A6E0B" w14:textId="77777777" w:rsidR="00414447" w:rsidRDefault="00414447" w:rsidP="00414447">
      <w:pPr>
        <w:spacing w:line="360" w:lineRule="auto"/>
        <w:jc w:val="both"/>
        <w:rPr>
          <w:rFonts w:ascii="Arial" w:hAnsi="Arial"/>
          <w:rtl/>
        </w:rPr>
      </w:pPr>
    </w:p>
    <w:p w14:paraId="690C63A9" w14:textId="77777777" w:rsidR="00414447" w:rsidRDefault="00414447" w:rsidP="00414447">
      <w:pPr>
        <w:spacing w:line="360" w:lineRule="auto"/>
        <w:jc w:val="both"/>
        <w:rPr>
          <w:rFonts w:ascii="Arial" w:hAnsi="Arial"/>
          <w:rtl/>
        </w:rPr>
      </w:pPr>
      <w:r>
        <w:rPr>
          <w:rFonts w:ascii="Arial" w:hAnsi="Arial" w:hint="cs"/>
          <w:rtl/>
        </w:rPr>
        <w:t>במכלול הנסיבות, מוצא בית המשפט למקם את עונשו של הנאשם בתחתית המתחם ולאור חלוף הזמן והשינוי שערך הנאשם באורחות חייו, יאמץ בית המשפט עתירת ההגנה להמיר את עונש המאסר לריצוי בדרך של עבודות שירות. כמובן, יוטל מאסר מותנה מרתיע, לבל יהין הנאשם לעסוק שוב בסמים.</w:t>
      </w:r>
    </w:p>
    <w:p w14:paraId="1B583FA9" w14:textId="77777777" w:rsidR="00414447" w:rsidRDefault="00414447" w:rsidP="00414447">
      <w:pPr>
        <w:spacing w:line="360" w:lineRule="auto"/>
        <w:jc w:val="both"/>
        <w:rPr>
          <w:rFonts w:ascii="Arial" w:hAnsi="Arial"/>
          <w:rtl/>
        </w:rPr>
      </w:pPr>
    </w:p>
    <w:p w14:paraId="238EF423" w14:textId="77777777" w:rsidR="00414447" w:rsidRDefault="00414447" w:rsidP="00414447">
      <w:pPr>
        <w:spacing w:line="360" w:lineRule="auto"/>
        <w:jc w:val="both"/>
        <w:rPr>
          <w:rFonts w:ascii="Arial" w:hAnsi="Arial"/>
          <w:rtl/>
        </w:rPr>
      </w:pPr>
      <w:r>
        <w:rPr>
          <w:rFonts w:ascii="Arial" w:hAnsi="Arial" w:hint="cs"/>
          <w:rtl/>
        </w:rPr>
        <w:t xml:space="preserve">בשל המניע הכלכלי העומד ברקע לעבירות סמים, מוצא בית המשפט להטיל עיצום כספי מסוג קנס. </w:t>
      </w:r>
    </w:p>
    <w:p w14:paraId="3E38AFF7" w14:textId="77777777" w:rsidR="00414447" w:rsidRDefault="00414447" w:rsidP="00414447">
      <w:pPr>
        <w:spacing w:line="360" w:lineRule="auto"/>
        <w:jc w:val="both"/>
        <w:rPr>
          <w:rFonts w:ascii="Arial" w:hAnsi="Arial"/>
          <w:rtl/>
        </w:rPr>
      </w:pPr>
    </w:p>
    <w:p w14:paraId="1FC37AFD" w14:textId="77777777" w:rsidR="00414447" w:rsidRDefault="00414447" w:rsidP="00414447">
      <w:pPr>
        <w:spacing w:line="360" w:lineRule="auto"/>
        <w:jc w:val="both"/>
        <w:rPr>
          <w:rFonts w:ascii="Arial" w:hAnsi="Arial"/>
          <w:rtl/>
        </w:rPr>
      </w:pPr>
      <w:r>
        <w:rPr>
          <w:rFonts w:ascii="Arial" w:hAnsi="Arial" w:hint="cs"/>
          <w:rtl/>
        </w:rPr>
        <w:t>כן, לאור טיב העבירות ונסיבותיהן, מוצא בית המשפט לעשות שימוש בסמכותו ולהורות על פסילת רישיון נהיגה בפועל ועל תנאי.</w:t>
      </w:r>
    </w:p>
    <w:p w14:paraId="2951F0BC" w14:textId="77777777" w:rsidR="00414447" w:rsidRDefault="00414447" w:rsidP="00414447">
      <w:pPr>
        <w:spacing w:line="360" w:lineRule="auto"/>
        <w:jc w:val="both"/>
        <w:rPr>
          <w:rFonts w:ascii="Arial" w:hAnsi="Arial"/>
          <w:rtl/>
        </w:rPr>
      </w:pPr>
    </w:p>
    <w:p w14:paraId="478D384F" w14:textId="77777777" w:rsidR="00414447" w:rsidRDefault="00414447" w:rsidP="00414447">
      <w:pPr>
        <w:spacing w:line="360" w:lineRule="auto"/>
        <w:jc w:val="both"/>
        <w:rPr>
          <w:rFonts w:ascii="Arial" w:hAnsi="Arial"/>
          <w:rtl/>
        </w:rPr>
      </w:pPr>
    </w:p>
    <w:p w14:paraId="0FB60AA4" w14:textId="77777777" w:rsidR="00414447" w:rsidRDefault="00414447" w:rsidP="00414447">
      <w:pPr>
        <w:spacing w:line="360" w:lineRule="auto"/>
        <w:jc w:val="both"/>
        <w:rPr>
          <w:rFonts w:ascii="Arial" w:hAnsi="Arial"/>
          <w:rtl/>
        </w:rPr>
      </w:pPr>
    </w:p>
    <w:p w14:paraId="55C2E42F" w14:textId="77777777" w:rsidR="00414447" w:rsidRDefault="00414447" w:rsidP="00414447">
      <w:pPr>
        <w:spacing w:line="360" w:lineRule="auto"/>
        <w:jc w:val="both"/>
        <w:rPr>
          <w:rFonts w:ascii="Arial" w:hAnsi="Arial"/>
          <w:rtl/>
        </w:rPr>
      </w:pPr>
    </w:p>
    <w:p w14:paraId="30B8B82A" w14:textId="77777777" w:rsidR="00414447" w:rsidRPr="00FD155D" w:rsidRDefault="00414447" w:rsidP="00414447">
      <w:pPr>
        <w:spacing w:line="360" w:lineRule="auto"/>
        <w:jc w:val="both"/>
        <w:rPr>
          <w:rFonts w:ascii="Arial" w:hAnsi="Arial"/>
        </w:rPr>
      </w:pPr>
      <w:r w:rsidRPr="00FD155D">
        <w:rPr>
          <w:rFonts w:ascii="Arial" w:hAnsi="Arial"/>
          <w:b/>
          <w:bCs/>
          <w:rtl/>
        </w:rPr>
        <w:t>סיכום</w:t>
      </w:r>
    </w:p>
    <w:p w14:paraId="397DFBF9" w14:textId="77777777" w:rsidR="00414447" w:rsidRPr="00FD155D" w:rsidRDefault="00414447" w:rsidP="00414447">
      <w:pPr>
        <w:spacing w:line="360" w:lineRule="auto"/>
        <w:jc w:val="both"/>
        <w:rPr>
          <w:rFonts w:ascii="Arial" w:hAnsi="Arial"/>
        </w:rPr>
      </w:pPr>
    </w:p>
    <w:p w14:paraId="31385BB2" w14:textId="77777777" w:rsidR="00414447" w:rsidRPr="00FD155D" w:rsidRDefault="00414447" w:rsidP="00414447">
      <w:pPr>
        <w:spacing w:line="360" w:lineRule="auto"/>
        <w:jc w:val="both"/>
        <w:rPr>
          <w:rFonts w:ascii="Arial" w:hAnsi="Arial"/>
          <w:rtl/>
        </w:rPr>
      </w:pPr>
      <w:r w:rsidRPr="00FD155D">
        <w:rPr>
          <w:rFonts w:ascii="Arial" w:hAnsi="Arial"/>
          <w:rtl/>
        </w:rPr>
        <w:t>לאחר שבית המשפט עיין בטיעוני המאשימה בכתב; שמע טיעוני הצדדים על פה; עיין בתסקיר שירות המבחן למבוגרים וחוות דעת הממונה על עבודות השירות; עיין בפסיקה מטעם ב"כ הצדדים; ולאחר ששמע דברו האחרון של הנאשם; גוזר על הנאשם את העונשים כדלקמן:</w:t>
      </w:r>
    </w:p>
    <w:p w14:paraId="5A228624" w14:textId="77777777" w:rsidR="00414447" w:rsidRPr="00FD155D" w:rsidRDefault="00414447" w:rsidP="00414447">
      <w:pPr>
        <w:spacing w:line="360" w:lineRule="auto"/>
        <w:jc w:val="both"/>
        <w:rPr>
          <w:rFonts w:ascii="Arial" w:hAnsi="Arial"/>
          <w:rtl/>
        </w:rPr>
      </w:pPr>
    </w:p>
    <w:p w14:paraId="7981020B" w14:textId="77777777" w:rsidR="00414447" w:rsidRPr="00FD155D" w:rsidRDefault="00414447" w:rsidP="00414447">
      <w:pPr>
        <w:pStyle w:val="a9"/>
        <w:numPr>
          <w:ilvl w:val="0"/>
          <w:numId w:val="3"/>
        </w:numPr>
        <w:spacing w:line="360" w:lineRule="auto"/>
        <w:jc w:val="both"/>
        <w:rPr>
          <w:rFonts w:ascii="Arial" w:hAnsi="Arial"/>
          <w:noProof/>
        </w:rPr>
      </w:pPr>
      <w:r>
        <w:rPr>
          <w:rFonts w:ascii="Arial" w:hAnsi="Arial" w:hint="cs"/>
          <w:rtl/>
        </w:rPr>
        <w:t>9</w:t>
      </w:r>
      <w:r w:rsidRPr="00FD155D">
        <w:rPr>
          <w:rFonts w:ascii="Arial" w:hAnsi="Arial" w:hint="cs"/>
          <w:rtl/>
        </w:rPr>
        <w:t xml:space="preserve"> חודשי חדשי מאסר בפועל. בהתאם לחוות דעת הממונה על עבודות השירות בשב"ס, ירצה הנאשם המאסר בדרך של עבודות שירות, אצטדיון טרנר </w:t>
      </w:r>
      <w:r w:rsidRPr="00FD155D">
        <w:rPr>
          <w:rFonts w:ascii="Arial" w:hAnsi="Arial"/>
          <w:rtl/>
        </w:rPr>
        <w:t>–</w:t>
      </w:r>
      <w:r w:rsidRPr="00FD155D">
        <w:rPr>
          <w:rFonts w:ascii="Arial" w:hAnsi="Arial" w:hint="cs"/>
          <w:rtl/>
        </w:rPr>
        <w:t xml:space="preserve"> חברת כיוונים לתרבות וספורט בעיריית באר שבע, האצ"ל 2, באר שבע, 5 ימים בשבוע, שעות העבודה – בהתאם לממונים עליו במקום. על הנאשם להתייצב, ביום 20.09.22,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65386092" w14:textId="77777777" w:rsidR="00414447" w:rsidRPr="00FD155D" w:rsidRDefault="00414447" w:rsidP="00414447">
      <w:pPr>
        <w:numPr>
          <w:ilvl w:val="0"/>
          <w:numId w:val="3"/>
        </w:numPr>
        <w:spacing w:line="360" w:lineRule="auto"/>
        <w:jc w:val="both"/>
        <w:rPr>
          <w:rFonts w:ascii="Arial" w:hAnsi="Arial"/>
          <w:rtl/>
        </w:rPr>
      </w:pPr>
      <w:r>
        <w:rPr>
          <w:rFonts w:ascii="Arial" w:hAnsi="Arial" w:hint="cs"/>
          <w:rtl/>
        </w:rPr>
        <w:t>12</w:t>
      </w:r>
      <w:r w:rsidRPr="00FD155D">
        <w:rPr>
          <w:rFonts w:ascii="Arial" w:hAnsi="Arial"/>
          <w:rtl/>
        </w:rPr>
        <w:t xml:space="preserve"> חודשים מאסר על תנאי למשך 3 שנים מיום שחרורו של הנאשם ממאסר, והתנאי – שהנאשם לא יעבור עבירה בניגוד ל</w:t>
      </w:r>
      <w:hyperlink r:id="rId27" w:history="1">
        <w:r w:rsidR="00335130" w:rsidRPr="00335130">
          <w:rPr>
            <w:rFonts w:ascii="Arial" w:hAnsi="Arial"/>
            <w:color w:val="0000FF"/>
            <w:u w:val="single"/>
            <w:rtl/>
          </w:rPr>
          <w:t>פקודת הסמים המסוכנים</w:t>
        </w:r>
      </w:hyperlink>
      <w:r w:rsidRPr="00FD155D">
        <w:rPr>
          <w:rFonts w:ascii="Arial" w:hAnsi="Arial"/>
          <w:rtl/>
        </w:rPr>
        <w:t xml:space="preserve"> [נוסח חדש], תשל"ג – 1973, שהיא מסוג פשע;</w:t>
      </w:r>
    </w:p>
    <w:p w14:paraId="3EDDB58E" w14:textId="77777777" w:rsidR="00414447" w:rsidRPr="00FD155D" w:rsidRDefault="00414447" w:rsidP="00414447">
      <w:pPr>
        <w:numPr>
          <w:ilvl w:val="0"/>
          <w:numId w:val="3"/>
        </w:numPr>
        <w:spacing w:line="360" w:lineRule="auto"/>
        <w:jc w:val="both"/>
        <w:rPr>
          <w:rFonts w:ascii="Arial" w:hAnsi="Arial"/>
          <w:rtl/>
        </w:rPr>
      </w:pPr>
      <w:r>
        <w:rPr>
          <w:rFonts w:ascii="Arial" w:hAnsi="Arial" w:hint="cs"/>
          <w:rtl/>
        </w:rPr>
        <w:t>3</w:t>
      </w:r>
      <w:r w:rsidRPr="00FD155D">
        <w:rPr>
          <w:rFonts w:ascii="Arial" w:hAnsi="Arial"/>
          <w:rtl/>
        </w:rPr>
        <w:t xml:space="preserve"> חודשים מאסר על תנאי למשך 3 שנים מיום שחרורו של הנאשם ממאסר, והתנאי – שהנאשם לא יעבור עבירה בניגוד ל</w:t>
      </w:r>
      <w:hyperlink r:id="rId28" w:history="1">
        <w:r w:rsidR="00335130" w:rsidRPr="00335130">
          <w:rPr>
            <w:rFonts w:ascii="Arial" w:hAnsi="Arial"/>
            <w:color w:val="0000FF"/>
            <w:u w:val="single"/>
            <w:rtl/>
          </w:rPr>
          <w:t>פקודת הסמים המסוכנים</w:t>
        </w:r>
      </w:hyperlink>
      <w:r w:rsidRPr="00FD155D">
        <w:rPr>
          <w:rFonts w:ascii="Arial" w:hAnsi="Arial"/>
          <w:rtl/>
        </w:rPr>
        <w:t xml:space="preserve"> [נוסח חדש], תשל"ג – 1973, שהיא מסוג עוון;</w:t>
      </w:r>
    </w:p>
    <w:p w14:paraId="5A8ACD5E" w14:textId="77777777" w:rsidR="00414447" w:rsidRPr="00FD155D" w:rsidRDefault="00414447" w:rsidP="00414447">
      <w:pPr>
        <w:numPr>
          <w:ilvl w:val="0"/>
          <w:numId w:val="3"/>
        </w:numPr>
        <w:spacing w:line="360" w:lineRule="auto"/>
        <w:jc w:val="both"/>
        <w:rPr>
          <w:rFonts w:ascii="Arial" w:hAnsi="Arial"/>
        </w:rPr>
      </w:pPr>
      <w:r w:rsidRPr="00FD155D">
        <w:rPr>
          <w:rFonts w:ascii="Arial" w:hAnsi="Arial"/>
          <w:rtl/>
        </w:rPr>
        <w:t xml:space="preserve">קנס בסך </w:t>
      </w:r>
      <w:r>
        <w:rPr>
          <w:rFonts w:ascii="Arial" w:hAnsi="Arial" w:hint="cs"/>
          <w:rtl/>
        </w:rPr>
        <w:t>12,000</w:t>
      </w:r>
      <w:r w:rsidRPr="00FD155D">
        <w:rPr>
          <w:rFonts w:ascii="Arial" w:hAnsi="Arial"/>
          <w:rtl/>
        </w:rPr>
        <w:t xml:space="preserve"> ₪ או </w:t>
      </w:r>
      <w:r>
        <w:rPr>
          <w:rFonts w:ascii="Arial" w:hAnsi="Arial" w:hint="cs"/>
          <w:rtl/>
        </w:rPr>
        <w:t>6</w:t>
      </w:r>
      <w:r w:rsidRPr="00FD155D">
        <w:rPr>
          <w:rFonts w:ascii="Arial" w:hAnsi="Arial"/>
          <w:rtl/>
        </w:rPr>
        <w:t xml:space="preserve">5 ימי מאסר תמורתו. הקנס ישולם ב - </w:t>
      </w:r>
      <w:r>
        <w:rPr>
          <w:rFonts w:ascii="Arial" w:hAnsi="Arial" w:hint="cs"/>
          <w:rtl/>
        </w:rPr>
        <w:t>12</w:t>
      </w:r>
      <w:r w:rsidRPr="00FD155D">
        <w:rPr>
          <w:rFonts w:ascii="Arial" w:hAnsi="Arial"/>
          <w:rtl/>
        </w:rPr>
        <w:t xml:space="preserve"> תשלומים שווים החל מיום 15.</w:t>
      </w:r>
      <w:r>
        <w:rPr>
          <w:rFonts w:ascii="Arial" w:hAnsi="Arial" w:hint="cs"/>
          <w:rtl/>
        </w:rPr>
        <w:t>11</w:t>
      </w:r>
      <w:r w:rsidRPr="00FD155D">
        <w:rPr>
          <w:rFonts w:ascii="Arial" w:hAnsi="Arial"/>
          <w:rtl/>
        </w:rPr>
        <w:t>.22 ובכל 15 לחודש העוקב. לא יעמוד הנאשם באחד התשלומים במועד – תעמוד היתרה לפירעון מידי;</w:t>
      </w:r>
    </w:p>
    <w:p w14:paraId="19F5859D" w14:textId="77777777" w:rsidR="00414447" w:rsidRPr="00FD155D" w:rsidRDefault="00414447" w:rsidP="00414447">
      <w:pPr>
        <w:numPr>
          <w:ilvl w:val="0"/>
          <w:numId w:val="3"/>
        </w:numPr>
        <w:spacing w:line="360" w:lineRule="auto"/>
        <w:jc w:val="both"/>
        <w:rPr>
          <w:rFonts w:ascii="Arial" w:hAnsi="Arial"/>
        </w:rPr>
      </w:pPr>
      <w:r w:rsidRPr="00FD155D">
        <w:rPr>
          <w:rFonts w:ascii="Arial" w:hAnsi="Arial"/>
          <w:rtl/>
        </w:rPr>
        <w:t xml:space="preserve">פסילה בפועל, מקבל או מהחזיק רשיון נהיגה לרכב מנועי, למשך </w:t>
      </w:r>
      <w:r>
        <w:rPr>
          <w:rFonts w:ascii="Arial" w:hAnsi="Arial" w:hint="cs"/>
          <w:rtl/>
        </w:rPr>
        <w:t xml:space="preserve">12 </w:t>
      </w:r>
      <w:r w:rsidRPr="00FD155D">
        <w:rPr>
          <w:rFonts w:ascii="Arial" w:hAnsi="Arial"/>
          <w:rtl/>
        </w:rPr>
        <w:t xml:space="preserve">חודשים החל מהיום. על הנאשם להפקיד רשיונו, או תצהיר מתאים, במזכירות בית המשפט עד </w:t>
      </w:r>
      <w:r>
        <w:rPr>
          <w:rFonts w:ascii="Arial" w:hAnsi="Arial" w:hint="cs"/>
          <w:rtl/>
        </w:rPr>
        <w:t>יום העבודה הבא, קרי</w:t>
      </w:r>
      <w:r w:rsidRPr="00FD155D">
        <w:rPr>
          <w:rFonts w:ascii="Arial" w:hAnsi="Arial"/>
          <w:rtl/>
        </w:rPr>
        <w:t xml:space="preserve">, </w:t>
      </w:r>
      <w:r>
        <w:rPr>
          <w:rFonts w:ascii="Arial" w:hAnsi="Arial" w:hint="cs"/>
          <w:rtl/>
        </w:rPr>
        <w:t>11.09.22</w:t>
      </w:r>
      <w:r w:rsidRPr="00FD155D">
        <w:rPr>
          <w:rFonts w:ascii="Arial" w:hAnsi="Arial"/>
          <w:rtl/>
        </w:rPr>
        <w:t>, שעה 12:00. מובהר לנאשם, כי כל עוד לא הופקד הרשיון</w:t>
      </w:r>
      <w:r>
        <w:rPr>
          <w:rFonts w:ascii="Arial" w:hAnsi="Arial" w:hint="cs"/>
          <w:rtl/>
        </w:rPr>
        <w:t xml:space="preserve"> או התצהיר</w:t>
      </w:r>
      <w:r w:rsidRPr="00FD155D">
        <w:rPr>
          <w:rFonts w:ascii="Arial" w:hAnsi="Arial"/>
          <w:rtl/>
        </w:rPr>
        <w:t xml:space="preserve"> – יהיה פסול מלנהוג, אך הפסילה לא תימנה;</w:t>
      </w:r>
    </w:p>
    <w:p w14:paraId="7B13922D" w14:textId="77777777" w:rsidR="00414447" w:rsidRPr="00FD155D" w:rsidRDefault="00414447" w:rsidP="00414447">
      <w:pPr>
        <w:numPr>
          <w:ilvl w:val="0"/>
          <w:numId w:val="3"/>
        </w:numPr>
        <w:spacing w:line="360" w:lineRule="auto"/>
        <w:jc w:val="both"/>
        <w:rPr>
          <w:rFonts w:ascii="Arial" w:hAnsi="Arial"/>
        </w:rPr>
      </w:pPr>
      <w:r w:rsidRPr="00FD155D">
        <w:rPr>
          <w:rFonts w:ascii="Arial" w:hAnsi="Arial"/>
          <w:rtl/>
        </w:rPr>
        <w:t>פסילה מקבל ומהחזיק רשיון נהיגה לרכב מנועי, בת  6 חדשים, על תנאי, תקופת התנאי -למשך 3 שנים מסיום הפסילה בפועל;</w:t>
      </w:r>
    </w:p>
    <w:p w14:paraId="38DBC6C1" w14:textId="77777777" w:rsidR="00414447" w:rsidRDefault="00414447" w:rsidP="00414447">
      <w:pPr>
        <w:numPr>
          <w:ilvl w:val="0"/>
          <w:numId w:val="3"/>
        </w:numPr>
        <w:spacing w:line="360" w:lineRule="auto"/>
        <w:jc w:val="both"/>
        <w:rPr>
          <w:rFonts w:ascii="Arial" w:hAnsi="Arial"/>
        </w:rPr>
      </w:pPr>
      <w:r w:rsidRPr="00FD155D">
        <w:rPr>
          <w:rFonts w:ascii="Arial" w:hAnsi="Arial"/>
          <w:rtl/>
        </w:rPr>
        <w:t xml:space="preserve">השמדת הסמים </w:t>
      </w:r>
      <w:r>
        <w:rPr>
          <w:rFonts w:ascii="Arial" w:hAnsi="Arial" w:hint="cs"/>
          <w:rtl/>
        </w:rPr>
        <w:t xml:space="preserve">- </w:t>
      </w:r>
      <w:r w:rsidRPr="00FD155D">
        <w:rPr>
          <w:rFonts w:ascii="Arial" w:hAnsi="Arial"/>
          <w:rtl/>
        </w:rPr>
        <w:t>בחלוף תקופת הערעור.</w:t>
      </w:r>
    </w:p>
    <w:p w14:paraId="62649E12" w14:textId="77777777" w:rsidR="00414447" w:rsidRDefault="00414447" w:rsidP="00414447">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 xml:space="preserve"> ו</w:t>
      </w:r>
      <w:r w:rsidRPr="00FD0AD8">
        <w:rPr>
          <w:rFonts w:ascii="Calibri" w:hAnsi="Calibri" w:hint="eastAsia"/>
          <w:rtl/>
        </w:rPr>
        <w:t>לממונה</w:t>
      </w:r>
      <w:r w:rsidRPr="00FD0AD8">
        <w:rPr>
          <w:rFonts w:ascii="Calibri" w:hAnsi="Calibri"/>
          <w:rtl/>
        </w:rPr>
        <w:t xml:space="preserve"> </w:t>
      </w:r>
      <w:r w:rsidRPr="00FD0AD8">
        <w:rPr>
          <w:rFonts w:ascii="Calibri" w:hAnsi="Calibri" w:hint="eastAsia"/>
          <w:rtl/>
        </w:rPr>
        <w:t>על</w:t>
      </w:r>
      <w:r w:rsidRPr="00FD0AD8">
        <w:rPr>
          <w:rFonts w:ascii="Calibri" w:hAnsi="Calibri"/>
          <w:rtl/>
        </w:rPr>
        <w:t xml:space="preserve"> </w:t>
      </w:r>
      <w:r w:rsidRPr="00FD0AD8">
        <w:rPr>
          <w:rFonts w:ascii="Calibri" w:hAnsi="Calibri" w:hint="eastAsia"/>
          <w:rtl/>
        </w:rPr>
        <w:t>עבודות</w:t>
      </w:r>
      <w:r w:rsidRPr="00FD0AD8">
        <w:rPr>
          <w:rFonts w:ascii="Calibri" w:hAnsi="Calibri"/>
          <w:rtl/>
        </w:rPr>
        <w:t xml:space="preserve"> </w:t>
      </w:r>
      <w:r w:rsidRPr="00FD0AD8">
        <w:rPr>
          <w:rFonts w:ascii="Calibri" w:hAnsi="Calibri" w:hint="eastAsia"/>
          <w:rtl/>
        </w:rPr>
        <w:t>השירות</w:t>
      </w:r>
      <w:r w:rsidRPr="00FD0AD8">
        <w:rPr>
          <w:rFonts w:ascii="Calibri" w:hAnsi="Calibri"/>
          <w:rtl/>
        </w:rPr>
        <w:t xml:space="preserve"> </w:t>
      </w:r>
      <w:r w:rsidRPr="00FD0AD8">
        <w:rPr>
          <w:rFonts w:ascii="Calibri" w:hAnsi="Calibri" w:hint="eastAsia"/>
          <w:rtl/>
        </w:rPr>
        <w:t>בשב</w:t>
      </w:r>
      <w:r w:rsidRPr="00FD0AD8">
        <w:rPr>
          <w:rFonts w:ascii="Calibri" w:hAnsi="Calibri"/>
          <w:rtl/>
        </w:rPr>
        <w:t>"</w:t>
      </w:r>
      <w:r w:rsidRPr="00FD0AD8">
        <w:rPr>
          <w:rFonts w:ascii="Calibri" w:hAnsi="Calibri" w:hint="eastAsia"/>
          <w:rtl/>
        </w:rPr>
        <w:t>ס</w:t>
      </w:r>
      <w:r w:rsidRPr="00FD0AD8">
        <w:rPr>
          <w:rFonts w:ascii="Calibri" w:hAnsi="Calibri"/>
          <w:rtl/>
        </w:rPr>
        <w:t>.</w:t>
      </w:r>
    </w:p>
    <w:p w14:paraId="49110F13" w14:textId="77777777" w:rsidR="00414447" w:rsidRPr="00335130" w:rsidRDefault="00335130" w:rsidP="00414447">
      <w:pPr>
        <w:spacing w:after="160" w:line="276" w:lineRule="auto"/>
        <w:rPr>
          <w:rFonts w:ascii="Calibri" w:hAnsi="Calibri"/>
          <w:color w:val="FFFFFF"/>
          <w:sz w:val="2"/>
          <w:szCs w:val="2"/>
          <w:rtl/>
        </w:rPr>
      </w:pPr>
      <w:r w:rsidRPr="00335130">
        <w:rPr>
          <w:rFonts w:ascii="Calibri" w:hAnsi="Calibri"/>
          <w:color w:val="FFFFFF"/>
          <w:sz w:val="2"/>
          <w:szCs w:val="2"/>
          <w:rtl/>
        </w:rPr>
        <w:t>5129371</w:t>
      </w:r>
    </w:p>
    <w:p w14:paraId="2E7C3361" w14:textId="77777777" w:rsidR="00414447" w:rsidRDefault="00335130" w:rsidP="00414447">
      <w:pPr>
        <w:spacing w:after="160" w:line="276" w:lineRule="auto"/>
        <w:rPr>
          <w:rFonts w:ascii="Calibri" w:hAnsi="Calibri"/>
          <w:rtl/>
        </w:rPr>
      </w:pPr>
      <w:r w:rsidRPr="00335130">
        <w:rPr>
          <w:rFonts w:ascii="Calibri" w:hAnsi="Calibri"/>
          <w:color w:val="FFFFFF"/>
          <w:sz w:val="2"/>
          <w:szCs w:val="2"/>
          <w:rtl/>
        </w:rPr>
        <w:t>54678313</w:t>
      </w:r>
      <w:r w:rsidR="00414447" w:rsidRPr="00FD0AD8">
        <w:rPr>
          <w:rFonts w:ascii="Calibri" w:hAnsi="Calibri" w:hint="eastAsia"/>
          <w:rtl/>
        </w:rPr>
        <w:t>הודעה</w:t>
      </w:r>
      <w:r w:rsidR="00414447" w:rsidRPr="00FD0AD8">
        <w:rPr>
          <w:rFonts w:ascii="Calibri" w:hAnsi="Calibri"/>
          <w:rtl/>
        </w:rPr>
        <w:t xml:space="preserve"> </w:t>
      </w:r>
      <w:r w:rsidR="00414447" w:rsidRPr="00FD0AD8">
        <w:rPr>
          <w:rFonts w:ascii="Calibri" w:hAnsi="Calibri" w:hint="eastAsia"/>
          <w:rtl/>
        </w:rPr>
        <w:t>זכות</w:t>
      </w:r>
      <w:r w:rsidR="00414447" w:rsidRPr="00FD0AD8">
        <w:rPr>
          <w:rFonts w:ascii="Calibri" w:hAnsi="Calibri"/>
          <w:rtl/>
        </w:rPr>
        <w:t xml:space="preserve"> </w:t>
      </w:r>
      <w:r w:rsidR="00414447" w:rsidRPr="00FD0AD8">
        <w:rPr>
          <w:rFonts w:ascii="Calibri" w:hAnsi="Calibri" w:hint="eastAsia"/>
          <w:rtl/>
        </w:rPr>
        <w:t>הערעור</w:t>
      </w:r>
      <w:r w:rsidR="00414447" w:rsidRPr="00FD0AD8">
        <w:rPr>
          <w:rFonts w:ascii="Calibri" w:hAnsi="Calibri"/>
          <w:rtl/>
        </w:rPr>
        <w:t>.</w:t>
      </w:r>
    </w:p>
    <w:p w14:paraId="6DCBE428" w14:textId="77777777" w:rsidR="00414447" w:rsidRPr="0025270D" w:rsidRDefault="00414447" w:rsidP="00414447">
      <w:pPr>
        <w:spacing w:after="160" w:line="276" w:lineRule="auto"/>
        <w:rPr>
          <w:rFonts w:ascii="Calibri" w:hAnsi="Calibri"/>
          <w:rtl/>
        </w:rPr>
      </w:pPr>
    </w:p>
    <w:p w14:paraId="41FCBD28" w14:textId="77777777" w:rsidR="00414447" w:rsidRDefault="00335130" w:rsidP="00414447">
      <w:pPr>
        <w:spacing w:line="360" w:lineRule="auto"/>
        <w:jc w:val="both"/>
        <w:rPr>
          <w:rFonts w:ascii="Arial" w:hAnsi="Arial"/>
          <w:rtl/>
        </w:rPr>
      </w:pPr>
      <w:bookmarkStart w:id="8" w:name="Nitan"/>
      <w:r>
        <w:rPr>
          <w:rFonts w:ascii="Arial" w:hAnsi="Arial"/>
          <w:rtl/>
        </w:rPr>
        <w:t xml:space="preserve">ניתנה היום, י"ב אלול תשפ"ב, 08 ספטמבר 2022, במעמד הצדדים. </w:t>
      </w:r>
      <w:bookmarkEnd w:id="8"/>
    </w:p>
    <w:p w14:paraId="17F16D4B" w14:textId="77777777" w:rsidR="00414447" w:rsidRDefault="00414447" w:rsidP="00414447">
      <w:pPr>
        <w:spacing w:line="360" w:lineRule="auto"/>
        <w:ind w:left="3600" w:firstLine="720"/>
        <w:jc w:val="center"/>
      </w:pPr>
    </w:p>
    <w:p w14:paraId="23FA8DD8" w14:textId="77777777" w:rsidR="00414447" w:rsidRPr="006F56E5" w:rsidRDefault="006F56E5" w:rsidP="00414447">
      <w:pPr>
        <w:spacing w:line="360" w:lineRule="auto"/>
        <w:ind w:left="3600" w:firstLine="720"/>
        <w:jc w:val="center"/>
        <w:rPr>
          <w:rFonts w:ascii="Arial" w:hAnsi="Arial"/>
          <w:color w:val="FFFFFF"/>
          <w:sz w:val="2"/>
          <w:szCs w:val="2"/>
          <w:rtl/>
        </w:rPr>
      </w:pPr>
      <w:r w:rsidRPr="006F56E5">
        <w:rPr>
          <w:rFonts w:ascii="Arial" w:hAnsi="Arial"/>
          <w:color w:val="FFFFFF"/>
          <w:sz w:val="2"/>
          <w:szCs w:val="2"/>
          <w:rtl/>
        </w:rPr>
        <w:t>5129371</w:t>
      </w:r>
    </w:p>
    <w:p w14:paraId="5E2068C4" w14:textId="77777777" w:rsidR="00335130" w:rsidRDefault="006F56E5" w:rsidP="00335130">
      <w:r w:rsidRPr="006F56E5">
        <w:rPr>
          <w:rFonts w:ascii="David" w:hAnsi="David"/>
          <w:color w:val="FFFFFF"/>
          <w:sz w:val="2"/>
          <w:szCs w:val="2"/>
          <w:rtl/>
        </w:rPr>
        <w:t>54678313</w:t>
      </w:r>
    </w:p>
    <w:p w14:paraId="1C60041E" w14:textId="77777777" w:rsidR="00335130" w:rsidRDefault="00335130" w:rsidP="00335130">
      <w:pPr>
        <w:rPr>
          <w:rtl/>
        </w:rPr>
      </w:pPr>
    </w:p>
    <w:p w14:paraId="2A8AAF5E" w14:textId="77777777" w:rsidR="00335130" w:rsidRDefault="00335130" w:rsidP="0033513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5767308" w14:textId="77777777" w:rsidR="006F56E5" w:rsidRPr="006F56E5" w:rsidRDefault="006F56E5" w:rsidP="006F56E5">
      <w:pPr>
        <w:keepNext/>
        <w:rPr>
          <w:rFonts w:ascii="David" w:hAnsi="David" w:hint="cs"/>
          <w:color w:val="000000"/>
          <w:sz w:val="22"/>
          <w:szCs w:val="22"/>
          <w:rtl/>
        </w:rPr>
      </w:pPr>
    </w:p>
    <w:p w14:paraId="4C27B121" w14:textId="77777777" w:rsidR="006F56E5" w:rsidRPr="006F56E5" w:rsidRDefault="006F56E5" w:rsidP="006F56E5">
      <w:pPr>
        <w:keepNext/>
        <w:rPr>
          <w:rFonts w:ascii="David" w:hAnsi="David"/>
          <w:color w:val="000000"/>
          <w:sz w:val="22"/>
          <w:szCs w:val="22"/>
          <w:rtl/>
        </w:rPr>
      </w:pPr>
      <w:r w:rsidRPr="006F56E5">
        <w:rPr>
          <w:rFonts w:ascii="David" w:hAnsi="David"/>
          <w:color w:val="000000"/>
          <w:sz w:val="22"/>
          <w:szCs w:val="22"/>
          <w:rtl/>
        </w:rPr>
        <w:t>רון סולקין 54678313-/</w:t>
      </w:r>
    </w:p>
    <w:p w14:paraId="29C313CF" w14:textId="77777777" w:rsidR="00335130" w:rsidRPr="00335130" w:rsidRDefault="006F56E5" w:rsidP="006F56E5">
      <w:pPr>
        <w:rPr>
          <w:rFonts w:hint="cs"/>
          <w:color w:val="0000FF"/>
          <w:u w:val="single"/>
        </w:rPr>
      </w:pPr>
      <w:r w:rsidRPr="006F56E5">
        <w:rPr>
          <w:color w:val="000000"/>
          <w:u w:val="single"/>
          <w:rtl/>
        </w:rPr>
        <w:t>נוסח מסמך זה כפוף לשינויי ניסוח ועריכה</w:t>
      </w:r>
    </w:p>
    <w:sectPr w:rsidR="00335130" w:rsidRPr="00335130" w:rsidSect="006F56E5">
      <w:headerReference w:type="even" r:id="rId30"/>
      <w:headerReference w:type="default" r:id="rId31"/>
      <w:footerReference w:type="even" r:id="rId32"/>
      <w:footerReference w:type="default" r:id="rId3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8D47D" w14:textId="77777777" w:rsidR="00AD04BD" w:rsidRDefault="00AD04BD" w:rsidP="00AB3525">
      <w:r>
        <w:separator/>
      </w:r>
    </w:p>
  </w:endnote>
  <w:endnote w:type="continuationSeparator" w:id="0">
    <w:p w14:paraId="42B4F4AB" w14:textId="77777777" w:rsidR="00AD04BD" w:rsidRDefault="00AD04BD" w:rsidP="00AB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FA1F" w14:textId="77777777" w:rsidR="006F56E5" w:rsidRDefault="006F56E5" w:rsidP="006F56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077F2F" w14:textId="77777777" w:rsidR="00335130" w:rsidRPr="006F56E5" w:rsidRDefault="006F56E5" w:rsidP="006F56E5">
    <w:pPr>
      <w:pStyle w:val="a5"/>
      <w:pBdr>
        <w:top w:val="single" w:sz="4" w:space="1" w:color="auto"/>
        <w:between w:val="single" w:sz="4" w:space="0" w:color="auto"/>
      </w:pBdr>
      <w:spacing w:after="60"/>
      <w:jc w:val="center"/>
      <w:rPr>
        <w:rFonts w:ascii="FrankRuehl" w:hAnsi="FrankRuehl" w:cs="FrankRuehl"/>
        <w:color w:val="000000"/>
      </w:rPr>
    </w:pPr>
    <w:r w:rsidRPr="006F56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8ECA" w14:textId="77777777" w:rsidR="006F56E5" w:rsidRDefault="006F56E5" w:rsidP="006F56E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AC6E79">
      <w:rPr>
        <w:rStyle w:val="a8"/>
        <w:rFonts w:ascii="FrankRuehl" w:hAnsi="FrankRuehl" w:cs="FrankRuehl"/>
        <w:noProof/>
        <w:rtl/>
      </w:rPr>
      <w:t>1</w:t>
    </w:r>
    <w:r>
      <w:rPr>
        <w:rStyle w:val="a8"/>
        <w:rFonts w:ascii="FrankRuehl" w:hAnsi="FrankRuehl" w:cs="FrankRuehl"/>
        <w:rtl/>
      </w:rPr>
      <w:fldChar w:fldCharType="end"/>
    </w:r>
  </w:p>
  <w:p w14:paraId="18FDA198" w14:textId="77777777" w:rsidR="00766656" w:rsidRPr="006F56E5" w:rsidRDefault="006F56E5" w:rsidP="006F56E5">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F56E5">
      <w:rPr>
        <w:rStyle w:val="a8"/>
        <w:rFonts w:ascii="FrankRuehl" w:hAnsi="FrankRuehl" w:cs="FrankRuehl" w:hint="cs"/>
        <w:color w:val="000000"/>
      </w:rPr>
      <w:pict w14:anchorId="32973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5D8A6" w14:textId="77777777" w:rsidR="00AD04BD" w:rsidRDefault="00AD04BD" w:rsidP="00AB3525">
      <w:r>
        <w:separator/>
      </w:r>
    </w:p>
  </w:footnote>
  <w:footnote w:type="continuationSeparator" w:id="0">
    <w:p w14:paraId="60008220" w14:textId="77777777" w:rsidR="00AD04BD" w:rsidRDefault="00AD04BD" w:rsidP="00AB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E2A89" w14:textId="77777777" w:rsidR="00335130" w:rsidRPr="006F56E5" w:rsidRDefault="006F56E5" w:rsidP="006F5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3518-11-18</w:t>
    </w:r>
    <w:r>
      <w:rPr>
        <w:rFonts w:ascii="David" w:hAnsi="David"/>
        <w:color w:val="000000"/>
        <w:sz w:val="22"/>
        <w:szCs w:val="22"/>
        <w:rtl/>
      </w:rPr>
      <w:tab/>
      <w:t xml:space="preserve"> מדינת ישראל - תביעות נגב נ' מחמד בן עודה אבו כפיף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E3468" w14:textId="77777777" w:rsidR="00335130" w:rsidRPr="006F56E5" w:rsidRDefault="006F56E5" w:rsidP="006F5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3518-11-18</w:t>
    </w:r>
    <w:r>
      <w:rPr>
        <w:rFonts w:ascii="David" w:hAnsi="David"/>
        <w:color w:val="000000"/>
        <w:sz w:val="22"/>
        <w:szCs w:val="22"/>
        <w:rtl/>
      </w:rPr>
      <w:tab/>
      <w:t xml:space="preserve"> מדינת ישראל - תביעות נגב נ' מחמד בן עודה אבו כפיף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52477"/>
    <w:multiLevelType w:val="hybridMultilevel"/>
    <w:tmpl w:val="A1CEDD24"/>
    <w:lvl w:ilvl="0" w:tplc="7854B74E">
      <w:start w:val="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9F4FFE"/>
    <w:multiLevelType w:val="hybridMultilevel"/>
    <w:tmpl w:val="042421E0"/>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73129598">
    <w:abstractNumId w:val="0"/>
  </w:num>
  <w:num w:numId="2" w16cid:durableId="2111463568">
    <w:abstractNumId w:val="1"/>
  </w:num>
  <w:num w:numId="3" w16cid:durableId="108495415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4447"/>
    <w:rsid w:val="00131B54"/>
    <w:rsid w:val="001B5A3B"/>
    <w:rsid w:val="00276252"/>
    <w:rsid w:val="002A24F1"/>
    <w:rsid w:val="00335130"/>
    <w:rsid w:val="00414447"/>
    <w:rsid w:val="006F56E5"/>
    <w:rsid w:val="00766656"/>
    <w:rsid w:val="007D7B13"/>
    <w:rsid w:val="00AB3525"/>
    <w:rsid w:val="00AC6E79"/>
    <w:rsid w:val="00AD04BD"/>
    <w:rsid w:val="00BB6F71"/>
    <w:rsid w:val="00C15E89"/>
    <w:rsid w:val="00C40202"/>
    <w:rsid w:val="00C92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681D49"/>
  <w15:chartTrackingRefBased/>
  <w15:docId w15:val="{6F8ED738-5189-47A8-9B6F-E4C83291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44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4447"/>
    <w:pPr>
      <w:tabs>
        <w:tab w:val="center" w:pos="4153"/>
        <w:tab w:val="right" w:pos="8306"/>
      </w:tabs>
    </w:pPr>
  </w:style>
  <w:style w:type="character" w:customStyle="1" w:styleId="a4">
    <w:name w:val="כותרת עליונה תו"/>
    <w:link w:val="a3"/>
    <w:rsid w:val="00414447"/>
    <w:rPr>
      <w:rFonts w:ascii="Times New Roman" w:eastAsia="Times New Roman" w:hAnsi="Times New Roman" w:cs="David"/>
      <w:sz w:val="24"/>
      <w:szCs w:val="24"/>
    </w:rPr>
  </w:style>
  <w:style w:type="paragraph" w:styleId="a5">
    <w:name w:val="footer"/>
    <w:basedOn w:val="a"/>
    <w:link w:val="a6"/>
    <w:rsid w:val="00414447"/>
    <w:pPr>
      <w:tabs>
        <w:tab w:val="center" w:pos="4153"/>
        <w:tab w:val="right" w:pos="8306"/>
      </w:tabs>
    </w:pPr>
  </w:style>
  <w:style w:type="character" w:customStyle="1" w:styleId="a6">
    <w:name w:val="כותרת תחתונה תו"/>
    <w:link w:val="a5"/>
    <w:rsid w:val="00414447"/>
    <w:rPr>
      <w:rFonts w:ascii="Times New Roman" w:eastAsia="Times New Roman" w:hAnsi="Times New Roman" w:cs="David"/>
      <w:sz w:val="24"/>
      <w:szCs w:val="24"/>
    </w:rPr>
  </w:style>
  <w:style w:type="table" w:styleId="a7">
    <w:name w:val="Table Grid"/>
    <w:basedOn w:val="a1"/>
    <w:rsid w:val="004144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14447"/>
    <w:rPr>
      <w:noProof w:val="0"/>
    </w:rPr>
  </w:style>
  <w:style w:type="paragraph" w:styleId="a9">
    <w:name w:val="List Paragraph"/>
    <w:basedOn w:val="a"/>
    <w:qFormat/>
    <w:rsid w:val="00414447"/>
    <w:pPr>
      <w:ind w:left="720"/>
      <w:contextualSpacing/>
    </w:pPr>
  </w:style>
  <w:style w:type="character" w:styleId="Hyperlink">
    <w:name w:val="Hyperlink"/>
    <w:rsid w:val="00414447"/>
    <w:rPr>
      <w:noProof w:val="0"/>
      <w:color w:val="0000FF"/>
      <w:u w:val="single"/>
    </w:rPr>
  </w:style>
  <w:style w:type="character" w:styleId="aa">
    <w:name w:val="line number"/>
    <w:rsid w:val="0041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1827077" TargetMode="External"/><Relationship Id="rId26" Type="http://schemas.openxmlformats.org/officeDocument/2006/relationships/hyperlink" Target="http://www.nevo.co.il/case/13093721" TargetMode="External"/><Relationship Id="rId3" Type="http://schemas.openxmlformats.org/officeDocument/2006/relationships/settings" Target="settings.xml"/><Relationship Id="rId21" Type="http://schemas.openxmlformats.org/officeDocument/2006/relationships/hyperlink" Target="http://www.nevo.co.il/case/24889194" TargetMode="External"/><Relationship Id="rId34" Type="http://schemas.openxmlformats.org/officeDocument/2006/relationships/fontTable" Target="fontTable.xml"/><Relationship Id="rId7" Type="http://schemas.openxmlformats.org/officeDocument/2006/relationships/hyperlink" Target="http://www.nevo.co.il/case/2510804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21.a.1"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701228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1.a.1" TargetMode="External"/><Relationship Id="rId24" Type="http://schemas.openxmlformats.org/officeDocument/2006/relationships/hyperlink" Target="http://www.nevo.co.il/law/70301/40i"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7675273"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69891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559115"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3125</Words>
  <Characters>15629</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18717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3539062</vt:i4>
      </vt:variant>
      <vt:variant>
        <vt:i4>48</vt:i4>
      </vt:variant>
      <vt:variant>
        <vt:i4>0</vt:i4>
      </vt:variant>
      <vt:variant>
        <vt:i4>5</vt:i4>
      </vt:variant>
      <vt:variant>
        <vt:lpwstr>http://www.nevo.co.il/case/27675273</vt:lpwstr>
      </vt:variant>
      <vt:variant>
        <vt:lpwstr/>
      </vt:variant>
      <vt:variant>
        <vt:i4>4128885</vt:i4>
      </vt:variant>
      <vt:variant>
        <vt:i4>45</vt:i4>
      </vt:variant>
      <vt:variant>
        <vt:i4>0</vt:i4>
      </vt:variant>
      <vt:variant>
        <vt:i4>5</vt:i4>
      </vt:variant>
      <vt:variant>
        <vt:lpwstr>http://www.nevo.co.il/case/25559115</vt:lpwstr>
      </vt:variant>
      <vt:variant>
        <vt:lpwstr/>
      </vt:variant>
      <vt:variant>
        <vt:i4>3801209</vt:i4>
      </vt:variant>
      <vt:variant>
        <vt:i4>42</vt:i4>
      </vt:variant>
      <vt:variant>
        <vt:i4>0</vt:i4>
      </vt:variant>
      <vt:variant>
        <vt:i4>5</vt:i4>
      </vt:variant>
      <vt:variant>
        <vt:lpwstr>http://www.nevo.co.il/case/24889194</vt:lpwstr>
      </vt:variant>
      <vt:variant>
        <vt:lpwstr/>
      </vt:variant>
      <vt:variant>
        <vt:i4>3342462</vt:i4>
      </vt:variant>
      <vt:variant>
        <vt:i4>39</vt:i4>
      </vt:variant>
      <vt:variant>
        <vt:i4>0</vt:i4>
      </vt:variant>
      <vt:variant>
        <vt:i4>5</vt:i4>
      </vt:variant>
      <vt:variant>
        <vt:lpwstr>http://www.nevo.co.il/case/7012287</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3801207</vt:i4>
      </vt:variant>
      <vt:variant>
        <vt:i4>33</vt:i4>
      </vt:variant>
      <vt:variant>
        <vt:i4>0</vt:i4>
      </vt:variant>
      <vt:variant>
        <vt:i4>5</vt:i4>
      </vt:variant>
      <vt:variant>
        <vt:lpwstr>http://www.nevo.co.il/case/21827077</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4128881</vt:i4>
      </vt:variant>
      <vt:variant>
        <vt:i4>0</vt:i4>
      </vt:variant>
      <vt:variant>
        <vt:i4>0</vt:i4>
      </vt:variant>
      <vt:variant>
        <vt:i4>5</vt:i4>
      </vt:variant>
      <vt:variant>
        <vt:lpwstr>http://www.nevo.co.il/case/25108043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3518</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 - תביעות נגב</vt:lpwstr>
  </property>
  <property fmtid="{D5CDD505-2E9C-101B-9397-08002B2CF9AE}" pid="9" name="APPELLEE">
    <vt:lpwstr>מחמד בן עודה אבו כפיף</vt:lpwstr>
  </property>
  <property fmtid="{D5CDD505-2E9C-101B-9397-08002B2CF9AE}" pid="10" name="LAWYER">
    <vt:lpwstr>מורן אלקבץ-עומסי;לי גורמן;אחמד ותד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20220908</vt:lpwstr>
  </property>
  <property fmtid="{D5CDD505-2E9C-101B-9397-08002B2CF9AE}" pid="14" name="TYPE_N_DATE">
    <vt:lpwstr>38020220908</vt:lpwstr>
  </property>
  <property fmtid="{D5CDD505-2E9C-101B-9397-08002B2CF9AE}" pid="15" name="WORDNUMPAGES">
    <vt:lpwstr>12</vt:lpwstr>
  </property>
  <property fmtid="{D5CDD505-2E9C-101B-9397-08002B2CF9AE}" pid="16" name="TYPE_ABS_DATE">
    <vt:lpwstr>380020220908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25108043;21827077;5698919;7012287;24889194;25559115;27675273;13093721</vt:lpwstr>
  </property>
  <property fmtid="{D5CDD505-2E9C-101B-9397-08002B2CF9AE}" pid="36" name="LAWLISTTMP1">
    <vt:lpwstr>4216/013;019a;021.a.1</vt:lpwstr>
  </property>
  <property fmtid="{D5CDD505-2E9C-101B-9397-08002B2CF9AE}" pid="37" name="LAWLISTTMP2">
    <vt:lpwstr>70301/040i</vt:lpwstr>
  </property>
</Properties>
</file>