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23"/>
      </w:tblGrid>
      <w:tr w:rsidR="00DD0EA2" w:rsidRPr="00A166AF" w14:paraId="25448949" w14:textId="77777777" w:rsidTr="004C17B7">
        <w:trPr>
          <w:trHeight w:hRule="exact" w:val="704"/>
          <w:jc w:val="center"/>
        </w:trPr>
        <w:tc>
          <w:tcPr>
            <w:tcW w:w="8523" w:type="dxa"/>
          </w:tcPr>
          <w:p w14:paraId="4BFC3330" w14:textId="77777777" w:rsidR="00DD0EA2" w:rsidRPr="00A166AF" w:rsidRDefault="00DD0EA2" w:rsidP="00C05D6D">
            <w:pPr>
              <w:pStyle w:val="a4"/>
              <w:jc w:val="center"/>
              <w:rPr>
                <w:rFonts w:ascii="Tahoma" w:hAnsi="Tahoma"/>
                <w:noProof w:val="0"/>
                <w:color w:val="000080"/>
                <w:sz w:val="32"/>
                <w:szCs w:val="32"/>
                <w:rtl/>
              </w:rPr>
            </w:pPr>
            <w:bookmarkStart w:id="0" w:name="LastJudge"/>
            <w:r w:rsidRPr="00A166AF">
              <w:rPr>
                <w:rFonts w:ascii="Tahoma" w:hAnsi="Tahoma"/>
                <w:color w:val="000080"/>
                <w:sz w:val="32"/>
                <w:szCs w:val="32"/>
                <w:rtl/>
              </w:rPr>
              <w:t>בית משפט השלום בחדרה</w:t>
            </w:r>
          </w:p>
        </w:tc>
      </w:tr>
      <w:tr w:rsidR="00DD0EA2" w:rsidRPr="00A166AF" w14:paraId="3C96280A" w14:textId="77777777" w:rsidTr="004C17B7">
        <w:trPr>
          <w:trHeight w:val="337"/>
          <w:jc w:val="center"/>
        </w:trPr>
        <w:tc>
          <w:tcPr>
            <w:tcW w:w="8523" w:type="dxa"/>
          </w:tcPr>
          <w:p w14:paraId="51538EFC" w14:textId="77777777" w:rsidR="00DD0EA2" w:rsidRPr="00A166AF" w:rsidRDefault="00DD0EA2" w:rsidP="00C05D6D">
            <w:pPr>
              <w:rPr>
                <w:b/>
                <w:bCs/>
                <w:noProof w:val="0"/>
                <w:sz w:val="26"/>
                <w:szCs w:val="26"/>
                <w:rtl/>
              </w:rPr>
            </w:pPr>
            <w:r w:rsidRPr="00A166AF">
              <w:rPr>
                <w:b/>
                <w:bCs/>
                <w:noProof w:val="0"/>
                <w:sz w:val="26"/>
                <w:szCs w:val="26"/>
                <w:rtl/>
              </w:rPr>
              <w:t xml:space="preserve">ת"פ 50521-11-18 מדינת ישראל נ' בוהארון </w:t>
            </w:r>
          </w:p>
          <w:p w14:paraId="0DA12EBE" w14:textId="77777777" w:rsidR="00DD0EA2" w:rsidRPr="00A166AF" w:rsidRDefault="00DD0EA2" w:rsidP="00C05D6D">
            <w:pPr>
              <w:rPr>
                <w:b/>
                <w:bCs/>
                <w:noProof w:val="0"/>
                <w:sz w:val="2"/>
                <w:szCs w:val="2"/>
                <w:rtl/>
              </w:rPr>
            </w:pPr>
          </w:p>
          <w:p w14:paraId="7B8AF6A7" w14:textId="77777777" w:rsidR="00DD0EA2" w:rsidRPr="00A166AF" w:rsidRDefault="00DD0EA2" w:rsidP="00C05D6D">
            <w:pPr>
              <w:rPr>
                <w:sz w:val="20"/>
                <w:szCs w:val="20"/>
                <w:rtl/>
              </w:rPr>
            </w:pPr>
            <w:r w:rsidRPr="00A166AF">
              <w:rPr>
                <w:rFonts w:hint="cs"/>
                <w:rtl/>
              </w:rPr>
              <w:t xml:space="preserve">                           </w:t>
            </w:r>
            <w:r w:rsidRPr="00A166AF">
              <w:rPr>
                <w:rFonts w:hint="cs"/>
                <w:sz w:val="20"/>
                <w:szCs w:val="20"/>
                <w:rtl/>
              </w:rPr>
              <w:t xml:space="preserve">                                       </w:t>
            </w:r>
          </w:p>
          <w:p w14:paraId="1D255763" w14:textId="77777777" w:rsidR="00DD0EA2" w:rsidRPr="00A166AF" w:rsidRDefault="00DD0EA2" w:rsidP="00C05D6D">
            <w:pPr>
              <w:rPr>
                <w:sz w:val="20"/>
                <w:szCs w:val="20"/>
                <w:rtl/>
              </w:rPr>
            </w:pPr>
            <w:r w:rsidRPr="00A166AF">
              <w:rPr>
                <w:rFonts w:hint="cs"/>
                <w:sz w:val="20"/>
                <w:szCs w:val="20"/>
                <w:rtl/>
              </w:rPr>
              <w:t xml:space="preserve">תיק חיצוני: </w:t>
            </w:r>
            <w:r w:rsidRPr="00A166AF">
              <w:rPr>
                <w:rFonts w:hint="eastAsia"/>
                <w:sz w:val="20"/>
                <w:szCs w:val="20"/>
              </w:rPr>
              <w:t>197072/2018</w:t>
            </w:r>
            <w:r w:rsidRPr="00A166AF">
              <w:rPr>
                <w:rFonts w:hint="cs"/>
                <w:sz w:val="20"/>
                <w:szCs w:val="20"/>
                <w:rtl/>
              </w:rPr>
              <w:t xml:space="preserve"> </w:t>
            </w:r>
            <w:r w:rsidRPr="00A166AF">
              <w:rPr>
                <w:sz w:val="20"/>
                <w:szCs w:val="20"/>
                <w:rtl/>
              </w:rPr>
              <w:t xml:space="preserve">  </w:t>
            </w:r>
          </w:p>
        </w:tc>
      </w:tr>
    </w:tbl>
    <w:p w14:paraId="678ACE83" w14:textId="77777777" w:rsidR="00DD0EA2" w:rsidRPr="00A166AF" w:rsidRDefault="00DD0EA2" w:rsidP="00DD0EA2">
      <w:pPr>
        <w:pStyle w:val="a4"/>
        <w:rPr>
          <w:noProof w:val="0"/>
          <w:rtl/>
        </w:rPr>
      </w:pPr>
      <w:r w:rsidRPr="00A166AF">
        <w:rPr>
          <w:noProof w:val="0"/>
          <w:rtl/>
        </w:rPr>
        <w:t xml:space="preserve"> </w:t>
      </w:r>
    </w:p>
    <w:p w14:paraId="53217159" w14:textId="77777777" w:rsidR="00DD0EA2" w:rsidRPr="00A166AF" w:rsidRDefault="00DD0EA2" w:rsidP="00DD0EA2">
      <w:pPr>
        <w:suppressLineNumbers/>
        <w:rPr>
          <w:rtl/>
        </w:rPr>
      </w:pPr>
    </w:p>
    <w:p w14:paraId="4506438A" w14:textId="77777777" w:rsidR="00DD0EA2" w:rsidRPr="00A166AF" w:rsidRDefault="00DD0EA2" w:rsidP="00DD0EA2">
      <w:pPr>
        <w:suppressLineNumbers/>
        <w:rPr>
          <w:rtl/>
        </w:rPr>
      </w:pPr>
      <w:r w:rsidRPr="00A166AF">
        <w:rPr>
          <w:rtl/>
        </w:rPr>
        <w:t xml:space="preserve"> </w:t>
      </w:r>
    </w:p>
    <w:tbl>
      <w:tblPr>
        <w:bidiVisual/>
        <w:tblW w:w="8820" w:type="dxa"/>
        <w:jc w:val="center"/>
        <w:tblLook w:val="01E0" w:firstRow="1" w:lastRow="1" w:firstColumn="1" w:lastColumn="1" w:noHBand="0" w:noVBand="0"/>
      </w:tblPr>
      <w:tblGrid>
        <w:gridCol w:w="743"/>
        <w:gridCol w:w="2506"/>
        <w:gridCol w:w="5571"/>
      </w:tblGrid>
      <w:tr w:rsidR="00DD0EA2" w:rsidRPr="00A166AF" w14:paraId="0BF075FD" w14:textId="77777777" w:rsidTr="00DD0EA2">
        <w:trPr>
          <w:jc w:val="center"/>
        </w:trPr>
        <w:tc>
          <w:tcPr>
            <w:tcW w:w="743" w:type="dxa"/>
            <w:shd w:val="clear" w:color="auto" w:fill="auto"/>
          </w:tcPr>
          <w:p w14:paraId="1C59E7AB" w14:textId="77777777" w:rsidR="00DD0EA2" w:rsidRPr="00A166AF" w:rsidRDefault="00DD0EA2" w:rsidP="00DD0EA2">
            <w:pPr>
              <w:suppressLineNumbers/>
              <w:jc w:val="both"/>
              <w:rPr>
                <w:rFonts w:ascii="Arial" w:hAnsi="Arial"/>
                <w:b/>
                <w:bCs/>
                <w:sz w:val="26"/>
                <w:szCs w:val="26"/>
                <w:rtl/>
              </w:rPr>
            </w:pPr>
            <w:r w:rsidRPr="00A166AF">
              <w:rPr>
                <w:rFonts w:ascii="Arial" w:hAnsi="Arial" w:hint="cs"/>
                <w:b/>
                <w:bCs/>
                <w:sz w:val="26"/>
                <w:szCs w:val="26"/>
                <w:rtl/>
              </w:rPr>
              <w:t>ב</w:t>
            </w:r>
            <w:r w:rsidRPr="00A166AF">
              <w:rPr>
                <w:rFonts w:ascii="Arial" w:hAnsi="Arial"/>
                <w:b/>
                <w:bCs/>
                <w:sz w:val="26"/>
                <w:szCs w:val="26"/>
                <w:rtl/>
              </w:rPr>
              <w:t xml:space="preserve">פני </w:t>
            </w:r>
          </w:p>
        </w:tc>
        <w:tc>
          <w:tcPr>
            <w:tcW w:w="8077" w:type="dxa"/>
            <w:gridSpan w:val="2"/>
            <w:shd w:val="clear" w:color="auto" w:fill="auto"/>
          </w:tcPr>
          <w:p w14:paraId="40193921" w14:textId="77777777" w:rsidR="00DD0EA2" w:rsidRPr="00A166AF" w:rsidRDefault="00DD0EA2" w:rsidP="00DD0EA2">
            <w:pPr>
              <w:suppressLineNumbers/>
              <w:rPr>
                <w:rFonts w:ascii="Arial" w:hAnsi="Arial"/>
                <w:b/>
                <w:bCs/>
                <w:sz w:val="26"/>
                <w:szCs w:val="26"/>
                <w:rtl/>
              </w:rPr>
            </w:pPr>
            <w:r w:rsidRPr="00A166AF">
              <w:rPr>
                <w:rFonts w:ascii="Arial" w:hAnsi="Arial" w:hint="cs"/>
                <w:b/>
                <w:bCs/>
                <w:sz w:val="26"/>
                <w:szCs w:val="26"/>
                <w:rtl/>
              </w:rPr>
              <w:t>כבוד ה</w:t>
            </w:r>
            <w:r w:rsidRPr="00A166AF">
              <w:rPr>
                <w:rFonts w:ascii="Arial" w:hAnsi="Arial"/>
                <w:b/>
                <w:bCs/>
                <w:sz w:val="26"/>
                <w:szCs w:val="26"/>
                <w:rtl/>
              </w:rPr>
              <w:t>שופט</w:t>
            </w:r>
            <w:r w:rsidRPr="00A166AF">
              <w:rPr>
                <w:rFonts w:ascii="Arial" w:hAnsi="Arial" w:hint="cs"/>
                <w:b/>
                <w:bCs/>
                <w:sz w:val="26"/>
                <w:szCs w:val="26"/>
                <w:rtl/>
              </w:rPr>
              <w:t xml:space="preserve"> </w:t>
            </w:r>
            <w:r w:rsidRPr="00A166AF">
              <w:rPr>
                <w:rFonts w:ascii="Arial" w:hAnsi="Arial"/>
                <w:b/>
                <w:bCs/>
                <w:sz w:val="26"/>
                <w:szCs w:val="26"/>
                <w:rtl/>
              </w:rPr>
              <w:t>משה גינות</w:t>
            </w:r>
          </w:p>
          <w:p w14:paraId="22B16EB2" w14:textId="77777777" w:rsidR="00DD0EA2" w:rsidRPr="00A166AF" w:rsidRDefault="00DD0EA2" w:rsidP="00DD0EA2">
            <w:pPr>
              <w:suppressLineNumbers/>
              <w:rPr>
                <w:sz w:val="26"/>
                <w:szCs w:val="26"/>
              </w:rPr>
            </w:pPr>
          </w:p>
        </w:tc>
      </w:tr>
      <w:tr w:rsidR="00DD0EA2" w:rsidRPr="00A166AF" w14:paraId="4C5B3792" w14:textId="77777777" w:rsidTr="00DD0EA2">
        <w:trPr>
          <w:jc w:val="center"/>
        </w:trPr>
        <w:tc>
          <w:tcPr>
            <w:tcW w:w="3249" w:type="dxa"/>
            <w:gridSpan w:val="2"/>
            <w:shd w:val="clear" w:color="auto" w:fill="auto"/>
          </w:tcPr>
          <w:p w14:paraId="22EB1DCA" w14:textId="77777777" w:rsidR="00DD0EA2" w:rsidRPr="00A166AF" w:rsidRDefault="00DD0EA2" w:rsidP="00DD0EA2">
            <w:pPr>
              <w:suppressLineNumbers/>
              <w:rPr>
                <w:rtl/>
              </w:rPr>
            </w:pPr>
            <w:bookmarkStart w:id="1" w:name="FirstAppellant"/>
          </w:p>
          <w:p w14:paraId="30E28EAC" w14:textId="77777777" w:rsidR="00DD0EA2" w:rsidRPr="00A166AF" w:rsidRDefault="00DD0EA2" w:rsidP="00DD0EA2">
            <w:pPr>
              <w:suppressLineNumbers/>
              <w:rPr>
                <w:rFonts w:ascii="Arial" w:hAnsi="Arial"/>
                <w:b/>
                <w:bCs/>
                <w:noProof w:val="0"/>
                <w:sz w:val="26"/>
                <w:szCs w:val="26"/>
                <w:rtl/>
              </w:rPr>
            </w:pPr>
            <w:r w:rsidRPr="00A166AF">
              <w:rPr>
                <w:rFonts w:ascii="Arial" w:hAnsi="Arial"/>
                <w:b/>
                <w:bCs/>
                <w:noProof w:val="0"/>
                <w:sz w:val="26"/>
                <w:szCs w:val="26"/>
                <w:rtl/>
              </w:rPr>
              <w:t>מאשימה</w:t>
            </w:r>
          </w:p>
        </w:tc>
        <w:tc>
          <w:tcPr>
            <w:tcW w:w="5571" w:type="dxa"/>
            <w:shd w:val="clear" w:color="auto" w:fill="auto"/>
          </w:tcPr>
          <w:p w14:paraId="7E88307A" w14:textId="77777777" w:rsidR="00DD0EA2" w:rsidRPr="00A166AF" w:rsidRDefault="00DD0EA2" w:rsidP="00DD0EA2">
            <w:pPr>
              <w:suppressLineNumbers/>
              <w:rPr>
                <w:rtl/>
              </w:rPr>
            </w:pPr>
          </w:p>
          <w:p w14:paraId="49B8A9E9" w14:textId="77777777" w:rsidR="00DD0EA2" w:rsidRPr="00A166AF" w:rsidRDefault="00DD0EA2" w:rsidP="00DD0EA2">
            <w:pPr>
              <w:suppressLineNumbers/>
              <w:rPr>
                <w:b/>
                <w:bCs/>
                <w:noProof w:val="0"/>
                <w:sz w:val="26"/>
                <w:szCs w:val="26"/>
              </w:rPr>
            </w:pPr>
            <w:r w:rsidRPr="00A166AF">
              <w:rPr>
                <w:rFonts w:ascii="Arial" w:hAnsi="Arial"/>
                <w:b/>
                <w:bCs/>
                <w:noProof w:val="0"/>
                <w:sz w:val="26"/>
                <w:szCs w:val="26"/>
                <w:rtl/>
              </w:rPr>
              <w:t>מדינת ישראל</w:t>
            </w:r>
          </w:p>
        </w:tc>
      </w:tr>
      <w:bookmarkEnd w:id="1"/>
      <w:tr w:rsidR="00DD0EA2" w:rsidRPr="00A166AF" w14:paraId="10103A4E" w14:textId="77777777" w:rsidTr="00DD0EA2">
        <w:trPr>
          <w:jc w:val="center"/>
        </w:trPr>
        <w:tc>
          <w:tcPr>
            <w:tcW w:w="8820" w:type="dxa"/>
            <w:gridSpan w:val="3"/>
            <w:shd w:val="clear" w:color="auto" w:fill="auto"/>
          </w:tcPr>
          <w:p w14:paraId="626FB367" w14:textId="77777777" w:rsidR="00DD0EA2" w:rsidRPr="00A166AF" w:rsidRDefault="00DD0EA2" w:rsidP="00DD0EA2">
            <w:pPr>
              <w:suppressLineNumbers/>
              <w:rPr>
                <w:rFonts w:ascii="Arial" w:hAnsi="Arial"/>
                <w:b/>
                <w:bCs/>
                <w:noProof w:val="0"/>
                <w:sz w:val="26"/>
                <w:szCs w:val="26"/>
                <w:rtl/>
              </w:rPr>
            </w:pPr>
          </w:p>
          <w:p w14:paraId="72426EAD" w14:textId="77777777" w:rsidR="00DD0EA2" w:rsidRPr="00A166AF" w:rsidRDefault="00DD0EA2" w:rsidP="00DD0EA2">
            <w:pPr>
              <w:suppressLineNumbers/>
              <w:jc w:val="center"/>
              <w:rPr>
                <w:rFonts w:ascii="Arial" w:hAnsi="Arial"/>
                <w:b/>
                <w:bCs/>
                <w:noProof w:val="0"/>
                <w:sz w:val="26"/>
                <w:szCs w:val="26"/>
                <w:rtl/>
              </w:rPr>
            </w:pPr>
            <w:r w:rsidRPr="00A166AF">
              <w:rPr>
                <w:rFonts w:ascii="Arial" w:hAnsi="Arial"/>
                <w:b/>
                <w:bCs/>
                <w:noProof w:val="0"/>
                <w:sz w:val="26"/>
                <w:szCs w:val="26"/>
                <w:rtl/>
              </w:rPr>
              <w:t>נגד</w:t>
            </w:r>
          </w:p>
          <w:p w14:paraId="799CD124" w14:textId="77777777" w:rsidR="00DD0EA2" w:rsidRPr="00A166AF" w:rsidRDefault="00DD0EA2" w:rsidP="00DD0EA2">
            <w:pPr>
              <w:suppressLineNumbers/>
              <w:rPr>
                <w:rFonts w:ascii="Arial" w:hAnsi="Arial"/>
                <w:b/>
                <w:bCs/>
                <w:noProof w:val="0"/>
                <w:sz w:val="26"/>
                <w:szCs w:val="26"/>
              </w:rPr>
            </w:pPr>
          </w:p>
        </w:tc>
      </w:tr>
      <w:tr w:rsidR="00DD0EA2" w:rsidRPr="00A166AF" w14:paraId="67014002" w14:textId="77777777" w:rsidTr="00DD0EA2">
        <w:trPr>
          <w:jc w:val="center"/>
        </w:trPr>
        <w:tc>
          <w:tcPr>
            <w:tcW w:w="3249" w:type="dxa"/>
            <w:gridSpan w:val="2"/>
            <w:shd w:val="clear" w:color="auto" w:fill="auto"/>
          </w:tcPr>
          <w:p w14:paraId="59998F49" w14:textId="77777777" w:rsidR="00DD0EA2" w:rsidRPr="00A166AF" w:rsidRDefault="00DD0EA2" w:rsidP="00DD0EA2">
            <w:pPr>
              <w:suppressLineNumbers/>
              <w:rPr>
                <w:rFonts w:ascii="Arial" w:hAnsi="Arial"/>
                <w:b/>
                <w:bCs/>
                <w:noProof w:val="0"/>
                <w:sz w:val="26"/>
                <w:szCs w:val="26"/>
              </w:rPr>
            </w:pPr>
            <w:r w:rsidRPr="00A166AF">
              <w:rPr>
                <w:rFonts w:ascii="Arial" w:hAnsi="Arial"/>
                <w:b/>
                <w:bCs/>
                <w:noProof w:val="0"/>
                <w:sz w:val="26"/>
                <w:szCs w:val="26"/>
                <w:rtl/>
              </w:rPr>
              <w:t>נאשמים</w:t>
            </w:r>
          </w:p>
        </w:tc>
        <w:tc>
          <w:tcPr>
            <w:tcW w:w="5571" w:type="dxa"/>
            <w:shd w:val="clear" w:color="auto" w:fill="auto"/>
          </w:tcPr>
          <w:p w14:paraId="731AD243" w14:textId="77777777" w:rsidR="00DD0EA2" w:rsidRPr="00A166AF" w:rsidRDefault="00DD0EA2" w:rsidP="00DD0EA2">
            <w:pPr>
              <w:suppressLineNumbers/>
              <w:rPr>
                <w:rFonts w:ascii="Arial" w:hAnsi="Arial"/>
                <w:b/>
                <w:bCs/>
                <w:noProof w:val="0"/>
                <w:sz w:val="26"/>
                <w:szCs w:val="26"/>
                <w:rtl/>
              </w:rPr>
            </w:pPr>
            <w:r w:rsidRPr="00A166AF">
              <w:rPr>
                <w:rFonts w:ascii="Arial" w:hAnsi="Arial"/>
                <w:b/>
                <w:bCs/>
                <w:noProof w:val="0"/>
                <w:sz w:val="26"/>
                <w:szCs w:val="26"/>
                <w:rtl/>
              </w:rPr>
              <w:t>אברהם אביב בוהארון</w:t>
            </w:r>
          </w:p>
        </w:tc>
      </w:tr>
    </w:tbl>
    <w:p w14:paraId="36018DAE" w14:textId="77777777" w:rsidR="00DD0EA2" w:rsidRPr="00A166AF" w:rsidRDefault="00DD0EA2" w:rsidP="00DD0EA2">
      <w:pPr>
        <w:suppressLineNumbers/>
        <w:rPr>
          <w:rtl/>
        </w:rPr>
      </w:pPr>
    </w:p>
    <w:p w14:paraId="74A516D6" w14:textId="77777777" w:rsidR="004C17B7" w:rsidRDefault="00DD0EA2" w:rsidP="00DD0EA2">
      <w:pPr>
        <w:jc w:val="center"/>
        <w:rPr>
          <w:b/>
          <w:color w:val="FF0000"/>
          <w:sz w:val="28"/>
          <w:rtl/>
        </w:rPr>
      </w:pPr>
      <w:r w:rsidRPr="00A166AF">
        <w:rPr>
          <w:b/>
          <w:color w:val="FF0000"/>
          <w:sz w:val="28"/>
          <w:rtl/>
        </w:rPr>
        <w:t>במסמך זה הושמטו פרוטוקולים</w:t>
      </w:r>
    </w:p>
    <w:p w14:paraId="7C6A0CA5" w14:textId="77777777" w:rsidR="004C17B7" w:rsidRPr="004C17B7" w:rsidRDefault="004C17B7" w:rsidP="004C17B7">
      <w:pPr>
        <w:spacing w:after="120" w:line="240" w:lineRule="exact"/>
        <w:ind w:left="283" w:hanging="283"/>
        <w:jc w:val="both"/>
        <w:rPr>
          <w:rFonts w:ascii="FrankRuehl" w:hAnsi="FrankRuehl" w:cs="FrankRuehl"/>
          <w:color w:val="FF0000"/>
          <w:rtl/>
        </w:rPr>
      </w:pPr>
    </w:p>
    <w:p w14:paraId="0B740E5B" w14:textId="77777777" w:rsidR="000F15AD" w:rsidRPr="000F15AD" w:rsidRDefault="000F15AD" w:rsidP="000F15AD">
      <w:pPr>
        <w:spacing w:before="120" w:after="120" w:line="240" w:lineRule="exact"/>
        <w:ind w:left="283" w:hanging="283"/>
        <w:jc w:val="both"/>
        <w:rPr>
          <w:rFonts w:ascii="FrankRuehl" w:hAnsi="FrankRuehl" w:cs="FrankRuehl"/>
          <w:rtl/>
        </w:rPr>
      </w:pPr>
    </w:p>
    <w:p w14:paraId="7E5768A2" w14:textId="77777777" w:rsidR="00056489" w:rsidRDefault="00056489" w:rsidP="00056489">
      <w:pPr>
        <w:jc w:val="center"/>
        <w:rPr>
          <w:sz w:val="28"/>
          <w:szCs w:val="28"/>
          <w:rtl/>
        </w:rPr>
      </w:pPr>
      <w:bookmarkStart w:id="2" w:name="LawTable"/>
      <w:bookmarkEnd w:id="2"/>
    </w:p>
    <w:p w14:paraId="7A561C2A" w14:textId="77777777" w:rsidR="00056489" w:rsidRPr="00056489" w:rsidRDefault="00056489" w:rsidP="00056489">
      <w:pPr>
        <w:spacing w:before="120" w:after="120" w:line="240" w:lineRule="exact"/>
        <w:ind w:left="283" w:hanging="283"/>
        <w:jc w:val="both"/>
        <w:rPr>
          <w:rFonts w:ascii="FrankRuehl" w:hAnsi="FrankRuehl" w:cs="FrankRuehl"/>
          <w:rtl/>
        </w:rPr>
      </w:pPr>
    </w:p>
    <w:p w14:paraId="54836746" w14:textId="77777777" w:rsidR="00056489" w:rsidRPr="00056489" w:rsidRDefault="00056489" w:rsidP="00056489">
      <w:pPr>
        <w:spacing w:before="120" w:after="120" w:line="240" w:lineRule="exact"/>
        <w:ind w:left="283" w:hanging="283"/>
        <w:jc w:val="both"/>
        <w:rPr>
          <w:rFonts w:ascii="FrankRuehl" w:hAnsi="FrankRuehl" w:cs="FrankRuehl"/>
          <w:rtl/>
        </w:rPr>
      </w:pPr>
    </w:p>
    <w:p w14:paraId="501DD78C" w14:textId="77777777" w:rsidR="00056489" w:rsidRPr="00056489" w:rsidRDefault="00056489" w:rsidP="00056489">
      <w:pPr>
        <w:spacing w:before="120" w:after="120" w:line="240" w:lineRule="exact"/>
        <w:ind w:left="283" w:hanging="283"/>
        <w:jc w:val="both"/>
        <w:rPr>
          <w:rFonts w:ascii="FrankRuehl" w:hAnsi="FrankRuehl" w:cs="FrankRuehl"/>
          <w:rtl/>
        </w:rPr>
      </w:pPr>
      <w:r w:rsidRPr="00056489">
        <w:rPr>
          <w:rFonts w:ascii="FrankRuehl" w:hAnsi="FrankRuehl" w:cs="FrankRuehl"/>
          <w:rtl/>
        </w:rPr>
        <w:t xml:space="preserve">חקיקה שאוזכרה: </w:t>
      </w:r>
    </w:p>
    <w:p w14:paraId="23E2FE03" w14:textId="77777777" w:rsidR="00056489" w:rsidRPr="00056489" w:rsidRDefault="00056489" w:rsidP="00056489">
      <w:pPr>
        <w:spacing w:before="120" w:after="120" w:line="240" w:lineRule="exact"/>
        <w:ind w:left="283" w:hanging="283"/>
        <w:jc w:val="both"/>
        <w:rPr>
          <w:rFonts w:ascii="FrankRuehl" w:hAnsi="FrankRuehl" w:cs="FrankRuehl"/>
          <w:rtl/>
        </w:rPr>
      </w:pPr>
      <w:hyperlink r:id="rId7" w:history="1">
        <w:r w:rsidRPr="00056489">
          <w:rPr>
            <w:rFonts w:ascii="FrankRuehl" w:hAnsi="FrankRuehl" w:cs="FrankRuehl"/>
            <w:color w:val="0000FF"/>
            <w:rtl/>
          </w:rPr>
          <w:t>חוק העונשין, תשל"ז-1977</w:t>
        </w:r>
      </w:hyperlink>
      <w:r w:rsidRPr="00056489">
        <w:rPr>
          <w:rFonts w:ascii="FrankRuehl" w:hAnsi="FrankRuehl" w:cs="FrankRuehl"/>
          <w:rtl/>
        </w:rPr>
        <w:t xml:space="preserve">: סע'  </w:t>
      </w:r>
      <w:hyperlink r:id="rId8" w:history="1">
        <w:r w:rsidRPr="00056489">
          <w:rPr>
            <w:rFonts w:ascii="FrankRuehl" w:hAnsi="FrankRuehl" w:cs="FrankRuehl"/>
            <w:color w:val="0000FF"/>
            <w:rtl/>
          </w:rPr>
          <w:t>192</w:t>
        </w:r>
      </w:hyperlink>
      <w:r w:rsidRPr="00056489">
        <w:rPr>
          <w:rFonts w:ascii="FrankRuehl" w:hAnsi="FrankRuehl" w:cs="FrankRuehl"/>
          <w:rtl/>
        </w:rPr>
        <w:t xml:space="preserve">, </w:t>
      </w:r>
      <w:hyperlink r:id="rId9" w:history="1">
        <w:r w:rsidRPr="00056489">
          <w:rPr>
            <w:rFonts w:ascii="FrankRuehl" w:hAnsi="FrankRuehl" w:cs="FrankRuehl"/>
            <w:color w:val="0000FF"/>
            <w:rtl/>
          </w:rPr>
          <w:t>335(א)(1)</w:t>
        </w:r>
      </w:hyperlink>
    </w:p>
    <w:p w14:paraId="56377EFF" w14:textId="77777777" w:rsidR="00056489" w:rsidRPr="00056489" w:rsidRDefault="00056489" w:rsidP="00056489">
      <w:pPr>
        <w:spacing w:before="120" w:after="120" w:line="240" w:lineRule="exact"/>
        <w:ind w:left="283" w:hanging="283"/>
        <w:jc w:val="both"/>
        <w:rPr>
          <w:rFonts w:ascii="FrankRuehl" w:hAnsi="FrankRuehl" w:cs="FrankRuehl"/>
          <w:rtl/>
        </w:rPr>
      </w:pPr>
      <w:hyperlink r:id="rId10" w:history="1">
        <w:r w:rsidRPr="00056489">
          <w:rPr>
            <w:rFonts w:ascii="FrankRuehl" w:hAnsi="FrankRuehl" w:cs="FrankRuehl"/>
            <w:color w:val="0000FF"/>
            <w:rtl/>
          </w:rPr>
          <w:t>פקודת הסמים המסוכנים [נוסח חדש], תשל"ג-1973</w:t>
        </w:r>
      </w:hyperlink>
      <w:r w:rsidRPr="00056489">
        <w:rPr>
          <w:rFonts w:ascii="FrankRuehl" w:hAnsi="FrankRuehl" w:cs="FrankRuehl"/>
          <w:rtl/>
        </w:rPr>
        <w:t xml:space="preserve">: סע'  </w:t>
      </w:r>
      <w:hyperlink r:id="rId11" w:history="1">
        <w:r w:rsidRPr="00056489">
          <w:rPr>
            <w:rFonts w:ascii="FrankRuehl" w:hAnsi="FrankRuehl" w:cs="FrankRuehl"/>
            <w:color w:val="0000FF"/>
            <w:rtl/>
          </w:rPr>
          <w:t>7.א.</w:t>
        </w:r>
      </w:hyperlink>
      <w:r w:rsidRPr="00056489">
        <w:rPr>
          <w:rFonts w:ascii="FrankRuehl" w:hAnsi="FrankRuehl" w:cs="FrankRuehl"/>
          <w:rtl/>
        </w:rPr>
        <w:t xml:space="preserve">, </w:t>
      </w:r>
      <w:hyperlink r:id="rId12" w:history="1">
        <w:r w:rsidRPr="00056489">
          <w:rPr>
            <w:rFonts w:ascii="FrankRuehl" w:hAnsi="FrankRuehl" w:cs="FrankRuehl"/>
            <w:color w:val="0000FF"/>
            <w:rtl/>
          </w:rPr>
          <w:t>7.ג</w:t>
        </w:r>
      </w:hyperlink>
    </w:p>
    <w:p w14:paraId="2A0FE889" w14:textId="77777777" w:rsidR="00056489" w:rsidRPr="00056489" w:rsidRDefault="00056489" w:rsidP="00056489">
      <w:pPr>
        <w:jc w:val="center"/>
        <w:rPr>
          <w:sz w:val="28"/>
          <w:szCs w:val="28"/>
          <w:rtl/>
        </w:rPr>
      </w:pPr>
      <w:bookmarkStart w:id="3" w:name="LawTable_End"/>
      <w:bookmarkEnd w:id="3"/>
    </w:p>
    <w:p w14:paraId="3F5898D3" w14:textId="77777777" w:rsidR="00A166AF" w:rsidRPr="000F15AD" w:rsidRDefault="00A166AF" w:rsidP="000F15AD">
      <w:pPr>
        <w:jc w:val="center"/>
        <w:rPr>
          <w:sz w:val="28"/>
          <w:szCs w:val="28"/>
          <w:rtl/>
        </w:rPr>
      </w:pPr>
    </w:p>
    <w:p w14:paraId="44EBB450" w14:textId="77777777" w:rsidR="00A166AF" w:rsidRPr="00A166AF" w:rsidRDefault="00A166AF" w:rsidP="00A166AF">
      <w:pPr>
        <w:jc w:val="center"/>
        <w:rPr>
          <w:b/>
          <w:bCs/>
          <w:sz w:val="28"/>
          <w:szCs w:val="28"/>
          <w:u w:val="single"/>
          <w:rtl/>
        </w:rPr>
      </w:pPr>
      <w:bookmarkStart w:id="4" w:name="PsakDin"/>
      <w:bookmarkEnd w:id="0"/>
      <w:r w:rsidRPr="00A166AF">
        <w:rPr>
          <w:b/>
          <w:bCs/>
          <w:sz w:val="28"/>
          <w:szCs w:val="28"/>
          <w:u w:val="single"/>
          <w:rtl/>
        </w:rPr>
        <w:t>גזר דין</w:t>
      </w:r>
    </w:p>
    <w:bookmarkEnd w:id="4"/>
    <w:p w14:paraId="21713CDA" w14:textId="77777777" w:rsidR="00DD0EA2" w:rsidRDefault="00DD0EA2" w:rsidP="00DD0EA2">
      <w:pPr>
        <w:jc w:val="center"/>
        <w:rPr>
          <w:rtl/>
        </w:rPr>
      </w:pPr>
    </w:p>
    <w:p w14:paraId="10383E3B" w14:textId="77777777" w:rsidR="00DD0EA2" w:rsidRDefault="00DD0EA2" w:rsidP="00DD0EA2">
      <w:pPr>
        <w:jc w:val="center"/>
        <w:rPr>
          <w:rtl/>
        </w:rPr>
      </w:pPr>
    </w:p>
    <w:p w14:paraId="58B81867" w14:textId="77777777" w:rsidR="00DD0EA2" w:rsidRDefault="00DD0EA2" w:rsidP="00DD0EA2">
      <w:pPr>
        <w:spacing w:line="360" w:lineRule="auto"/>
        <w:ind w:left="720" w:hanging="720"/>
        <w:jc w:val="both"/>
        <w:rPr>
          <w:rtl/>
        </w:rPr>
      </w:pPr>
      <w:r>
        <w:rPr>
          <w:rtl/>
        </w:rPr>
        <w:t>1.</w:t>
      </w:r>
      <w:r>
        <w:rPr>
          <w:rtl/>
        </w:rPr>
        <w:tab/>
      </w:r>
      <w:bookmarkStart w:id="5" w:name="ABSTRACT_START"/>
      <w:bookmarkEnd w:id="5"/>
      <w:r>
        <w:rPr>
          <w:rtl/>
        </w:rPr>
        <w:t xml:space="preserve">הנאשם אברהם בוהארון הורשע על פי הודאתו בעובדות כתב האישום המתוקן נשוא </w:t>
      </w:r>
      <w:hyperlink r:id="rId13" w:history="1">
        <w:r w:rsidR="00A166AF" w:rsidRPr="00A166AF">
          <w:rPr>
            <w:color w:val="0000FF"/>
            <w:u w:val="single"/>
            <w:rtl/>
          </w:rPr>
          <w:t>ת.פ. 50521-11-18</w:t>
        </w:r>
      </w:hyperlink>
      <w:r>
        <w:rPr>
          <w:rtl/>
        </w:rPr>
        <w:t xml:space="preserve"> בעבירה של פציעה כשהעבריין מזויין, עבירה לפי </w:t>
      </w:r>
      <w:hyperlink r:id="rId14" w:history="1">
        <w:r w:rsidR="004C17B7" w:rsidRPr="004C17B7">
          <w:rPr>
            <w:rStyle w:val="Hyperlink"/>
            <w:rtl/>
          </w:rPr>
          <w:t>סעיף 335(א)(1)</w:t>
        </w:r>
      </w:hyperlink>
      <w:r>
        <w:rPr>
          <w:rtl/>
        </w:rPr>
        <w:t xml:space="preserve"> ל</w:t>
      </w:r>
      <w:hyperlink r:id="rId15" w:history="1">
        <w:r w:rsidR="00A166AF" w:rsidRPr="00A166AF">
          <w:rPr>
            <w:color w:val="0000FF"/>
            <w:u w:val="single"/>
            <w:rtl/>
          </w:rPr>
          <w:t>חוק העונשין</w:t>
        </w:r>
      </w:hyperlink>
      <w:r>
        <w:rPr>
          <w:rtl/>
        </w:rPr>
        <w:t>. התשל"ז – 1977 (להלן: "</w:t>
      </w:r>
      <w:hyperlink r:id="rId16" w:history="1">
        <w:r w:rsidR="00A166AF" w:rsidRPr="00A166AF">
          <w:rPr>
            <w:b/>
            <w:bCs/>
            <w:color w:val="0000FF"/>
            <w:u w:val="single"/>
            <w:rtl/>
          </w:rPr>
          <w:t>חוק העונשין</w:t>
        </w:r>
      </w:hyperlink>
      <w:r>
        <w:rPr>
          <w:rtl/>
        </w:rPr>
        <w:t xml:space="preserve">") ואיומים, עבירה לפי </w:t>
      </w:r>
      <w:hyperlink r:id="rId17" w:history="1">
        <w:r w:rsidR="004C17B7" w:rsidRPr="004C17B7">
          <w:rPr>
            <w:rStyle w:val="Hyperlink"/>
            <w:rtl/>
          </w:rPr>
          <w:t>סעיף 192</w:t>
        </w:r>
      </w:hyperlink>
      <w:r>
        <w:rPr>
          <w:rtl/>
        </w:rPr>
        <w:t xml:space="preserve"> לחוק העונשין, ובעובדות כתב האישום נשוא </w:t>
      </w:r>
      <w:hyperlink r:id="rId18" w:history="1">
        <w:r w:rsidR="00A166AF" w:rsidRPr="00A166AF">
          <w:rPr>
            <w:color w:val="0000FF"/>
            <w:u w:val="single"/>
            <w:rtl/>
          </w:rPr>
          <w:t>ת.פ. 59615-09-19</w:t>
        </w:r>
      </w:hyperlink>
      <w:r>
        <w:rPr>
          <w:rtl/>
        </w:rPr>
        <w:t xml:space="preserve"> בעבירה של החזקת סמים לצריכה עצמית, עבירה לפי </w:t>
      </w:r>
      <w:hyperlink r:id="rId19" w:history="1">
        <w:r w:rsidR="004C17B7" w:rsidRPr="004C17B7">
          <w:rPr>
            <w:rStyle w:val="Hyperlink"/>
            <w:rtl/>
          </w:rPr>
          <w:t>סעיף 7(א)+7(ג)</w:t>
        </w:r>
      </w:hyperlink>
      <w:r>
        <w:rPr>
          <w:rtl/>
        </w:rPr>
        <w:t xml:space="preserve"> סיפא ל</w:t>
      </w:r>
      <w:hyperlink r:id="rId20" w:history="1">
        <w:r w:rsidR="00A166AF" w:rsidRPr="00A166AF">
          <w:rPr>
            <w:color w:val="0000FF"/>
            <w:u w:val="single"/>
            <w:rtl/>
          </w:rPr>
          <w:t>פקודת הסמים המסוכנים</w:t>
        </w:r>
      </w:hyperlink>
      <w:r>
        <w:rPr>
          <w:rtl/>
        </w:rPr>
        <w:t xml:space="preserve"> (נוסח חדש), תשל"ג – 1973.</w:t>
      </w:r>
    </w:p>
    <w:p w14:paraId="298CFF63" w14:textId="77777777" w:rsidR="00DD0EA2" w:rsidRDefault="00DD0EA2" w:rsidP="00DD0EA2">
      <w:pPr>
        <w:spacing w:line="360" w:lineRule="auto"/>
        <w:ind w:left="720" w:hanging="720"/>
        <w:jc w:val="both"/>
        <w:rPr>
          <w:rtl/>
        </w:rPr>
      </w:pPr>
      <w:bookmarkStart w:id="6" w:name="ABSTRACT_END"/>
      <w:bookmarkEnd w:id="6"/>
    </w:p>
    <w:p w14:paraId="212E35E2" w14:textId="77777777" w:rsidR="00DD0EA2" w:rsidRDefault="00DD0EA2" w:rsidP="00DD0EA2">
      <w:pPr>
        <w:spacing w:line="360" w:lineRule="auto"/>
        <w:jc w:val="both"/>
        <w:rPr>
          <w:rtl/>
        </w:rPr>
      </w:pPr>
    </w:p>
    <w:p w14:paraId="04D5EC6E" w14:textId="77777777" w:rsidR="00DD0EA2" w:rsidRDefault="00DD0EA2" w:rsidP="002D40BA">
      <w:pPr>
        <w:spacing w:line="360" w:lineRule="auto"/>
        <w:ind w:left="720" w:hanging="720"/>
        <w:jc w:val="both"/>
        <w:rPr>
          <w:rtl/>
        </w:rPr>
      </w:pPr>
      <w:r>
        <w:rPr>
          <w:rtl/>
        </w:rPr>
        <w:t>2.</w:t>
      </w:r>
      <w:r>
        <w:rPr>
          <w:rtl/>
        </w:rPr>
        <w:tab/>
        <w:t xml:space="preserve">כעולה מעובדות כתב האישום המתוקן נשוא </w:t>
      </w:r>
      <w:hyperlink r:id="rId21" w:history="1">
        <w:r w:rsidR="00A166AF" w:rsidRPr="00A166AF">
          <w:rPr>
            <w:color w:val="0000FF"/>
            <w:u w:val="single"/>
            <w:rtl/>
          </w:rPr>
          <w:t>ת.פ. 50521-11-18</w:t>
        </w:r>
      </w:hyperlink>
      <w:r>
        <w:rPr>
          <w:rtl/>
        </w:rPr>
        <w:t xml:space="preserve"> אין חולק כי ביום 3.5</w:t>
      </w:r>
      <w:r w:rsidR="002D40BA">
        <w:rPr>
          <w:rtl/>
        </w:rPr>
        <w:t xml:space="preserve">.18 בשעה 02:30 שהה המתלונן </w:t>
      </w:r>
      <w:r w:rsidR="002D40BA">
        <w:rPr>
          <w:rFonts w:hint="cs"/>
          <w:rtl/>
        </w:rPr>
        <w:t xml:space="preserve">פלוני </w:t>
      </w:r>
      <w:r>
        <w:rPr>
          <w:rtl/>
        </w:rPr>
        <w:t>(להלן: "</w:t>
      </w:r>
      <w:r>
        <w:rPr>
          <w:b/>
          <w:bCs/>
          <w:rtl/>
        </w:rPr>
        <w:t>המתלונן</w:t>
      </w:r>
      <w:r>
        <w:rPr>
          <w:rtl/>
        </w:rPr>
        <w:t>") עם חבריו בחוף הים בשדות ים.</w:t>
      </w:r>
    </w:p>
    <w:p w14:paraId="1DDBFCD3" w14:textId="77777777" w:rsidR="00DD0EA2" w:rsidRDefault="00DD0EA2" w:rsidP="00DD0EA2">
      <w:pPr>
        <w:spacing w:line="360" w:lineRule="auto"/>
        <w:ind w:left="720" w:hanging="720"/>
        <w:jc w:val="both"/>
        <w:rPr>
          <w:rtl/>
        </w:rPr>
      </w:pPr>
      <w:r>
        <w:rPr>
          <w:rtl/>
        </w:rPr>
        <w:tab/>
        <w:t xml:space="preserve">עת התקדם המתלונן לעבר רכבו, על מנת לשוב לביתו הבחין בנאשם עומד עם חברתו ומתווכח עימה. משהבחין הנאשם כי המתלונן מסתכל עליהם, החל לתקוף אותו בכך שתפס את המתלונן בחולצתו ודחף אותו. בתגובה המתלונן דחף בחזרה וגרם לנפילתו של </w:t>
      </w:r>
      <w:r>
        <w:rPr>
          <w:rtl/>
        </w:rPr>
        <w:lastRenderedPageBreak/>
        <w:t>הנאשם. הנאשם איים על המתלונן "אני אזיין אותך" ובתגובה המתלונן לקח קרש ונופף עמו לעבר הנאשם על מנת להרחיקו. הנאשם הלך ולקח משולחן אנשים שהיו במקום 2 בקבוקי זכוכית, ניפץ אותם ורך עם הבקבוק המנופץ לעבר המתלונן והכה באמצעותו בפניו של המתלונן.</w:t>
      </w:r>
    </w:p>
    <w:p w14:paraId="1B7EDB5C" w14:textId="77777777" w:rsidR="00DD0EA2" w:rsidRDefault="00DD0EA2" w:rsidP="00DD0EA2">
      <w:pPr>
        <w:spacing w:line="360" w:lineRule="auto"/>
        <w:ind w:left="720" w:hanging="720"/>
        <w:jc w:val="both"/>
        <w:rPr>
          <w:rtl/>
        </w:rPr>
      </w:pPr>
      <w:r>
        <w:rPr>
          <w:rtl/>
        </w:rPr>
        <w:tab/>
      </w:r>
    </w:p>
    <w:p w14:paraId="6CB20E71" w14:textId="77777777" w:rsidR="00DD0EA2" w:rsidRDefault="00DD0EA2" w:rsidP="00DD0EA2">
      <w:pPr>
        <w:spacing w:line="360" w:lineRule="auto"/>
        <w:ind w:left="720"/>
        <w:jc w:val="both"/>
        <w:rPr>
          <w:rtl/>
        </w:rPr>
      </w:pPr>
      <w:r>
        <w:rPr>
          <w:rtl/>
        </w:rPr>
        <w:t xml:space="preserve">כתוצאה מהפציעה נגרם למתלונן  חתך של כ-8 ס"מ לכיוון זוית הלסת מימין וחתך נוסף בלחי ימין כס"מ וחצי אשר נתפרו בהרדמה מקומית ובגינם נזקק המתלונן לאשפוז בבי"ח. </w:t>
      </w:r>
    </w:p>
    <w:p w14:paraId="05E103D5" w14:textId="77777777" w:rsidR="00DD0EA2" w:rsidRDefault="00DD0EA2" w:rsidP="00DD0EA2">
      <w:pPr>
        <w:spacing w:line="360" w:lineRule="auto"/>
        <w:ind w:left="720"/>
        <w:jc w:val="both"/>
        <w:rPr>
          <w:rtl/>
        </w:rPr>
      </w:pPr>
    </w:p>
    <w:p w14:paraId="245CC2BF" w14:textId="77777777" w:rsidR="00DD0EA2" w:rsidRDefault="00DD0EA2" w:rsidP="00DD0EA2">
      <w:pPr>
        <w:spacing w:line="360" w:lineRule="auto"/>
        <w:ind w:left="720"/>
        <w:jc w:val="both"/>
        <w:rPr>
          <w:rtl/>
        </w:rPr>
      </w:pPr>
      <w:r>
        <w:rPr>
          <w:rtl/>
        </w:rPr>
        <w:t xml:space="preserve">כעולה מעובדות כתב האישום נשוא </w:t>
      </w:r>
      <w:hyperlink r:id="rId22" w:history="1">
        <w:r w:rsidR="00A166AF" w:rsidRPr="00A166AF">
          <w:rPr>
            <w:color w:val="0000FF"/>
            <w:u w:val="single"/>
            <w:rtl/>
          </w:rPr>
          <w:t>ת.פ. 59615-09-19</w:t>
        </w:r>
      </w:hyperlink>
      <w:r>
        <w:rPr>
          <w:rtl/>
        </w:rPr>
        <w:t xml:space="preserve"> אין חולק כי בתאריך 10.12.18 סמוך לשעה 18:30 ברחוב דרך למרחב 80 בפרדס חנה, נתפס הנאשם מחזיק בחדר שינה בסם מסוכן מסוג קנבוס במשקל 20.2900 גרם נטו.</w:t>
      </w:r>
    </w:p>
    <w:p w14:paraId="15A7CDFD" w14:textId="77777777" w:rsidR="00DD0EA2" w:rsidRDefault="00DD0EA2" w:rsidP="00DD0EA2">
      <w:pPr>
        <w:spacing w:line="360" w:lineRule="auto"/>
        <w:ind w:left="720"/>
        <w:jc w:val="both"/>
        <w:rPr>
          <w:rtl/>
        </w:rPr>
      </w:pPr>
    </w:p>
    <w:p w14:paraId="61962A04" w14:textId="77777777" w:rsidR="00DD0EA2" w:rsidRDefault="00DD0EA2" w:rsidP="00DD0EA2">
      <w:pPr>
        <w:spacing w:line="360" w:lineRule="auto"/>
        <w:ind w:left="720" w:hanging="720"/>
        <w:jc w:val="both"/>
        <w:rPr>
          <w:rtl/>
        </w:rPr>
      </w:pPr>
      <w:r>
        <w:rPr>
          <w:rtl/>
        </w:rPr>
        <w:t>3.</w:t>
      </w:r>
      <w:r>
        <w:rPr>
          <w:rtl/>
        </w:rPr>
        <w:tab/>
        <w:t xml:space="preserve">בישיבת יום 19.2.20 הנאשם הודה והורשע בעובדות המיוחסות לו בכתב האישום המותקן נשוא </w:t>
      </w:r>
      <w:hyperlink r:id="rId23" w:history="1">
        <w:r w:rsidR="00A166AF" w:rsidRPr="00A166AF">
          <w:rPr>
            <w:color w:val="0000FF"/>
            <w:u w:val="single"/>
            <w:rtl/>
          </w:rPr>
          <w:t>ת.פ. 50521-11-18</w:t>
        </w:r>
      </w:hyperlink>
      <w:r>
        <w:rPr>
          <w:rtl/>
        </w:rPr>
        <w:t xml:space="preserve"> ובישיבת יום 30.6.20 הודה בעובדות כתב האישום בתיק המצורף </w:t>
      </w:r>
      <w:hyperlink r:id="rId24" w:history="1">
        <w:r w:rsidR="00A166AF" w:rsidRPr="00A166AF">
          <w:rPr>
            <w:color w:val="0000FF"/>
            <w:u w:val="single"/>
            <w:rtl/>
          </w:rPr>
          <w:t>ת.פ. 59615-09-19</w:t>
        </w:r>
      </w:hyperlink>
      <w:r>
        <w:rPr>
          <w:rtl/>
        </w:rPr>
        <w:t xml:space="preserve"> ועניינו הועבר לצורך הכנת תסקיר שירות מבחן לעניין העונש.</w:t>
      </w:r>
    </w:p>
    <w:p w14:paraId="58D6C3C1" w14:textId="77777777" w:rsidR="00DD0EA2" w:rsidRDefault="00DD0EA2" w:rsidP="00DD0EA2">
      <w:pPr>
        <w:spacing w:line="360" w:lineRule="auto"/>
        <w:ind w:left="720" w:hanging="720"/>
        <w:jc w:val="both"/>
        <w:rPr>
          <w:rtl/>
        </w:rPr>
      </w:pPr>
    </w:p>
    <w:p w14:paraId="422096F5" w14:textId="77777777" w:rsidR="00DD0EA2" w:rsidRDefault="00DD0EA2" w:rsidP="00DD0EA2">
      <w:pPr>
        <w:spacing w:line="360" w:lineRule="auto"/>
        <w:ind w:left="720" w:hanging="720"/>
        <w:jc w:val="both"/>
        <w:rPr>
          <w:rtl/>
        </w:rPr>
      </w:pPr>
      <w:r>
        <w:rPr>
          <w:rtl/>
        </w:rPr>
        <w:t>4.</w:t>
      </w:r>
      <w:r>
        <w:rPr>
          <w:rtl/>
        </w:rPr>
        <w:tab/>
        <w:t>מתסקיר שירות מבחן שנערך ביום 23.12.20  עולה כי הנאשם הינו בן 21, רווק מתגורר בבית אמו בפרדס חנה. מזה 4 חודשים עובד ברשת חנויות "דן דיל" בתפקיד אחראי מחלקה.</w:t>
      </w:r>
    </w:p>
    <w:p w14:paraId="774C18A8" w14:textId="77777777" w:rsidR="00DD0EA2" w:rsidRDefault="00DD0EA2" w:rsidP="00DD0EA2">
      <w:pPr>
        <w:spacing w:line="360" w:lineRule="auto"/>
        <w:ind w:left="720" w:hanging="720"/>
        <w:jc w:val="both"/>
        <w:rPr>
          <w:rtl/>
        </w:rPr>
      </w:pPr>
      <w:r>
        <w:rPr>
          <w:rtl/>
        </w:rPr>
        <w:tab/>
        <w:t>משפחת המוצא של הנאשם מונה זוג הורים גרושים ו-3 ילדים בגילאי 11-23, כאשר הנאשם הנו הבן האמצעי. אביו של הנאשם כבן 53 מתגורר עם בת זוגו בפרדס חנה בעל רקע התמכרותי להימורים ומתמודד עם מצוקה כלכלית. אמו של הנאשם בשנות ה-40 לחייה עובדת במשק בית. הנאשם חווה קשיים התנהגותיים במסגרות החינוך אולם לא אובחן ולא קיבל מענה לקשייו. הנאשם סיים 12 שנ"ל ללא תעודת בגרות. הנאשם מסר כי מועד גיוסו לצבא נדחה על רקע מעורבותו בפלילים. בהיותו כבן 20 השתלב במכינה קדם צבאית, בה שהה 10 חודשים וחווה את המסגרת כמיטיבה ומשמעותית עבורו. במסגרת המכינה השתלב בסדנא לשליטה בכעסים. הנאשם שיתף כי לפני 4 חודשים עזב את המכינה מיוזמתו לאחר שהחליט כי אינו מעוניין להתגייס ורוצה להתמקד בפן התעסוקתי.</w:t>
      </w:r>
    </w:p>
    <w:p w14:paraId="3D5AD533" w14:textId="77777777" w:rsidR="00DD0EA2" w:rsidRDefault="00DD0EA2" w:rsidP="00DD0EA2">
      <w:pPr>
        <w:spacing w:line="360" w:lineRule="auto"/>
        <w:ind w:left="720" w:hanging="720"/>
        <w:jc w:val="both"/>
        <w:rPr>
          <w:rtl/>
        </w:rPr>
      </w:pPr>
      <w:r>
        <w:rPr>
          <w:rtl/>
        </w:rPr>
        <w:tab/>
        <w:t xml:space="preserve">הנאשם נעדר הרשעות קודמות. </w:t>
      </w:r>
    </w:p>
    <w:p w14:paraId="60B1DC38" w14:textId="77777777" w:rsidR="00DD0EA2" w:rsidRDefault="00DD0EA2" w:rsidP="00DD0EA2">
      <w:pPr>
        <w:spacing w:line="360" w:lineRule="auto"/>
        <w:ind w:left="720" w:hanging="720"/>
        <w:jc w:val="both"/>
        <w:rPr>
          <w:rtl/>
        </w:rPr>
      </w:pPr>
      <w:r>
        <w:rPr>
          <w:rtl/>
        </w:rPr>
        <w:tab/>
        <w:t xml:space="preserve">בהתייחסו לעבירות נשוא תיק זה, לדבריו בעת ביצוע העבירות היה מצוי תחת השפעת סמים ואלכוהול וכי אינו זוכר במדויק רגעים מסוימים מהאירוע. לדבריו ביום האירוע ניהל ויכוח סוער וקולני עם בת זוגו על רקע פרידתם והמתלונן התערב בויכוח. לטענת הנאשם למתלונן היה חלק בהסלמת האירוע, ומתוך קושי לשלוט בעצמו ולווסת את רגשותיו תקף את המתלונן. הנאשם אומנם הביע חרטה אך התקשה להכיר בחומרת העבירות ובפגיעתו החמורה במתלונן, מתקשה לבטא אמפטיה למצבו ובכך מתבטאת נשיאה חלקית לאחריות לביצועה. </w:t>
      </w:r>
    </w:p>
    <w:p w14:paraId="225A3041" w14:textId="77777777" w:rsidR="00DD0EA2" w:rsidRDefault="00DD0EA2" w:rsidP="00DD0EA2">
      <w:pPr>
        <w:spacing w:line="360" w:lineRule="auto"/>
        <w:ind w:left="720" w:hanging="720"/>
        <w:jc w:val="both"/>
        <w:rPr>
          <w:rtl/>
        </w:rPr>
      </w:pPr>
      <w:r>
        <w:rPr>
          <w:rtl/>
        </w:rPr>
        <w:lastRenderedPageBreak/>
        <w:tab/>
        <w:t xml:space="preserve">בהתייחסו לעבירת החזקת סמים, הנאשם הודה במיוחס לו ושיתף כי נהג לצרוך קנאביס על בסיס יומיומי כאמצעי להתמודדות עם קשיים רגשיים. הנאשם שיתף כי החל לצרוך סמים מגיל 18 תחילה באופן מזדמן בנסיבות חברתיות ובהמשך בעקבות משבר שחווה על רקע פרידה מבת זוגו. בהמשך השימוש הפך לאינטנסיבי, כאמצעי להתמודדות עם קשיים רגשיים שחווה בשנות התבגרותו. השימוש בקנאביס מספק לו תחושת הנאה, ריגוש, בריחה מרגשות כואבים ומסייע לו בהתמודדות עם תחושת דיכאון, חרדה וקשיי שינה. הנאשם מסר כי עד היום לא ניסה להפסיק שימוש בסמים אך מסוגל לעשות זאת בכוחות עצמו. בדיקת שתן שמסר הצביעה על שימוש בסם. </w:t>
      </w:r>
    </w:p>
    <w:p w14:paraId="78F9F444" w14:textId="77777777" w:rsidR="00DD0EA2" w:rsidRDefault="00DD0EA2" w:rsidP="00DD0EA2">
      <w:pPr>
        <w:spacing w:line="360" w:lineRule="auto"/>
        <w:ind w:left="720" w:hanging="720"/>
        <w:jc w:val="both"/>
        <w:rPr>
          <w:rtl/>
        </w:rPr>
      </w:pPr>
      <w:r>
        <w:rPr>
          <w:rtl/>
        </w:rPr>
        <w:tab/>
        <w:t>הנאשם התנגד להשתלב בטיפול בבעיית התמכרות ומתקשה בשלב זה לוותר על שימוש בסמים. שירות המבחן העריך כי קיים סיכון להישנות עבירות דומות בעתיד מצב המצריך השתלבותו בהליך טיפולי.</w:t>
      </w:r>
    </w:p>
    <w:p w14:paraId="281CDFEC" w14:textId="77777777" w:rsidR="00DD0EA2" w:rsidRDefault="00DD0EA2" w:rsidP="00DD0EA2">
      <w:pPr>
        <w:spacing w:line="360" w:lineRule="auto"/>
        <w:ind w:left="720" w:hanging="720"/>
        <w:jc w:val="both"/>
        <w:rPr>
          <w:rtl/>
        </w:rPr>
      </w:pPr>
      <w:r>
        <w:rPr>
          <w:rtl/>
        </w:rPr>
        <w:tab/>
      </w:r>
    </w:p>
    <w:p w14:paraId="76C72717" w14:textId="77777777" w:rsidR="00DD0EA2" w:rsidRDefault="00DD0EA2" w:rsidP="00DD0EA2">
      <w:pPr>
        <w:spacing w:line="360" w:lineRule="auto"/>
        <w:ind w:left="720" w:hanging="720"/>
        <w:jc w:val="both"/>
        <w:rPr>
          <w:rtl/>
        </w:rPr>
      </w:pPr>
      <w:r>
        <w:rPr>
          <w:rtl/>
        </w:rPr>
        <w:tab/>
        <w:t>מתסקיר שנערך ביום 1.2.21 עולה כי הנאשם מסר שהפסיק לצרוך סמים אולם בדיקות שתן שמסר הצביעו על נוכחות שרידי סם, אם כי שימוש ממושך בקנביס יכול להוביל לממצא חיובי גם לאחר הפסקת השימוש בו. הנאשם מסר כי הפסיק לעבוד ברשת חנויות "דן דיל" והחל לעבוד עם אביו וקרוב משפחה במכירת ירקות ומשלוחים. לדבריו הפסיק את עבודתו בשל חששו כי לא יוכל לשלב את העבודה עם טיפול ביחידה.</w:t>
      </w:r>
    </w:p>
    <w:p w14:paraId="51338CB3" w14:textId="77777777" w:rsidR="00DD0EA2" w:rsidRDefault="00DD0EA2" w:rsidP="00DD0EA2">
      <w:pPr>
        <w:spacing w:line="360" w:lineRule="auto"/>
        <w:ind w:left="720"/>
        <w:jc w:val="both"/>
        <w:rPr>
          <w:rtl/>
        </w:rPr>
      </w:pPr>
      <w:r>
        <w:rPr>
          <w:rtl/>
        </w:rPr>
        <w:t>הנאשם הביע נכונות להשתלב בהליך טיפולי ביחידה להתמכרויות ושירות המבחן ביקש דחיה של כמה חודשים לבחון את השתלבותו.</w:t>
      </w:r>
    </w:p>
    <w:p w14:paraId="41A985DF" w14:textId="77777777" w:rsidR="00DD0EA2" w:rsidRDefault="00DD0EA2" w:rsidP="00DD0EA2">
      <w:pPr>
        <w:spacing w:line="360" w:lineRule="auto"/>
        <w:ind w:left="720"/>
        <w:jc w:val="both"/>
        <w:rPr>
          <w:rtl/>
        </w:rPr>
      </w:pPr>
    </w:p>
    <w:p w14:paraId="1F81837F" w14:textId="77777777" w:rsidR="00DD0EA2" w:rsidRDefault="00DD0EA2" w:rsidP="00DD0EA2">
      <w:pPr>
        <w:spacing w:line="360" w:lineRule="auto"/>
        <w:ind w:left="720"/>
        <w:jc w:val="both"/>
        <w:rPr>
          <w:rtl/>
        </w:rPr>
      </w:pPr>
      <w:r>
        <w:rPr>
          <w:rtl/>
        </w:rPr>
        <w:t>מתסקיר שנערך ביום 4.5.21 עולה כי הנאשם הגיע למפגשים כנדרש מסר בדיקת שתן אשר הצביעה על העדר שרידי סם. על מנת לבחון את המשך התקדמותו בהליך הטיפולי שירותה מבחן ביקש דחיה של כמה חודשים.</w:t>
      </w:r>
    </w:p>
    <w:p w14:paraId="469E5D8D" w14:textId="77777777" w:rsidR="00DD0EA2" w:rsidRDefault="00DD0EA2" w:rsidP="00DD0EA2">
      <w:pPr>
        <w:spacing w:line="360" w:lineRule="auto"/>
        <w:ind w:left="720"/>
        <w:jc w:val="both"/>
        <w:rPr>
          <w:rtl/>
        </w:rPr>
      </w:pPr>
    </w:p>
    <w:p w14:paraId="4477CFD3" w14:textId="77777777" w:rsidR="00DD0EA2" w:rsidRDefault="00DD0EA2" w:rsidP="00DD0EA2">
      <w:pPr>
        <w:spacing w:line="360" w:lineRule="auto"/>
        <w:ind w:left="720"/>
        <w:jc w:val="both"/>
        <w:rPr>
          <w:rtl/>
        </w:rPr>
      </w:pPr>
      <w:r>
        <w:rPr>
          <w:rtl/>
        </w:rPr>
        <w:t>מתסקיר שנערך ביום 24.8.21 עולה כי בתקופת הדחיה הקשר עם הנאשם היה מקוטע, לא הגיע לפגישות אליהן זומן ולא יצר קשר מיוזמתו ולא הגיע למסור בדיקות שתן. שירות המבחן התרשם מבחור המתמודד עם קשיים שונים בתחומי חייו ונעדר כישורי חיים בסיסיים וגורמי תמיכה יציבים ומתקשה להתנהל באופן מאורגן ואחראי.</w:t>
      </w:r>
    </w:p>
    <w:p w14:paraId="436CB72E" w14:textId="77777777" w:rsidR="00DD0EA2" w:rsidRDefault="00DD0EA2" w:rsidP="00DD0EA2">
      <w:pPr>
        <w:spacing w:line="360" w:lineRule="auto"/>
        <w:ind w:left="720"/>
        <w:jc w:val="both"/>
        <w:rPr>
          <w:rtl/>
        </w:rPr>
      </w:pPr>
      <w:r>
        <w:rPr>
          <w:rtl/>
        </w:rPr>
        <w:t xml:space="preserve">לאור האמור ובהעדר שיתוף פעולה שירות המבחן התרשם כי לא חל שינוי ברמת הסיכון להישנות התנהגות דומה בעתיד שירות המבחן לא בא בהמלצה טיפולית. </w:t>
      </w:r>
    </w:p>
    <w:p w14:paraId="3CBC3E45" w14:textId="77777777" w:rsidR="00DD0EA2" w:rsidRDefault="00DD0EA2" w:rsidP="00DD0EA2">
      <w:pPr>
        <w:spacing w:line="360" w:lineRule="auto"/>
        <w:ind w:left="720" w:hanging="720"/>
        <w:jc w:val="both"/>
        <w:rPr>
          <w:rtl/>
        </w:rPr>
      </w:pPr>
      <w:r>
        <w:rPr>
          <w:rtl/>
        </w:rPr>
        <w:tab/>
        <w:t>מתסקיר שנערך ביום 3.1.22 עולה כי הנאשם יצר קשר עם היחידה לטיפול בהתמכרויות וביטא רצון לחזור לטיפול.</w:t>
      </w:r>
    </w:p>
    <w:p w14:paraId="1CADBFC0" w14:textId="77777777" w:rsidR="00DD0EA2" w:rsidRDefault="00DD0EA2" w:rsidP="00DD0EA2">
      <w:pPr>
        <w:spacing w:line="360" w:lineRule="auto"/>
        <w:ind w:left="720" w:hanging="720"/>
        <w:jc w:val="both"/>
        <w:rPr>
          <w:rtl/>
        </w:rPr>
      </w:pPr>
      <w:r>
        <w:rPr>
          <w:rtl/>
        </w:rPr>
        <w:tab/>
      </w:r>
    </w:p>
    <w:p w14:paraId="50A1E4B1" w14:textId="77777777" w:rsidR="00DD0EA2" w:rsidRDefault="00DD0EA2" w:rsidP="00DD0EA2">
      <w:pPr>
        <w:spacing w:line="360" w:lineRule="auto"/>
        <w:ind w:left="720" w:hanging="720"/>
        <w:jc w:val="both"/>
        <w:rPr>
          <w:rtl/>
        </w:rPr>
      </w:pPr>
      <w:r>
        <w:rPr>
          <w:rtl/>
        </w:rPr>
        <w:tab/>
        <w:t xml:space="preserve">מתסקיר שנערך ביום 27.4.22, עולה כי הנאשם נקלט באישפוזת מלכישוע "בראשית" למשך 21 ימים סיים בהצלחה וממשיך בטיפול במסגרת היחידה להתמכרויות. הנאשם מגיע למפגשים באופן רציף, מסר בדיקות שתן המעידות על ניקיון מסמים. במסגרת הדחיה נפתחו נגד הנאשם 4 מבד"ים בגין עבירות של הפרעה לשוטר, נהיגה פוחזת, הפרת צו שנועד להגן על אדם, ניסון לתקיפה וחבלה ממשית, במסגרת כל ארבעת התיקים הוגשו כתבי אישום. </w:t>
      </w:r>
    </w:p>
    <w:p w14:paraId="6DCF4020" w14:textId="77777777" w:rsidR="00DD0EA2" w:rsidRDefault="00DD0EA2" w:rsidP="00DD0EA2">
      <w:pPr>
        <w:spacing w:line="360" w:lineRule="auto"/>
        <w:ind w:left="720" w:hanging="720"/>
        <w:jc w:val="both"/>
        <w:rPr>
          <w:rtl/>
        </w:rPr>
      </w:pPr>
      <w:r>
        <w:rPr>
          <w:rtl/>
        </w:rPr>
        <w:tab/>
        <w:t xml:space="preserve">על מנת לאפשר לנאשם להמשיך בהליך השיקומי ממליץ שירות המבחן להשית על הנאשם  צו מבחן למשך שנה וחצי ו-200 שעות של"צ. </w:t>
      </w:r>
    </w:p>
    <w:p w14:paraId="42DC060F" w14:textId="77777777" w:rsidR="00DD0EA2" w:rsidRDefault="00DD0EA2" w:rsidP="00DD0EA2">
      <w:pPr>
        <w:spacing w:line="360" w:lineRule="auto"/>
        <w:ind w:left="720" w:hanging="720"/>
        <w:jc w:val="both"/>
        <w:rPr>
          <w:rtl/>
        </w:rPr>
      </w:pPr>
      <w:r>
        <w:rPr>
          <w:rtl/>
        </w:rPr>
        <w:tab/>
        <w:t xml:space="preserve">יצוין כי התסקיר האחרון נערך לאחר שהצדדים טענו לעונש. </w:t>
      </w:r>
    </w:p>
    <w:p w14:paraId="0DE13FCC" w14:textId="77777777" w:rsidR="00DD0EA2" w:rsidRDefault="00DD0EA2" w:rsidP="00DD0EA2">
      <w:pPr>
        <w:spacing w:line="360" w:lineRule="auto"/>
        <w:ind w:left="720" w:hanging="720"/>
        <w:jc w:val="both"/>
        <w:rPr>
          <w:rtl/>
        </w:rPr>
      </w:pPr>
      <w:r>
        <w:rPr>
          <w:rtl/>
        </w:rPr>
        <w:t xml:space="preserve"> </w:t>
      </w:r>
    </w:p>
    <w:p w14:paraId="1559407D" w14:textId="77777777" w:rsidR="00DD0EA2" w:rsidRDefault="00DD0EA2" w:rsidP="00DD0EA2">
      <w:pPr>
        <w:spacing w:line="360" w:lineRule="auto"/>
        <w:ind w:left="720" w:hanging="720"/>
        <w:jc w:val="both"/>
        <w:rPr>
          <w:rtl/>
        </w:rPr>
      </w:pPr>
      <w:r>
        <w:rPr>
          <w:rtl/>
        </w:rPr>
        <w:t>5.</w:t>
      </w:r>
      <w:r>
        <w:rPr>
          <w:rtl/>
        </w:rPr>
        <w:tab/>
        <w:t xml:space="preserve">ב"כ המאשימה בטיעוניה לעונש, הפנתה לחומרת העבירה המיוחסת לנאשם אשר תקף את המתלונן באמצעות בקבוק שבור ופצע את המתלונן. כתוצאה ממעשיו של הנאשם נגרם למתלונן חתך של כ-8 מס"מ בלסת ובלחי. בנוסף הנאשם צירף תיק נוסף בו הודה בעבירת החזקת סם לצריכה עצמית.  ב"כ המאשימה טענה כי הנאשם פגע במעשיו בערכים מוגנים של שלמות גופו, בטחונו וכבודו של המתלונן  וכי מתחם הענישה בעבירות נשוא כתב האישום נע בין 14-24 חודשי מאסר בפועל, מאסר על תנאי ופיצוי למתלונן. ובגין עבירת החזקת סמים לצריכה עצמית, המאשימה עותרת למאסר מותנה, קנס ופסילת רישיון נהיגה על תנאי. ב"כ המאשימה הפנתה לתסקירי שירות מבחן שהוגשו בעניינו של הנאשם, ובפרט לתסקיר מיום 24.8.21  ממנו עולה כי למרות ההזדמנויות שניתנו לנאשם הנאשם אינו מעוניין לערוך שינוי אמיתי בחייו, ממשיך לצרוך סמים ולא משתף פעולה עם ההליך הטיפולי. לאור האמור בתסקיר ב"כ המאשימה עתרה להשית על הנאשם את הרף הבינוני של המתחם, מאסר מותנה, קנס, פיצוי למתלונן פסילת רישיון על תנאי וצו להשמדת מוצגים  - סמים ותיק. </w:t>
      </w:r>
    </w:p>
    <w:p w14:paraId="1C0BCAE9" w14:textId="77777777" w:rsidR="00DD0EA2" w:rsidRDefault="00DD0EA2" w:rsidP="00DD0EA2">
      <w:pPr>
        <w:spacing w:line="360" w:lineRule="auto"/>
        <w:ind w:left="720" w:hanging="720"/>
        <w:jc w:val="both"/>
        <w:rPr>
          <w:rtl/>
        </w:rPr>
      </w:pPr>
    </w:p>
    <w:p w14:paraId="0B741BC6" w14:textId="77777777" w:rsidR="00DD0EA2" w:rsidRDefault="00DD0EA2" w:rsidP="00DD0EA2">
      <w:pPr>
        <w:spacing w:before="120" w:line="360" w:lineRule="auto"/>
        <w:ind w:left="720" w:hanging="720"/>
        <w:jc w:val="both"/>
        <w:rPr>
          <w:rtl/>
        </w:rPr>
      </w:pPr>
      <w:r>
        <w:rPr>
          <w:rtl/>
        </w:rPr>
        <w:t>6.</w:t>
      </w:r>
      <w:r>
        <w:rPr>
          <w:rtl/>
        </w:rPr>
        <w:tab/>
        <w:t xml:space="preserve">הסנגור טען כי יש לשקול לקולא את העובדה שהנאשם הודה בהזדמנות הראשונה וחסך זמן שיפוטי יקר; הנאשם הביע צער וחרטה על מעשיו; כתב האישום תוקן לקולא; זו היא מעידתו הראשונה של הנאשם; נסיבות ביצוע העבירה – בין הנאשם, אשר היה בת ביצוע העבירות ילד בן 19, ובת זוגו התגלע ויכוח בהיותם בחוף הים, המתלונן שעבר באזור והעיר איזו הערה לנאשם ומשם התלהטו הרוחות. הנאשם ביצע את העבירות ללא תכנון מוקדם ובלהט הרגע. לטענת הסנגור, מהתיעוד הרפואי של תעודת חדר מיון עולה כי האירוע הסתיים בתפירה של החתך ושחרור המתלונן לביתו; בעניינו של הנאשם הוגשו מספר תסקירים מהם עולה כי לנאשם נסיבות חיים לא פשוטות, ובעקבות גירושי הוריו הדבר השפיע עליו. הנאשם עשה מאמצים כבירים לעבור הליך שיקומי ואף נרשם למכינה קדם צבאית, בסופו של דבר בחר להתמקד בעבודה ולכן עזב את המכינה.  לטענת הסנגור מתחם הענישה בגין העבירה נשוא תיק זה נע בין 6-18 חודשי מאסר בפועל, ועתר להשית על הנאשם מאסר שירוצה בעבודות שירות. </w:t>
      </w:r>
    </w:p>
    <w:p w14:paraId="005A2737" w14:textId="77777777" w:rsidR="00DD0EA2" w:rsidRDefault="00DD0EA2" w:rsidP="00DD0EA2">
      <w:pPr>
        <w:spacing w:before="120" w:line="360" w:lineRule="auto"/>
        <w:ind w:left="720" w:hanging="720"/>
        <w:jc w:val="both"/>
        <w:rPr>
          <w:rtl/>
        </w:rPr>
      </w:pPr>
    </w:p>
    <w:p w14:paraId="1D9F29DF" w14:textId="77777777" w:rsidR="00DD0EA2" w:rsidRDefault="00DD0EA2" w:rsidP="00DD0EA2">
      <w:pPr>
        <w:spacing w:line="360" w:lineRule="auto"/>
        <w:ind w:left="720" w:hanging="720"/>
        <w:jc w:val="both"/>
        <w:rPr>
          <w:rtl/>
        </w:rPr>
      </w:pPr>
      <w:r>
        <w:rPr>
          <w:rtl/>
        </w:rPr>
        <w:t>7.</w:t>
      </w:r>
      <w:r>
        <w:rPr>
          <w:rtl/>
        </w:rPr>
        <w:tab/>
        <w:t xml:space="preserve">המתלונן מסר כי מאז האירוע עבר טיפול נפשי ועד היום הולך לפגישות עם מטפלת, סובל מחרדות פגיעה בביטחון העצמי, ובנוסף מבחינה פיזית יש לו צלקת גדולה על הפנים שגורמת לו לתחושת נימול בצד ימין של הפנים ובנוסף גם מכערת אותו. </w:t>
      </w:r>
    </w:p>
    <w:p w14:paraId="7E160F06" w14:textId="77777777" w:rsidR="00DD0EA2" w:rsidRDefault="00DD0EA2" w:rsidP="00DD0EA2">
      <w:pPr>
        <w:spacing w:before="120" w:line="360" w:lineRule="auto"/>
        <w:ind w:left="720" w:hanging="720"/>
        <w:jc w:val="both"/>
        <w:rPr>
          <w:rtl/>
        </w:rPr>
      </w:pPr>
    </w:p>
    <w:p w14:paraId="2F4B5E8E" w14:textId="77777777" w:rsidR="00DD0EA2" w:rsidRDefault="00DD0EA2" w:rsidP="00DD0EA2">
      <w:pPr>
        <w:spacing w:before="120" w:line="360" w:lineRule="auto"/>
        <w:ind w:left="720" w:hanging="720"/>
        <w:jc w:val="both"/>
        <w:rPr>
          <w:rtl/>
        </w:rPr>
      </w:pPr>
      <w:r>
        <w:rPr>
          <w:rtl/>
        </w:rPr>
        <w:t>8.</w:t>
      </w:r>
      <w:r>
        <w:rPr>
          <w:rtl/>
        </w:rPr>
        <w:tab/>
        <w:t>הנאשם ניצל את זכות המילה האחרונה הביע צער וחרטה על מעשיו.</w:t>
      </w:r>
    </w:p>
    <w:p w14:paraId="79772D59" w14:textId="77777777" w:rsidR="00DD0EA2" w:rsidRDefault="00DD0EA2" w:rsidP="00DD0EA2">
      <w:pPr>
        <w:spacing w:before="120" w:line="360" w:lineRule="auto"/>
        <w:jc w:val="both"/>
        <w:rPr>
          <w:b/>
          <w:bCs/>
          <w:u w:val="single"/>
          <w:rtl/>
        </w:rPr>
      </w:pPr>
      <w:r>
        <w:rPr>
          <w:b/>
          <w:bCs/>
          <w:u w:val="single"/>
          <w:rtl/>
        </w:rPr>
        <w:t xml:space="preserve">דיון: </w:t>
      </w:r>
    </w:p>
    <w:p w14:paraId="6C139F46" w14:textId="77777777" w:rsidR="00DD0EA2" w:rsidRDefault="00DD0EA2" w:rsidP="00DD0EA2">
      <w:pPr>
        <w:spacing w:line="360" w:lineRule="auto"/>
        <w:ind w:left="720" w:hanging="720"/>
        <w:jc w:val="both"/>
        <w:rPr>
          <w:rtl/>
        </w:rPr>
      </w:pPr>
      <w:r>
        <w:rPr>
          <w:rtl/>
        </w:rPr>
        <w:t>9.</w:t>
      </w:r>
      <w:r>
        <w:rPr>
          <w:rtl/>
        </w:rPr>
        <w:tab/>
        <w:t xml:space="preserve">נהרות של דיו נשפכו מקולמוסי שופטים בדבר מחלת האלימות שפשטה בארצנו - אלימות ככלל ואלימות באמצעי כלי נשק קרים או חמים - שהגיעה לדרגה של "מכת מדינה" ועל הצורך של בתי המשפט לתרום תרומתם להדברת מחלה זו באמצעות עונשי מאסר בפועל מוחשיים ומרתיעים (ראו למשל: </w:t>
      </w:r>
      <w:hyperlink r:id="rId25" w:history="1">
        <w:r w:rsidR="00A166AF" w:rsidRPr="00A166AF">
          <w:rPr>
            <w:color w:val="0000FF"/>
            <w:u w:val="single"/>
            <w:rtl/>
          </w:rPr>
          <w:t>ע"פ 9052/00</w:t>
        </w:r>
      </w:hyperlink>
      <w:r>
        <w:rPr>
          <w:rtl/>
        </w:rPr>
        <w:t xml:space="preserve"> </w:t>
      </w:r>
      <w:r>
        <w:rPr>
          <w:b/>
          <w:bCs/>
          <w:rtl/>
        </w:rPr>
        <w:t>שמעון שגיא נ' מדינת ישראל</w:t>
      </w:r>
      <w:r>
        <w:rPr>
          <w:rtl/>
        </w:rPr>
        <w:t xml:space="preserve">, תק-על 2002(1), 302). </w:t>
      </w:r>
    </w:p>
    <w:p w14:paraId="47D228A8" w14:textId="77777777" w:rsidR="00DD0EA2" w:rsidRDefault="00DD0EA2" w:rsidP="00DD0EA2">
      <w:pPr>
        <w:spacing w:line="360" w:lineRule="auto"/>
        <w:ind w:left="720"/>
        <w:jc w:val="both"/>
        <w:rPr>
          <w:rtl/>
        </w:rPr>
      </w:pPr>
      <w:r>
        <w:rPr>
          <w:rtl/>
        </w:rPr>
        <w:t xml:space="preserve">הערך המוגן שנפגע כתוצאה ממעשי האלימות הנו הצורך להגן על החברה מפני הבריון האלים, הסבור שהמטרה האישית שלו מקדשת האמצעים, וכי יוכל להימנע מעונש אם ימשיך ויאיים כי יפגע בקרבן. על בית המשפט להעביר מסר ברור, על פיו , חוטא לא יצא נשכר. </w:t>
      </w:r>
    </w:p>
    <w:p w14:paraId="646E81FB" w14:textId="77777777" w:rsidR="00DD0EA2" w:rsidRDefault="00DD0EA2" w:rsidP="00DD0EA2">
      <w:pPr>
        <w:shd w:val="clear" w:color="auto" w:fill="FFFFFF"/>
        <w:spacing w:line="360" w:lineRule="atLeast"/>
        <w:ind w:left="708" w:hanging="708"/>
        <w:jc w:val="both"/>
        <w:rPr>
          <w:rFonts w:ascii="David" w:hAnsi="David"/>
          <w:color w:val="000000"/>
          <w:rtl/>
        </w:rPr>
      </w:pPr>
      <w:r>
        <w:rPr>
          <w:rFonts w:ascii="David" w:hAnsi="David"/>
          <w:color w:val="000000"/>
          <w:rtl/>
        </w:rPr>
        <w:tab/>
        <w:t>הפגיעה בערך המוגן במקרה זה מצויה ברף חומרה גבוה למדי. הנאשם פעל באלימות וכן עשה תוך שימוש בשברי בקבוק אשר החזיק בידיו ופצע באמצעותו  את המתלונן.</w:t>
      </w:r>
    </w:p>
    <w:p w14:paraId="7E7D68ED" w14:textId="77777777" w:rsidR="00DD0EA2" w:rsidRDefault="00DD0EA2" w:rsidP="00DD0EA2">
      <w:pPr>
        <w:spacing w:line="360" w:lineRule="auto"/>
        <w:ind w:left="720"/>
        <w:jc w:val="both"/>
        <w:rPr>
          <w:rtl/>
        </w:rPr>
      </w:pPr>
    </w:p>
    <w:p w14:paraId="2C2F37C5" w14:textId="77777777" w:rsidR="00DD0EA2" w:rsidRDefault="00DD0EA2" w:rsidP="00DD0EA2">
      <w:pPr>
        <w:spacing w:line="360" w:lineRule="auto"/>
        <w:ind w:left="720"/>
        <w:jc w:val="both"/>
      </w:pPr>
      <w:r>
        <w:rPr>
          <w:rtl/>
        </w:rPr>
        <w:t xml:space="preserve">הערך המוגן </w:t>
      </w:r>
      <w:r>
        <w:rPr>
          <w:rFonts w:ascii="David" w:hAnsi="David"/>
          <w:color w:val="000000"/>
          <w:rtl/>
        </w:rPr>
        <w:t>אשר נפגע בכל הנוגע לעבירת הסמים הינו ההגנה מפני הנזקים הישירים והעקיפים אשר נגרמים עקב השימוש בסמים.</w:t>
      </w:r>
    </w:p>
    <w:p w14:paraId="2A7B5B28" w14:textId="77777777" w:rsidR="00DD0EA2" w:rsidRDefault="00DD0EA2" w:rsidP="00DD0EA2">
      <w:pPr>
        <w:shd w:val="clear" w:color="auto" w:fill="FFFFFF"/>
        <w:spacing w:after="160" w:line="360" w:lineRule="atLeast"/>
        <w:ind w:left="708" w:hanging="708"/>
        <w:jc w:val="both"/>
        <w:rPr>
          <w:rFonts w:cs="Times New Roman"/>
          <w:color w:val="000000"/>
          <w:sz w:val="27"/>
          <w:szCs w:val="27"/>
          <w:rtl/>
        </w:rPr>
      </w:pPr>
    </w:p>
    <w:p w14:paraId="5964D829" w14:textId="77777777" w:rsidR="00DD0EA2" w:rsidRDefault="00DD0EA2" w:rsidP="00DD0EA2">
      <w:pPr>
        <w:shd w:val="clear" w:color="auto" w:fill="FFFFFF"/>
        <w:spacing w:after="160" w:line="360" w:lineRule="atLeast"/>
        <w:ind w:left="708" w:hanging="708"/>
        <w:jc w:val="both"/>
        <w:rPr>
          <w:rFonts w:ascii="David" w:hAnsi="David"/>
          <w:color w:val="000000"/>
          <w:rtl/>
        </w:rPr>
      </w:pPr>
      <w:r>
        <w:rPr>
          <w:rFonts w:ascii="David" w:hAnsi="David"/>
          <w:color w:val="000000"/>
          <w:rtl/>
        </w:rPr>
        <w:t>10.</w:t>
      </w:r>
      <w:r>
        <w:rPr>
          <w:rFonts w:ascii="David" w:hAnsi="David"/>
          <w:color w:val="000000"/>
          <w:rtl/>
        </w:rPr>
        <w:tab/>
        <w:t xml:space="preserve">הנזק אשר נגרם כתוצאה מביצוע העבירות הינו נזק ממשי ומוחשי באשר עקב אלימות הנאשם כלפי המתלונן נגרם למתלונן חתך באורך כ- 8 ס"מ בפניו,  כאמור בכתב האישום המתוקן. </w:t>
      </w:r>
    </w:p>
    <w:p w14:paraId="0CC57371" w14:textId="77777777" w:rsidR="00DD0EA2" w:rsidRDefault="00DD0EA2" w:rsidP="00DD0EA2">
      <w:pPr>
        <w:shd w:val="clear" w:color="auto" w:fill="FFFFFF"/>
        <w:spacing w:after="160" w:line="360" w:lineRule="atLeast"/>
        <w:ind w:left="708" w:hanging="708"/>
        <w:jc w:val="both"/>
        <w:rPr>
          <w:rFonts w:ascii="David" w:hAnsi="David"/>
          <w:color w:val="000000"/>
          <w:rtl/>
        </w:rPr>
      </w:pPr>
    </w:p>
    <w:p w14:paraId="0DEA61AA" w14:textId="77777777" w:rsidR="00DD0EA2" w:rsidRDefault="00DD0EA2" w:rsidP="00DD0EA2">
      <w:pPr>
        <w:shd w:val="clear" w:color="auto" w:fill="FFFFFF"/>
        <w:spacing w:line="360" w:lineRule="atLeast"/>
        <w:ind w:left="708" w:hanging="708"/>
        <w:jc w:val="both"/>
        <w:rPr>
          <w:rFonts w:ascii="David" w:hAnsi="David"/>
          <w:color w:val="000000"/>
          <w:rtl/>
        </w:rPr>
      </w:pPr>
      <w:r>
        <w:rPr>
          <w:rFonts w:ascii="David" w:hAnsi="David"/>
          <w:b/>
          <w:bCs/>
          <w:color w:val="000000"/>
          <w:rtl/>
        </w:rPr>
        <w:t>מדיניות הענישה הנוהגת</w:t>
      </w:r>
    </w:p>
    <w:p w14:paraId="73B15F4B" w14:textId="77777777" w:rsidR="00DD0EA2" w:rsidRDefault="00A166AF" w:rsidP="00DD0EA2">
      <w:pPr>
        <w:shd w:val="clear" w:color="auto" w:fill="FFFFFF"/>
        <w:spacing w:line="360" w:lineRule="atLeast"/>
        <w:ind w:left="360"/>
        <w:jc w:val="both"/>
        <w:rPr>
          <w:rFonts w:ascii="David" w:hAnsi="David"/>
          <w:color w:val="000000"/>
          <w:rtl/>
        </w:rPr>
      </w:pPr>
      <w:r>
        <w:rPr>
          <w:rFonts w:ascii="David" w:hAnsi="David"/>
          <w:b/>
          <w:bCs/>
          <w:color w:val="000000"/>
          <w:rtl/>
        </w:rPr>
        <w:t xml:space="preserve"> </w:t>
      </w:r>
    </w:p>
    <w:p w14:paraId="76A1A459" w14:textId="77777777" w:rsidR="00DD0EA2" w:rsidRDefault="00DD0EA2" w:rsidP="00DD0EA2">
      <w:pPr>
        <w:shd w:val="clear" w:color="auto" w:fill="FFFFFF"/>
        <w:spacing w:line="360" w:lineRule="auto"/>
        <w:ind w:left="720" w:hanging="720"/>
        <w:jc w:val="both"/>
        <w:rPr>
          <w:rFonts w:ascii="David" w:hAnsi="David"/>
          <w:color w:val="000000"/>
        </w:rPr>
      </w:pPr>
      <w:r>
        <w:rPr>
          <w:rFonts w:ascii="David" w:hAnsi="David"/>
          <w:color w:val="000000"/>
          <w:rtl/>
        </w:rPr>
        <w:t>11.</w:t>
      </w:r>
      <w:r>
        <w:rPr>
          <w:rFonts w:ascii="David" w:hAnsi="David"/>
          <w:color w:val="000000"/>
          <w:rtl/>
        </w:rPr>
        <w:tab/>
        <w:t>בחינת מדיניות הענישה הנוהגת בעבירת פציעה כשעבריין מזוין ואיומים, במקרים דומים מעלה כי הוטלו על נאשמים על פי רוב עונשים החל ממאסר לתקופה של מספר חודשים אותם יישאו בעבודות שירות ועד למאסר ממושך מאחורי סורג ובריח וכן ענישה כלכלית.</w:t>
      </w:r>
    </w:p>
    <w:p w14:paraId="322ADDF3" w14:textId="77777777" w:rsidR="00DD0EA2" w:rsidRDefault="00DD0EA2" w:rsidP="00DD0EA2">
      <w:pPr>
        <w:shd w:val="clear" w:color="auto" w:fill="FFFFFF"/>
        <w:spacing w:line="360" w:lineRule="auto"/>
        <w:ind w:left="720"/>
        <w:jc w:val="both"/>
        <w:rPr>
          <w:rFonts w:ascii="David" w:hAnsi="David"/>
          <w:color w:val="000000"/>
          <w:rtl/>
        </w:rPr>
      </w:pPr>
      <w:r>
        <w:rPr>
          <w:rFonts w:ascii="David" w:hAnsi="David"/>
          <w:color w:val="000000"/>
          <w:rtl/>
        </w:rPr>
        <w:t>סקירת הפסיקה הרלבנטית מעלה כי העונש המוטל על מי שתוקף את רעהו וגורם לו לחבלות, תלוי בחומרת ועוצמת התקיפה, נסיבותיה ותוצאותיה.</w:t>
      </w:r>
    </w:p>
    <w:p w14:paraId="3191713F" w14:textId="77777777" w:rsidR="00DD0EA2" w:rsidRDefault="00DD0EA2" w:rsidP="00DD0EA2">
      <w:pPr>
        <w:spacing w:line="360" w:lineRule="auto"/>
        <w:ind w:left="708"/>
        <w:jc w:val="both"/>
        <w:rPr>
          <w:rFonts w:ascii="David" w:hAnsi="David"/>
          <w:rtl/>
        </w:rPr>
      </w:pPr>
      <w:r>
        <w:rPr>
          <w:rFonts w:ascii="David" w:hAnsi="David"/>
          <w:rtl/>
        </w:rPr>
        <w:t>העונש הראוי בגין העבירות שבפני, בנסיבות בהן הודה והורשע הנאשם, הינו מאסר, המתחם העונשי הראוי בגין תקיפה מסוג זה נע בין 9- 24 חודשי מאסר.</w:t>
      </w:r>
    </w:p>
    <w:p w14:paraId="33B239AE" w14:textId="77777777" w:rsidR="00DD0EA2" w:rsidRDefault="00DD0EA2" w:rsidP="00DD0EA2">
      <w:pPr>
        <w:spacing w:line="360" w:lineRule="auto"/>
        <w:ind w:left="720" w:hanging="12"/>
        <w:jc w:val="both"/>
        <w:rPr>
          <w:rtl/>
        </w:rPr>
      </w:pPr>
      <w:r>
        <w:rPr>
          <w:rtl/>
        </w:rPr>
        <w:t xml:space="preserve">מתחם העונש ההולם בגין עבירת החזקת סמים, הינו החל ממאסר על תנאי ופסילה ועד לשנת מאסר בפועל. </w:t>
      </w:r>
    </w:p>
    <w:p w14:paraId="575BA01A" w14:textId="77777777" w:rsidR="00DD0EA2" w:rsidRDefault="00DD0EA2" w:rsidP="00DD0EA2">
      <w:pPr>
        <w:spacing w:line="360" w:lineRule="auto"/>
        <w:ind w:left="720" w:hanging="720"/>
        <w:jc w:val="both"/>
        <w:rPr>
          <w:rFonts w:ascii="David" w:hAnsi="David"/>
          <w:rtl/>
        </w:rPr>
      </w:pPr>
    </w:p>
    <w:p w14:paraId="7119E1C1" w14:textId="77777777" w:rsidR="00DD0EA2" w:rsidRDefault="00DD0EA2" w:rsidP="00DD0EA2">
      <w:pPr>
        <w:shd w:val="clear" w:color="auto" w:fill="FFFFFF"/>
        <w:spacing w:line="360" w:lineRule="atLeast"/>
        <w:ind w:left="708" w:hanging="708"/>
        <w:jc w:val="both"/>
        <w:rPr>
          <w:rFonts w:ascii="David" w:hAnsi="David"/>
          <w:color w:val="000000"/>
          <w:rtl/>
        </w:rPr>
      </w:pPr>
      <w:r>
        <w:rPr>
          <w:rFonts w:ascii="David" w:hAnsi="David"/>
          <w:color w:val="000000"/>
          <w:rtl/>
        </w:rPr>
        <w:t>12.</w:t>
      </w:r>
      <w:r>
        <w:rPr>
          <w:rFonts w:ascii="David" w:hAnsi="David"/>
          <w:color w:val="000000"/>
          <w:rtl/>
        </w:rPr>
        <w:tab/>
        <w:t>במקרה דנן, שוכנעתי כי לא קיימים שיקולים המצדיקים סטייה מהמתחם לחומרא או לקולא.</w:t>
      </w:r>
    </w:p>
    <w:p w14:paraId="08F6A0ED" w14:textId="77777777" w:rsidR="00DD0EA2" w:rsidRDefault="00A166AF" w:rsidP="00DD0EA2">
      <w:pPr>
        <w:shd w:val="clear" w:color="auto" w:fill="FFFFFF"/>
        <w:spacing w:line="360" w:lineRule="atLeast"/>
        <w:jc w:val="both"/>
        <w:rPr>
          <w:rFonts w:ascii="David" w:hAnsi="David"/>
          <w:color w:val="000000"/>
          <w:rtl/>
        </w:rPr>
      </w:pPr>
      <w:r>
        <w:rPr>
          <w:rFonts w:ascii="David" w:hAnsi="David"/>
          <w:color w:val="000000"/>
          <w:rtl/>
        </w:rPr>
        <w:t xml:space="preserve"> </w:t>
      </w:r>
    </w:p>
    <w:p w14:paraId="788868A7" w14:textId="77777777" w:rsidR="00DD0EA2" w:rsidRDefault="00DD0EA2" w:rsidP="00DD0EA2">
      <w:pPr>
        <w:shd w:val="clear" w:color="auto" w:fill="FFFFFF"/>
        <w:spacing w:line="360" w:lineRule="atLeast"/>
        <w:ind w:left="708"/>
        <w:jc w:val="both"/>
        <w:rPr>
          <w:rFonts w:ascii="David" w:hAnsi="David"/>
          <w:color w:val="000000"/>
        </w:rPr>
      </w:pPr>
      <w:r>
        <w:rPr>
          <w:rFonts w:ascii="David" w:hAnsi="David"/>
          <w:color w:val="000000"/>
          <w:rtl/>
        </w:rPr>
        <w:t>על אף גילו הצעיר של הנאשם והשינוי ההדרגתי שעבר הנאשם במהלך השנתיים החולפות, לא שוכנעתי כי הליך זה יש בו כדי להביא לחריגה ממתחם העונש ההולם.</w:t>
      </w:r>
    </w:p>
    <w:p w14:paraId="2423D697" w14:textId="77777777" w:rsidR="00DD0EA2" w:rsidRDefault="00DD0EA2" w:rsidP="00DD0EA2">
      <w:pPr>
        <w:shd w:val="clear" w:color="auto" w:fill="FFFFFF"/>
        <w:spacing w:line="360" w:lineRule="atLeast"/>
        <w:ind w:left="708"/>
        <w:jc w:val="both"/>
        <w:rPr>
          <w:rFonts w:ascii="David" w:hAnsi="David"/>
          <w:color w:val="000000"/>
          <w:rtl/>
        </w:rPr>
      </w:pPr>
      <w:r>
        <w:rPr>
          <w:rFonts w:ascii="David" w:hAnsi="David"/>
          <w:color w:val="000000"/>
          <w:rtl/>
        </w:rPr>
        <w:t>כעולה מתסקירי שירות המבחן הרבים שהוגשו בעניינו של הנאשם, הנאשם הביע רצון לעבור הליך טיפולי אך תחילה התקשה להתגייס אליו, לאחר מכן משהתגייס להליך והחל להגיע למפגשים לפתע הפסיק ושב לצרוך סמים ובתקופה זו נפתחו לו תיקים נוספים. מהתסקיר האחרון שנערך ביום 27.4.22 עולה כי הנאשם שוב התגייס להליך הטיפולי,</w:t>
      </w:r>
      <w:r>
        <w:rPr>
          <w:rtl/>
        </w:rPr>
        <w:t xml:space="preserve"> נקלט באישפוזת מלכישוע "בראשית" למשך 21 ימים סיים בהצלחה וממשיך בטיפול במסגרת היחידה להתמכרויות. הנאשם מגיע למפגשים באופן רציף, מסר בדיקות שתן המעידות על ניקיון מסמים. כאמור, </w:t>
      </w:r>
      <w:r>
        <w:rPr>
          <w:rFonts w:ascii="David" w:hAnsi="David"/>
          <w:color w:val="000000"/>
          <w:rtl/>
        </w:rPr>
        <w:t xml:space="preserve"> הטיפול שעובר הנאשם במסגרת שירות המבחן, ידע עליות ומורדות, אין בו די בו כדי לקבוע שהנאשם השתקם או כי יש סיכוי של ממש שישתקם.</w:t>
      </w:r>
    </w:p>
    <w:p w14:paraId="0DEC2584" w14:textId="77777777" w:rsidR="00DD0EA2" w:rsidRDefault="00DD0EA2" w:rsidP="00DD0EA2">
      <w:pPr>
        <w:shd w:val="clear" w:color="auto" w:fill="FFFFFF"/>
        <w:spacing w:line="360" w:lineRule="atLeast"/>
        <w:jc w:val="both"/>
        <w:rPr>
          <w:rFonts w:ascii="David" w:hAnsi="David"/>
          <w:color w:val="000000"/>
          <w:rtl/>
        </w:rPr>
      </w:pPr>
    </w:p>
    <w:p w14:paraId="3767F772" w14:textId="77777777" w:rsidR="00DD0EA2" w:rsidRDefault="00DD0EA2" w:rsidP="00DD0EA2">
      <w:pPr>
        <w:shd w:val="clear" w:color="auto" w:fill="FFFFFF"/>
        <w:spacing w:line="360" w:lineRule="atLeast"/>
        <w:ind w:left="708"/>
        <w:jc w:val="both"/>
        <w:rPr>
          <w:rFonts w:ascii="David" w:hAnsi="David"/>
          <w:color w:val="000000"/>
          <w:rtl/>
        </w:rPr>
      </w:pPr>
      <w:r>
        <w:rPr>
          <w:rFonts w:ascii="David" w:hAnsi="David"/>
          <w:color w:val="000000"/>
          <w:rtl/>
        </w:rPr>
        <w:t>מדובר בתסקיר שהוגש לפני ימים ספורים ואין בו בכדי להעיד על שיקומו של הנאשם איננו מצדיק חריגה</w:t>
      </w:r>
      <w:r w:rsidR="00A166AF">
        <w:rPr>
          <w:rFonts w:ascii="David" w:hAnsi="David"/>
          <w:color w:val="000000"/>
          <w:rtl/>
        </w:rPr>
        <w:t xml:space="preserve"> </w:t>
      </w:r>
      <w:r>
        <w:rPr>
          <w:rFonts w:ascii="David" w:hAnsi="David"/>
          <w:color w:val="000000"/>
          <w:rtl/>
        </w:rPr>
        <w:t>ממתחם</w:t>
      </w:r>
      <w:r w:rsidR="00A166AF">
        <w:rPr>
          <w:rFonts w:ascii="David" w:hAnsi="David"/>
          <w:color w:val="000000"/>
          <w:rtl/>
        </w:rPr>
        <w:t xml:space="preserve"> </w:t>
      </w:r>
      <w:r>
        <w:rPr>
          <w:rFonts w:ascii="David" w:hAnsi="David"/>
          <w:rtl/>
        </w:rPr>
        <w:t>העונש</w:t>
      </w:r>
      <w:r w:rsidR="00A166AF">
        <w:rPr>
          <w:rFonts w:ascii="David" w:hAnsi="David"/>
          <w:color w:val="000000"/>
          <w:rtl/>
        </w:rPr>
        <w:t xml:space="preserve"> </w:t>
      </w:r>
      <w:r>
        <w:rPr>
          <w:rFonts w:ascii="David" w:hAnsi="David"/>
          <w:color w:val="000000"/>
          <w:rtl/>
        </w:rPr>
        <w:t>ההולם בשל שיקולי שיקום.</w:t>
      </w:r>
    </w:p>
    <w:p w14:paraId="2A8C96A0" w14:textId="77777777" w:rsidR="00DD0EA2" w:rsidRDefault="00A166AF" w:rsidP="00DD0EA2">
      <w:pPr>
        <w:shd w:val="clear" w:color="auto" w:fill="FFFFFF"/>
        <w:spacing w:line="360" w:lineRule="atLeast"/>
        <w:rPr>
          <w:rFonts w:ascii="David" w:hAnsi="David"/>
          <w:color w:val="000000"/>
          <w:rtl/>
        </w:rPr>
      </w:pPr>
      <w:r>
        <w:rPr>
          <w:rFonts w:ascii="David" w:hAnsi="David"/>
          <w:color w:val="000000"/>
          <w:rtl/>
        </w:rPr>
        <w:t xml:space="preserve"> </w:t>
      </w:r>
    </w:p>
    <w:p w14:paraId="6E7B332A" w14:textId="77777777" w:rsidR="00DD0EA2" w:rsidRDefault="00DD0EA2" w:rsidP="00DD0EA2">
      <w:pPr>
        <w:shd w:val="clear" w:color="auto" w:fill="FFFFFF"/>
        <w:spacing w:line="360" w:lineRule="atLeast"/>
        <w:ind w:left="708" w:hanging="708"/>
        <w:jc w:val="both"/>
        <w:rPr>
          <w:rFonts w:ascii="David" w:hAnsi="David"/>
          <w:color w:val="000000"/>
          <w:rtl/>
        </w:rPr>
      </w:pPr>
      <w:r>
        <w:rPr>
          <w:rFonts w:ascii="David" w:hAnsi="David"/>
          <w:color w:val="000000"/>
          <w:rtl/>
        </w:rPr>
        <w:t>13.</w:t>
      </w:r>
      <w:r>
        <w:rPr>
          <w:rFonts w:ascii="David" w:hAnsi="David"/>
          <w:color w:val="000000"/>
          <w:rtl/>
        </w:rPr>
        <w:tab/>
      </w:r>
      <w:r>
        <w:rPr>
          <w:rFonts w:ascii="David" w:hAnsi="David"/>
          <w:color w:val="000000"/>
          <w:rtl/>
        </w:rPr>
        <w:tab/>
        <w:t>בגזירת העונש המתאים לנאשם, בגדרי מתחם העונש ההולם, יש להתחשב בנסיבות שאינן קשורות בביצוע העבירה (</w:t>
      </w:r>
      <w:r>
        <w:rPr>
          <w:rFonts w:ascii="David" w:hAnsi="David"/>
          <w:b/>
          <w:bCs/>
          <w:color w:val="000000"/>
          <w:rtl/>
        </w:rPr>
        <w:t>סעיף</w:t>
      </w:r>
      <w:r w:rsidR="00A166AF">
        <w:rPr>
          <w:rFonts w:ascii="David" w:hAnsi="David"/>
          <w:b/>
          <w:bCs/>
          <w:color w:val="000000"/>
          <w:rtl/>
        </w:rPr>
        <w:t xml:space="preserve"> </w:t>
      </w:r>
      <w:r w:rsidRPr="00A166AF">
        <w:rPr>
          <w:rFonts w:ascii="David" w:hAnsi="David"/>
          <w:b/>
          <w:bCs/>
          <w:color w:val="000000"/>
          <w:rtl/>
        </w:rPr>
        <w:t>40 יא'</w:t>
      </w:r>
      <w:r>
        <w:rPr>
          <w:rFonts w:ascii="David" w:hAnsi="David"/>
          <w:b/>
          <w:bCs/>
          <w:color w:val="000000"/>
          <w:rtl/>
        </w:rPr>
        <w:t>).</w:t>
      </w:r>
    </w:p>
    <w:p w14:paraId="0766D78F" w14:textId="77777777" w:rsidR="00DD0EA2" w:rsidRDefault="00DD0EA2" w:rsidP="00DD0EA2">
      <w:pPr>
        <w:shd w:val="clear" w:color="auto" w:fill="FFFFFF"/>
        <w:spacing w:line="360" w:lineRule="atLeast"/>
        <w:ind w:firstLine="708"/>
        <w:jc w:val="both"/>
        <w:rPr>
          <w:rFonts w:ascii="David" w:hAnsi="David"/>
          <w:color w:val="000000"/>
          <w:rtl/>
        </w:rPr>
      </w:pPr>
      <w:r>
        <w:rPr>
          <w:rFonts w:ascii="David" w:hAnsi="David"/>
          <w:color w:val="000000"/>
          <w:rtl/>
        </w:rPr>
        <w:t>במסגרת זו מן הראוי לתת את הדעת לנסיבות הבאות:</w:t>
      </w:r>
    </w:p>
    <w:p w14:paraId="0F6841D3" w14:textId="77777777" w:rsidR="00DD0EA2" w:rsidRDefault="00A166AF" w:rsidP="00DD0EA2">
      <w:pPr>
        <w:shd w:val="clear" w:color="auto" w:fill="FFFFFF"/>
        <w:spacing w:line="360" w:lineRule="atLeast"/>
        <w:ind w:left="357"/>
        <w:jc w:val="both"/>
        <w:rPr>
          <w:rFonts w:ascii="David" w:hAnsi="David"/>
          <w:color w:val="000000"/>
          <w:rtl/>
        </w:rPr>
      </w:pPr>
      <w:r>
        <w:rPr>
          <w:rFonts w:ascii="David" w:hAnsi="David"/>
          <w:b/>
          <w:bCs/>
          <w:color w:val="000000"/>
          <w:rtl/>
        </w:rPr>
        <w:t xml:space="preserve"> </w:t>
      </w:r>
    </w:p>
    <w:p w14:paraId="2DB1E9F6" w14:textId="77777777" w:rsidR="00DD0EA2" w:rsidRDefault="00DD0EA2" w:rsidP="00DD0EA2">
      <w:pPr>
        <w:shd w:val="clear" w:color="auto" w:fill="FFFFFF"/>
        <w:spacing w:line="360" w:lineRule="atLeast"/>
        <w:ind w:left="1440" w:hanging="732"/>
        <w:jc w:val="both"/>
        <w:rPr>
          <w:rFonts w:ascii="David" w:hAnsi="David"/>
          <w:color w:val="000000"/>
          <w:rtl/>
        </w:rPr>
      </w:pPr>
      <w:r>
        <w:rPr>
          <w:rFonts w:ascii="David" w:hAnsi="David"/>
          <w:b/>
          <w:bCs/>
          <w:color w:val="000000"/>
          <w:rtl/>
        </w:rPr>
        <w:t>א.</w:t>
      </w:r>
      <w:r>
        <w:rPr>
          <w:rFonts w:ascii="David" w:hAnsi="David"/>
          <w:b/>
          <w:bCs/>
          <w:color w:val="000000"/>
          <w:rtl/>
        </w:rPr>
        <w:tab/>
        <w:t>הפגיעה של העונש בנאשם, לרבות בשל גילו –</w:t>
      </w:r>
      <w:r w:rsidR="00A166AF">
        <w:rPr>
          <w:rFonts w:ascii="David" w:hAnsi="David"/>
          <w:b/>
          <w:bCs/>
          <w:color w:val="000000"/>
          <w:rtl/>
        </w:rPr>
        <w:t xml:space="preserve"> </w:t>
      </w:r>
      <w:r>
        <w:rPr>
          <w:rFonts w:ascii="David" w:hAnsi="David"/>
          <w:color w:val="000000"/>
          <w:rtl/>
        </w:rPr>
        <w:t>הנאשם ביצע את העבירות בהיותו נער בן 19. אין מחלוקת כי</w:t>
      </w:r>
      <w:r w:rsidR="00A166AF">
        <w:rPr>
          <w:rFonts w:ascii="David" w:hAnsi="David"/>
          <w:color w:val="000000"/>
          <w:rtl/>
        </w:rPr>
        <w:t xml:space="preserve"> </w:t>
      </w:r>
      <w:r>
        <w:rPr>
          <w:rFonts w:ascii="David" w:hAnsi="David"/>
          <w:color w:val="000000"/>
          <w:rtl/>
        </w:rPr>
        <w:t>השפעת כליאה על כל נאשם, וקל וחומר על נאשם צעיר נעדר עבר פלילי, איננה קלה.</w:t>
      </w:r>
    </w:p>
    <w:p w14:paraId="1D693F96" w14:textId="77777777" w:rsidR="00DD0EA2" w:rsidRDefault="00DD0EA2" w:rsidP="00DD0EA2">
      <w:pPr>
        <w:shd w:val="clear" w:color="auto" w:fill="FFFFFF"/>
        <w:spacing w:line="360" w:lineRule="atLeast"/>
        <w:ind w:left="1440"/>
        <w:jc w:val="both"/>
        <w:rPr>
          <w:rFonts w:ascii="David" w:hAnsi="David"/>
          <w:color w:val="000000"/>
          <w:rtl/>
        </w:rPr>
      </w:pPr>
      <w:r>
        <w:rPr>
          <w:rFonts w:ascii="David" w:hAnsi="David"/>
          <w:color w:val="000000"/>
          <w:rtl/>
        </w:rPr>
        <w:t>יחד עם זאת, על אף שבפסיקת בית המשפט העליון הוכר המושג "בגיר צעיר" שיש לעיתים להתייחס אליו אחרת בעת גזירת הדין, בית המשפט קבע כי כל מקרה נבדק לגופו וגילו הצעיר של נאשם איננה חזות הכל.</w:t>
      </w:r>
    </w:p>
    <w:p w14:paraId="69B92053" w14:textId="77777777" w:rsidR="00DD0EA2" w:rsidRDefault="00DD0EA2" w:rsidP="00DD0EA2">
      <w:pPr>
        <w:shd w:val="clear" w:color="auto" w:fill="FFFFFF"/>
        <w:spacing w:before="100" w:beforeAutospacing="1" w:after="100" w:afterAutospacing="1" w:line="360" w:lineRule="atLeast"/>
        <w:ind w:left="1437"/>
        <w:jc w:val="both"/>
        <w:rPr>
          <w:rFonts w:ascii="David" w:hAnsi="David"/>
          <w:color w:val="000000"/>
          <w:rtl/>
        </w:rPr>
      </w:pPr>
      <w:r>
        <w:rPr>
          <w:rFonts w:ascii="David" w:hAnsi="David"/>
          <w:color w:val="000000"/>
          <w:rtl/>
        </w:rPr>
        <w:t>לעניין זה,</w:t>
      </w:r>
      <w:r w:rsidR="00A166AF">
        <w:rPr>
          <w:rFonts w:ascii="David" w:hAnsi="David"/>
          <w:b/>
          <w:bCs/>
          <w:color w:val="000000"/>
          <w:rtl/>
        </w:rPr>
        <w:t xml:space="preserve"> </w:t>
      </w:r>
      <w:r>
        <w:rPr>
          <w:rFonts w:ascii="David" w:hAnsi="David"/>
          <w:color w:val="000000"/>
          <w:rtl/>
        </w:rPr>
        <w:t>ב</w:t>
      </w:r>
      <w:hyperlink r:id="rId26" w:history="1">
        <w:r w:rsidR="00A166AF" w:rsidRPr="00A166AF">
          <w:rPr>
            <w:rFonts w:ascii="David" w:hAnsi="David"/>
            <w:b/>
            <w:bCs/>
            <w:color w:val="0000FF"/>
            <w:u w:val="single"/>
            <w:rtl/>
          </w:rPr>
          <w:t>רע"פ 10124/16</w:t>
        </w:r>
      </w:hyperlink>
      <w:r w:rsidR="00A166AF">
        <w:rPr>
          <w:rFonts w:ascii="David" w:hAnsi="David"/>
          <w:b/>
          <w:bCs/>
          <w:color w:val="000000"/>
          <w:rtl/>
        </w:rPr>
        <w:t xml:space="preserve"> </w:t>
      </w:r>
      <w:r>
        <w:rPr>
          <w:rFonts w:ascii="David" w:hAnsi="David"/>
          <w:b/>
          <w:bCs/>
          <w:color w:val="000000"/>
          <w:rtl/>
        </w:rPr>
        <w:t>מדינת ישראל נגד אלימלך</w:t>
      </w:r>
      <w:r w:rsidR="00A166AF">
        <w:rPr>
          <w:rFonts w:ascii="David" w:hAnsi="David"/>
          <w:b/>
          <w:bCs/>
          <w:color w:val="000000"/>
          <w:rtl/>
        </w:rPr>
        <w:t xml:space="preserve"> </w:t>
      </w:r>
      <w:r>
        <w:rPr>
          <w:rFonts w:ascii="David" w:hAnsi="David"/>
          <w:color w:val="000000"/>
          <w:rtl/>
        </w:rPr>
        <w:t>[פורסם בנבו]</w:t>
      </w:r>
      <w:r w:rsidR="00A166AF">
        <w:rPr>
          <w:rFonts w:ascii="David" w:hAnsi="David"/>
          <w:color w:val="000000"/>
          <w:rtl/>
        </w:rPr>
        <w:t xml:space="preserve"> </w:t>
      </w:r>
      <w:r>
        <w:rPr>
          <w:rFonts w:ascii="David" w:hAnsi="David"/>
          <w:b/>
          <w:bCs/>
          <w:color w:val="000000"/>
          <w:rtl/>
        </w:rPr>
        <w:t>(03/05/18)</w:t>
      </w:r>
      <w:r w:rsidR="00A166AF">
        <w:rPr>
          <w:rFonts w:ascii="David" w:hAnsi="David"/>
          <w:b/>
          <w:bCs/>
          <w:color w:val="000000"/>
          <w:rtl/>
        </w:rPr>
        <w:t xml:space="preserve"> </w:t>
      </w:r>
      <w:r>
        <w:rPr>
          <w:rFonts w:ascii="David" w:hAnsi="David"/>
          <w:color w:val="000000"/>
          <w:rtl/>
        </w:rPr>
        <w:t xml:space="preserve"> ציין בית המשפט כי בפסיקה מאוחרת לפסק דין פלוני כי בעניינם של "בגירים צעירים" נקבע כי: "</w:t>
      </w:r>
      <w:r>
        <w:rPr>
          <w:rFonts w:ascii="David" w:hAnsi="David"/>
          <w:b/>
          <w:bCs/>
          <w:color w:val="000000"/>
          <w:spacing w:val="10"/>
          <w:rtl/>
        </w:rPr>
        <w:t>השיקולים בדבר גילו של הנאשם מוצאים את ביטוים במסגרת השיקולים המותווים בחוק, כגון יכולתו של הנאשם להבין את אשר הוא עושה, לרבות בשל גילו (סעיף 40ט(א)(6) ו-(7)), הפגיעה של העונש בנאשם, לרבות בשל גילו (סעיף 40יא(1)); וכן בשיקולי השיקום (סעיף 40ד(א)). בהתאם, נפסק כי יש לבחון שיקולים אלה בכל מקרה של נאשם "בגיר צעיר" לגופו של המקרה ..."</w:t>
      </w:r>
      <w:r w:rsidR="00A166AF">
        <w:rPr>
          <w:rFonts w:ascii="David" w:hAnsi="David"/>
          <w:b/>
          <w:bCs/>
          <w:color w:val="000000"/>
          <w:spacing w:val="10"/>
          <w:rtl/>
        </w:rPr>
        <w:t xml:space="preserve"> </w:t>
      </w:r>
      <w:r>
        <w:rPr>
          <w:rFonts w:ascii="David" w:hAnsi="David"/>
          <w:color w:val="000000"/>
          <w:spacing w:val="10"/>
          <w:rtl/>
        </w:rPr>
        <w:t>וכן כי</w:t>
      </w:r>
      <w:r>
        <w:rPr>
          <w:rFonts w:ascii="David" w:hAnsi="David"/>
          <w:b/>
          <w:bCs/>
          <w:color w:val="000000"/>
          <w:spacing w:val="10"/>
          <w:rtl/>
        </w:rPr>
        <w:t>: "שיקול השיקום איננו השיקול הבלעדי אותו ראוי לשקול וכי גם בעניינם של קטינים – ומקל וחומר, של בגירים-צעירים – אין הגיל מעניק חסינות מפני עונש מאסר במקרה המתאים (</w:t>
      </w:r>
      <w:hyperlink r:id="rId27" w:history="1">
        <w:r w:rsidR="00A166AF" w:rsidRPr="00A166AF">
          <w:rPr>
            <w:rFonts w:ascii="David" w:hAnsi="David"/>
            <w:b/>
            <w:bCs/>
            <w:color w:val="0000FF"/>
            <w:spacing w:val="10"/>
            <w:u w:val="single"/>
            <w:rtl/>
          </w:rPr>
          <w:t>ע"פ 2357/13</w:t>
        </w:r>
      </w:hyperlink>
      <w:r w:rsidR="00A166AF">
        <w:rPr>
          <w:rFonts w:ascii="David" w:hAnsi="David"/>
          <w:b/>
          <w:bCs/>
          <w:color w:val="000000"/>
          <w:rtl/>
        </w:rPr>
        <w:t xml:space="preserve"> </w:t>
      </w:r>
      <w:r>
        <w:rPr>
          <w:rFonts w:ascii="David" w:hAnsi="David"/>
          <w:b/>
          <w:bCs/>
          <w:color w:val="000000"/>
          <w:rtl/>
        </w:rPr>
        <w:t>רוש נ' מדינת ישראל</w:t>
      </w:r>
      <w:r w:rsidR="00A166AF">
        <w:rPr>
          <w:rFonts w:ascii="David" w:hAnsi="David"/>
          <w:b/>
          <w:bCs/>
          <w:color w:val="000000"/>
          <w:spacing w:val="10"/>
          <w:rtl/>
        </w:rPr>
        <w:t xml:space="preserve"> </w:t>
      </w:r>
      <w:r>
        <w:rPr>
          <w:rFonts w:ascii="David" w:hAnsi="David"/>
          <w:b/>
          <w:bCs/>
          <w:color w:val="000000"/>
          <w:rtl/>
        </w:rPr>
        <w:t>[פורסם בנבו]</w:t>
      </w:r>
      <w:r w:rsidR="00A166AF">
        <w:rPr>
          <w:rFonts w:ascii="David" w:hAnsi="David"/>
          <w:b/>
          <w:bCs/>
          <w:color w:val="000000"/>
          <w:rtl/>
        </w:rPr>
        <w:t xml:space="preserve"> </w:t>
      </w:r>
      <w:r>
        <w:rPr>
          <w:rFonts w:ascii="David" w:hAnsi="David"/>
          <w:b/>
          <w:bCs/>
          <w:color w:val="000000"/>
          <w:spacing w:val="10"/>
          <w:rtl/>
        </w:rPr>
        <w:t>(06.10.2013))"</w:t>
      </w:r>
      <w:r>
        <w:rPr>
          <w:rFonts w:ascii="David" w:hAnsi="David"/>
          <w:color w:val="000000"/>
          <w:spacing w:val="10"/>
          <w:rtl/>
        </w:rPr>
        <w:t>.</w:t>
      </w:r>
    </w:p>
    <w:p w14:paraId="7E1A1140" w14:textId="77777777" w:rsidR="00DD0EA2" w:rsidRDefault="00DD0EA2" w:rsidP="00DD0EA2">
      <w:pPr>
        <w:shd w:val="clear" w:color="auto" w:fill="FFFFFF"/>
        <w:spacing w:before="100" w:beforeAutospacing="1" w:after="100" w:afterAutospacing="1" w:line="360" w:lineRule="atLeast"/>
        <w:ind w:left="1437" w:hanging="720"/>
        <w:jc w:val="both"/>
        <w:rPr>
          <w:rFonts w:ascii="David" w:hAnsi="David"/>
          <w:color w:val="000000"/>
          <w:rtl/>
        </w:rPr>
      </w:pPr>
      <w:r>
        <w:rPr>
          <w:rFonts w:ascii="David" w:hAnsi="David"/>
          <w:color w:val="000000"/>
          <w:rtl/>
        </w:rPr>
        <w:t>ב</w:t>
      </w:r>
      <w:r>
        <w:rPr>
          <w:rFonts w:ascii="David" w:hAnsi="David"/>
          <w:b/>
          <w:bCs/>
          <w:color w:val="000000"/>
          <w:rtl/>
        </w:rPr>
        <w:t>.</w:t>
      </w:r>
      <w:r>
        <w:rPr>
          <w:rFonts w:ascii="David" w:hAnsi="David"/>
          <w:b/>
          <w:bCs/>
          <w:color w:val="000000"/>
          <w:rtl/>
        </w:rPr>
        <w:tab/>
        <w:t>נטילת האחריות של הנאשם על מעשיו וחזרתו למוטב או מאמציו לחזור למוטב –</w:t>
      </w:r>
      <w:r w:rsidR="00A166AF">
        <w:rPr>
          <w:rFonts w:ascii="David" w:hAnsi="David"/>
          <w:color w:val="000000"/>
          <w:rtl/>
        </w:rPr>
        <w:t xml:space="preserve"> </w:t>
      </w:r>
      <w:r>
        <w:rPr>
          <w:rFonts w:ascii="David" w:hAnsi="David"/>
          <w:color w:val="000000"/>
          <w:rtl/>
        </w:rPr>
        <w:tab/>
      </w:r>
      <w:r>
        <w:rPr>
          <w:rFonts w:ascii="David" w:hAnsi="David"/>
          <w:color w:val="000000"/>
          <w:rtl/>
        </w:rPr>
        <w:tab/>
        <w:t xml:space="preserve">כפי שפירטתי בהרחבה לעיל, מתסקירי שירות המבחן שהוגשו בתחילת ההליך </w:t>
      </w:r>
      <w:r>
        <w:rPr>
          <w:rFonts w:ascii="David" w:hAnsi="David"/>
          <w:color w:val="000000"/>
          <w:rtl/>
        </w:rPr>
        <w:br/>
        <w:t>עלה כי הנאשם השליך אחריות על המתלונן, לא שיתף פעולה עם הליכי הטיפול, מצמצם האירוע, איננו לוקח אחריות מלאה על מעשיו וקיימת רמת סיכון גבוהה בעניינו.</w:t>
      </w:r>
    </w:p>
    <w:p w14:paraId="4914C32E" w14:textId="77777777" w:rsidR="00DD0EA2" w:rsidRDefault="00DD0EA2" w:rsidP="00DD0EA2">
      <w:pPr>
        <w:shd w:val="clear" w:color="auto" w:fill="FFFFFF"/>
        <w:spacing w:line="360" w:lineRule="atLeast"/>
        <w:ind w:left="1437"/>
        <w:jc w:val="both"/>
        <w:rPr>
          <w:rFonts w:ascii="David" w:hAnsi="David"/>
          <w:color w:val="000000"/>
        </w:rPr>
      </w:pPr>
      <w:r>
        <w:rPr>
          <w:rFonts w:ascii="David" w:hAnsi="David"/>
          <w:color w:val="000000"/>
          <w:rtl/>
        </w:rPr>
        <w:t>שינוי בעמדה הובע בתסקירי שירות המבחן מאוחרים יותר, מהם עולה כי הנאשם מוכן לקחת חלק בהליך טיפולי. אלא שאז התברר כי לאחר שהגיע לכמה מפגשים ומסר בדיקות שתן שהעידו על ניקיון משרידי סם, הנאשם ניתק קשר עם שירות המבחן ושב לצרוך סמים.</w:t>
      </w:r>
    </w:p>
    <w:p w14:paraId="3C908A29" w14:textId="77777777" w:rsidR="00DD0EA2" w:rsidRDefault="00DD0EA2" w:rsidP="00DD0EA2">
      <w:pPr>
        <w:shd w:val="clear" w:color="auto" w:fill="FFFFFF"/>
        <w:spacing w:line="360" w:lineRule="atLeast"/>
        <w:ind w:left="1437"/>
        <w:jc w:val="both"/>
        <w:rPr>
          <w:rFonts w:ascii="David" w:hAnsi="David"/>
          <w:color w:val="000000"/>
          <w:rtl/>
        </w:rPr>
      </w:pPr>
      <w:r>
        <w:rPr>
          <w:rFonts w:ascii="David" w:hAnsi="David"/>
          <w:color w:val="000000"/>
          <w:rtl/>
        </w:rPr>
        <w:t>בתסקיר האחרון שהוגש בעניינו של הנאשם ביום 27.4.22 הנאשם הביע נכונות לקחת חלק בהליך הטיפולי.</w:t>
      </w:r>
    </w:p>
    <w:p w14:paraId="1011278E" w14:textId="77777777" w:rsidR="00DD0EA2" w:rsidRDefault="00DD0EA2" w:rsidP="00DD0EA2">
      <w:pPr>
        <w:shd w:val="clear" w:color="auto" w:fill="FFFFFF"/>
        <w:spacing w:before="100" w:beforeAutospacing="1" w:after="100" w:afterAutospacing="1" w:line="360" w:lineRule="atLeast"/>
        <w:ind w:left="1437" w:hanging="720"/>
        <w:jc w:val="both"/>
        <w:rPr>
          <w:rFonts w:ascii="David" w:hAnsi="David"/>
          <w:color w:val="000000"/>
          <w:rtl/>
        </w:rPr>
      </w:pPr>
      <w:r>
        <w:rPr>
          <w:rFonts w:ascii="David" w:hAnsi="David"/>
          <w:b/>
          <w:bCs/>
          <w:color w:val="000000"/>
          <w:rtl/>
        </w:rPr>
        <w:t>ג.</w:t>
      </w:r>
      <w:r>
        <w:rPr>
          <w:rFonts w:ascii="David" w:hAnsi="David"/>
          <w:b/>
          <w:bCs/>
          <w:color w:val="000000"/>
          <w:rtl/>
        </w:rPr>
        <w:tab/>
        <w:t>נסיבות חיים שהייתה להן השפעה על ביצוע מעשה העבירה</w:t>
      </w:r>
      <w:r w:rsidR="00A166AF">
        <w:rPr>
          <w:rFonts w:ascii="David" w:hAnsi="David"/>
          <w:b/>
          <w:bCs/>
          <w:color w:val="000000"/>
          <w:rtl/>
        </w:rPr>
        <w:t xml:space="preserve"> </w:t>
      </w:r>
      <w:r>
        <w:rPr>
          <w:rFonts w:ascii="David" w:hAnsi="David"/>
          <w:color w:val="000000"/>
          <w:rtl/>
        </w:rPr>
        <w:t>– מתסקיר שירות המבחן עולה כי נסיבות חייו של הנאשם לא היו קלות, וגירושי הוריו השפיעו עלי. מהאמור בתסקיר שירות המבחן עולה כי ככל הנראה ברקע העבירה היה קיים  שימוש באלכוהול וסמים .</w:t>
      </w:r>
    </w:p>
    <w:p w14:paraId="7D273232" w14:textId="77777777" w:rsidR="00DD0EA2" w:rsidRDefault="00A166AF" w:rsidP="00DD0EA2">
      <w:pPr>
        <w:shd w:val="clear" w:color="auto" w:fill="FFFFFF"/>
        <w:spacing w:before="100" w:beforeAutospacing="1" w:after="100" w:afterAutospacing="1" w:line="360" w:lineRule="atLeast"/>
        <w:jc w:val="both"/>
        <w:rPr>
          <w:rFonts w:ascii="David" w:hAnsi="David"/>
          <w:color w:val="000000"/>
          <w:rtl/>
        </w:rPr>
      </w:pPr>
      <w:r>
        <w:rPr>
          <w:rFonts w:ascii="David" w:hAnsi="David"/>
          <w:b/>
          <w:bCs/>
          <w:color w:val="000000"/>
        </w:rPr>
        <w:t xml:space="preserve"> </w:t>
      </w:r>
      <w:r w:rsidR="00DD0EA2">
        <w:rPr>
          <w:rFonts w:ascii="David" w:hAnsi="David"/>
          <w:b/>
          <w:bCs/>
          <w:color w:val="000000"/>
          <w:rtl/>
        </w:rPr>
        <w:tab/>
        <w:t>ד.</w:t>
      </w:r>
      <w:r w:rsidR="00DD0EA2">
        <w:rPr>
          <w:rFonts w:ascii="David" w:hAnsi="David"/>
          <w:b/>
          <w:bCs/>
          <w:color w:val="000000"/>
          <w:rtl/>
        </w:rPr>
        <w:tab/>
        <w:t>עברו הפלילי של הנאשם או העדרו</w:t>
      </w:r>
      <w:r>
        <w:rPr>
          <w:rFonts w:ascii="David" w:hAnsi="David"/>
          <w:b/>
          <w:bCs/>
          <w:color w:val="000000"/>
          <w:rtl/>
        </w:rPr>
        <w:t xml:space="preserve"> </w:t>
      </w:r>
      <w:r w:rsidR="00DD0EA2">
        <w:rPr>
          <w:rFonts w:ascii="David" w:hAnsi="David"/>
          <w:color w:val="000000"/>
          <w:rtl/>
        </w:rPr>
        <w:t>– הנאשם נעדר עבר פלילי.</w:t>
      </w:r>
    </w:p>
    <w:p w14:paraId="63BDB088" w14:textId="77777777" w:rsidR="00DD0EA2" w:rsidRDefault="00A166AF" w:rsidP="00DD0EA2">
      <w:pPr>
        <w:shd w:val="clear" w:color="auto" w:fill="FFFFFF"/>
        <w:spacing w:line="360" w:lineRule="atLeast"/>
        <w:jc w:val="both"/>
        <w:rPr>
          <w:rFonts w:ascii="David" w:hAnsi="David"/>
          <w:color w:val="000000"/>
          <w:rtl/>
        </w:rPr>
      </w:pPr>
      <w:r>
        <w:rPr>
          <w:rFonts w:ascii="David" w:hAnsi="David"/>
          <w:color w:val="000000"/>
          <w:rtl/>
        </w:rPr>
        <w:t xml:space="preserve"> </w:t>
      </w:r>
    </w:p>
    <w:p w14:paraId="7F2A41B8" w14:textId="77777777" w:rsidR="00DD0EA2" w:rsidRDefault="00DD0EA2" w:rsidP="00DD0EA2">
      <w:pPr>
        <w:shd w:val="clear" w:color="auto" w:fill="FFFFFF"/>
        <w:spacing w:line="360" w:lineRule="atLeast"/>
        <w:ind w:left="720" w:hanging="720"/>
        <w:jc w:val="both"/>
        <w:rPr>
          <w:rFonts w:ascii="David" w:hAnsi="David"/>
          <w:color w:val="000000"/>
          <w:rtl/>
        </w:rPr>
      </w:pPr>
      <w:r>
        <w:rPr>
          <w:rFonts w:ascii="David" w:hAnsi="David"/>
          <w:color w:val="000000"/>
          <w:rtl/>
        </w:rPr>
        <w:t>14</w:t>
      </w:r>
      <w:r w:rsidR="00A166AF">
        <w:rPr>
          <w:rFonts w:ascii="David" w:hAnsi="David"/>
          <w:color w:val="000000"/>
          <w:rtl/>
        </w:rPr>
        <w:t xml:space="preserve"> </w:t>
      </w:r>
      <w:r>
        <w:rPr>
          <w:rFonts w:ascii="David" w:hAnsi="David"/>
          <w:color w:val="000000"/>
          <w:rtl/>
        </w:rPr>
        <w:t>.</w:t>
      </w:r>
      <w:r>
        <w:rPr>
          <w:rFonts w:ascii="David" w:hAnsi="David"/>
          <w:color w:val="000000"/>
          <w:rtl/>
        </w:rPr>
        <w:tab/>
        <w:t>לאחר ששקלתי כלל השיקולים שוכנעתי כי יש להטיל על הנאשם עונש ברף הבינוני – נמוך של המתחם.</w:t>
      </w:r>
    </w:p>
    <w:p w14:paraId="13283AC4" w14:textId="77777777" w:rsidR="00DD0EA2" w:rsidRDefault="00A166AF" w:rsidP="00DD0EA2">
      <w:pPr>
        <w:shd w:val="clear" w:color="auto" w:fill="FFFFFF"/>
        <w:spacing w:line="360" w:lineRule="atLeast"/>
        <w:jc w:val="both"/>
        <w:rPr>
          <w:rFonts w:ascii="David" w:hAnsi="David"/>
          <w:color w:val="000000"/>
          <w:rtl/>
        </w:rPr>
      </w:pPr>
      <w:r>
        <w:rPr>
          <w:rFonts w:ascii="David" w:hAnsi="David"/>
          <w:color w:val="000000"/>
          <w:rtl/>
        </w:rPr>
        <w:t xml:space="preserve"> </w:t>
      </w:r>
    </w:p>
    <w:p w14:paraId="09631BB1" w14:textId="77777777" w:rsidR="00DD0EA2" w:rsidRDefault="00DD0EA2" w:rsidP="00DD0EA2">
      <w:pPr>
        <w:shd w:val="clear" w:color="auto" w:fill="FFFFFF"/>
        <w:spacing w:line="360" w:lineRule="atLeast"/>
        <w:ind w:firstLine="720"/>
        <w:jc w:val="both"/>
        <w:rPr>
          <w:rFonts w:ascii="David" w:hAnsi="David"/>
          <w:color w:val="000000"/>
          <w:rtl/>
        </w:rPr>
      </w:pPr>
      <w:r>
        <w:rPr>
          <w:rFonts w:ascii="David" w:hAnsi="David"/>
          <w:b/>
          <w:bCs/>
          <w:color w:val="000000"/>
          <w:u w:val="single"/>
          <w:rtl/>
        </w:rPr>
        <w:t>אשר על כן, אני גוזר על הנאשם את העונשים הבאים:</w:t>
      </w:r>
    </w:p>
    <w:p w14:paraId="3A2A0867" w14:textId="77777777" w:rsidR="00DD0EA2" w:rsidRDefault="00DD0EA2" w:rsidP="00DD0EA2">
      <w:pPr>
        <w:shd w:val="clear" w:color="auto" w:fill="FFFFFF"/>
        <w:spacing w:before="100" w:beforeAutospacing="1" w:after="100" w:afterAutospacing="1" w:line="360" w:lineRule="atLeast"/>
        <w:ind w:left="1440" w:hanging="720"/>
        <w:jc w:val="both"/>
        <w:rPr>
          <w:rFonts w:ascii="David" w:hAnsi="David"/>
          <w:color w:val="000000"/>
          <w:rtl/>
        </w:rPr>
      </w:pPr>
      <w:r>
        <w:rPr>
          <w:rFonts w:ascii="David" w:hAnsi="David"/>
          <w:color w:val="000000"/>
          <w:rtl/>
        </w:rPr>
        <w:t>א.</w:t>
      </w:r>
      <w:r w:rsidR="00A166AF">
        <w:rPr>
          <w:rFonts w:ascii="David" w:hAnsi="David"/>
          <w:b/>
          <w:bCs/>
          <w:color w:val="000000"/>
          <w:rtl/>
        </w:rPr>
        <w:t xml:space="preserve">    </w:t>
      </w:r>
      <w:r w:rsidR="00A166AF">
        <w:rPr>
          <w:rFonts w:ascii="David" w:hAnsi="David"/>
          <w:color w:val="000000"/>
          <w:rtl/>
        </w:rPr>
        <w:t xml:space="preserve"> </w:t>
      </w:r>
      <w:r>
        <w:rPr>
          <w:rFonts w:ascii="David" w:hAnsi="David"/>
          <w:color w:val="000000"/>
          <w:rtl/>
        </w:rPr>
        <w:tab/>
        <w:t>9 חודשי מאסר בפועל שירוצו בעבודות שירות בהתאם לחו"ד ממונה החל מיום 8.8.22.</w:t>
      </w:r>
    </w:p>
    <w:p w14:paraId="79912C9C" w14:textId="77777777" w:rsidR="00DD0EA2" w:rsidRDefault="00DD0EA2" w:rsidP="00DD0EA2">
      <w:pPr>
        <w:shd w:val="clear" w:color="auto" w:fill="FFFFFF"/>
        <w:spacing w:before="100" w:beforeAutospacing="1" w:after="100" w:afterAutospacing="1" w:line="360" w:lineRule="atLeast"/>
        <w:ind w:left="1440" w:hanging="720"/>
        <w:jc w:val="both"/>
        <w:rPr>
          <w:rFonts w:ascii="David" w:hAnsi="David"/>
          <w:color w:val="000000"/>
          <w:rtl/>
        </w:rPr>
      </w:pPr>
      <w:r>
        <w:rPr>
          <w:rFonts w:ascii="David" w:hAnsi="David"/>
          <w:color w:val="000000"/>
          <w:rtl/>
        </w:rPr>
        <w:t>ב.</w:t>
      </w:r>
      <w:r w:rsidR="00A166AF">
        <w:rPr>
          <w:rFonts w:ascii="David" w:hAnsi="David"/>
          <w:color w:val="000000"/>
          <w:rtl/>
        </w:rPr>
        <w:t xml:space="preserve">     </w:t>
      </w:r>
      <w:r>
        <w:rPr>
          <w:rFonts w:ascii="David" w:hAnsi="David"/>
          <w:color w:val="000000"/>
          <w:rtl/>
        </w:rPr>
        <w:tab/>
        <w:t xml:space="preserve">6 חודשי מאסר על תנאי למשך 3 שנים מיום שחרורו שלא יעבור שוב עבירת אלימות מסוג פשע </w:t>
      </w:r>
    </w:p>
    <w:p w14:paraId="51694AAA" w14:textId="77777777" w:rsidR="00DD0EA2" w:rsidRDefault="00DD0EA2" w:rsidP="00DD0EA2">
      <w:pPr>
        <w:shd w:val="clear" w:color="auto" w:fill="FFFFFF"/>
        <w:spacing w:before="100" w:beforeAutospacing="1" w:after="100" w:afterAutospacing="1" w:line="360" w:lineRule="atLeast"/>
        <w:ind w:left="1440" w:hanging="720"/>
        <w:jc w:val="both"/>
        <w:rPr>
          <w:rFonts w:ascii="David" w:hAnsi="David"/>
          <w:color w:val="000000"/>
          <w:rtl/>
        </w:rPr>
      </w:pPr>
      <w:r>
        <w:rPr>
          <w:rFonts w:ascii="David" w:hAnsi="David"/>
          <w:color w:val="000000"/>
          <w:rtl/>
        </w:rPr>
        <w:t>ג.</w:t>
      </w:r>
      <w:r>
        <w:rPr>
          <w:rFonts w:ascii="David" w:hAnsi="David"/>
          <w:color w:val="000000"/>
          <w:rtl/>
        </w:rPr>
        <w:tab/>
        <w:t>4 חודשי מאסר על תנאי למשך 3 שנים מיום שחרורו שלא יעבור שוב עבירת אלימות מסוג עוון ו/או איומים.</w:t>
      </w:r>
    </w:p>
    <w:p w14:paraId="4F624E79" w14:textId="77777777" w:rsidR="00DD0EA2" w:rsidRDefault="00DD0EA2" w:rsidP="00DD0EA2">
      <w:pPr>
        <w:pStyle w:val="a"/>
        <w:numPr>
          <w:ilvl w:val="0"/>
          <w:numId w:val="0"/>
        </w:numPr>
        <w:tabs>
          <w:tab w:val="left" w:pos="720"/>
        </w:tabs>
        <w:ind w:left="1440" w:hanging="720"/>
        <w:jc w:val="both"/>
        <w:rPr>
          <w:rtl/>
        </w:rPr>
      </w:pPr>
      <w:r>
        <w:rPr>
          <w:rFonts w:hint="cs"/>
          <w:rtl/>
        </w:rPr>
        <w:t>ג.</w:t>
      </w:r>
      <w:r>
        <w:rPr>
          <w:rFonts w:hint="cs"/>
          <w:rtl/>
        </w:rPr>
        <w:tab/>
        <w:t xml:space="preserve">4 חודשי מאסר על תנאי, לבל יעבור הנאשם במשך שלוש שנים מיום שחרורו על עבירה מן העבירות בהן הורשע לפי </w:t>
      </w:r>
      <w:hyperlink r:id="rId28" w:history="1">
        <w:r w:rsidR="00A166AF" w:rsidRPr="00A166AF">
          <w:rPr>
            <w:color w:val="0000FF"/>
            <w:u w:val="single"/>
            <w:rtl/>
          </w:rPr>
          <w:t>פקודת הסמים המסוכנים</w:t>
        </w:r>
      </w:hyperlink>
      <w:r>
        <w:rPr>
          <w:rFonts w:hint="cs"/>
          <w:rtl/>
        </w:rPr>
        <w:t xml:space="preserve">. </w:t>
      </w:r>
    </w:p>
    <w:p w14:paraId="09695552" w14:textId="77777777" w:rsidR="00DD0EA2" w:rsidRDefault="00DD0EA2" w:rsidP="00DD0EA2">
      <w:pPr>
        <w:spacing w:line="360" w:lineRule="auto"/>
        <w:ind w:left="1440" w:hanging="720"/>
        <w:rPr>
          <w:rtl/>
        </w:rPr>
      </w:pPr>
      <w:r>
        <w:rPr>
          <w:rtl/>
        </w:rPr>
        <w:t>ד.</w:t>
      </w:r>
      <w:r>
        <w:rPr>
          <w:rtl/>
        </w:rPr>
        <w:tab/>
        <w:t>6 חודשי פסילה מלקבל או להחזיק רישיון נהיגה וזאת על תנאי, למשך 24 חודשים מהיום.</w:t>
      </w:r>
    </w:p>
    <w:p w14:paraId="28FAEAB4" w14:textId="77777777" w:rsidR="00DD0EA2" w:rsidRDefault="00DD0EA2" w:rsidP="00DD0EA2">
      <w:pPr>
        <w:shd w:val="clear" w:color="auto" w:fill="FFFFFF"/>
        <w:spacing w:before="100" w:beforeAutospacing="1" w:after="100" w:afterAutospacing="1" w:line="360" w:lineRule="atLeast"/>
        <w:ind w:firstLine="720"/>
        <w:jc w:val="both"/>
        <w:rPr>
          <w:rFonts w:ascii="David" w:hAnsi="David"/>
          <w:color w:val="000000"/>
          <w:rtl/>
        </w:rPr>
      </w:pPr>
      <w:r>
        <w:rPr>
          <w:rFonts w:ascii="David" w:hAnsi="David"/>
          <w:color w:val="000000"/>
          <w:rtl/>
        </w:rPr>
        <w:t>ה.</w:t>
      </w:r>
      <w:r w:rsidR="00A166AF">
        <w:rPr>
          <w:rFonts w:ascii="David" w:hAnsi="David"/>
          <w:color w:val="000000"/>
          <w:rtl/>
        </w:rPr>
        <w:t xml:space="preserve">     </w:t>
      </w:r>
      <w:r>
        <w:rPr>
          <w:rFonts w:ascii="David" w:hAnsi="David"/>
          <w:color w:val="000000"/>
          <w:rtl/>
        </w:rPr>
        <w:t>הנאשם ישלם למתלונן (ע"ת מספר 2) פיצוי בסך 3,000 ₪  וזאת עד ולא יאוחר מיום</w:t>
      </w:r>
    </w:p>
    <w:p w14:paraId="3D0AD2E8" w14:textId="77777777" w:rsidR="00DD0EA2" w:rsidRDefault="00DD0EA2" w:rsidP="00DD0EA2">
      <w:pPr>
        <w:shd w:val="clear" w:color="auto" w:fill="FFFFFF"/>
        <w:spacing w:before="100" w:beforeAutospacing="1" w:after="100" w:afterAutospacing="1" w:line="360" w:lineRule="atLeast"/>
        <w:ind w:firstLine="720"/>
        <w:jc w:val="both"/>
        <w:rPr>
          <w:rFonts w:ascii="David" w:hAnsi="David"/>
          <w:color w:val="000000"/>
          <w:rtl/>
        </w:rPr>
      </w:pPr>
      <w:r>
        <w:rPr>
          <w:rFonts w:ascii="David" w:hAnsi="David"/>
          <w:color w:val="000000"/>
          <w:rtl/>
        </w:rPr>
        <w:t xml:space="preserve">        1.</w:t>
      </w:r>
      <w:r>
        <w:rPr>
          <w:rFonts w:ascii="David" w:hAnsi="David" w:hint="cs"/>
          <w:color w:val="000000"/>
          <w:rtl/>
        </w:rPr>
        <w:t>12</w:t>
      </w:r>
      <w:r>
        <w:rPr>
          <w:rFonts w:ascii="David" w:hAnsi="David"/>
          <w:color w:val="000000"/>
          <w:rtl/>
        </w:rPr>
        <w:t>.22. ב"כ המאשימה יגיש עוד היום דרכי התקשרות עם המתלונן.</w:t>
      </w:r>
    </w:p>
    <w:p w14:paraId="6349EE1D" w14:textId="77777777" w:rsidR="00DD0EA2" w:rsidRDefault="00A166AF" w:rsidP="00DD0EA2">
      <w:pPr>
        <w:shd w:val="clear" w:color="auto" w:fill="FFFFFF"/>
        <w:spacing w:line="360" w:lineRule="atLeast"/>
        <w:jc w:val="both"/>
        <w:rPr>
          <w:rFonts w:ascii="David" w:hAnsi="David"/>
          <w:color w:val="000000"/>
          <w:rtl/>
        </w:rPr>
      </w:pPr>
      <w:r>
        <w:rPr>
          <w:rFonts w:ascii="David" w:hAnsi="David"/>
          <w:color w:val="000000"/>
          <w:rtl/>
        </w:rPr>
        <w:t xml:space="preserve"> </w:t>
      </w:r>
      <w:r w:rsidR="00DD0EA2">
        <w:rPr>
          <w:rFonts w:ascii="David" w:hAnsi="David"/>
          <w:color w:val="000000"/>
          <w:rtl/>
        </w:rPr>
        <w:tab/>
        <w:t>ו.</w:t>
      </w:r>
      <w:r w:rsidR="00DD0EA2">
        <w:rPr>
          <w:rFonts w:ascii="David" w:hAnsi="David"/>
          <w:color w:val="000000"/>
          <w:rtl/>
        </w:rPr>
        <w:tab/>
        <w:t>צו להשמדת מוצגים – סמים ותיק.</w:t>
      </w:r>
    </w:p>
    <w:p w14:paraId="2640B497" w14:textId="77777777" w:rsidR="00DD0EA2" w:rsidRPr="00A166AF" w:rsidRDefault="00A166AF" w:rsidP="00DD0EA2">
      <w:pPr>
        <w:spacing w:line="360" w:lineRule="auto"/>
        <w:rPr>
          <w:rFonts w:ascii="David" w:hAnsi="David"/>
          <w:color w:val="FFFFFF"/>
          <w:sz w:val="2"/>
          <w:szCs w:val="2"/>
          <w:rtl/>
        </w:rPr>
      </w:pPr>
      <w:r w:rsidRPr="00A166AF">
        <w:rPr>
          <w:rFonts w:ascii="David" w:hAnsi="David"/>
          <w:color w:val="FFFFFF"/>
          <w:sz w:val="2"/>
          <w:szCs w:val="2"/>
          <w:rtl/>
        </w:rPr>
        <w:t>5129371</w:t>
      </w:r>
    </w:p>
    <w:p w14:paraId="1B5CC778" w14:textId="77777777" w:rsidR="00DD0EA2" w:rsidRDefault="00A166AF" w:rsidP="00DD0EA2">
      <w:pPr>
        <w:spacing w:line="360" w:lineRule="auto"/>
        <w:jc w:val="both"/>
        <w:rPr>
          <w:rFonts w:ascii="Arial" w:hAnsi="Arial"/>
          <w:noProof w:val="0"/>
          <w:rtl/>
        </w:rPr>
      </w:pPr>
      <w:r w:rsidRPr="00A166AF">
        <w:rPr>
          <w:color w:val="FFFFFF"/>
          <w:sz w:val="2"/>
          <w:szCs w:val="2"/>
          <w:rtl/>
        </w:rPr>
        <w:t>54678313</w:t>
      </w:r>
      <w:r w:rsidR="00DD0EA2">
        <w:rPr>
          <w:rtl/>
        </w:rPr>
        <w:t xml:space="preserve">הודעה והוסברה זכות ערעור לביהמ"ש המחוזי בחיפה תוך 45 יום מהיום.  </w:t>
      </w:r>
    </w:p>
    <w:p w14:paraId="515D0C6D" w14:textId="77777777" w:rsidR="00DD0EA2" w:rsidRPr="00B95D6E" w:rsidRDefault="00DD0EA2" w:rsidP="00DD0EA2">
      <w:pPr>
        <w:spacing w:line="360" w:lineRule="auto"/>
        <w:jc w:val="both"/>
        <w:rPr>
          <w:rFonts w:ascii="Arial" w:hAnsi="Arial"/>
          <w:noProof w:val="0"/>
          <w:rtl/>
        </w:rPr>
      </w:pPr>
    </w:p>
    <w:p w14:paraId="79B29686" w14:textId="77777777" w:rsidR="00DD0EA2" w:rsidRDefault="00A166AF" w:rsidP="00DD0EA2">
      <w:pPr>
        <w:tabs>
          <w:tab w:val="left" w:pos="2553"/>
        </w:tabs>
        <w:ind w:left="5040"/>
        <w:rPr>
          <w:rtl/>
        </w:rPr>
      </w:pPr>
      <w:bookmarkStart w:id="7" w:name="Nitan"/>
      <w:r>
        <w:rPr>
          <w:rFonts w:ascii="Arial" w:hAnsi="Arial"/>
          <w:noProof w:val="0"/>
          <w:rtl/>
        </w:rPr>
        <w:t xml:space="preserve">ניתנה היום, כ"ח אייר תשפ"ב, 29 מאי 2022, במעמד הצדדים. </w:t>
      </w:r>
      <w:bookmarkEnd w:id="7"/>
      <w:r w:rsidR="00DD0EA2">
        <w:rPr>
          <w:rFonts w:hint="cs"/>
          <w:rtl/>
        </w:rPr>
        <w:t xml:space="preserve">     </w:t>
      </w:r>
    </w:p>
    <w:p w14:paraId="53458638" w14:textId="77777777" w:rsidR="00DD0EA2" w:rsidRDefault="00DD0EA2" w:rsidP="00A166AF">
      <w:pPr>
        <w:tabs>
          <w:tab w:val="left" w:pos="2553"/>
        </w:tabs>
      </w:pPr>
      <w:r>
        <w:rPr>
          <w:rFonts w:hint="cs"/>
          <w:rtl/>
        </w:rPr>
        <w:tab/>
      </w:r>
      <w:r>
        <w:rPr>
          <w:rFonts w:hint="cs"/>
          <w:rtl/>
        </w:rPr>
        <w:tab/>
      </w:r>
      <w:r>
        <w:rPr>
          <w:rFonts w:hint="cs"/>
          <w:rtl/>
        </w:rPr>
        <w:tab/>
      </w:r>
      <w:r>
        <w:rPr>
          <w:rFonts w:hint="cs"/>
          <w:rtl/>
        </w:rPr>
        <w:tab/>
        <w:t xml:space="preserve">        </w:t>
      </w:r>
    </w:p>
    <w:p w14:paraId="2D3AEFC8" w14:textId="77777777" w:rsidR="00DD0EA2" w:rsidRDefault="00DD0EA2" w:rsidP="00DD0EA2">
      <w:pPr>
        <w:tabs>
          <w:tab w:val="left" w:pos="2553"/>
        </w:tabs>
        <w:rPr>
          <w:rFonts w:ascii="Arial" w:hAnsi="Arial"/>
          <w:noProof w:val="0"/>
          <w:rtl/>
        </w:rPr>
      </w:pPr>
    </w:p>
    <w:p w14:paraId="490D928A" w14:textId="77777777" w:rsidR="00527737" w:rsidRPr="00A166AF" w:rsidRDefault="00527737" w:rsidP="00A166AF">
      <w:pPr>
        <w:keepNext/>
        <w:rPr>
          <w:rFonts w:ascii="David" w:hAnsi="David"/>
          <w:color w:val="000000"/>
          <w:sz w:val="22"/>
          <w:szCs w:val="22"/>
          <w:rtl/>
        </w:rPr>
      </w:pPr>
    </w:p>
    <w:p w14:paraId="28BB8B88" w14:textId="77777777" w:rsidR="00A166AF" w:rsidRPr="00A166AF" w:rsidRDefault="00A166AF" w:rsidP="00A166AF">
      <w:pPr>
        <w:keepNext/>
        <w:rPr>
          <w:rFonts w:ascii="David" w:hAnsi="David"/>
          <w:color w:val="000000"/>
          <w:sz w:val="22"/>
          <w:szCs w:val="22"/>
          <w:rtl/>
        </w:rPr>
      </w:pPr>
      <w:r w:rsidRPr="00A166AF">
        <w:rPr>
          <w:rFonts w:ascii="David" w:hAnsi="David"/>
          <w:color w:val="000000"/>
          <w:sz w:val="22"/>
          <w:szCs w:val="22"/>
          <w:rtl/>
        </w:rPr>
        <w:t>משה גינות 54678313</w:t>
      </w:r>
    </w:p>
    <w:p w14:paraId="3DE49A40" w14:textId="77777777" w:rsidR="00A166AF" w:rsidRDefault="00A166AF" w:rsidP="00A166AF">
      <w:r w:rsidRPr="00A166AF">
        <w:rPr>
          <w:color w:val="000000"/>
          <w:rtl/>
        </w:rPr>
        <w:t>נוסח מסמך זה כפוף לשינויי ניסוח ועריכה</w:t>
      </w:r>
    </w:p>
    <w:p w14:paraId="05FE6BC9" w14:textId="77777777" w:rsidR="00A166AF" w:rsidRDefault="00A166AF" w:rsidP="00A166AF">
      <w:pPr>
        <w:rPr>
          <w:rtl/>
        </w:rPr>
      </w:pPr>
    </w:p>
    <w:p w14:paraId="0C79AC07" w14:textId="77777777" w:rsidR="00A166AF" w:rsidRDefault="00A166AF" w:rsidP="00A166AF">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32C95040" w14:textId="77777777" w:rsidR="00A166AF" w:rsidRPr="00A166AF" w:rsidRDefault="00A166AF" w:rsidP="00A166AF">
      <w:pPr>
        <w:jc w:val="center"/>
        <w:rPr>
          <w:color w:val="0000FF"/>
          <w:u w:val="single"/>
        </w:rPr>
      </w:pPr>
    </w:p>
    <w:sectPr w:rsidR="00A166AF" w:rsidRPr="00A166AF" w:rsidSect="00A166AF">
      <w:headerReference w:type="even" r:id="rId30"/>
      <w:headerReference w:type="default" r:id="rId31"/>
      <w:footerReference w:type="even" r:id="rId32"/>
      <w:footerReference w:type="default" r:id="rId33"/>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4C5889" w14:textId="77777777" w:rsidR="00B34273" w:rsidRDefault="00B34273" w:rsidP="009E6219">
      <w:r>
        <w:separator/>
      </w:r>
    </w:p>
  </w:endnote>
  <w:endnote w:type="continuationSeparator" w:id="0">
    <w:p w14:paraId="22FC3343" w14:textId="77777777" w:rsidR="00B34273" w:rsidRDefault="00B34273" w:rsidP="009E6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E2958" w14:textId="77777777" w:rsidR="004C17B7" w:rsidRDefault="004C17B7" w:rsidP="00A166AF">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3624D449" w14:textId="77777777" w:rsidR="004C17B7" w:rsidRPr="00A166AF" w:rsidRDefault="004C17B7" w:rsidP="00A166AF">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5731B" w14:textId="77777777" w:rsidR="004C17B7" w:rsidRDefault="004C17B7" w:rsidP="00A166AF">
    <w:pPr>
      <w:pStyle w:val="a6"/>
      <w:jc w:val="center"/>
      <w:rPr>
        <w:rStyle w:val="a9"/>
        <w:rFonts w:ascii="FrankRuehl" w:hAnsi="FrankRuehl" w:cs="FrankRuehl"/>
        <w:rtl/>
      </w:rPr>
    </w:pPr>
    <w:r>
      <w:rPr>
        <w:rStyle w:val="a9"/>
        <w:rFonts w:ascii="FrankRuehl" w:hAnsi="FrankRuehl" w:cs="FrankRuehl"/>
        <w:rtl/>
      </w:rPr>
      <w:fldChar w:fldCharType="begin"/>
    </w:r>
    <w:r>
      <w:rPr>
        <w:rStyle w:val="a9"/>
        <w:rFonts w:ascii="FrankRuehl" w:hAnsi="FrankRuehl" w:cs="FrankRuehl"/>
        <w:rtl/>
      </w:rPr>
      <w:instrText xml:space="preserve"> </w:instrText>
    </w:r>
    <w:r>
      <w:rPr>
        <w:rStyle w:val="a9"/>
        <w:rFonts w:ascii="FrankRuehl" w:hAnsi="FrankRuehl" w:cs="FrankRuehl" w:hint="cs"/>
      </w:rPr>
      <w:instrText xml:space="preserve">PAGE </w:instrText>
    </w:r>
    <w:r>
      <w:rPr>
        <w:rStyle w:val="a9"/>
        <w:rFonts w:ascii="FrankRuehl" w:hAnsi="FrankRuehl" w:cs="FrankRuehl" w:hint="cs"/>
        <w:rtl/>
      </w:rPr>
      <w:instrText xml:space="preserve"> \* </w:instrText>
    </w:r>
    <w:r>
      <w:rPr>
        <w:rStyle w:val="a9"/>
        <w:rFonts w:ascii="FrankRuehl" w:hAnsi="FrankRuehl" w:cs="FrankRuehl" w:hint="cs"/>
      </w:rPr>
      <w:instrText>MERGEFORMAT</w:instrText>
    </w:r>
    <w:r>
      <w:rPr>
        <w:rStyle w:val="a9"/>
        <w:rFonts w:ascii="FrankRuehl" w:hAnsi="FrankRuehl" w:cs="FrankRuehl"/>
        <w:rtl/>
      </w:rPr>
      <w:instrText xml:space="preserve"> </w:instrText>
    </w:r>
    <w:r>
      <w:rPr>
        <w:rStyle w:val="a9"/>
        <w:rFonts w:ascii="FrankRuehl" w:hAnsi="FrankRuehl" w:cs="FrankRuehl"/>
        <w:rtl/>
      </w:rPr>
      <w:fldChar w:fldCharType="separate"/>
    </w:r>
    <w:r w:rsidR="004C171F">
      <w:rPr>
        <w:rStyle w:val="a9"/>
        <w:rFonts w:ascii="FrankRuehl" w:hAnsi="FrankRuehl" w:cs="FrankRuehl"/>
        <w:rtl/>
      </w:rPr>
      <w:t>1</w:t>
    </w:r>
    <w:r>
      <w:rPr>
        <w:rStyle w:val="a9"/>
        <w:rFonts w:ascii="FrankRuehl" w:hAnsi="FrankRuehl" w:cs="FrankRuehl"/>
        <w:rtl/>
      </w:rPr>
      <w:fldChar w:fldCharType="end"/>
    </w:r>
  </w:p>
  <w:p w14:paraId="388DB5DD" w14:textId="77777777" w:rsidR="004C17B7" w:rsidRPr="00A166AF" w:rsidRDefault="004C17B7" w:rsidP="00A166AF">
    <w:pPr>
      <w:pStyle w:val="a6"/>
      <w:pBdr>
        <w:top w:val="single" w:sz="4" w:space="1" w:color="auto"/>
        <w:between w:val="single" w:sz="4" w:space="0" w:color="auto"/>
      </w:pBdr>
      <w:spacing w:after="60"/>
      <w:jc w:val="center"/>
      <w:rPr>
        <w:rStyle w:val="a9"/>
        <w:rFonts w:ascii="FrankRuehl" w:hAnsi="FrankRuehl" w:cs="FrankRuehl" w:hint="cs"/>
        <w:color w:val="000000"/>
        <w:rtl/>
      </w:rPr>
    </w:pPr>
    <w:r>
      <w:rPr>
        <w:rStyle w:val="a9"/>
        <w:rFonts w:ascii="FrankRuehl" w:hAnsi="FrankRuehl" w:cs="FrankRuehl" w:hint="cs"/>
        <w:color w:val="000000"/>
      </w:rPr>
      <w:pict w14:anchorId="4A4FD3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230C47" w14:textId="77777777" w:rsidR="00B34273" w:rsidRDefault="00B34273" w:rsidP="009E6219">
      <w:r>
        <w:separator/>
      </w:r>
    </w:p>
  </w:footnote>
  <w:footnote w:type="continuationSeparator" w:id="0">
    <w:p w14:paraId="068A575C" w14:textId="77777777" w:rsidR="00B34273" w:rsidRDefault="00B34273" w:rsidP="009E62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9F4A0" w14:textId="77777777" w:rsidR="004C17B7" w:rsidRPr="00A166AF" w:rsidRDefault="004C17B7" w:rsidP="00A166AF">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50521-11-18</w:t>
    </w:r>
    <w:r>
      <w:rPr>
        <w:rFonts w:ascii="David" w:hAnsi="David"/>
        <w:color w:val="000000"/>
        <w:sz w:val="22"/>
        <w:szCs w:val="22"/>
        <w:rtl/>
      </w:rPr>
      <w:tab/>
      <w:t xml:space="preserve"> מדינת ישראל נ' אברהם אביב בוהארון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31059" w14:textId="77777777" w:rsidR="004C17B7" w:rsidRPr="00A166AF" w:rsidRDefault="004C17B7" w:rsidP="00A166AF">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50521-11-18</w:t>
    </w:r>
    <w:r>
      <w:rPr>
        <w:rFonts w:ascii="David" w:hAnsi="David"/>
        <w:color w:val="000000"/>
        <w:sz w:val="22"/>
        <w:szCs w:val="22"/>
        <w:rtl/>
      </w:rPr>
      <w:tab/>
      <w:t xml:space="preserve"> מדינת ישראל נ' אברהם אביב בוהארון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DF5"/>
    <w:multiLevelType w:val="hybridMultilevel"/>
    <w:tmpl w:val="D9D66130"/>
    <w:lvl w:ilvl="0" w:tplc="9DC29750">
      <w:start w:val="1"/>
      <w:numFmt w:val="decimal"/>
      <w:pStyle w:val="a"/>
      <w:lvlText w:val="%1."/>
      <w:lvlJc w:val="left"/>
      <w:pPr>
        <w:tabs>
          <w:tab w:val="num" w:pos="720"/>
        </w:tabs>
        <w:ind w:left="720" w:hanging="720"/>
      </w:pPr>
      <w:rPr>
        <w:rFonts w:cs="David"/>
      </w:rPr>
    </w:lvl>
    <w:lvl w:ilvl="1" w:tplc="E27665A4">
      <w:start w:val="1"/>
      <w:numFmt w:val="hebrew1"/>
      <w:lvlText w:val="%2."/>
      <w:lvlJc w:val="left"/>
      <w:pPr>
        <w:tabs>
          <w:tab w:val="num" w:pos="1620"/>
        </w:tabs>
        <w:ind w:left="1620" w:hanging="360"/>
      </w:pPr>
      <w:rPr>
        <w:rFonts w:cs="David"/>
        <w:szCs w:val="24"/>
        <w:lang w:val="en-US"/>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20991307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D0EA2"/>
    <w:rsid w:val="00056489"/>
    <w:rsid w:val="000F15AD"/>
    <w:rsid w:val="001B5A3B"/>
    <w:rsid w:val="001C6ED0"/>
    <w:rsid w:val="002D40BA"/>
    <w:rsid w:val="004C171F"/>
    <w:rsid w:val="004C17B7"/>
    <w:rsid w:val="00527737"/>
    <w:rsid w:val="007810F2"/>
    <w:rsid w:val="00984C17"/>
    <w:rsid w:val="009E6219"/>
    <w:rsid w:val="00A14FCB"/>
    <w:rsid w:val="00A166AF"/>
    <w:rsid w:val="00B34273"/>
    <w:rsid w:val="00C05D6D"/>
    <w:rsid w:val="00DD0EA2"/>
    <w:rsid w:val="00F56E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B44D82E"/>
  <w15:chartTrackingRefBased/>
  <w15:docId w15:val="{0C9D74DA-CE49-473E-8B63-552034517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DD0EA2"/>
    <w:pPr>
      <w:bidi/>
    </w:pPr>
    <w:rPr>
      <w:rFonts w:ascii="Times New Roman" w:eastAsia="Times New Roman" w:hAnsi="Times New Roman" w:cs="David"/>
      <w:noProo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DD0EA2"/>
    <w:pPr>
      <w:tabs>
        <w:tab w:val="center" w:pos="4153"/>
        <w:tab w:val="right" w:pos="8306"/>
      </w:tabs>
    </w:pPr>
  </w:style>
  <w:style w:type="character" w:customStyle="1" w:styleId="a5">
    <w:name w:val="כותרת עליונה תו"/>
    <w:link w:val="a4"/>
    <w:rsid w:val="00DD0EA2"/>
    <w:rPr>
      <w:rFonts w:ascii="Times New Roman" w:eastAsia="Times New Roman" w:hAnsi="Times New Roman" w:cs="David"/>
      <w:noProof/>
      <w:sz w:val="24"/>
      <w:szCs w:val="24"/>
    </w:rPr>
  </w:style>
  <w:style w:type="paragraph" w:styleId="a6">
    <w:name w:val="footer"/>
    <w:basedOn w:val="a0"/>
    <w:link w:val="a7"/>
    <w:rsid w:val="00DD0EA2"/>
    <w:pPr>
      <w:tabs>
        <w:tab w:val="center" w:pos="4153"/>
        <w:tab w:val="right" w:pos="8306"/>
      </w:tabs>
    </w:pPr>
  </w:style>
  <w:style w:type="character" w:customStyle="1" w:styleId="a7">
    <w:name w:val="כותרת תחתונה תו"/>
    <w:link w:val="a6"/>
    <w:rsid w:val="00DD0EA2"/>
    <w:rPr>
      <w:rFonts w:ascii="Times New Roman" w:eastAsia="Times New Roman" w:hAnsi="Times New Roman" w:cs="David"/>
      <w:noProof/>
      <w:sz w:val="24"/>
      <w:szCs w:val="24"/>
    </w:rPr>
  </w:style>
  <w:style w:type="table" w:styleId="a8">
    <w:name w:val="Table Grid"/>
    <w:basedOn w:val="a2"/>
    <w:rsid w:val="00DD0EA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DD0EA2"/>
  </w:style>
  <w:style w:type="character" w:styleId="Hyperlink">
    <w:name w:val="Hyperlink"/>
    <w:rsid w:val="00DD0EA2"/>
    <w:rPr>
      <w:color w:val="0000FF"/>
      <w:u w:val="single"/>
    </w:rPr>
  </w:style>
  <w:style w:type="paragraph" w:customStyle="1" w:styleId="a">
    <w:name w:val="ממוספר"/>
    <w:basedOn w:val="a0"/>
    <w:rsid w:val="00DD0EA2"/>
    <w:pPr>
      <w:numPr>
        <w:numId w:val="1"/>
      </w:numPr>
      <w:spacing w:after="120" w:line="360" w:lineRule="auto"/>
    </w:pPr>
    <w:rPr>
      <w:rFonts w:ascii="David" w:hAnsi="David"/>
      <w:noProof w:val="0"/>
      <w:color w:val="000000"/>
    </w:rPr>
  </w:style>
  <w:style w:type="character" w:styleId="aa">
    <w:name w:val="line number"/>
    <w:rsid w:val="00DD0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5166128" TargetMode="External"/><Relationship Id="rId18" Type="http://schemas.openxmlformats.org/officeDocument/2006/relationships/hyperlink" Target="http://www.nevo.co.il/case/26067225" TargetMode="External"/><Relationship Id="rId26" Type="http://schemas.openxmlformats.org/officeDocument/2006/relationships/hyperlink" Target="http://www.nevo.co.il/case/21901027" TargetMode="External"/><Relationship Id="rId3" Type="http://schemas.openxmlformats.org/officeDocument/2006/relationships/settings" Target="settings.xml"/><Relationship Id="rId21" Type="http://schemas.openxmlformats.org/officeDocument/2006/relationships/hyperlink" Target="http://www.nevo.co.il/case/25166128" TargetMode="External"/><Relationship Id="rId34" Type="http://schemas.openxmlformats.org/officeDocument/2006/relationships/fontTable" Target="fontTable.xml"/><Relationship Id="rId7" Type="http://schemas.openxmlformats.org/officeDocument/2006/relationships/hyperlink" Target="http://www.nevo.co.il/law/70301" TargetMode="External"/><Relationship Id="rId12" Type="http://schemas.openxmlformats.org/officeDocument/2006/relationships/hyperlink" Target="http://www.nevo.co.il/law/4216/7.c" TargetMode="External"/><Relationship Id="rId17" Type="http://schemas.openxmlformats.org/officeDocument/2006/relationships/hyperlink" Target="http://www.nevo.co.il/law/70301/192" TargetMode="External"/><Relationship Id="rId25" Type="http://schemas.openxmlformats.org/officeDocument/2006/relationships/hyperlink" Target="http://www.nevo.co.il/case/6143954"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4216"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hyperlink" Target="http://www.nevo.co.il/case/26067225"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5166128" TargetMode="External"/><Relationship Id="rId28" Type="http://schemas.openxmlformats.org/officeDocument/2006/relationships/hyperlink" Target="http://www.nevo.co.il/law/4216" TargetMode="External"/><Relationship Id="rId10" Type="http://schemas.openxmlformats.org/officeDocument/2006/relationships/hyperlink" Target="http://www.nevo.co.il/law/4216" TargetMode="External"/><Relationship Id="rId19" Type="http://schemas.openxmlformats.org/officeDocument/2006/relationships/hyperlink" Target="http://www.nevo.co.il/law/4216/7.a.;7.c"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335.a.1" TargetMode="External"/><Relationship Id="rId14" Type="http://schemas.openxmlformats.org/officeDocument/2006/relationships/hyperlink" Target="http://www.nevo.co.il/law/70301/335.a.1" TargetMode="External"/><Relationship Id="rId22" Type="http://schemas.openxmlformats.org/officeDocument/2006/relationships/hyperlink" Target="http://www.nevo.co.il/case/26067225" TargetMode="External"/><Relationship Id="rId27" Type="http://schemas.openxmlformats.org/officeDocument/2006/relationships/hyperlink" Target="http://www.nevo.co.il/case/6862360"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19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2475</Words>
  <Characters>12377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14823</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8257637</vt:i4>
      </vt:variant>
      <vt:variant>
        <vt:i4>63</vt:i4>
      </vt:variant>
      <vt:variant>
        <vt:i4>0</vt:i4>
      </vt:variant>
      <vt:variant>
        <vt:i4>5</vt:i4>
      </vt:variant>
      <vt:variant>
        <vt:lpwstr>http://www.nevo.co.il/law/4216</vt:lpwstr>
      </vt:variant>
      <vt:variant>
        <vt:lpwstr/>
      </vt:variant>
      <vt:variant>
        <vt:i4>3342456</vt:i4>
      </vt:variant>
      <vt:variant>
        <vt:i4>60</vt:i4>
      </vt:variant>
      <vt:variant>
        <vt:i4>0</vt:i4>
      </vt:variant>
      <vt:variant>
        <vt:i4>5</vt:i4>
      </vt:variant>
      <vt:variant>
        <vt:lpwstr>http://www.nevo.co.il/case/6862360</vt:lpwstr>
      </vt:variant>
      <vt:variant>
        <vt:lpwstr/>
      </vt:variant>
      <vt:variant>
        <vt:i4>3670133</vt:i4>
      </vt:variant>
      <vt:variant>
        <vt:i4>57</vt:i4>
      </vt:variant>
      <vt:variant>
        <vt:i4>0</vt:i4>
      </vt:variant>
      <vt:variant>
        <vt:i4>5</vt:i4>
      </vt:variant>
      <vt:variant>
        <vt:lpwstr>http://www.nevo.co.il/case/21901027</vt:lpwstr>
      </vt:variant>
      <vt:variant>
        <vt:lpwstr/>
      </vt:variant>
      <vt:variant>
        <vt:i4>4128883</vt:i4>
      </vt:variant>
      <vt:variant>
        <vt:i4>54</vt:i4>
      </vt:variant>
      <vt:variant>
        <vt:i4>0</vt:i4>
      </vt:variant>
      <vt:variant>
        <vt:i4>5</vt:i4>
      </vt:variant>
      <vt:variant>
        <vt:lpwstr>http://www.nevo.co.il/case/6143954</vt:lpwstr>
      </vt:variant>
      <vt:variant>
        <vt:lpwstr/>
      </vt:variant>
      <vt:variant>
        <vt:i4>3604598</vt:i4>
      </vt:variant>
      <vt:variant>
        <vt:i4>51</vt:i4>
      </vt:variant>
      <vt:variant>
        <vt:i4>0</vt:i4>
      </vt:variant>
      <vt:variant>
        <vt:i4>5</vt:i4>
      </vt:variant>
      <vt:variant>
        <vt:lpwstr>http://www.nevo.co.il/case/26067225</vt:lpwstr>
      </vt:variant>
      <vt:variant>
        <vt:lpwstr/>
      </vt:variant>
      <vt:variant>
        <vt:i4>3604598</vt:i4>
      </vt:variant>
      <vt:variant>
        <vt:i4>48</vt:i4>
      </vt:variant>
      <vt:variant>
        <vt:i4>0</vt:i4>
      </vt:variant>
      <vt:variant>
        <vt:i4>5</vt:i4>
      </vt:variant>
      <vt:variant>
        <vt:lpwstr>http://www.nevo.co.il/case/25166128</vt:lpwstr>
      </vt:variant>
      <vt:variant>
        <vt:lpwstr/>
      </vt:variant>
      <vt:variant>
        <vt:i4>3604598</vt:i4>
      </vt:variant>
      <vt:variant>
        <vt:i4>45</vt:i4>
      </vt:variant>
      <vt:variant>
        <vt:i4>0</vt:i4>
      </vt:variant>
      <vt:variant>
        <vt:i4>5</vt:i4>
      </vt:variant>
      <vt:variant>
        <vt:lpwstr>http://www.nevo.co.il/case/26067225</vt:lpwstr>
      </vt:variant>
      <vt:variant>
        <vt:lpwstr/>
      </vt:variant>
      <vt:variant>
        <vt:i4>3604598</vt:i4>
      </vt:variant>
      <vt:variant>
        <vt:i4>42</vt:i4>
      </vt:variant>
      <vt:variant>
        <vt:i4>0</vt:i4>
      </vt:variant>
      <vt:variant>
        <vt:i4>5</vt:i4>
      </vt:variant>
      <vt:variant>
        <vt:lpwstr>http://www.nevo.co.il/case/25166128</vt:lpwstr>
      </vt:variant>
      <vt:variant>
        <vt:lpwstr/>
      </vt:variant>
      <vt:variant>
        <vt:i4>8257637</vt:i4>
      </vt:variant>
      <vt:variant>
        <vt:i4>39</vt:i4>
      </vt:variant>
      <vt:variant>
        <vt:i4>0</vt:i4>
      </vt:variant>
      <vt:variant>
        <vt:i4>5</vt:i4>
      </vt:variant>
      <vt:variant>
        <vt:lpwstr>http://www.nevo.co.il/law/4216</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3604598</vt:i4>
      </vt:variant>
      <vt:variant>
        <vt:i4>33</vt:i4>
      </vt:variant>
      <vt:variant>
        <vt:i4>0</vt:i4>
      </vt:variant>
      <vt:variant>
        <vt:i4>5</vt:i4>
      </vt:variant>
      <vt:variant>
        <vt:lpwstr>http://www.nevo.co.il/case/26067225</vt:lpwstr>
      </vt:variant>
      <vt:variant>
        <vt:lpwstr/>
      </vt:variant>
      <vt:variant>
        <vt:i4>7077988</vt:i4>
      </vt:variant>
      <vt:variant>
        <vt:i4>30</vt:i4>
      </vt:variant>
      <vt:variant>
        <vt:i4>0</vt:i4>
      </vt:variant>
      <vt:variant>
        <vt:i4>5</vt:i4>
      </vt:variant>
      <vt:variant>
        <vt:lpwstr>http://www.nevo.co.il/law/70301/192</vt:lpwstr>
      </vt:variant>
      <vt:variant>
        <vt:lpwstr/>
      </vt:variant>
      <vt:variant>
        <vt:i4>7995492</vt:i4>
      </vt:variant>
      <vt:variant>
        <vt:i4>27</vt:i4>
      </vt:variant>
      <vt:variant>
        <vt:i4>0</vt:i4>
      </vt:variant>
      <vt:variant>
        <vt:i4>5</vt:i4>
      </vt:variant>
      <vt:variant>
        <vt:lpwstr>http://www.nevo.co.il/law/70301</vt:lpwstr>
      </vt:variant>
      <vt:variant>
        <vt:lpwstr/>
      </vt:variant>
      <vt:variant>
        <vt:i4>7995492</vt:i4>
      </vt:variant>
      <vt:variant>
        <vt:i4>24</vt:i4>
      </vt:variant>
      <vt:variant>
        <vt:i4>0</vt:i4>
      </vt:variant>
      <vt:variant>
        <vt:i4>5</vt:i4>
      </vt:variant>
      <vt:variant>
        <vt:lpwstr>http://www.nevo.co.il/law/70301</vt:lpwstr>
      </vt:variant>
      <vt:variant>
        <vt:lpwstr/>
      </vt:variant>
      <vt:variant>
        <vt:i4>6684722</vt:i4>
      </vt:variant>
      <vt:variant>
        <vt:i4>21</vt:i4>
      </vt:variant>
      <vt:variant>
        <vt:i4>0</vt:i4>
      </vt:variant>
      <vt:variant>
        <vt:i4>5</vt:i4>
      </vt:variant>
      <vt:variant>
        <vt:lpwstr>http://www.nevo.co.il/law/70301/335.a.1</vt:lpwstr>
      </vt:variant>
      <vt:variant>
        <vt:lpwstr/>
      </vt:variant>
      <vt:variant>
        <vt:i4>3604598</vt:i4>
      </vt:variant>
      <vt:variant>
        <vt:i4>18</vt:i4>
      </vt:variant>
      <vt:variant>
        <vt:i4>0</vt:i4>
      </vt:variant>
      <vt:variant>
        <vt:i4>5</vt:i4>
      </vt:variant>
      <vt:variant>
        <vt:lpwstr>http://www.nevo.co.il/case/25166128</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8257637</vt:i4>
      </vt:variant>
      <vt:variant>
        <vt:i4>9</vt:i4>
      </vt:variant>
      <vt:variant>
        <vt:i4>0</vt:i4>
      </vt:variant>
      <vt:variant>
        <vt:i4>5</vt:i4>
      </vt:variant>
      <vt:variant>
        <vt:lpwstr>http://www.nevo.co.il/law/4216</vt:lpwstr>
      </vt:variant>
      <vt:variant>
        <vt:lpwstr/>
      </vt:variant>
      <vt:variant>
        <vt:i4>6684722</vt:i4>
      </vt:variant>
      <vt:variant>
        <vt:i4>6</vt:i4>
      </vt:variant>
      <vt:variant>
        <vt:i4>0</vt:i4>
      </vt:variant>
      <vt:variant>
        <vt:i4>5</vt:i4>
      </vt:variant>
      <vt:variant>
        <vt:lpwstr>http://www.nevo.co.il/law/70301/335.a.1</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2025-04-22T23:58:00Z</dcterms:created>
  <dcterms:modified xsi:type="dcterms:W3CDTF">2025-04-22T23:58:00Z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50521</vt:lpwstr>
  </property>
  <property fmtid="{D5CDD505-2E9C-101B-9397-08002B2CF9AE}" pid="6" name="NEWPARTB">
    <vt:lpwstr>11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אברהם אביב בוהארון</vt:lpwstr>
  </property>
  <property fmtid="{D5CDD505-2E9C-101B-9397-08002B2CF9AE}" pid="10" name="JUDGE">
    <vt:lpwstr>משה גינות</vt:lpwstr>
  </property>
  <property fmtid="{D5CDD505-2E9C-101B-9397-08002B2CF9AE}" pid="11" name="CITY">
    <vt:lpwstr>חד'</vt:lpwstr>
  </property>
  <property fmtid="{D5CDD505-2E9C-101B-9397-08002B2CF9AE}" pid="12" name="DATE">
    <vt:lpwstr>20220529</vt:lpwstr>
  </property>
  <property fmtid="{D5CDD505-2E9C-101B-9397-08002B2CF9AE}" pid="13" name="TYPE_N_DATE">
    <vt:lpwstr>38020220529</vt:lpwstr>
  </property>
  <property fmtid="{D5CDD505-2E9C-101B-9397-08002B2CF9AE}" pid="14" name="WORDNUMPAGES">
    <vt:lpwstr>8</vt:lpwstr>
  </property>
  <property fmtid="{D5CDD505-2E9C-101B-9397-08002B2CF9AE}" pid="15" name="TYPE_ABS_DATE">
    <vt:lpwstr>380020220529</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25166128:3;26067225:3;6143954;21901027;6862360</vt:lpwstr>
  </property>
  <property fmtid="{D5CDD505-2E9C-101B-9397-08002B2CF9AE}" pid="36" name="LAWLISTTMP1">
    <vt:lpwstr>70301/335.a.1;192</vt:lpwstr>
  </property>
  <property fmtid="{D5CDD505-2E9C-101B-9397-08002B2CF9AE}" pid="37" name="LAWLISTTMP2">
    <vt:lpwstr>4216/007.a;007.c</vt:lpwstr>
  </property>
</Properties>
</file>