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7"/>
        <w:gridCol w:w="3654"/>
      </w:tblGrid>
      <w:tr w:rsidR="00CB50A0" w:rsidRPr="00DD0AE5" w14:paraId="4CEDC46B" w14:textId="77777777" w:rsidTr="00CF3902">
        <w:trPr>
          <w:trHeight w:hRule="exact" w:val="418"/>
          <w:jc w:val="center"/>
        </w:trPr>
        <w:tc>
          <w:tcPr>
            <w:tcW w:w="8721" w:type="dxa"/>
            <w:gridSpan w:val="2"/>
          </w:tcPr>
          <w:p w14:paraId="62FE32BF" w14:textId="77777777" w:rsidR="00CB50A0" w:rsidRPr="007C3BE3" w:rsidRDefault="00CB50A0" w:rsidP="00BB4D44">
            <w:pPr>
              <w:pStyle w:val="a3"/>
              <w:jc w:val="center"/>
              <w:rPr>
                <w:rFonts w:ascii="Tahoma" w:hAnsi="Tahoma" w:cs="Tahoma"/>
                <w:color w:val="000080"/>
                <w:rtl/>
                <w:lang w:val="en-US" w:eastAsia="en-US"/>
              </w:rPr>
            </w:pPr>
            <w:bookmarkStart w:id="0" w:name="LastJudge"/>
            <w:r w:rsidRPr="007C3BE3">
              <w:rPr>
                <w:rFonts w:ascii="Tahoma" w:hAnsi="Tahoma" w:cs="Tahoma"/>
                <w:b/>
                <w:bCs/>
                <w:color w:val="000080"/>
                <w:rtl/>
                <w:lang w:val="en-US" w:eastAsia="en-US"/>
              </w:rPr>
              <w:t>בית משפט השלום בירושלים</w:t>
            </w:r>
          </w:p>
        </w:tc>
      </w:tr>
      <w:tr w:rsidR="00CB50A0" w:rsidRPr="00DD0AE5" w14:paraId="77979796" w14:textId="77777777" w:rsidTr="00CF3902">
        <w:trPr>
          <w:trHeight w:val="337"/>
          <w:jc w:val="center"/>
        </w:trPr>
        <w:tc>
          <w:tcPr>
            <w:tcW w:w="5067" w:type="dxa"/>
          </w:tcPr>
          <w:p w14:paraId="58952073" w14:textId="77777777" w:rsidR="00CB50A0" w:rsidRPr="00DD0AE5" w:rsidRDefault="00CB50A0" w:rsidP="00BB4D44">
            <w:pPr>
              <w:rPr>
                <w:rFonts w:cs="FrankRuehl"/>
                <w:sz w:val="28"/>
                <w:szCs w:val="28"/>
                <w:rtl/>
              </w:rPr>
            </w:pPr>
            <w:r w:rsidRPr="00DD0AE5">
              <w:rPr>
                <w:rFonts w:cs="FrankRuehl"/>
                <w:sz w:val="28"/>
                <w:szCs w:val="28"/>
                <w:rtl/>
              </w:rPr>
              <w:t>ת"פ</w:t>
            </w:r>
            <w:r w:rsidRPr="00DD0AE5">
              <w:rPr>
                <w:rFonts w:cs="FrankRuehl" w:hint="cs"/>
                <w:sz w:val="28"/>
                <w:szCs w:val="28"/>
                <w:rtl/>
              </w:rPr>
              <w:t xml:space="preserve"> </w:t>
            </w:r>
            <w:r w:rsidRPr="00DD0AE5">
              <w:rPr>
                <w:rFonts w:cs="FrankRuehl"/>
                <w:sz w:val="28"/>
                <w:szCs w:val="28"/>
                <w:rtl/>
              </w:rPr>
              <w:t>5434-11-18</w:t>
            </w:r>
            <w:r w:rsidRPr="00DD0AE5">
              <w:rPr>
                <w:rFonts w:cs="FrankRuehl" w:hint="cs"/>
                <w:sz w:val="28"/>
                <w:szCs w:val="28"/>
                <w:rtl/>
              </w:rPr>
              <w:t xml:space="preserve"> </w:t>
            </w:r>
            <w:r w:rsidRPr="00DD0AE5">
              <w:rPr>
                <w:rFonts w:cs="FrankRuehl"/>
                <w:sz w:val="28"/>
                <w:szCs w:val="28"/>
                <w:rtl/>
              </w:rPr>
              <w:t>מדינת ישראל נ' שמלשוילי(אחר/נוסף)</w:t>
            </w:r>
          </w:p>
          <w:p w14:paraId="6C0AC4F9" w14:textId="77777777" w:rsidR="00CB50A0" w:rsidRPr="007C3BE3" w:rsidRDefault="00CB50A0" w:rsidP="00BB4D44">
            <w:pPr>
              <w:pStyle w:val="a3"/>
              <w:rPr>
                <w:rFonts w:cs="FrankRuehl"/>
                <w:sz w:val="28"/>
                <w:szCs w:val="28"/>
                <w:rtl/>
                <w:lang w:val="en-US" w:eastAsia="en-US"/>
              </w:rPr>
            </w:pPr>
          </w:p>
        </w:tc>
        <w:tc>
          <w:tcPr>
            <w:tcW w:w="3654" w:type="dxa"/>
          </w:tcPr>
          <w:p w14:paraId="7433858E" w14:textId="77777777" w:rsidR="00CB50A0" w:rsidRPr="007C3BE3" w:rsidRDefault="00CB50A0" w:rsidP="00BB4D44">
            <w:pPr>
              <w:pStyle w:val="a3"/>
              <w:jc w:val="right"/>
              <w:rPr>
                <w:rFonts w:cs="FrankRuehl"/>
                <w:sz w:val="28"/>
                <w:szCs w:val="28"/>
                <w:rtl/>
                <w:lang w:val="en-US" w:eastAsia="en-US"/>
              </w:rPr>
            </w:pPr>
          </w:p>
        </w:tc>
      </w:tr>
    </w:tbl>
    <w:p w14:paraId="0D9F5134" w14:textId="77777777" w:rsidR="00CB50A0" w:rsidRPr="00DD0AE5" w:rsidRDefault="00CB50A0" w:rsidP="00CB50A0">
      <w:pPr>
        <w:pStyle w:val="a3"/>
        <w:rPr>
          <w:rtl/>
        </w:rPr>
      </w:pPr>
      <w:r w:rsidRPr="00DD0AE5">
        <w:rPr>
          <w:rFonts w:hint="cs"/>
          <w:rtl/>
        </w:rPr>
        <w:t xml:space="preserve"> </w:t>
      </w:r>
    </w:p>
    <w:p w14:paraId="33FAE72C" w14:textId="77777777" w:rsidR="00CB50A0" w:rsidRPr="00DD0AE5" w:rsidRDefault="00CB50A0" w:rsidP="00CB50A0">
      <w:pPr>
        <w:rPr>
          <w:rFonts w:ascii="David" w:hAnsi="David"/>
          <w:b/>
          <w:bCs/>
          <w:rtl/>
        </w:rPr>
      </w:pPr>
    </w:p>
    <w:p w14:paraId="3B834E10" w14:textId="77777777" w:rsidR="00CB50A0" w:rsidRPr="00DD0AE5" w:rsidRDefault="00CB50A0" w:rsidP="00CB50A0">
      <w:pPr>
        <w:rPr>
          <w:rFonts w:ascii="David" w:hAnsi="David"/>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4"/>
        <w:gridCol w:w="3605"/>
        <w:gridCol w:w="3771"/>
      </w:tblGrid>
      <w:tr w:rsidR="00CB50A0" w:rsidRPr="00DD0AE5" w14:paraId="61DC5BEC" w14:textId="77777777" w:rsidTr="00CB50A0">
        <w:trPr>
          <w:trHeight w:val="295"/>
          <w:jc w:val="center"/>
        </w:trPr>
        <w:tc>
          <w:tcPr>
            <w:tcW w:w="1444" w:type="dxa"/>
            <w:tcBorders>
              <w:top w:val="nil"/>
              <w:left w:val="nil"/>
              <w:bottom w:val="nil"/>
              <w:right w:val="nil"/>
            </w:tcBorders>
            <w:shd w:val="clear" w:color="auto" w:fill="auto"/>
          </w:tcPr>
          <w:p w14:paraId="375695CD" w14:textId="77777777" w:rsidR="00CB50A0" w:rsidRPr="00DD0AE5" w:rsidRDefault="00CB50A0" w:rsidP="00CB50A0">
            <w:pPr>
              <w:jc w:val="both"/>
              <w:rPr>
                <w:rFonts w:ascii="David" w:hAnsi="David"/>
                <w:b/>
                <w:bCs/>
              </w:rPr>
            </w:pPr>
            <w:r w:rsidRPr="00DD0AE5">
              <w:rPr>
                <w:rFonts w:ascii="David" w:hAnsi="David"/>
                <w:b/>
                <w:bCs/>
                <w:rtl/>
              </w:rPr>
              <w:t xml:space="preserve">בפני </w:t>
            </w:r>
          </w:p>
        </w:tc>
        <w:tc>
          <w:tcPr>
            <w:tcW w:w="7376" w:type="dxa"/>
            <w:gridSpan w:val="2"/>
            <w:tcBorders>
              <w:top w:val="nil"/>
              <w:left w:val="nil"/>
              <w:bottom w:val="nil"/>
              <w:right w:val="nil"/>
            </w:tcBorders>
            <w:shd w:val="clear" w:color="auto" w:fill="auto"/>
          </w:tcPr>
          <w:p w14:paraId="0FBDB916" w14:textId="77777777" w:rsidR="00CB50A0" w:rsidRPr="00DD0AE5" w:rsidRDefault="00CB50A0" w:rsidP="00BB4D44">
            <w:pPr>
              <w:rPr>
                <w:rFonts w:ascii="David" w:hAnsi="David"/>
                <w:b/>
                <w:bCs/>
                <w:rtl/>
              </w:rPr>
            </w:pPr>
            <w:r w:rsidRPr="00DD0AE5">
              <w:rPr>
                <w:rFonts w:ascii="David" w:hAnsi="David"/>
                <w:b/>
                <w:bCs/>
                <w:rtl/>
              </w:rPr>
              <w:t>כבוד השופט  ארנון איתן</w:t>
            </w:r>
          </w:p>
          <w:p w14:paraId="7C722BC6" w14:textId="77777777" w:rsidR="00CB50A0" w:rsidRPr="00DD0AE5" w:rsidRDefault="00CB50A0" w:rsidP="00BB4D44">
            <w:pPr>
              <w:rPr>
                <w:rFonts w:ascii="David" w:hAnsi="David"/>
                <w:b/>
                <w:bCs/>
                <w:rtl/>
              </w:rPr>
            </w:pPr>
          </w:p>
          <w:p w14:paraId="43064044" w14:textId="77777777" w:rsidR="00CB50A0" w:rsidRPr="00DD0AE5" w:rsidRDefault="00CB50A0" w:rsidP="00CB50A0">
            <w:pPr>
              <w:jc w:val="both"/>
              <w:rPr>
                <w:rFonts w:ascii="David" w:hAnsi="David"/>
                <w:b/>
                <w:bCs/>
              </w:rPr>
            </w:pPr>
          </w:p>
        </w:tc>
      </w:tr>
      <w:tr w:rsidR="00CB50A0" w:rsidRPr="00DD0AE5" w14:paraId="47CE44C9" w14:textId="77777777" w:rsidTr="00CB50A0">
        <w:trPr>
          <w:trHeight w:val="355"/>
          <w:jc w:val="center"/>
        </w:trPr>
        <w:tc>
          <w:tcPr>
            <w:tcW w:w="1444" w:type="dxa"/>
            <w:tcBorders>
              <w:top w:val="nil"/>
              <w:left w:val="nil"/>
              <w:bottom w:val="nil"/>
              <w:right w:val="nil"/>
            </w:tcBorders>
            <w:shd w:val="clear" w:color="auto" w:fill="auto"/>
          </w:tcPr>
          <w:p w14:paraId="5DBF6A2A" w14:textId="77777777" w:rsidR="00CB50A0" w:rsidRPr="00DD0AE5" w:rsidRDefault="00CB50A0" w:rsidP="00CB50A0">
            <w:pPr>
              <w:jc w:val="both"/>
              <w:rPr>
                <w:rFonts w:ascii="David" w:hAnsi="David"/>
                <w:b/>
                <w:bCs/>
              </w:rPr>
            </w:pPr>
            <w:bookmarkStart w:id="1" w:name="FirstAppellant"/>
            <w:r w:rsidRPr="00DD0AE5">
              <w:rPr>
                <w:rFonts w:ascii="David" w:hAnsi="David"/>
                <w:b/>
                <w:bCs/>
                <w:rtl/>
              </w:rPr>
              <w:t>בעניין:</w:t>
            </w:r>
          </w:p>
        </w:tc>
        <w:tc>
          <w:tcPr>
            <w:tcW w:w="3605" w:type="dxa"/>
            <w:tcBorders>
              <w:top w:val="nil"/>
              <w:left w:val="nil"/>
              <w:bottom w:val="nil"/>
              <w:right w:val="nil"/>
            </w:tcBorders>
            <w:shd w:val="clear" w:color="auto" w:fill="auto"/>
          </w:tcPr>
          <w:p w14:paraId="1358A9A6" w14:textId="77777777" w:rsidR="00CB50A0" w:rsidRPr="00DD0AE5" w:rsidRDefault="00CB50A0" w:rsidP="00BB4D44">
            <w:pPr>
              <w:rPr>
                <w:rFonts w:ascii="David" w:hAnsi="David"/>
                <w:b/>
                <w:bCs/>
              </w:rPr>
            </w:pPr>
            <w:r w:rsidRPr="00DD0AE5">
              <w:rPr>
                <w:rFonts w:ascii="David" w:hAnsi="David" w:hint="cs"/>
                <w:b/>
                <w:bCs/>
                <w:rtl/>
              </w:rPr>
              <w:t xml:space="preserve">                              </w:t>
            </w:r>
            <w:r w:rsidRPr="00DD0AE5">
              <w:rPr>
                <w:rFonts w:ascii="David" w:hAnsi="David"/>
                <w:b/>
                <w:bCs/>
                <w:rtl/>
              </w:rPr>
              <w:t>מדינת ישראל</w:t>
            </w:r>
          </w:p>
        </w:tc>
        <w:tc>
          <w:tcPr>
            <w:tcW w:w="3771" w:type="dxa"/>
            <w:tcBorders>
              <w:top w:val="nil"/>
              <w:left w:val="nil"/>
              <w:bottom w:val="nil"/>
              <w:right w:val="nil"/>
            </w:tcBorders>
            <w:shd w:val="clear" w:color="auto" w:fill="auto"/>
          </w:tcPr>
          <w:p w14:paraId="4B70F75B" w14:textId="77777777" w:rsidR="00CB50A0" w:rsidRPr="00DD0AE5" w:rsidRDefault="00CB50A0" w:rsidP="00CB50A0">
            <w:pPr>
              <w:jc w:val="both"/>
              <w:rPr>
                <w:rFonts w:ascii="David" w:hAnsi="David"/>
                <w:b/>
                <w:bCs/>
              </w:rPr>
            </w:pPr>
          </w:p>
        </w:tc>
      </w:tr>
      <w:bookmarkEnd w:id="1"/>
      <w:tr w:rsidR="00CB50A0" w:rsidRPr="00DD0AE5" w14:paraId="2BFE2EF1" w14:textId="77777777" w:rsidTr="00CB50A0">
        <w:trPr>
          <w:trHeight w:val="355"/>
          <w:jc w:val="center"/>
        </w:trPr>
        <w:tc>
          <w:tcPr>
            <w:tcW w:w="1444" w:type="dxa"/>
            <w:tcBorders>
              <w:top w:val="nil"/>
              <w:left w:val="nil"/>
              <w:bottom w:val="nil"/>
              <w:right w:val="nil"/>
            </w:tcBorders>
            <w:shd w:val="clear" w:color="auto" w:fill="auto"/>
          </w:tcPr>
          <w:p w14:paraId="4F31ADFB" w14:textId="77777777" w:rsidR="00CB50A0" w:rsidRPr="00DD0AE5" w:rsidRDefault="00CB50A0" w:rsidP="00CB50A0">
            <w:pPr>
              <w:jc w:val="both"/>
              <w:rPr>
                <w:rFonts w:ascii="David" w:hAnsi="David"/>
                <w:b/>
                <w:bCs/>
                <w:rtl/>
              </w:rPr>
            </w:pPr>
          </w:p>
        </w:tc>
        <w:tc>
          <w:tcPr>
            <w:tcW w:w="3605" w:type="dxa"/>
            <w:tcBorders>
              <w:top w:val="nil"/>
              <w:left w:val="nil"/>
              <w:bottom w:val="nil"/>
              <w:right w:val="nil"/>
            </w:tcBorders>
            <w:shd w:val="clear" w:color="auto" w:fill="auto"/>
          </w:tcPr>
          <w:p w14:paraId="3FEC63A7" w14:textId="77777777" w:rsidR="00CB50A0" w:rsidRPr="00DD0AE5" w:rsidRDefault="00CB50A0" w:rsidP="00CB50A0">
            <w:pPr>
              <w:jc w:val="both"/>
              <w:rPr>
                <w:rFonts w:ascii="David" w:hAnsi="David"/>
                <w:b/>
                <w:bCs/>
                <w:rtl/>
              </w:rPr>
            </w:pPr>
          </w:p>
        </w:tc>
        <w:tc>
          <w:tcPr>
            <w:tcW w:w="3771" w:type="dxa"/>
            <w:tcBorders>
              <w:top w:val="nil"/>
              <w:left w:val="nil"/>
              <w:bottom w:val="nil"/>
              <w:right w:val="nil"/>
            </w:tcBorders>
            <w:shd w:val="clear" w:color="auto" w:fill="auto"/>
          </w:tcPr>
          <w:p w14:paraId="6AB7E5F7" w14:textId="77777777" w:rsidR="00CB50A0" w:rsidRPr="00DD0AE5" w:rsidRDefault="00CB50A0" w:rsidP="00CB50A0">
            <w:pPr>
              <w:jc w:val="right"/>
              <w:rPr>
                <w:rFonts w:ascii="David" w:hAnsi="David"/>
                <w:b/>
                <w:bCs/>
                <w:rtl/>
              </w:rPr>
            </w:pPr>
            <w:r w:rsidRPr="00DD0AE5">
              <w:rPr>
                <w:rFonts w:ascii="David" w:hAnsi="David"/>
                <w:b/>
                <w:bCs/>
                <w:rtl/>
              </w:rPr>
              <w:t>המאשימה</w:t>
            </w:r>
          </w:p>
        </w:tc>
      </w:tr>
      <w:tr w:rsidR="00CB50A0" w:rsidRPr="00DD0AE5" w14:paraId="500F91C0" w14:textId="77777777" w:rsidTr="00CB50A0">
        <w:trPr>
          <w:trHeight w:val="355"/>
          <w:jc w:val="center"/>
        </w:trPr>
        <w:tc>
          <w:tcPr>
            <w:tcW w:w="1444" w:type="dxa"/>
            <w:tcBorders>
              <w:top w:val="nil"/>
              <w:left w:val="nil"/>
              <w:bottom w:val="nil"/>
              <w:right w:val="nil"/>
            </w:tcBorders>
            <w:shd w:val="clear" w:color="auto" w:fill="auto"/>
          </w:tcPr>
          <w:p w14:paraId="515B90D7" w14:textId="77777777" w:rsidR="00CB50A0" w:rsidRPr="00DD0AE5" w:rsidRDefault="00CB50A0" w:rsidP="00CB50A0">
            <w:pPr>
              <w:jc w:val="both"/>
              <w:rPr>
                <w:rFonts w:ascii="David" w:hAnsi="David"/>
                <w:b/>
                <w:bCs/>
                <w:rtl/>
              </w:rPr>
            </w:pPr>
          </w:p>
        </w:tc>
        <w:tc>
          <w:tcPr>
            <w:tcW w:w="7376" w:type="dxa"/>
            <w:gridSpan w:val="2"/>
            <w:tcBorders>
              <w:top w:val="nil"/>
              <w:left w:val="nil"/>
              <w:bottom w:val="nil"/>
              <w:right w:val="nil"/>
            </w:tcBorders>
            <w:shd w:val="clear" w:color="auto" w:fill="auto"/>
          </w:tcPr>
          <w:p w14:paraId="40D07846" w14:textId="77777777" w:rsidR="00CB50A0" w:rsidRPr="00DD0AE5" w:rsidRDefault="00CB50A0" w:rsidP="00CB50A0">
            <w:pPr>
              <w:jc w:val="center"/>
              <w:rPr>
                <w:rFonts w:ascii="David" w:hAnsi="David"/>
                <w:b/>
                <w:bCs/>
                <w:rtl/>
              </w:rPr>
            </w:pPr>
          </w:p>
          <w:p w14:paraId="18A2EC0D" w14:textId="77777777" w:rsidR="00CB50A0" w:rsidRPr="00DD0AE5" w:rsidRDefault="00CB50A0" w:rsidP="00BB4D44">
            <w:pPr>
              <w:rPr>
                <w:rFonts w:ascii="David" w:hAnsi="David"/>
                <w:b/>
                <w:bCs/>
                <w:rtl/>
              </w:rPr>
            </w:pPr>
            <w:r w:rsidRPr="00DD0AE5">
              <w:rPr>
                <w:rFonts w:ascii="David" w:hAnsi="David" w:hint="cs"/>
                <w:b/>
                <w:bCs/>
                <w:rtl/>
              </w:rPr>
              <w:t xml:space="preserve">                                     </w:t>
            </w:r>
            <w:r w:rsidRPr="00DD0AE5">
              <w:rPr>
                <w:rFonts w:ascii="David" w:hAnsi="David"/>
                <w:b/>
                <w:bCs/>
                <w:rtl/>
              </w:rPr>
              <w:t>נגד</w:t>
            </w:r>
          </w:p>
          <w:p w14:paraId="3D46614D" w14:textId="77777777" w:rsidR="00CB50A0" w:rsidRPr="00DD0AE5" w:rsidRDefault="00CB50A0" w:rsidP="00CB50A0">
            <w:pPr>
              <w:jc w:val="both"/>
              <w:rPr>
                <w:rFonts w:ascii="David" w:hAnsi="David"/>
                <w:b/>
                <w:bCs/>
              </w:rPr>
            </w:pPr>
          </w:p>
        </w:tc>
      </w:tr>
      <w:tr w:rsidR="00CB50A0" w:rsidRPr="00DD0AE5" w14:paraId="14813DBB" w14:textId="77777777" w:rsidTr="00CB50A0">
        <w:trPr>
          <w:trHeight w:val="355"/>
          <w:jc w:val="center"/>
        </w:trPr>
        <w:tc>
          <w:tcPr>
            <w:tcW w:w="1444" w:type="dxa"/>
            <w:tcBorders>
              <w:top w:val="nil"/>
              <w:left w:val="nil"/>
              <w:bottom w:val="nil"/>
              <w:right w:val="nil"/>
            </w:tcBorders>
            <w:shd w:val="clear" w:color="auto" w:fill="auto"/>
          </w:tcPr>
          <w:p w14:paraId="0057573C" w14:textId="77777777" w:rsidR="00CB50A0" w:rsidRPr="00DD0AE5" w:rsidRDefault="00CB50A0" w:rsidP="00BB4D44">
            <w:pPr>
              <w:rPr>
                <w:rFonts w:ascii="David" w:hAnsi="David"/>
                <w:b/>
                <w:bCs/>
                <w:rtl/>
              </w:rPr>
            </w:pPr>
          </w:p>
        </w:tc>
        <w:tc>
          <w:tcPr>
            <w:tcW w:w="3605" w:type="dxa"/>
            <w:tcBorders>
              <w:top w:val="nil"/>
              <w:left w:val="nil"/>
              <w:bottom w:val="nil"/>
              <w:right w:val="nil"/>
            </w:tcBorders>
            <w:shd w:val="clear" w:color="auto" w:fill="auto"/>
          </w:tcPr>
          <w:p w14:paraId="31BA3C2A" w14:textId="77777777" w:rsidR="00CB50A0" w:rsidRPr="00DD0AE5" w:rsidRDefault="00CB50A0" w:rsidP="00BB4D44">
            <w:pPr>
              <w:rPr>
                <w:rFonts w:ascii="David" w:hAnsi="David"/>
                <w:b/>
                <w:bCs/>
                <w:rtl/>
              </w:rPr>
            </w:pPr>
            <w:r w:rsidRPr="00DD0AE5">
              <w:rPr>
                <w:rFonts w:ascii="David" w:hAnsi="David" w:hint="cs"/>
                <w:b/>
                <w:bCs/>
                <w:rtl/>
              </w:rPr>
              <w:t xml:space="preserve">                    </w:t>
            </w:r>
            <w:r w:rsidRPr="00DD0AE5">
              <w:rPr>
                <w:rFonts w:ascii="David" w:hAnsi="David"/>
                <w:b/>
                <w:bCs/>
                <w:rtl/>
              </w:rPr>
              <w:t>דוד שמלשוילי (אחר/נוסף)</w:t>
            </w:r>
          </w:p>
        </w:tc>
        <w:tc>
          <w:tcPr>
            <w:tcW w:w="3771" w:type="dxa"/>
            <w:tcBorders>
              <w:top w:val="nil"/>
              <w:left w:val="nil"/>
              <w:bottom w:val="nil"/>
              <w:right w:val="nil"/>
            </w:tcBorders>
            <w:shd w:val="clear" w:color="auto" w:fill="auto"/>
          </w:tcPr>
          <w:p w14:paraId="50A2E6E8" w14:textId="77777777" w:rsidR="00CB50A0" w:rsidRPr="00DD0AE5" w:rsidRDefault="00CB50A0" w:rsidP="00CB50A0">
            <w:pPr>
              <w:jc w:val="right"/>
              <w:rPr>
                <w:rFonts w:ascii="David" w:hAnsi="David"/>
                <w:b/>
                <w:bCs/>
              </w:rPr>
            </w:pPr>
          </w:p>
        </w:tc>
      </w:tr>
      <w:tr w:rsidR="00CB50A0" w:rsidRPr="00DD0AE5" w14:paraId="678F80B8" w14:textId="77777777" w:rsidTr="00CB50A0">
        <w:trPr>
          <w:trHeight w:val="355"/>
          <w:jc w:val="center"/>
        </w:trPr>
        <w:tc>
          <w:tcPr>
            <w:tcW w:w="1444" w:type="dxa"/>
            <w:tcBorders>
              <w:top w:val="nil"/>
              <w:left w:val="nil"/>
              <w:bottom w:val="nil"/>
              <w:right w:val="nil"/>
            </w:tcBorders>
            <w:shd w:val="clear" w:color="auto" w:fill="auto"/>
          </w:tcPr>
          <w:p w14:paraId="3D29F48B" w14:textId="77777777" w:rsidR="00CB50A0" w:rsidRPr="00DD0AE5" w:rsidRDefault="00CB50A0" w:rsidP="00CB50A0">
            <w:pPr>
              <w:jc w:val="both"/>
              <w:rPr>
                <w:rFonts w:ascii="David" w:hAnsi="David"/>
                <w:b/>
                <w:bCs/>
                <w:rtl/>
              </w:rPr>
            </w:pPr>
          </w:p>
        </w:tc>
        <w:tc>
          <w:tcPr>
            <w:tcW w:w="3605" w:type="dxa"/>
            <w:tcBorders>
              <w:top w:val="nil"/>
              <w:left w:val="nil"/>
              <w:bottom w:val="nil"/>
              <w:right w:val="nil"/>
            </w:tcBorders>
            <w:shd w:val="clear" w:color="auto" w:fill="auto"/>
          </w:tcPr>
          <w:p w14:paraId="0D974886" w14:textId="77777777" w:rsidR="00CB50A0" w:rsidRPr="00DD0AE5" w:rsidRDefault="00CB50A0" w:rsidP="00CB50A0">
            <w:pPr>
              <w:jc w:val="both"/>
              <w:rPr>
                <w:rFonts w:ascii="David" w:hAnsi="David"/>
                <w:b/>
                <w:bCs/>
                <w:rtl/>
              </w:rPr>
            </w:pPr>
          </w:p>
        </w:tc>
        <w:tc>
          <w:tcPr>
            <w:tcW w:w="3771" w:type="dxa"/>
            <w:tcBorders>
              <w:top w:val="nil"/>
              <w:left w:val="nil"/>
              <w:bottom w:val="nil"/>
              <w:right w:val="nil"/>
            </w:tcBorders>
            <w:shd w:val="clear" w:color="auto" w:fill="auto"/>
          </w:tcPr>
          <w:p w14:paraId="7FC5EFDA" w14:textId="77777777" w:rsidR="00CB50A0" w:rsidRPr="00DD0AE5" w:rsidRDefault="00CB50A0" w:rsidP="00CB50A0">
            <w:pPr>
              <w:jc w:val="right"/>
              <w:rPr>
                <w:rFonts w:ascii="David" w:hAnsi="David"/>
                <w:b/>
                <w:bCs/>
              </w:rPr>
            </w:pPr>
            <w:r w:rsidRPr="00DD0AE5">
              <w:rPr>
                <w:rFonts w:ascii="David" w:hAnsi="David"/>
                <w:b/>
                <w:bCs/>
                <w:rtl/>
              </w:rPr>
              <w:t>הנאשם</w:t>
            </w:r>
          </w:p>
        </w:tc>
      </w:tr>
    </w:tbl>
    <w:p w14:paraId="0749FCDF" w14:textId="77777777" w:rsidR="00CB50A0" w:rsidRPr="00DD0AE5" w:rsidRDefault="00CB50A0" w:rsidP="00CB50A0">
      <w:pPr>
        <w:rPr>
          <w:rFonts w:ascii="David" w:hAnsi="David"/>
          <w:b/>
          <w:bCs/>
          <w:rtl/>
        </w:rPr>
      </w:pPr>
    </w:p>
    <w:p w14:paraId="3C76AB50" w14:textId="77777777" w:rsidR="00CF3902" w:rsidRDefault="00CF3902" w:rsidP="00CB50A0">
      <w:pPr>
        <w:rPr>
          <w:rFonts w:ascii="David" w:hAnsi="David"/>
          <w:rtl/>
        </w:rPr>
      </w:pPr>
    </w:p>
    <w:p w14:paraId="2F96EDA9" w14:textId="77777777" w:rsidR="00CF3902" w:rsidRPr="00CF3902" w:rsidRDefault="00CF3902" w:rsidP="00CF3902">
      <w:pPr>
        <w:spacing w:after="120" w:line="240" w:lineRule="exact"/>
        <w:ind w:left="283" w:hanging="283"/>
        <w:jc w:val="both"/>
        <w:rPr>
          <w:rFonts w:ascii="FrankRuehl" w:hAnsi="FrankRuehl" w:cs="FrankRuehl"/>
          <w:rtl/>
        </w:rPr>
      </w:pPr>
    </w:p>
    <w:p w14:paraId="4C283ED1" w14:textId="77777777" w:rsidR="002C7DA1" w:rsidRDefault="002C7DA1" w:rsidP="002C7DA1">
      <w:pPr>
        <w:rPr>
          <w:rFonts w:ascii="Arial" w:hAnsi="Arial"/>
          <w:rtl/>
        </w:rPr>
      </w:pPr>
      <w:bookmarkStart w:id="2" w:name="LawTable"/>
      <w:bookmarkEnd w:id="2"/>
    </w:p>
    <w:p w14:paraId="3EFEAA46" w14:textId="77777777" w:rsidR="002C7DA1" w:rsidRPr="002C7DA1" w:rsidRDefault="002C7DA1" w:rsidP="002C7DA1">
      <w:pPr>
        <w:spacing w:before="120" w:after="120" w:line="240" w:lineRule="exact"/>
        <w:ind w:left="283" w:hanging="283"/>
        <w:jc w:val="both"/>
        <w:rPr>
          <w:rFonts w:ascii="FrankRuehl" w:hAnsi="FrankRuehl" w:cs="FrankRuehl"/>
          <w:rtl/>
        </w:rPr>
      </w:pPr>
    </w:p>
    <w:p w14:paraId="4AD70ACF" w14:textId="77777777" w:rsidR="002C7DA1" w:rsidRPr="002C7DA1" w:rsidRDefault="002C7DA1" w:rsidP="002C7DA1">
      <w:pPr>
        <w:spacing w:before="120" w:after="120" w:line="240" w:lineRule="exact"/>
        <w:ind w:left="283" w:hanging="283"/>
        <w:jc w:val="both"/>
        <w:rPr>
          <w:rFonts w:ascii="FrankRuehl" w:hAnsi="FrankRuehl" w:cs="FrankRuehl"/>
          <w:rtl/>
        </w:rPr>
      </w:pPr>
    </w:p>
    <w:p w14:paraId="36C676B3" w14:textId="77777777" w:rsidR="002C7DA1" w:rsidRPr="002C7DA1" w:rsidRDefault="002C7DA1" w:rsidP="002C7DA1">
      <w:pPr>
        <w:spacing w:before="120" w:after="120" w:line="240" w:lineRule="exact"/>
        <w:ind w:left="283" w:hanging="283"/>
        <w:jc w:val="both"/>
        <w:rPr>
          <w:rFonts w:ascii="FrankRuehl" w:hAnsi="FrankRuehl" w:cs="FrankRuehl"/>
          <w:rtl/>
        </w:rPr>
      </w:pPr>
      <w:r w:rsidRPr="002C7DA1">
        <w:rPr>
          <w:rFonts w:ascii="FrankRuehl" w:hAnsi="FrankRuehl" w:cs="FrankRuehl"/>
          <w:rtl/>
        </w:rPr>
        <w:t xml:space="preserve">חקיקה שאוזכרה: </w:t>
      </w:r>
    </w:p>
    <w:p w14:paraId="76C48026" w14:textId="77777777" w:rsidR="002C7DA1" w:rsidRPr="002C7DA1" w:rsidRDefault="002C7DA1" w:rsidP="002C7DA1">
      <w:pPr>
        <w:spacing w:before="120" w:after="120" w:line="240" w:lineRule="exact"/>
        <w:ind w:left="283" w:hanging="283"/>
        <w:jc w:val="both"/>
        <w:rPr>
          <w:rFonts w:ascii="FrankRuehl" w:hAnsi="FrankRuehl" w:cs="FrankRuehl"/>
          <w:rtl/>
        </w:rPr>
      </w:pPr>
      <w:hyperlink r:id="rId7" w:history="1">
        <w:r w:rsidRPr="002C7DA1">
          <w:rPr>
            <w:rFonts w:ascii="FrankRuehl" w:hAnsi="FrankRuehl" w:cs="FrankRuehl"/>
            <w:color w:val="0000FF"/>
            <w:rtl/>
          </w:rPr>
          <w:t>חוק העונשין, תשל"ז-1977</w:t>
        </w:r>
      </w:hyperlink>
      <w:r w:rsidRPr="002C7DA1">
        <w:rPr>
          <w:rFonts w:ascii="FrankRuehl" w:hAnsi="FrankRuehl" w:cs="FrankRuehl"/>
          <w:rtl/>
        </w:rPr>
        <w:t xml:space="preserve">: סע'  </w:t>
      </w:r>
      <w:hyperlink r:id="rId8" w:history="1">
        <w:r w:rsidRPr="002C7DA1">
          <w:rPr>
            <w:rFonts w:ascii="FrankRuehl" w:hAnsi="FrankRuehl" w:cs="FrankRuehl"/>
            <w:color w:val="0000FF"/>
            <w:rtl/>
          </w:rPr>
          <w:t>25</w:t>
        </w:r>
      </w:hyperlink>
      <w:r w:rsidRPr="002C7DA1">
        <w:rPr>
          <w:rFonts w:ascii="FrankRuehl" w:hAnsi="FrankRuehl" w:cs="FrankRuehl"/>
          <w:rtl/>
        </w:rPr>
        <w:t xml:space="preserve">, </w:t>
      </w:r>
      <w:hyperlink r:id="rId9" w:history="1">
        <w:r w:rsidRPr="002C7DA1">
          <w:rPr>
            <w:rFonts w:ascii="FrankRuehl" w:hAnsi="FrankRuehl" w:cs="FrankRuehl"/>
            <w:color w:val="0000FF"/>
            <w:rtl/>
          </w:rPr>
          <w:t>29(א)</w:t>
        </w:r>
      </w:hyperlink>
      <w:r w:rsidRPr="002C7DA1">
        <w:rPr>
          <w:rFonts w:ascii="FrankRuehl" w:hAnsi="FrankRuehl" w:cs="FrankRuehl"/>
          <w:rtl/>
        </w:rPr>
        <w:t xml:space="preserve">, </w:t>
      </w:r>
      <w:hyperlink r:id="rId10" w:history="1">
        <w:r w:rsidRPr="002C7DA1">
          <w:rPr>
            <w:rFonts w:ascii="FrankRuehl" w:hAnsi="FrankRuehl" w:cs="FrankRuehl"/>
            <w:color w:val="0000FF"/>
            <w:rtl/>
          </w:rPr>
          <w:t>40 ב'</w:t>
        </w:r>
      </w:hyperlink>
      <w:r w:rsidRPr="002C7DA1">
        <w:rPr>
          <w:rFonts w:ascii="FrankRuehl" w:hAnsi="FrankRuehl" w:cs="FrankRuehl"/>
          <w:rtl/>
        </w:rPr>
        <w:t xml:space="preserve">, </w:t>
      </w:r>
      <w:hyperlink r:id="rId11" w:history="1">
        <w:r w:rsidRPr="002C7DA1">
          <w:rPr>
            <w:rFonts w:ascii="FrankRuehl" w:hAnsi="FrankRuehl" w:cs="FrankRuehl"/>
            <w:color w:val="0000FF"/>
            <w:rtl/>
          </w:rPr>
          <w:t>406(ב)</w:t>
        </w:r>
      </w:hyperlink>
      <w:r w:rsidRPr="002C7DA1">
        <w:rPr>
          <w:rFonts w:ascii="FrankRuehl" w:hAnsi="FrankRuehl" w:cs="FrankRuehl"/>
          <w:rtl/>
        </w:rPr>
        <w:t xml:space="preserve">, </w:t>
      </w:r>
      <w:hyperlink r:id="rId12" w:history="1">
        <w:r w:rsidRPr="002C7DA1">
          <w:rPr>
            <w:rFonts w:ascii="FrankRuehl" w:hAnsi="FrankRuehl" w:cs="FrankRuehl"/>
            <w:color w:val="0000FF"/>
            <w:rtl/>
          </w:rPr>
          <w:t>409</w:t>
        </w:r>
      </w:hyperlink>
      <w:r w:rsidRPr="002C7DA1">
        <w:rPr>
          <w:rFonts w:ascii="FrankRuehl" w:hAnsi="FrankRuehl" w:cs="FrankRuehl"/>
          <w:rtl/>
        </w:rPr>
        <w:t xml:space="preserve">, </w:t>
      </w:r>
      <w:hyperlink r:id="rId13" w:history="1">
        <w:r w:rsidRPr="002C7DA1">
          <w:rPr>
            <w:rFonts w:ascii="FrankRuehl" w:hAnsi="FrankRuehl" w:cs="FrankRuehl"/>
            <w:color w:val="0000FF"/>
            <w:rtl/>
          </w:rPr>
          <w:t>40 יא'</w:t>
        </w:r>
      </w:hyperlink>
      <w:r w:rsidRPr="002C7DA1">
        <w:rPr>
          <w:rFonts w:ascii="FrankRuehl" w:hAnsi="FrankRuehl" w:cs="FrankRuehl"/>
          <w:rtl/>
        </w:rPr>
        <w:t xml:space="preserve">, </w:t>
      </w:r>
      <w:hyperlink r:id="rId14" w:history="1">
        <w:r w:rsidRPr="002C7DA1">
          <w:rPr>
            <w:rFonts w:ascii="FrankRuehl" w:hAnsi="FrankRuehl" w:cs="FrankRuehl"/>
            <w:color w:val="0000FF"/>
            <w:rtl/>
          </w:rPr>
          <w:t>40יג</w:t>
        </w:r>
      </w:hyperlink>
      <w:r w:rsidRPr="002C7DA1">
        <w:rPr>
          <w:rFonts w:ascii="FrankRuehl" w:hAnsi="FrankRuehl" w:cs="FrankRuehl"/>
          <w:rtl/>
        </w:rPr>
        <w:t xml:space="preserve">, </w:t>
      </w:r>
      <w:hyperlink r:id="rId15" w:history="1">
        <w:r w:rsidRPr="002C7DA1">
          <w:rPr>
            <w:rFonts w:ascii="FrankRuehl" w:hAnsi="FrankRuehl" w:cs="FrankRuehl"/>
            <w:color w:val="0000FF"/>
            <w:rtl/>
          </w:rPr>
          <w:t>40יג(א)</w:t>
        </w:r>
      </w:hyperlink>
      <w:r w:rsidRPr="002C7DA1">
        <w:rPr>
          <w:rFonts w:ascii="FrankRuehl" w:hAnsi="FrankRuehl" w:cs="FrankRuehl"/>
          <w:rtl/>
        </w:rPr>
        <w:t xml:space="preserve">, </w:t>
      </w:r>
      <w:hyperlink r:id="rId16" w:history="1">
        <w:r w:rsidRPr="002C7DA1">
          <w:rPr>
            <w:rFonts w:ascii="FrankRuehl" w:hAnsi="FrankRuehl" w:cs="FrankRuehl"/>
            <w:color w:val="0000FF"/>
            <w:rtl/>
          </w:rPr>
          <w:t>499(א)(1)</w:t>
        </w:r>
      </w:hyperlink>
    </w:p>
    <w:p w14:paraId="6B752AD0" w14:textId="77777777" w:rsidR="002C7DA1" w:rsidRPr="002C7DA1" w:rsidRDefault="002C7DA1" w:rsidP="002C7DA1">
      <w:pPr>
        <w:spacing w:before="120" w:after="120" w:line="240" w:lineRule="exact"/>
        <w:ind w:left="283" w:hanging="283"/>
        <w:jc w:val="both"/>
        <w:rPr>
          <w:rFonts w:ascii="FrankRuehl" w:hAnsi="FrankRuehl" w:cs="FrankRuehl"/>
          <w:rtl/>
        </w:rPr>
      </w:pPr>
      <w:hyperlink r:id="rId17" w:history="1">
        <w:r w:rsidRPr="002C7DA1">
          <w:rPr>
            <w:rFonts w:ascii="FrankRuehl" w:hAnsi="FrankRuehl" w:cs="FrankRuehl"/>
            <w:color w:val="0000FF"/>
            <w:rtl/>
          </w:rPr>
          <w:t>פקודת הסמים המסוכנים [נוסח חדש], תשל"ג-1973</w:t>
        </w:r>
      </w:hyperlink>
      <w:r w:rsidRPr="002C7DA1">
        <w:rPr>
          <w:rFonts w:ascii="FrankRuehl" w:hAnsi="FrankRuehl" w:cs="FrankRuehl"/>
          <w:rtl/>
        </w:rPr>
        <w:t xml:space="preserve">: סע'  </w:t>
      </w:r>
      <w:hyperlink r:id="rId18" w:history="1">
        <w:r w:rsidRPr="002C7DA1">
          <w:rPr>
            <w:rFonts w:ascii="FrankRuehl" w:hAnsi="FrankRuehl" w:cs="FrankRuehl"/>
            <w:color w:val="0000FF"/>
            <w:rtl/>
          </w:rPr>
          <w:t>7(א)</w:t>
        </w:r>
      </w:hyperlink>
      <w:r w:rsidRPr="002C7DA1">
        <w:rPr>
          <w:rFonts w:ascii="FrankRuehl" w:hAnsi="FrankRuehl" w:cs="FrankRuehl"/>
          <w:rtl/>
        </w:rPr>
        <w:t xml:space="preserve">, </w:t>
      </w:r>
      <w:hyperlink r:id="rId19" w:history="1">
        <w:r w:rsidRPr="002C7DA1">
          <w:rPr>
            <w:rFonts w:ascii="FrankRuehl" w:hAnsi="FrankRuehl" w:cs="FrankRuehl"/>
            <w:color w:val="0000FF"/>
            <w:rtl/>
          </w:rPr>
          <w:t>7(ג)</w:t>
        </w:r>
      </w:hyperlink>
      <w:r w:rsidRPr="002C7DA1">
        <w:rPr>
          <w:rFonts w:ascii="FrankRuehl" w:hAnsi="FrankRuehl" w:cs="FrankRuehl"/>
          <w:rtl/>
        </w:rPr>
        <w:t xml:space="preserve">, </w:t>
      </w:r>
      <w:hyperlink r:id="rId20" w:history="1">
        <w:r w:rsidRPr="002C7DA1">
          <w:rPr>
            <w:rFonts w:ascii="FrankRuehl" w:hAnsi="FrankRuehl" w:cs="FrankRuehl"/>
            <w:color w:val="0000FF"/>
            <w:rtl/>
          </w:rPr>
          <w:t>10</w:t>
        </w:r>
      </w:hyperlink>
    </w:p>
    <w:p w14:paraId="08F854E4" w14:textId="77777777" w:rsidR="002C7DA1" w:rsidRPr="002C7DA1" w:rsidRDefault="002C7DA1" w:rsidP="002C7DA1">
      <w:pPr>
        <w:spacing w:before="120" w:after="120" w:line="240" w:lineRule="exact"/>
        <w:ind w:left="283" w:hanging="283"/>
        <w:jc w:val="both"/>
        <w:rPr>
          <w:rFonts w:ascii="FrankRuehl" w:hAnsi="FrankRuehl" w:cs="FrankRuehl"/>
          <w:rtl/>
        </w:rPr>
      </w:pPr>
      <w:hyperlink r:id="rId21" w:history="1">
        <w:r w:rsidRPr="002C7DA1">
          <w:rPr>
            <w:rFonts w:ascii="FrankRuehl" w:hAnsi="FrankRuehl" w:cs="FrankRuehl"/>
            <w:color w:val="0000FF"/>
            <w:rtl/>
          </w:rPr>
          <w:t>חוק סדר הדין הפלילי [נוסח משולב], תשמ"ב-1982</w:t>
        </w:r>
      </w:hyperlink>
      <w:r w:rsidRPr="002C7DA1">
        <w:rPr>
          <w:rFonts w:ascii="FrankRuehl" w:hAnsi="FrankRuehl" w:cs="FrankRuehl"/>
          <w:rtl/>
        </w:rPr>
        <w:t xml:space="preserve">: סע'  </w:t>
      </w:r>
      <w:hyperlink r:id="rId22" w:history="1">
        <w:r w:rsidRPr="002C7DA1">
          <w:rPr>
            <w:rFonts w:ascii="FrankRuehl" w:hAnsi="FrankRuehl" w:cs="FrankRuehl"/>
            <w:color w:val="0000FF"/>
            <w:rtl/>
          </w:rPr>
          <w:t>186</w:t>
        </w:r>
      </w:hyperlink>
    </w:p>
    <w:p w14:paraId="39DD74E3" w14:textId="77777777" w:rsidR="002C7DA1" w:rsidRPr="002C7DA1" w:rsidRDefault="002C7DA1" w:rsidP="002C7DA1">
      <w:pPr>
        <w:rPr>
          <w:rFonts w:ascii="Arial" w:hAnsi="Arial"/>
          <w:rtl/>
        </w:rPr>
      </w:pPr>
      <w:bookmarkStart w:id="3" w:name="LawTable_End"/>
      <w:bookmarkEnd w:id="3"/>
    </w:p>
    <w:p w14:paraId="7FD9FBEE" w14:textId="77777777" w:rsidR="00CB50A0" w:rsidRPr="00DD0AE5" w:rsidRDefault="00CB50A0" w:rsidP="00CB50A0">
      <w:pPr>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B50A0" w14:paraId="1D3275C3" w14:textId="77777777" w:rsidTr="00CB50A0">
        <w:trPr>
          <w:trHeight w:val="355"/>
          <w:jc w:val="center"/>
        </w:trPr>
        <w:tc>
          <w:tcPr>
            <w:tcW w:w="8820" w:type="dxa"/>
            <w:tcBorders>
              <w:top w:val="nil"/>
              <w:left w:val="nil"/>
              <w:bottom w:val="nil"/>
              <w:right w:val="nil"/>
            </w:tcBorders>
            <w:shd w:val="clear" w:color="auto" w:fill="auto"/>
          </w:tcPr>
          <w:p w14:paraId="68A2E700" w14:textId="77777777" w:rsidR="00DD0AE5" w:rsidRPr="00DD0AE5" w:rsidRDefault="00DD0AE5" w:rsidP="00DD0AE5">
            <w:pPr>
              <w:jc w:val="center"/>
              <w:rPr>
                <w:rFonts w:ascii="David" w:hAnsi="David"/>
                <w:b/>
                <w:bCs/>
                <w:u w:val="single"/>
                <w:rtl/>
              </w:rPr>
            </w:pPr>
            <w:bookmarkStart w:id="4" w:name="PsakDin" w:colFirst="0" w:colLast="0"/>
            <w:bookmarkEnd w:id="0"/>
            <w:r w:rsidRPr="00DD0AE5">
              <w:rPr>
                <w:rFonts w:ascii="David" w:hAnsi="David"/>
                <w:b/>
                <w:bCs/>
                <w:u w:val="single"/>
                <w:rtl/>
              </w:rPr>
              <w:t>גזר דין</w:t>
            </w:r>
          </w:p>
          <w:p w14:paraId="4C84C97C" w14:textId="77777777" w:rsidR="00CB50A0" w:rsidRPr="00DD0AE5" w:rsidRDefault="00CB50A0" w:rsidP="00DD0AE5">
            <w:pPr>
              <w:jc w:val="center"/>
              <w:rPr>
                <w:rFonts w:ascii="David" w:hAnsi="David"/>
                <w:bCs/>
                <w:u w:val="single"/>
                <w:rtl/>
              </w:rPr>
            </w:pPr>
          </w:p>
        </w:tc>
      </w:tr>
      <w:bookmarkEnd w:id="4"/>
    </w:tbl>
    <w:p w14:paraId="33DC79E8" w14:textId="77777777" w:rsidR="00CB50A0" w:rsidRPr="00B05847" w:rsidRDefault="00CB50A0" w:rsidP="00CB50A0">
      <w:pPr>
        <w:rPr>
          <w:rFonts w:ascii="Arial" w:hAnsi="Arial"/>
          <w:rtl/>
        </w:rPr>
      </w:pPr>
    </w:p>
    <w:p w14:paraId="2C3D785F" w14:textId="77777777" w:rsidR="00CB50A0" w:rsidRPr="00F6153E" w:rsidRDefault="00CB50A0" w:rsidP="00CB50A0">
      <w:pPr>
        <w:spacing w:after="300" w:line="360" w:lineRule="auto"/>
        <w:ind w:left="360"/>
        <w:jc w:val="both"/>
        <w:rPr>
          <w:rFonts w:ascii="Arial" w:hAnsi="Arial"/>
          <w:b/>
          <w:bCs/>
        </w:rPr>
      </w:pPr>
      <w:r w:rsidRPr="00F6153E">
        <w:rPr>
          <w:rFonts w:ascii="Arial" w:hAnsi="Arial" w:hint="cs"/>
          <w:b/>
          <w:bCs/>
          <w:rtl/>
        </w:rPr>
        <w:t>מבוא:</w:t>
      </w:r>
    </w:p>
    <w:p w14:paraId="4D3FAC1A" w14:textId="77777777" w:rsidR="00CB50A0" w:rsidRDefault="00CB50A0" w:rsidP="00CB50A0">
      <w:pPr>
        <w:pStyle w:val="a9"/>
        <w:numPr>
          <w:ilvl w:val="0"/>
          <w:numId w:val="1"/>
        </w:numPr>
        <w:spacing w:after="300" w:line="360" w:lineRule="auto"/>
        <w:contextualSpacing w:val="0"/>
        <w:jc w:val="both"/>
        <w:rPr>
          <w:rFonts w:ascii="Arial" w:hAnsi="Arial"/>
        </w:rPr>
      </w:pPr>
      <w:bookmarkStart w:id="5" w:name="ABSTRACT_START"/>
      <w:bookmarkEnd w:id="5"/>
      <w:r>
        <w:rPr>
          <w:rFonts w:ascii="Arial" w:hAnsi="Arial" w:hint="cs"/>
          <w:rtl/>
        </w:rPr>
        <w:t xml:space="preserve">הנאשם הורשע על פי הודאתו ובמסגרת הסדר טעון בכתב אישום מתוקן בעבירות של ניסיון התפרצות למגורים/תפילה- לפי </w:t>
      </w:r>
      <w:hyperlink r:id="rId23" w:history="1">
        <w:r w:rsidR="00CF3902" w:rsidRPr="00CF3902">
          <w:rPr>
            <w:rStyle w:val="Hyperlink"/>
            <w:rFonts w:ascii="Arial" w:hAnsi="Arial" w:hint="eastAsia"/>
            <w:rtl/>
          </w:rPr>
          <w:t>סעיף</w:t>
        </w:r>
        <w:r w:rsidR="00CF3902" w:rsidRPr="00CF3902">
          <w:rPr>
            <w:rStyle w:val="Hyperlink"/>
            <w:rFonts w:ascii="Arial" w:hAnsi="Arial"/>
            <w:rtl/>
          </w:rPr>
          <w:t xml:space="preserve"> 406(ב)</w:t>
        </w:r>
      </w:hyperlink>
      <w:r>
        <w:rPr>
          <w:rFonts w:ascii="Arial" w:hAnsi="Arial" w:hint="cs"/>
          <w:rtl/>
        </w:rPr>
        <w:t xml:space="preserve"> ל</w:t>
      </w:r>
      <w:hyperlink r:id="rId24" w:history="1">
        <w:r w:rsidR="00DD0AE5" w:rsidRPr="00DD0AE5">
          <w:rPr>
            <w:rFonts w:ascii="Arial" w:hAnsi="Arial"/>
            <w:color w:val="0000FF"/>
            <w:u w:val="single"/>
            <w:rtl/>
          </w:rPr>
          <w:t>חוק העונשין</w:t>
        </w:r>
      </w:hyperlink>
      <w:r>
        <w:rPr>
          <w:rFonts w:ascii="Arial" w:hAnsi="Arial" w:hint="cs"/>
          <w:rtl/>
        </w:rPr>
        <w:t xml:space="preserve">, התשל"ז 1977 (להלן: </w:t>
      </w:r>
      <w:r w:rsidRPr="00F6153E">
        <w:rPr>
          <w:rFonts w:ascii="Arial" w:hAnsi="Arial" w:hint="cs"/>
          <w:b/>
          <w:bCs/>
          <w:rtl/>
        </w:rPr>
        <w:t>"חוק העונשין"</w:t>
      </w:r>
      <w:r>
        <w:rPr>
          <w:rFonts w:ascii="Arial" w:hAnsi="Arial" w:hint="cs"/>
          <w:rtl/>
        </w:rPr>
        <w:t xml:space="preserve">) + </w:t>
      </w:r>
      <w:hyperlink r:id="rId25" w:history="1">
        <w:r w:rsidR="00CF3902" w:rsidRPr="00CF3902">
          <w:rPr>
            <w:rStyle w:val="Hyperlink"/>
            <w:rFonts w:ascii="Arial" w:hAnsi="Arial" w:hint="eastAsia"/>
            <w:rtl/>
          </w:rPr>
          <w:t>סעיף</w:t>
        </w:r>
        <w:r w:rsidR="00CF3902" w:rsidRPr="00CF3902">
          <w:rPr>
            <w:rStyle w:val="Hyperlink"/>
            <w:rFonts w:ascii="Arial" w:hAnsi="Arial"/>
            <w:rtl/>
          </w:rPr>
          <w:t xml:space="preserve"> 25</w:t>
        </w:r>
      </w:hyperlink>
      <w:r>
        <w:rPr>
          <w:rFonts w:ascii="Arial" w:hAnsi="Arial" w:hint="cs"/>
          <w:rtl/>
        </w:rPr>
        <w:t xml:space="preserve"> לחוק העונשין +</w:t>
      </w:r>
      <w:hyperlink r:id="rId26" w:history="1">
        <w:r w:rsidR="00CF3902" w:rsidRPr="00CF3902">
          <w:rPr>
            <w:rStyle w:val="Hyperlink"/>
            <w:rFonts w:ascii="Arial" w:hAnsi="Arial" w:hint="eastAsia"/>
            <w:rtl/>
          </w:rPr>
          <w:t>סעיף</w:t>
        </w:r>
        <w:r w:rsidR="00CF3902" w:rsidRPr="00CF3902">
          <w:rPr>
            <w:rStyle w:val="Hyperlink"/>
            <w:rFonts w:ascii="Arial" w:hAnsi="Arial"/>
            <w:rtl/>
          </w:rPr>
          <w:t xml:space="preserve"> 29(א)</w:t>
        </w:r>
      </w:hyperlink>
      <w:r>
        <w:rPr>
          <w:rFonts w:ascii="Arial" w:hAnsi="Arial" w:hint="cs"/>
          <w:rtl/>
        </w:rPr>
        <w:t xml:space="preserve"> לחוק העונשין, ובשתי עבירות של קשירת קשר לביצוע פשע, לפי </w:t>
      </w:r>
      <w:hyperlink r:id="rId27" w:history="1">
        <w:r w:rsidR="00CF3902" w:rsidRPr="00CF3902">
          <w:rPr>
            <w:rStyle w:val="Hyperlink"/>
            <w:rFonts w:ascii="Arial" w:hAnsi="Arial" w:hint="eastAsia"/>
            <w:rtl/>
          </w:rPr>
          <w:t>סעיף</w:t>
        </w:r>
        <w:r w:rsidR="00CF3902" w:rsidRPr="00CF3902">
          <w:rPr>
            <w:rStyle w:val="Hyperlink"/>
            <w:rFonts w:ascii="Arial" w:hAnsi="Arial"/>
            <w:rtl/>
          </w:rPr>
          <w:t xml:space="preserve"> 499(א)(1)</w:t>
        </w:r>
      </w:hyperlink>
      <w:r>
        <w:rPr>
          <w:rFonts w:ascii="Arial" w:hAnsi="Arial" w:hint="cs"/>
          <w:rtl/>
        </w:rPr>
        <w:t xml:space="preserve"> לחוק העונשין, שתי עבירות של החזקת כלי פריצה, לפי </w:t>
      </w:r>
      <w:hyperlink r:id="rId28" w:history="1">
        <w:r w:rsidR="00CF3902" w:rsidRPr="00CF3902">
          <w:rPr>
            <w:rStyle w:val="Hyperlink"/>
            <w:rFonts w:ascii="Arial" w:hAnsi="Arial" w:hint="eastAsia"/>
            <w:rtl/>
          </w:rPr>
          <w:t>סעיף</w:t>
        </w:r>
        <w:r w:rsidR="00CF3902" w:rsidRPr="00CF3902">
          <w:rPr>
            <w:rStyle w:val="Hyperlink"/>
            <w:rFonts w:ascii="Arial" w:hAnsi="Arial"/>
            <w:rtl/>
          </w:rPr>
          <w:t xml:space="preserve"> 409</w:t>
        </w:r>
      </w:hyperlink>
      <w:r>
        <w:rPr>
          <w:rFonts w:ascii="Arial" w:hAnsi="Arial" w:hint="cs"/>
          <w:rtl/>
        </w:rPr>
        <w:t xml:space="preserve"> לחוק העונשין, החזקת סם לצריכה עצמית לפי </w:t>
      </w:r>
      <w:hyperlink r:id="rId29" w:history="1">
        <w:r w:rsidR="00CF3902" w:rsidRPr="00CF3902">
          <w:rPr>
            <w:rStyle w:val="Hyperlink"/>
            <w:rFonts w:ascii="Arial" w:hAnsi="Arial" w:hint="eastAsia"/>
            <w:rtl/>
          </w:rPr>
          <w:t>סעיף</w:t>
        </w:r>
        <w:r w:rsidR="00CF3902" w:rsidRPr="00CF3902">
          <w:rPr>
            <w:rStyle w:val="Hyperlink"/>
            <w:rFonts w:ascii="Arial" w:hAnsi="Arial"/>
            <w:rtl/>
          </w:rPr>
          <w:t xml:space="preserve"> 7(א)</w:t>
        </w:r>
      </w:hyperlink>
      <w:r>
        <w:rPr>
          <w:rFonts w:ascii="Arial" w:hAnsi="Arial" w:hint="cs"/>
          <w:rtl/>
        </w:rPr>
        <w:t xml:space="preserve"> +</w:t>
      </w:r>
      <w:hyperlink r:id="rId30" w:history="1">
        <w:r w:rsidR="00CF3902" w:rsidRPr="00CF3902">
          <w:rPr>
            <w:rStyle w:val="Hyperlink"/>
            <w:rFonts w:ascii="Arial" w:hAnsi="Arial"/>
            <w:rtl/>
          </w:rPr>
          <w:t>7(ג)</w:t>
        </w:r>
      </w:hyperlink>
      <w:r>
        <w:rPr>
          <w:rFonts w:ascii="Arial" w:hAnsi="Arial" w:hint="cs"/>
          <w:rtl/>
        </w:rPr>
        <w:t xml:space="preserve"> ל</w:t>
      </w:r>
      <w:hyperlink r:id="rId31" w:history="1">
        <w:r w:rsidR="00DD0AE5" w:rsidRPr="00DD0AE5">
          <w:rPr>
            <w:rFonts w:ascii="Arial" w:hAnsi="Arial"/>
            <w:color w:val="0000FF"/>
            <w:u w:val="single"/>
            <w:rtl/>
          </w:rPr>
          <w:t>פקודת הסמים המסוכנים</w:t>
        </w:r>
      </w:hyperlink>
      <w:r>
        <w:rPr>
          <w:rFonts w:ascii="Arial" w:hAnsi="Arial" w:hint="cs"/>
          <w:rtl/>
        </w:rPr>
        <w:t xml:space="preserve"> (נ"ח) תשל"ג 1973 (להלן: </w:t>
      </w:r>
      <w:r w:rsidRPr="00F6153E">
        <w:rPr>
          <w:rFonts w:ascii="Arial" w:hAnsi="Arial" w:hint="cs"/>
          <w:b/>
          <w:bCs/>
          <w:rtl/>
        </w:rPr>
        <w:t>"פקודת הסמים"</w:t>
      </w:r>
      <w:r>
        <w:rPr>
          <w:rFonts w:ascii="Arial" w:hAnsi="Arial" w:hint="cs"/>
          <w:rtl/>
        </w:rPr>
        <w:t xml:space="preserve">), והחזקת כלים להכנת סם לצריכה עצמית, לפי </w:t>
      </w:r>
      <w:hyperlink r:id="rId32" w:history="1">
        <w:r w:rsidR="00CF3902" w:rsidRPr="00CF3902">
          <w:rPr>
            <w:rStyle w:val="Hyperlink"/>
            <w:rFonts w:ascii="Arial" w:hAnsi="Arial" w:hint="eastAsia"/>
            <w:rtl/>
          </w:rPr>
          <w:t>סעיף</w:t>
        </w:r>
        <w:r w:rsidR="00CF3902" w:rsidRPr="00CF3902">
          <w:rPr>
            <w:rStyle w:val="Hyperlink"/>
            <w:rFonts w:ascii="Arial" w:hAnsi="Arial"/>
            <w:rtl/>
          </w:rPr>
          <w:t xml:space="preserve"> 10</w:t>
        </w:r>
      </w:hyperlink>
      <w:r>
        <w:rPr>
          <w:rFonts w:ascii="Arial" w:hAnsi="Arial" w:hint="cs"/>
          <w:rtl/>
        </w:rPr>
        <w:t xml:space="preserve"> סיפא לפקודת הסמים המסוכנים. בין הצדדים לא הייתה הסכמה לעניין העונש, אך הוסכם כי בטרם ישמעו טיעונים יוזמן תסקיר מבחן בעניינו של הנאשם.</w:t>
      </w:r>
    </w:p>
    <w:p w14:paraId="1EBA4840" w14:textId="77777777" w:rsidR="00CB50A0" w:rsidRDefault="00CB50A0" w:rsidP="00CB50A0">
      <w:pPr>
        <w:pStyle w:val="a9"/>
        <w:numPr>
          <w:ilvl w:val="0"/>
          <w:numId w:val="1"/>
        </w:numPr>
        <w:spacing w:after="300" w:line="360" w:lineRule="auto"/>
        <w:contextualSpacing w:val="0"/>
        <w:jc w:val="both"/>
        <w:rPr>
          <w:rFonts w:ascii="Arial" w:hAnsi="Arial"/>
        </w:rPr>
      </w:pPr>
      <w:bookmarkStart w:id="6" w:name="ABSTRACT_END"/>
      <w:bookmarkEnd w:id="6"/>
      <w:r>
        <w:rPr>
          <w:rFonts w:ascii="Arial" w:hAnsi="Arial" w:hint="cs"/>
          <w:rtl/>
        </w:rPr>
        <w:lastRenderedPageBreak/>
        <w:t xml:space="preserve">בחלק הכללי שבכתב האישום המתוקן צוין, כי במועדים הרלוונטיים לכתב האישום, היו המעורבים חלק מכנופיית פורצים מקצועית שפעלה באזור ירושלים, כאשר לכל מעורב בה תפקיד מוגדר בפעילות העבריינית. באותם מועדים שצוינו בכתב האישום החזיק הנאשם בחמישה טלפונים ניידים. </w:t>
      </w:r>
    </w:p>
    <w:p w14:paraId="6B727AD1" w14:textId="77777777" w:rsidR="00CB50A0" w:rsidRDefault="00CB50A0" w:rsidP="00CB50A0">
      <w:pPr>
        <w:pStyle w:val="a9"/>
        <w:numPr>
          <w:ilvl w:val="0"/>
          <w:numId w:val="1"/>
        </w:numPr>
        <w:spacing w:after="300" w:line="360" w:lineRule="auto"/>
        <w:contextualSpacing w:val="0"/>
        <w:jc w:val="both"/>
        <w:rPr>
          <w:rFonts w:ascii="Arial" w:hAnsi="Arial"/>
        </w:rPr>
      </w:pPr>
      <w:r>
        <w:rPr>
          <w:rFonts w:ascii="Arial" w:hAnsi="Arial" w:hint="cs"/>
          <w:rtl/>
        </w:rPr>
        <w:t>על פי עובדות האישום הראשון ביום 28.8.18 או בסמוך לכך, במועד שאינו ידוע במדויק למאשימה, קשר הנאשם קשר עם אדם אחר ושניים נוספים לצורך ביצוע התפרצויות לבתי מגורים בשכונת נווה יעקב בירושלים. צוין, כי הנאשם יצר קשר באמצעות מכשירי הטלפון שברשותו עם אותם מעורבים וזאת לצורך קידום הפעילות העבריינית. במועד זה ובין השעות 16:59:02 ועד לשעה 22:28:46 ניהל הנאשם מספר שיחות רב עם אותם מעורבים לשם ביצוע עבירת התפרצות למקום המשמש למגורי אדם וזאת במטרה לבצע גניבה או פשע.</w:t>
      </w:r>
    </w:p>
    <w:p w14:paraId="21DE8D47" w14:textId="77777777" w:rsidR="00CB50A0" w:rsidRDefault="00CB50A0" w:rsidP="00CB50A0">
      <w:pPr>
        <w:pStyle w:val="a9"/>
        <w:numPr>
          <w:ilvl w:val="0"/>
          <w:numId w:val="1"/>
        </w:numPr>
        <w:spacing w:after="300" w:line="360" w:lineRule="auto"/>
        <w:contextualSpacing w:val="0"/>
        <w:jc w:val="both"/>
        <w:rPr>
          <w:rFonts w:ascii="Arial" w:hAnsi="Arial"/>
        </w:rPr>
      </w:pPr>
      <w:r>
        <w:rPr>
          <w:rFonts w:ascii="Arial" w:hAnsi="Arial" w:hint="cs"/>
          <w:rtl/>
        </w:rPr>
        <w:t xml:space="preserve">צוין, כי בין המועדים 28.8.18 ליום 31.8.18, יצר הנאשם מספר רב של פעמים קשר באמצעות אחד ממכשירי הטלפון שברשותו עם שניים נוספים, במטרה לבצע עבירת התפרצות. </w:t>
      </w:r>
    </w:p>
    <w:p w14:paraId="71DE9F40" w14:textId="77777777" w:rsidR="00CB50A0" w:rsidRDefault="00CB50A0" w:rsidP="00CB50A0">
      <w:pPr>
        <w:pStyle w:val="a9"/>
        <w:numPr>
          <w:ilvl w:val="0"/>
          <w:numId w:val="1"/>
        </w:numPr>
        <w:spacing w:after="300" w:line="360" w:lineRule="auto"/>
        <w:contextualSpacing w:val="0"/>
        <w:jc w:val="both"/>
        <w:rPr>
          <w:rFonts w:ascii="Arial" w:hAnsi="Arial"/>
        </w:rPr>
      </w:pPr>
      <w:r>
        <w:rPr>
          <w:rFonts w:ascii="Arial" w:hAnsi="Arial" w:hint="cs"/>
          <w:rtl/>
        </w:rPr>
        <w:t>כדי להוציא את הקשר ביניהם מן הכוח אל הפועל יצא הנאשם ביום 31.8.18 בשעה 17:53 או בסמוך לכך, ממקום שאינו ידוע במדויק למאשימה בישוב אדם לכיוון מאיר בלבן 2 בשכונת נווה יעקב בירושלים. בשעה 18:20:07 יצר הנאשם קשר עם אחד מהמעורבים ועדכן אותו אודות התרחשות הקיימת בדירה אליה תכננו להתפרץ. בהמשך נערכו שיחות רבות בין הנאשם למעורב נוסף אודות היערכות מצדם ומצד אנשים נוספים לביצוע ההתפרצות לאותה דירה.</w:t>
      </w:r>
    </w:p>
    <w:p w14:paraId="04905EE1" w14:textId="77777777" w:rsidR="00CB50A0" w:rsidRDefault="00CB50A0" w:rsidP="00CB50A0">
      <w:pPr>
        <w:pStyle w:val="a9"/>
        <w:numPr>
          <w:ilvl w:val="0"/>
          <w:numId w:val="1"/>
        </w:numPr>
        <w:spacing w:after="300" w:line="360" w:lineRule="auto"/>
        <w:contextualSpacing w:val="0"/>
        <w:jc w:val="both"/>
        <w:rPr>
          <w:rFonts w:ascii="Arial" w:hAnsi="Arial"/>
        </w:rPr>
      </w:pPr>
      <w:r>
        <w:rPr>
          <w:rFonts w:ascii="Arial" w:hAnsi="Arial" w:hint="cs"/>
          <w:rtl/>
        </w:rPr>
        <w:t>בשעה 20:04:15 או בסמוך לכך, התקשר אחד מהמעורבים לנאשם וציין בפניו את הדברים הבאים</w:t>
      </w:r>
      <w:r w:rsidRPr="00CB50A0">
        <w:rPr>
          <w:rFonts w:cs="Times New Roman"/>
          <w:rtl/>
        </w:rPr>
        <w:t>: "אה אחי, נראה לי משהו מסריח גם פה, אנחנו יצאנו... משהו לא טוב מאה על מאה, אם אני אומר זה בסלע אחי, אף אחד לא יכול לחלוק עליי... פה הגיע גם אוטו ברלינגו כולו עמוס אחי כוכבים... יום שישי, זה הם מכירים בטח את הטריק הזה. ראו אותנו אזור של דתיים... טוב אני ידבר אתך</w:t>
      </w:r>
      <w:r w:rsidRPr="00CB50A0">
        <w:rPr>
          <w:rFonts w:cs="Times New Roman" w:hint="cs"/>
          <w:rtl/>
        </w:rPr>
        <w:t xml:space="preserve">". </w:t>
      </w:r>
      <w:r>
        <w:rPr>
          <w:rFonts w:ascii="Arial" w:hAnsi="Arial" w:hint="cs"/>
          <w:rtl/>
        </w:rPr>
        <w:t>בשעה 20:11:55 התקשר הנאשם לאותו מעורב ושאל אותו האם הוא ואדם נוסף שנכח עמו הצליחו לחמוק מהרכב שעקב אחריהם. המעורב השיב בחיוב והנאשם ביקש שיעדכן אותו מאוחר יותר שהכול בסדר.</w:t>
      </w:r>
    </w:p>
    <w:p w14:paraId="31947E55" w14:textId="77777777" w:rsidR="00CB50A0" w:rsidRDefault="00CB50A0" w:rsidP="00CB50A0">
      <w:pPr>
        <w:pStyle w:val="a9"/>
        <w:numPr>
          <w:ilvl w:val="0"/>
          <w:numId w:val="1"/>
        </w:numPr>
        <w:spacing w:after="300" w:line="360" w:lineRule="auto"/>
        <w:contextualSpacing w:val="0"/>
        <w:jc w:val="both"/>
        <w:rPr>
          <w:rFonts w:ascii="Arial" w:hAnsi="Arial"/>
        </w:rPr>
      </w:pPr>
      <w:r>
        <w:rPr>
          <w:rFonts w:ascii="Arial" w:hAnsi="Arial" w:hint="cs"/>
          <w:rtl/>
        </w:rPr>
        <w:t xml:space="preserve">על פי האישום השני בין המועדים 21.10.18 ל- 22.10.18 קשר עם הנאשם קשר עם אדם בשם מיכאל והכל במטרה להתפרץ לבית מגורים ברחוב שמעוני בירושלים. לצורך קידום הקשר ומטרתו, ובאותם מועדים, יצרו הנאשם ומיכאל קשר טלפוני זה עם זה וניהלו מספר רב של שיחות לקידום הפעילות העבריינית. ביום 22.10.18 בשעה 10:55 או בסמוך לכך, החנה הנאשם את הרכב ברחוב דוד שמעוני בסמוך לבית מספר 15. הנאשם ירד מהרכב נכנס </w:t>
      </w:r>
      <w:r>
        <w:rPr>
          <w:rFonts w:ascii="Arial" w:hAnsi="Arial" w:hint="cs"/>
          <w:rtl/>
        </w:rPr>
        <w:lastRenderedPageBreak/>
        <w:t>לבית מספר 13, התקשר למיכאל ואמר לו שייכנס לבית מספר 13. מיכאל השיב: "אין שם אף אחד?". הנאשם השיב בחיוב וביקש שיזדרז. אז נכנס מיכאל לבניין ופגש בנאשם. באותן הנסיבות החזיקו הנאשם ומיכאל בצוותא בכלי פריצה: תותב מתכת דמוי מפתח שעטוף ברדיד אלומיניו</w:t>
      </w:r>
      <w:r>
        <w:rPr>
          <w:rFonts w:ascii="Arial" w:hAnsi="Arial" w:hint="eastAsia"/>
          <w:rtl/>
        </w:rPr>
        <w:t>ם</w:t>
      </w:r>
      <w:r>
        <w:rPr>
          <w:rFonts w:ascii="Arial" w:hAnsi="Arial" w:hint="cs"/>
          <w:rtl/>
        </w:rPr>
        <w:t>, כאשר לתותב מחוברת פרפרית ממתכת שבראשה שני ברגי</w:t>
      </w:r>
      <w:r>
        <w:rPr>
          <w:rFonts w:ascii="Arial" w:hAnsi="Arial" w:hint="eastAsia"/>
          <w:rtl/>
        </w:rPr>
        <w:t>י</w:t>
      </w:r>
      <w:r>
        <w:rPr>
          <w:rFonts w:ascii="Arial" w:hAnsi="Arial" w:hint="cs"/>
          <w:rtl/>
        </w:rPr>
        <w:t xml:space="preserve"> אלן, ורדיד </w:t>
      </w:r>
      <w:r w:rsidRPr="00F57139">
        <w:rPr>
          <w:rFonts w:ascii="Arial" w:hAnsi="Arial" w:hint="cs"/>
          <w:rtl/>
        </w:rPr>
        <w:t>אלומיניום באורך של 45 מ"מ שנמצאו בתוך קופת פלסטיק, כאשר על הקופסה רשום "</w:t>
      </w:r>
      <w:r w:rsidRPr="00F57139">
        <w:rPr>
          <w:rFonts w:ascii="Arial" w:hAnsi="Arial" w:hint="cs"/>
        </w:rPr>
        <w:t>T</w:t>
      </w:r>
      <w:r w:rsidRPr="00F57139">
        <w:rPr>
          <w:rFonts w:ascii="Arial" w:hAnsi="Arial"/>
        </w:rPr>
        <w:t>icTac</w:t>
      </w:r>
      <w:r w:rsidRPr="00F57139">
        <w:rPr>
          <w:rFonts w:ascii="Arial" w:hAnsi="Arial" w:hint="cs"/>
          <w:rtl/>
        </w:rPr>
        <w:t>". משהבחינו הנאשם ומיכאל בשוטרים שנמצאים בקרבת מקום, הניחו את כלי הפריצה מתחת לשטיח הסמוך לאחת הדירות שבקומה ב בבניין 13.</w:t>
      </w:r>
      <w:r>
        <w:rPr>
          <w:rFonts w:ascii="Arial" w:hAnsi="Arial" w:hint="cs"/>
          <w:rtl/>
        </w:rPr>
        <w:t xml:space="preserve"> הנאשם יצא מבניין 13, פנה ימינה, וצעד לכיוון רכבו שחנה בסמוך לבניין מספר 15 שברחוב דוד שמעוני. הנאשם התקשר למיכאל ואמר לו: "אל תתקרב אליי תלך לכיוון אחר ונהיה בקשר". בתגובה שאל מיכאל את הנאשם: "אה עוקבים אחריך" והנאשם השיב בחיוב. מיכאל יצא מבניין 13 פנה שמאלה והחל לעלות במדרגות שמחברות בין רחוב דוד שמעוני לרחוב טשרניחובסקי בירושלים. בהמשך, ובעת שהנאשם נכנס לרכבו, הגיע בסמוך לרכב השוטר קובי בן יעקב וביקש מהנאשם להזדהות. הנאשם הזדהה בפני השוטר באמצעות תעודת זהות. הנאשם נשאל מה מעשיו במקום ועם מי שהה והשיב כי נמצא לבדו והוא סתם מסתובב באזור. </w:t>
      </w:r>
    </w:p>
    <w:p w14:paraId="28BF5D3F" w14:textId="77777777" w:rsidR="00CB50A0" w:rsidRDefault="00CB50A0" w:rsidP="00CB50A0">
      <w:pPr>
        <w:pStyle w:val="a9"/>
        <w:spacing w:after="300" w:line="360" w:lineRule="auto"/>
        <w:contextualSpacing w:val="0"/>
        <w:jc w:val="both"/>
        <w:rPr>
          <w:rFonts w:ascii="Arial" w:hAnsi="Arial"/>
        </w:rPr>
      </w:pPr>
      <w:r>
        <w:rPr>
          <w:rFonts w:ascii="Arial" w:hAnsi="Arial" w:hint="cs"/>
          <w:rtl/>
        </w:rPr>
        <w:t>במהלך חיפוש שנערך ברכב נמצא בחלק האחורי על רצפת הרכב פטיש עם ידית בצבע כחול וכתום באורך כולל של כ-340 ס"מ, כלים מתכתיים וכן גז מדמיע.</w:t>
      </w:r>
    </w:p>
    <w:p w14:paraId="5068EF9C" w14:textId="77777777" w:rsidR="00CB50A0" w:rsidRDefault="00CB50A0" w:rsidP="00CB50A0">
      <w:pPr>
        <w:pStyle w:val="a9"/>
        <w:numPr>
          <w:ilvl w:val="0"/>
          <w:numId w:val="1"/>
        </w:numPr>
        <w:spacing w:after="300" w:line="360" w:lineRule="auto"/>
        <w:contextualSpacing w:val="0"/>
        <w:jc w:val="both"/>
        <w:rPr>
          <w:rFonts w:ascii="Arial" w:hAnsi="Arial"/>
        </w:rPr>
      </w:pPr>
      <w:r>
        <w:rPr>
          <w:rFonts w:ascii="Arial" w:hAnsi="Arial" w:hint="cs"/>
          <w:rtl/>
        </w:rPr>
        <w:t>במקביל להתרחשות זו, השיג השוטר יוסף זרקאווי את מיכאל וביקש ממנו להזדהות. מיכאל הציג בפניו תעודת זהות מזויפת. במהלך חיפוש שנערך על גופו של מיכאל נמצאו בין היתר משקפת שחורה ו-3 חתיכות של נייר כסף בארנק.</w:t>
      </w:r>
    </w:p>
    <w:p w14:paraId="64BD1693" w14:textId="77777777" w:rsidR="00CB50A0" w:rsidRPr="00407F74" w:rsidRDefault="00CB50A0" w:rsidP="00CB50A0">
      <w:pPr>
        <w:spacing w:after="300" w:line="360" w:lineRule="auto"/>
        <w:ind w:left="360"/>
        <w:jc w:val="both"/>
        <w:rPr>
          <w:rFonts w:ascii="Arial" w:hAnsi="Arial"/>
          <w:b/>
          <w:bCs/>
        </w:rPr>
      </w:pPr>
      <w:r w:rsidRPr="00407F74">
        <w:rPr>
          <w:rFonts w:ascii="Arial" w:hAnsi="Arial" w:hint="cs"/>
          <w:b/>
          <w:bCs/>
          <w:rtl/>
        </w:rPr>
        <w:t>רישום פלילי:</w:t>
      </w:r>
    </w:p>
    <w:p w14:paraId="4517FC9D" w14:textId="77777777" w:rsidR="00CB50A0" w:rsidRDefault="00CB50A0" w:rsidP="00CB50A0">
      <w:pPr>
        <w:pStyle w:val="a9"/>
        <w:numPr>
          <w:ilvl w:val="0"/>
          <w:numId w:val="1"/>
        </w:numPr>
        <w:spacing w:after="300" w:line="360" w:lineRule="auto"/>
        <w:contextualSpacing w:val="0"/>
        <w:jc w:val="both"/>
        <w:rPr>
          <w:rFonts w:ascii="Arial" w:hAnsi="Arial"/>
        </w:rPr>
      </w:pPr>
      <w:r>
        <w:rPr>
          <w:rFonts w:ascii="Arial" w:hAnsi="Arial" w:hint="cs"/>
          <w:rtl/>
        </w:rPr>
        <w:t xml:space="preserve">לנאשם רישום פלילי הכולל 3 הרשעות קודמות בעבירות של קשירת קשר לביצוע פשע, סמים, הפרת הוראה חוקית, אלימות רכוש (פריצה לרכב וגניבה) ועוד. הנאשם איצה שלוש תקופות מאסר כל אחת למשך 12 חודשים, ותלוי ועומד נגדו מאסר על תנאי להפעלה למשך 4 חודשים. </w:t>
      </w:r>
    </w:p>
    <w:p w14:paraId="4442EC80" w14:textId="77777777" w:rsidR="00CB50A0" w:rsidRDefault="00CB50A0" w:rsidP="00CB50A0">
      <w:pPr>
        <w:pStyle w:val="a9"/>
        <w:numPr>
          <w:ilvl w:val="0"/>
          <w:numId w:val="1"/>
        </w:numPr>
        <w:spacing w:after="300" w:line="360" w:lineRule="auto"/>
        <w:contextualSpacing w:val="0"/>
        <w:jc w:val="both"/>
        <w:rPr>
          <w:rFonts w:ascii="Arial" w:hAnsi="Arial"/>
        </w:rPr>
      </w:pPr>
      <w:r>
        <w:rPr>
          <w:rFonts w:ascii="Arial" w:hAnsi="Arial" w:hint="cs"/>
          <w:rtl/>
        </w:rPr>
        <w:t>באישום השלישי צוין כי באותו המועד -22.10.18- נערך חיפוש בביתו של הנאשם ונמצאו בו כלי פריצה כמפורט להלן: קיסם קידוד באורך 125 מ"מ ו-4 גלמי הטבעות מפתחות מנייר באורך כולל של 45 מ"מ, 4 קיסמי קידוד אחד באורך 130 מ"מ ושלושה באורך 75 מ"מ, ו-3 גלמי מפתחות מתכתיים מאולתרים באורך כולל של 50-55 מ"מ. באותן הנסיבות החזיק הנאשם על רצפת חדר השינה שבבית סם מסוכן מסוג חשיש במשקל 0.26 גרם וכן החזיק בארון הבגדים משקל דיגיטלי.</w:t>
      </w:r>
    </w:p>
    <w:p w14:paraId="5677BFB1" w14:textId="77777777" w:rsidR="00CB50A0" w:rsidRPr="00F6153E" w:rsidRDefault="00CB50A0" w:rsidP="00CB50A0">
      <w:pPr>
        <w:spacing w:after="300" w:line="360" w:lineRule="auto"/>
        <w:ind w:left="360"/>
        <w:jc w:val="both"/>
        <w:rPr>
          <w:rFonts w:ascii="Arial" w:hAnsi="Arial"/>
          <w:b/>
          <w:bCs/>
        </w:rPr>
      </w:pPr>
      <w:r w:rsidRPr="00F6153E">
        <w:rPr>
          <w:rFonts w:ascii="Arial" w:hAnsi="Arial" w:hint="cs"/>
          <w:b/>
          <w:bCs/>
          <w:rtl/>
        </w:rPr>
        <w:t>תסקירי שרות המבחן:</w:t>
      </w:r>
    </w:p>
    <w:p w14:paraId="4B01D74C" w14:textId="77777777" w:rsidR="00CB50A0" w:rsidRDefault="00CB50A0" w:rsidP="00CB50A0">
      <w:pPr>
        <w:pStyle w:val="a9"/>
        <w:numPr>
          <w:ilvl w:val="0"/>
          <w:numId w:val="1"/>
        </w:numPr>
        <w:spacing w:after="300" w:line="360" w:lineRule="auto"/>
        <w:contextualSpacing w:val="0"/>
        <w:jc w:val="both"/>
        <w:rPr>
          <w:rFonts w:ascii="Arial" w:hAnsi="Arial"/>
        </w:rPr>
      </w:pPr>
      <w:r>
        <w:rPr>
          <w:rFonts w:ascii="Arial" w:hAnsi="Arial" w:hint="cs"/>
          <w:rtl/>
        </w:rPr>
        <w:t xml:space="preserve">בעניינו של הנאשם הוגשו 3 תסקירים, אביא מתוכנם בתמצית. </w:t>
      </w:r>
    </w:p>
    <w:p w14:paraId="20AD4AF7" w14:textId="77777777" w:rsidR="00CB50A0" w:rsidRDefault="00CB50A0" w:rsidP="00CB50A0">
      <w:pPr>
        <w:pStyle w:val="a9"/>
        <w:numPr>
          <w:ilvl w:val="0"/>
          <w:numId w:val="1"/>
        </w:numPr>
        <w:spacing w:after="300" w:line="360" w:lineRule="auto"/>
        <w:contextualSpacing w:val="0"/>
        <w:jc w:val="both"/>
        <w:rPr>
          <w:rFonts w:ascii="Arial" w:hAnsi="Arial"/>
        </w:rPr>
      </w:pPr>
      <w:r>
        <w:rPr>
          <w:rFonts w:ascii="Arial" w:hAnsi="Arial" w:hint="cs"/>
          <w:rtl/>
        </w:rPr>
        <w:t>בתסקיר הראשון מיום 27.3.19 צוין, כי נערכו מספר ניסיונות לאיתור הנאשם ללא הצלחה. בהמשך נקבעה עמו פגישה באמצעות אחד ממפקחיו, אך גם אליה לא התייצב. במועד השלישי התייצב אך עזב לאחר מספר דקות על דעת עצמו וללא עדכון. צוין, כי במסגרת הליכי המעצר הוטל על הנאשם צו פיקוח מעצרים למשך 6 חודשים, אך הוא התקשה לשתף פעולה עמם ולשמור על קשר רציף. הנאשם נעדר מפגישות ומסירת בדיקות לאיתור שרידי סם, ואף מסר בדיקה מזויפת. בנסיבות אלו הומלץ לבטל את צו הפיקוח שהוטל עליו.</w:t>
      </w:r>
    </w:p>
    <w:p w14:paraId="33219CBB" w14:textId="77777777" w:rsidR="00CB50A0" w:rsidRDefault="00CB50A0" w:rsidP="00CB50A0">
      <w:pPr>
        <w:pStyle w:val="a9"/>
        <w:numPr>
          <w:ilvl w:val="0"/>
          <w:numId w:val="1"/>
        </w:numPr>
        <w:spacing w:after="300" w:line="360" w:lineRule="auto"/>
        <w:contextualSpacing w:val="0"/>
        <w:jc w:val="both"/>
        <w:rPr>
          <w:rFonts w:ascii="Arial" w:hAnsi="Arial"/>
        </w:rPr>
      </w:pPr>
      <w:r>
        <w:rPr>
          <w:rFonts w:ascii="Arial" w:hAnsi="Arial" w:hint="cs"/>
          <w:rtl/>
        </w:rPr>
        <w:t>בתסקיר מיום 27.6.19 צוין, כי הנאשם כבן 24 מתגורר בשכירות בירושלים ועובד בחברת ניקיון, מצוי בתנאים מגבילים. הנאשם עלה לארץ בהיות כבן 6. בהיות כבן 11 התגרשו הוריו ובתחילה חזר עם אביו לרוסיה והתגורר עמו מספר חודשים, בהמשך ובשל קשיי השתלבות שב לארץ להתגורר עם אמו. לאחר כשלוש שנים עזבה אמו את הארץ והוא נותר במשמורת דודתו. בתסקיר פורטה סקירה אודות מהלך חייו שהתאפיינו בקשיי התנהגות, ומעבר בין מסגרות חינוך. בגיל 12 הופנה למעון "נווה חורש" ובהמשך למעון סגור "גילעם". השתלבותו לוותה בקשיי התנהגות משמעותיים ובמעורבות פלילית. ניסיונו</w:t>
      </w:r>
      <w:r>
        <w:rPr>
          <w:rFonts w:ascii="Arial" w:hAnsi="Arial" w:hint="eastAsia"/>
          <w:rtl/>
        </w:rPr>
        <w:t>ת</w:t>
      </w:r>
      <w:r>
        <w:rPr>
          <w:rFonts w:ascii="Arial" w:hAnsi="Arial" w:hint="cs"/>
          <w:rtl/>
        </w:rPr>
        <w:t xml:space="preserve"> טיפוליים מרובים לשלבו במסגרות חינוך וטיפול במסגרת הקהילה ומחוצה לו, כשלו. הנאשם תיאר בפני שרות המבחן צריכת אלכוהול מבוקרת ושלל שימוש בסם כיום, זאת בניגוד למידע המצוי בידי שרות המבחן. בנוסף, ועל אף שנקבעו עמו בדיקות מעקביות לאיתור שרידי סם, הנאשם לא הגיע לאף אחת מהבדיקות וניתק את הקשר עם שרות המבחן. </w:t>
      </w:r>
    </w:p>
    <w:p w14:paraId="2B8671D9" w14:textId="77777777" w:rsidR="00CB50A0" w:rsidRDefault="00CB50A0" w:rsidP="00CB50A0">
      <w:pPr>
        <w:pStyle w:val="a9"/>
        <w:numPr>
          <w:ilvl w:val="0"/>
          <w:numId w:val="1"/>
        </w:numPr>
        <w:spacing w:after="300" w:line="360" w:lineRule="auto"/>
        <w:contextualSpacing w:val="0"/>
        <w:jc w:val="both"/>
        <w:rPr>
          <w:rFonts w:ascii="Arial" w:hAnsi="Arial"/>
        </w:rPr>
      </w:pPr>
      <w:r>
        <w:rPr>
          <w:rFonts w:ascii="Arial" w:hAnsi="Arial" w:hint="cs"/>
          <w:rtl/>
        </w:rPr>
        <w:t>בהתייחס לעבירות הנאשם נטל אחריות חלקית לביצוען. הנאשם התקשה להתייחס לעבירות ונסיבותיהן ושב ומסר כי על אף התכנון העבירות לא בוצעו. הנאשם תיאר את הרקע לביצוען במצבו הכלכלי ורצון להרווי</w:t>
      </w:r>
      <w:r>
        <w:rPr>
          <w:rFonts w:ascii="Arial" w:hAnsi="Arial" w:hint="eastAsia"/>
          <w:rtl/>
        </w:rPr>
        <w:t>ח</w:t>
      </w:r>
      <w:r>
        <w:rPr>
          <w:rFonts w:ascii="Arial" w:hAnsi="Arial" w:hint="cs"/>
          <w:rtl/>
        </w:rPr>
        <w:t xml:space="preserve"> "כסף קל". להתרשמותם הנאשם מתקשה להכיר בחומרת מעשיו, לגלות אמפטיה כלפי המתלוננים ולערוך התבוננות על דפוסי התנהגותו. על פיהם, </w:t>
      </w:r>
      <w:r w:rsidRPr="00DC6AA7">
        <w:rPr>
          <w:rFonts w:ascii="Arial" w:hAnsi="Arial" w:hint="cs"/>
          <w:rtl/>
        </w:rPr>
        <w:t>ברק</w:t>
      </w:r>
      <w:r>
        <w:rPr>
          <w:rFonts w:ascii="Arial" w:hAnsi="Arial" w:hint="cs"/>
          <w:rtl/>
        </w:rPr>
        <w:t xml:space="preserve">ע לביצוען, דפוסי התמכרות ועבריינות, תוך ניהול שגרת חיים שולית ובלתי יציבה. ברקע לכך, גדילתו בתנאי עזובה רגשית, חוסר יציבות קיומי בחייו, חווית נטישה והעדר מענה רגשי ואף קונקרטי לחייו. נוכח קשייו בשיתוף פעולה ציין שרות המבחן כי אינו בא בהמלצה טיפולית ביחס לנאשם והמליץ על ענישה הרתעתית.  </w:t>
      </w:r>
    </w:p>
    <w:p w14:paraId="5FCA6959" w14:textId="77777777" w:rsidR="00CB50A0" w:rsidRDefault="00CB50A0" w:rsidP="00CB50A0">
      <w:pPr>
        <w:pStyle w:val="a9"/>
        <w:numPr>
          <w:ilvl w:val="0"/>
          <w:numId w:val="1"/>
        </w:numPr>
        <w:spacing w:after="300" w:line="360" w:lineRule="auto"/>
        <w:contextualSpacing w:val="0"/>
        <w:jc w:val="both"/>
        <w:rPr>
          <w:rFonts w:ascii="Arial" w:hAnsi="Arial"/>
        </w:rPr>
      </w:pPr>
      <w:r>
        <w:rPr>
          <w:rFonts w:ascii="Arial" w:hAnsi="Arial" w:hint="cs"/>
          <w:rtl/>
        </w:rPr>
        <w:t xml:space="preserve">בתסקיר מיום 16.9.19 ציין שרות המבחן כי נעשה ניסיון נוסף מצדם להזמין את הנאשם לפגישה בשירותם, אך הנאשם לא הגיע, אף לאחר שהסתייעו לצורך העניין בסיוע בא כוחו. בשיחה שנערכה עמו ביקש הנאשם הזדמנות לבדוק עם מעסיקו אפשרויות לקביעת מועד פגישה. הנאשם מסר כי ישוב ויעדכן את שרות המבחן בתוך מספר ימים, אך לא יצר עמם קשר. ניסיונות נוספים לאתרו באמצעות מפקחיו לא צלחו. נוכח זאת ממליץ שרות המבחן על הטלת עונש מוחשי הרתעתי אשר יעמיד לנאשם גבולות ברורים להתנהגותו. </w:t>
      </w:r>
    </w:p>
    <w:p w14:paraId="73385B2A" w14:textId="77777777" w:rsidR="00CB50A0" w:rsidRPr="00F6153E" w:rsidRDefault="00CB50A0" w:rsidP="00CB50A0">
      <w:pPr>
        <w:spacing w:after="300" w:line="360" w:lineRule="auto"/>
        <w:ind w:left="360"/>
        <w:jc w:val="both"/>
        <w:rPr>
          <w:rFonts w:ascii="Arial" w:hAnsi="Arial"/>
          <w:b/>
          <w:bCs/>
        </w:rPr>
      </w:pPr>
      <w:r w:rsidRPr="00F6153E">
        <w:rPr>
          <w:rFonts w:ascii="Arial" w:hAnsi="Arial" w:hint="cs"/>
          <w:b/>
          <w:bCs/>
          <w:rtl/>
        </w:rPr>
        <w:t>תמצית טיעוני הצדדים:</w:t>
      </w:r>
    </w:p>
    <w:p w14:paraId="540E404F" w14:textId="77777777" w:rsidR="00CB50A0" w:rsidRDefault="00CB50A0" w:rsidP="00CB50A0">
      <w:pPr>
        <w:pStyle w:val="a9"/>
        <w:numPr>
          <w:ilvl w:val="0"/>
          <w:numId w:val="1"/>
        </w:numPr>
        <w:spacing w:after="300" w:line="360" w:lineRule="auto"/>
        <w:contextualSpacing w:val="0"/>
        <w:jc w:val="both"/>
        <w:rPr>
          <w:rFonts w:ascii="Arial" w:hAnsi="Arial"/>
        </w:rPr>
      </w:pPr>
      <w:r>
        <w:rPr>
          <w:rFonts w:ascii="Arial" w:hAnsi="Arial" w:hint="cs"/>
          <w:rtl/>
        </w:rPr>
        <w:t xml:space="preserve">המאשימה בטיעוניה הפנתה לכך שהנאשם יליד 1994 לחובתו 3 הרשעות קודמות בגינן ריצה 3 תקופות מאסר למשך תקופה מצטברת של 36 חודשים. בנוסף תלוי ועומד כנגדו מע"ת להפעלה למשך 4 חודשים. המאשימה הפנתה לכתב האישום וסיפור קשירת הקשר בין הנאשם למעורבים נוספים שפעלו יחד כחוליה מאורגנת ומסודרת, במטרה לבצע התפרצויות לבתי מגורים. צוין, כי באישום הראשון לא הושלמה העבירה מפאת היותו של המתלונן  בבית, וזאת כאשר החוליה מצויה בסמוך לביתו. בנוסף קשר הנאשם קשר עם אדם נוסף להתפרץ לבית נוסף והחזיק במועד האירוע בכלי פריצה. צוין, כי במהלך חיפוש שנערך בביתו נמצאו כלי פריצה נוספים וכן סם מסוכן וכן החזיק בכלים להכנת סם. צוין, כי במעשיו פגע הנאשם בערכים מוגנים רבים: זכות הפרט לקניין, ביטחון הפרט בביתו זכותו לפרטיות ושלטון החוק. באשר לתוכנו של התסקיר הפנתה המאשימה להעדר שיתוף הפעולה והתרשמות שרות המבחן מהנאשם לכך כי קיימת סיכון גבוה להישנות ביצוע עבירות דומות בעתיד. בהתייחס למתחם הענישה ציינה, כי בשני האישומים הוא נע על הציר שבין 12 חודשי מאסר ועד 24 חודשי מאסר לצד ענישה נלווית. על הנאשם ביקשה להטיל 24 חודשי מאסר, ולהפעיל את המאסר על תנאי שתלוי ועומד נגדו במצטבר, זאת לצד מע"ת ארוך ומרתיע וקנס כספי. </w:t>
      </w:r>
    </w:p>
    <w:p w14:paraId="41C5FFD3" w14:textId="77777777" w:rsidR="00CB50A0" w:rsidRDefault="00CB50A0" w:rsidP="00CB50A0">
      <w:pPr>
        <w:pStyle w:val="a9"/>
        <w:numPr>
          <w:ilvl w:val="0"/>
          <w:numId w:val="1"/>
        </w:numPr>
        <w:spacing w:after="300" w:line="360" w:lineRule="auto"/>
        <w:contextualSpacing w:val="0"/>
        <w:jc w:val="both"/>
        <w:rPr>
          <w:rFonts w:ascii="Arial" w:hAnsi="Arial"/>
        </w:rPr>
      </w:pPr>
      <w:r>
        <w:rPr>
          <w:rFonts w:ascii="Arial" w:hAnsi="Arial" w:hint="cs"/>
          <w:rtl/>
        </w:rPr>
        <w:t>הסנגור בטיעוניו ביקש שלא לייחד מקרה זה ממקרים דומים בהם נדונו נאשמים בעבירות דומות. על פיו מסגרת האירועים שבכתב האישום אינה חוצה את גבולות המעקב וההכנה. הסנגור הוסיף, כי יש לתת משקל מכריע להודאת הנאשם ונטילת האחריות, נוכח החיסכון  בזמן השיפוטי הנדרש לשמיעת ראיות בתיק. בהתייחס למתחמי הענישה צוין, כי ביחס לעבירה המושלמת נקבע כי רף הענישה הינו החל מ-6 חודשי מאסר ועד ל- 24 חודשים, אך נוכח העובדה כי בענייננו מיוחסות לנאשם עבירות של ניסיון זאת לצד קשירת קשר, ראוי שעונשו של הנאשם ייקבע בתחתית מתחם הענישה. בהקשר זה הוסיף הסנגור, כי בפועל לא נגרם נזק רכושי. בהתייחס לאישום השני ציין הסנגור כי מתחם העונש ההולם הינו ממאסר על תנאי ועד למאסר שירוצה על דרך עבודות השירות.</w:t>
      </w:r>
    </w:p>
    <w:p w14:paraId="63F4156C" w14:textId="77777777" w:rsidR="00CB50A0" w:rsidRDefault="00CB50A0" w:rsidP="00CB50A0">
      <w:pPr>
        <w:pStyle w:val="a9"/>
        <w:numPr>
          <w:ilvl w:val="0"/>
          <w:numId w:val="1"/>
        </w:numPr>
        <w:spacing w:after="300" w:line="360" w:lineRule="auto"/>
        <w:contextualSpacing w:val="0"/>
        <w:jc w:val="both"/>
        <w:rPr>
          <w:rFonts w:ascii="Arial" w:hAnsi="Arial"/>
        </w:rPr>
      </w:pPr>
      <w:r>
        <w:rPr>
          <w:rFonts w:ascii="Arial" w:hAnsi="Arial" w:hint="cs"/>
          <w:rtl/>
        </w:rPr>
        <w:t xml:space="preserve">הסנגור הפנה לתוכנו של התסקיר, ובעיקר לנסיבותיו האישיות של הנאשם והרקע בו צמח שהיוו לדבריו את הרקע למעורבות פלילית לאורך השנים. הסנגור הדגיש שהעדר מסגרת משפחתית תומכת, וצורך הישרדותי של הנאשם, הם הגורמים העומדים בבסיס העדר שיתוף הפעולה מצדו והעדר המלצה מצד שרות המבחן. הוסף, שכיום הנאשם מועסק בחברת ניקיון באופן קבוע, במסגרתה לוקח חלק בעבודות ניקיון ודואג להסעת 30 עובדים המועסקים בחברה. על פיו הנאשם מרוכז כיום בפרנסה בלבד. בנסיבות אלו עתר הסנגור להטלת מע"ת ולחילופין להפנות את הנאשם לממונה על עבודות השירות, לתקופה הכוללת גם את הפעלת התנאי התלוי ועומד נגדו.       </w:t>
      </w:r>
    </w:p>
    <w:p w14:paraId="25E6ACEC" w14:textId="77777777" w:rsidR="00CB50A0" w:rsidRPr="001932A4" w:rsidRDefault="00CB50A0" w:rsidP="00CB50A0">
      <w:pPr>
        <w:spacing w:after="300" w:line="360" w:lineRule="auto"/>
        <w:jc w:val="both"/>
        <w:rPr>
          <w:rFonts w:ascii="David" w:hAnsi="David"/>
          <w:b/>
          <w:bCs/>
          <w:rtl/>
        </w:rPr>
      </w:pPr>
      <w:r w:rsidRPr="001932A4">
        <w:rPr>
          <w:rFonts w:ascii="David" w:hAnsi="David"/>
          <w:b/>
          <w:bCs/>
          <w:rtl/>
        </w:rPr>
        <w:t>דיון והכרעה</w:t>
      </w:r>
      <w:r>
        <w:rPr>
          <w:rFonts w:ascii="David" w:hAnsi="David" w:hint="cs"/>
          <w:b/>
          <w:bCs/>
          <w:rtl/>
        </w:rPr>
        <w:t>:</w:t>
      </w:r>
    </w:p>
    <w:p w14:paraId="1D84A7AA" w14:textId="77777777" w:rsidR="00CB50A0" w:rsidRPr="00950BF5" w:rsidRDefault="00CB50A0" w:rsidP="00CB50A0">
      <w:pPr>
        <w:numPr>
          <w:ilvl w:val="0"/>
          <w:numId w:val="1"/>
        </w:numPr>
        <w:spacing w:after="300" w:line="360" w:lineRule="auto"/>
        <w:jc w:val="both"/>
        <w:rPr>
          <w:rFonts w:ascii="David" w:hAnsi="David"/>
          <w:rtl/>
        </w:rPr>
      </w:pPr>
      <w:r w:rsidRPr="00950BF5">
        <w:rPr>
          <w:rFonts w:ascii="David" w:hAnsi="David"/>
          <w:rtl/>
        </w:rPr>
        <w:t xml:space="preserve">תחילה </w:t>
      </w:r>
      <w:r>
        <w:rPr>
          <w:rFonts w:ascii="David" w:hAnsi="David" w:hint="cs"/>
          <w:rtl/>
        </w:rPr>
        <w:t xml:space="preserve">אדון </w:t>
      </w:r>
      <w:r w:rsidRPr="00950BF5">
        <w:rPr>
          <w:rFonts w:ascii="David" w:hAnsi="David"/>
          <w:rtl/>
        </w:rPr>
        <w:t xml:space="preserve">בשאלה האם העבירות בהן הורשע הנאשם </w:t>
      </w:r>
      <w:r>
        <w:rPr>
          <w:rFonts w:ascii="David" w:hAnsi="David" w:hint="cs"/>
          <w:rtl/>
        </w:rPr>
        <w:t xml:space="preserve">הינן </w:t>
      </w:r>
      <w:r w:rsidRPr="00950BF5">
        <w:rPr>
          <w:rFonts w:ascii="David" w:hAnsi="David"/>
          <w:rtl/>
        </w:rPr>
        <w:t xml:space="preserve">נפרדות, </w:t>
      </w:r>
      <w:r>
        <w:rPr>
          <w:rFonts w:ascii="David" w:hAnsi="David" w:hint="cs"/>
          <w:rtl/>
        </w:rPr>
        <w:t xml:space="preserve">ובהתאם יש לקבוע בגינן מתחם עונש נפרד, </w:t>
      </w:r>
      <w:r w:rsidRPr="00950BF5">
        <w:rPr>
          <w:rFonts w:ascii="David" w:hAnsi="David"/>
          <w:rtl/>
        </w:rPr>
        <w:t xml:space="preserve">שמא </w:t>
      </w:r>
      <w:r>
        <w:rPr>
          <w:rFonts w:ascii="David" w:hAnsi="David" w:hint="cs"/>
          <w:rtl/>
        </w:rPr>
        <w:t xml:space="preserve">הן מהוות </w:t>
      </w:r>
      <w:r w:rsidRPr="00950BF5">
        <w:rPr>
          <w:rFonts w:ascii="David" w:hAnsi="David"/>
          <w:rtl/>
        </w:rPr>
        <w:t xml:space="preserve">אירוע עברייני אחד </w:t>
      </w:r>
      <w:r>
        <w:rPr>
          <w:rFonts w:ascii="David" w:hAnsi="David" w:hint="cs"/>
          <w:rtl/>
        </w:rPr>
        <w:t xml:space="preserve">ובהתאם יש לקבוע מתחם אחד </w:t>
      </w:r>
      <w:r w:rsidRPr="00950BF5">
        <w:rPr>
          <w:rFonts w:ascii="David" w:hAnsi="David"/>
          <w:rtl/>
        </w:rPr>
        <w:t>(</w:t>
      </w:r>
      <w:hyperlink r:id="rId33" w:history="1">
        <w:r w:rsidR="00CF3902" w:rsidRPr="00CF3902">
          <w:rPr>
            <w:rStyle w:val="Hyperlink"/>
            <w:rFonts w:ascii="David" w:hAnsi="David"/>
            <w:rtl/>
          </w:rPr>
          <w:t>סעיף 40יג</w:t>
        </w:r>
      </w:hyperlink>
      <w:r w:rsidRPr="00950BF5">
        <w:rPr>
          <w:rFonts w:ascii="David" w:hAnsi="David"/>
          <w:rtl/>
        </w:rPr>
        <w:t xml:space="preserve"> ל</w:t>
      </w:r>
      <w:hyperlink r:id="rId34" w:history="1">
        <w:r w:rsidR="00DD0AE5" w:rsidRPr="00DD0AE5">
          <w:rPr>
            <w:rFonts w:ascii="David" w:hAnsi="David"/>
            <w:color w:val="0000FF"/>
            <w:u w:val="single"/>
            <w:rtl/>
          </w:rPr>
          <w:t>חוק העונשין</w:t>
        </w:r>
      </w:hyperlink>
      <w:r w:rsidRPr="00950BF5">
        <w:rPr>
          <w:rFonts w:ascii="David" w:hAnsi="David"/>
          <w:rtl/>
        </w:rPr>
        <w:t xml:space="preserve">). </w:t>
      </w:r>
    </w:p>
    <w:p w14:paraId="0520D4A4" w14:textId="77777777" w:rsidR="00CB50A0" w:rsidRPr="00950BF5" w:rsidRDefault="00CB50A0" w:rsidP="00CB50A0">
      <w:pPr>
        <w:numPr>
          <w:ilvl w:val="0"/>
          <w:numId w:val="1"/>
        </w:numPr>
        <w:spacing w:after="300" w:line="360" w:lineRule="auto"/>
        <w:jc w:val="both"/>
        <w:rPr>
          <w:rFonts w:ascii="David" w:hAnsi="David"/>
          <w:rtl/>
        </w:rPr>
      </w:pPr>
      <w:r w:rsidRPr="00950BF5">
        <w:rPr>
          <w:rFonts w:ascii="David" w:hAnsi="David"/>
          <w:rtl/>
        </w:rPr>
        <w:t xml:space="preserve">בפסיקה נדונה בהרחבה סוגיית ריבוי העבירות. בפסק דינו של כב' השופט סולברג נקבע </w:t>
      </w:r>
      <w:hyperlink r:id="rId35" w:history="1">
        <w:r w:rsidR="00CF3902" w:rsidRPr="00CF3902">
          <w:rPr>
            <w:rStyle w:val="Hyperlink"/>
            <w:rFonts w:ascii="David" w:hAnsi="David"/>
            <w:rtl/>
          </w:rPr>
          <w:t>שסעיף 40יג</w:t>
        </w:r>
      </w:hyperlink>
      <w:r w:rsidRPr="00950BF5">
        <w:rPr>
          <w:rFonts w:ascii="David" w:hAnsi="David"/>
          <w:rtl/>
        </w:rPr>
        <w:t xml:space="preserve"> לחוק מטיל מעמסה על בית המשפט, הנדרש לבחון האם פעילות עבריינית עולה כדי אירוע אחד הכולל מספר עבירות או שמא יש לראותה כמספר אירועים עברייניים נפרדים. ראו: סעיף 14, ב</w:t>
      </w:r>
      <w:hyperlink r:id="rId36" w:history="1">
        <w:r w:rsidR="00DD0AE5" w:rsidRPr="00DD0AE5">
          <w:rPr>
            <w:rFonts w:ascii="David" w:hAnsi="David"/>
            <w:color w:val="0000FF"/>
            <w:u w:val="single"/>
            <w:rtl/>
          </w:rPr>
          <w:t>ע"פ 1261/15</w:t>
        </w:r>
      </w:hyperlink>
      <w:r w:rsidRPr="00950BF5">
        <w:rPr>
          <w:rFonts w:ascii="David" w:hAnsi="David"/>
          <w:rtl/>
        </w:rPr>
        <w:t xml:space="preserve"> </w:t>
      </w:r>
      <w:r w:rsidRPr="00B92E2C">
        <w:rPr>
          <w:rFonts w:ascii="David" w:hAnsi="David"/>
          <w:b/>
          <w:bCs/>
          <w:rtl/>
        </w:rPr>
        <w:t>מדינת ישראל נ' יוסף דלאל</w:t>
      </w:r>
      <w:r w:rsidRPr="00950BF5">
        <w:rPr>
          <w:rFonts w:ascii="David" w:hAnsi="David"/>
          <w:rtl/>
        </w:rPr>
        <w:t xml:space="preserve"> (3.9.15).</w:t>
      </w:r>
    </w:p>
    <w:p w14:paraId="578A4DAD" w14:textId="77777777" w:rsidR="00CB50A0" w:rsidRPr="00950BF5" w:rsidRDefault="00CB50A0" w:rsidP="00CB50A0">
      <w:pPr>
        <w:numPr>
          <w:ilvl w:val="0"/>
          <w:numId w:val="1"/>
        </w:numPr>
        <w:spacing w:after="300" w:line="360" w:lineRule="auto"/>
        <w:jc w:val="both"/>
        <w:rPr>
          <w:rFonts w:ascii="David" w:hAnsi="David"/>
          <w:rtl/>
        </w:rPr>
      </w:pPr>
      <w:r w:rsidRPr="00950BF5">
        <w:rPr>
          <w:rFonts w:ascii="David" w:hAnsi="David"/>
          <w:rtl/>
        </w:rPr>
        <w:t xml:space="preserve">לשם הכרעה בסוגיה זו הפנה כב' השופט סולברג לבחינת התכלית לחיקוק סעיף זה, ולדבריהם של המלומדים ואקי ורבין שציינו כי לאחר תיקון 113 לחוק, ניתנה לבית המשפט, מחד, האפשרות להעניק משקל לכל אירוע עברייני בנפרד, יותר מכפי שהיה מקובל בפסיקה בעבר, ומאידך ניתנה לו האפשרות לגזור עונש כולל לכלל האירועים, ובכך לסטות מהוראת החוק ומהתכליות שביסודו (הפרקליט, נב 413, 441, תשע"ג). לדברי כב' השופט סולברג, הבעיה שבהכרעה בסוגיה זו מתחזקת נוכח העובדה שבחוק לא מוגדר במפורש המונח "אירוע", כך שיקשה להגדיר כל אחת מהעבירות בנפרד, ומצד שני, </w:t>
      </w:r>
      <w:hyperlink r:id="rId37" w:history="1">
        <w:r w:rsidR="00CF3902" w:rsidRPr="00CF3902">
          <w:rPr>
            <w:rStyle w:val="Hyperlink"/>
            <w:rFonts w:ascii="David" w:hAnsi="David"/>
            <w:rtl/>
          </w:rPr>
          <w:t>בסעיף 186</w:t>
        </w:r>
      </w:hyperlink>
      <w:r w:rsidRPr="00950BF5">
        <w:rPr>
          <w:rFonts w:ascii="David" w:hAnsi="David"/>
          <w:rtl/>
        </w:rPr>
        <w:t xml:space="preserve"> ל</w:t>
      </w:r>
      <w:hyperlink r:id="rId38" w:history="1">
        <w:r w:rsidR="00DD0AE5" w:rsidRPr="00DD0AE5">
          <w:rPr>
            <w:rFonts w:ascii="David" w:hAnsi="David"/>
            <w:color w:val="0000FF"/>
            <w:u w:val="single"/>
            <w:rtl/>
          </w:rPr>
          <w:t>חוק סדר דין פלילי</w:t>
        </w:r>
      </w:hyperlink>
      <w:r w:rsidRPr="00950BF5">
        <w:rPr>
          <w:rFonts w:ascii="David" w:hAnsi="David"/>
          <w:rtl/>
        </w:rPr>
        <w:t xml:space="preserve"> [נוסח משולב], תשמ"ב – 1982 נקבע שלא ניתן להרשיע נאשם יותר מפעם אחת בגין אותו מעשה. עוד יש לשאול מהי התועלת בהכרעה בשאלה זו שעה שממילא ניתן לקבוע מתחם ענישה כולל לכלל העבירות (שם, סעיף 16)? כב' השופט סולברג קבע בפסק דינו כי נוכח הוראות </w:t>
      </w:r>
      <w:hyperlink r:id="rId39" w:history="1">
        <w:r w:rsidR="00CF3902" w:rsidRPr="00CF3902">
          <w:rPr>
            <w:rStyle w:val="Hyperlink"/>
            <w:rFonts w:ascii="David" w:hAnsi="David"/>
            <w:rtl/>
          </w:rPr>
          <w:t>סעיף 40יג</w:t>
        </w:r>
      </w:hyperlink>
      <w:r w:rsidRPr="00950BF5">
        <w:rPr>
          <w:rFonts w:ascii="David" w:hAnsi="David"/>
          <w:rtl/>
        </w:rPr>
        <w:t xml:space="preserve"> ל</w:t>
      </w:r>
      <w:hyperlink r:id="rId40" w:history="1">
        <w:r w:rsidR="00DD0AE5" w:rsidRPr="00DD0AE5">
          <w:rPr>
            <w:rFonts w:ascii="David" w:hAnsi="David"/>
            <w:color w:val="0000FF"/>
            <w:u w:val="single"/>
            <w:rtl/>
          </w:rPr>
          <w:t>חוק העונשין</w:t>
        </w:r>
      </w:hyperlink>
      <w:r w:rsidRPr="00950BF5">
        <w:rPr>
          <w:rFonts w:ascii="David" w:hAnsi="David"/>
          <w:rtl/>
        </w:rPr>
        <w:t>, אין מקום להימנע מהגדרה מדויקת של מספר האירועים בהם עסקינן, וזוהי המלאכה המוטלת לפתחו של בית המשפט. בנוסף, יש בהגדרת כל אירוע ואירוע בנפרד כדי לסייע הן בקביעת מבחני עזר לקביעת "קשר הדוק" בין העבירות השונות והן בקביעת אחידות בענישה, אשר תסייע לבתי המשפט לגזור את מתחם הענישה הראוי ביחס לכל עבירה בנפרד.</w:t>
      </w:r>
    </w:p>
    <w:p w14:paraId="6FD2C53B" w14:textId="77777777" w:rsidR="00CB50A0" w:rsidRPr="00950BF5" w:rsidRDefault="00CB50A0" w:rsidP="00CB50A0">
      <w:pPr>
        <w:numPr>
          <w:ilvl w:val="0"/>
          <w:numId w:val="1"/>
        </w:numPr>
        <w:spacing w:after="300" w:line="360" w:lineRule="auto"/>
        <w:jc w:val="both"/>
        <w:rPr>
          <w:rFonts w:ascii="David" w:hAnsi="David"/>
          <w:rtl/>
        </w:rPr>
      </w:pPr>
      <w:r w:rsidRPr="00950BF5">
        <w:rPr>
          <w:rFonts w:ascii="David" w:hAnsi="David"/>
          <w:rtl/>
        </w:rPr>
        <w:t>כיצד יבחן בית המשפט האם המדובר באירוע עברייני אחד, או שמא באירועים שונים? במענה לשאלה זו הפנה כב' השופט סולברג לדעת הרוב של כב' השופטים דנצינגר וברק-ארז ב</w:t>
      </w:r>
      <w:hyperlink r:id="rId41" w:history="1">
        <w:r w:rsidR="00DD0AE5" w:rsidRPr="00DD0AE5">
          <w:rPr>
            <w:rFonts w:ascii="David" w:hAnsi="David"/>
            <w:color w:val="0000FF"/>
            <w:u w:val="single"/>
            <w:rtl/>
          </w:rPr>
          <w:t>ע"פ 4910/13</w:t>
        </w:r>
      </w:hyperlink>
      <w:r w:rsidRPr="00950BF5">
        <w:rPr>
          <w:rFonts w:ascii="David" w:hAnsi="David"/>
          <w:rtl/>
        </w:rPr>
        <w:t xml:space="preserve"> </w:t>
      </w:r>
      <w:r w:rsidRPr="00D50449">
        <w:rPr>
          <w:rFonts w:ascii="David" w:hAnsi="David"/>
          <w:b/>
          <w:bCs/>
          <w:rtl/>
        </w:rPr>
        <w:t>ג'אבר נ' מדינת ישראל</w:t>
      </w:r>
      <w:r w:rsidRPr="00950BF5">
        <w:rPr>
          <w:rFonts w:ascii="David" w:hAnsi="David"/>
          <w:rtl/>
        </w:rPr>
        <w:t xml:space="preserve"> (29.10.14) לפיה עבירות שלהן קשר ענייני הדוק, ואשר ניתן להשקיף עליהן כמסכמת עבריינית אחת, ייחשבו לאירוע אחד. עוד הועלו מבחני עזר לבחינת הקשר ההדוק, ובהם, בין היתר, ניתן לבחון: האם ביצוען של העבירות מאופיין בתכנון; האם ניתן להצביע על שיטתיות בביצוע העבירות; האם העבירות התרחשו בסמיכות של זמן או מקום; האם ביצועה של עבירה אחת נועד לאפשר את ביצועה של העבירה האחרת או את ההימלטות לאחר ביצועה ועוד. </w:t>
      </w:r>
    </w:p>
    <w:p w14:paraId="03E54B0B" w14:textId="77777777" w:rsidR="00CB50A0" w:rsidRPr="00950BF5" w:rsidRDefault="00CB50A0" w:rsidP="00CB50A0">
      <w:pPr>
        <w:numPr>
          <w:ilvl w:val="0"/>
          <w:numId w:val="1"/>
        </w:numPr>
        <w:spacing w:after="300" w:line="360" w:lineRule="auto"/>
        <w:jc w:val="both"/>
        <w:rPr>
          <w:rFonts w:ascii="David" w:hAnsi="David"/>
          <w:rtl/>
        </w:rPr>
      </w:pPr>
      <w:r w:rsidRPr="00950BF5">
        <w:rPr>
          <w:rFonts w:ascii="David" w:hAnsi="David"/>
          <w:rtl/>
        </w:rPr>
        <w:t>במקרה שלפני כלל הנסיבות</w:t>
      </w:r>
      <w:r>
        <w:rPr>
          <w:rFonts w:ascii="David" w:hAnsi="David" w:hint="cs"/>
          <w:rtl/>
        </w:rPr>
        <w:t>-</w:t>
      </w:r>
      <w:r w:rsidRPr="00950BF5">
        <w:rPr>
          <w:rFonts w:ascii="David" w:hAnsi="David"/>
          <w:rtl/>
        </w:rPr>
        <w:t xml:space="preserve"> </w:t>
      </w:r>
      <w:r>
        <w:rPr>
          <w:rFonts w:ascii="David" w:hAnsi="David" w:hint="cs"/>
          <w:rtl/>
        </w:rPr>
        <w:t xml:space="preserve">בהם מועדי הביצוע כמתואר באישומים </w:t>
      </w:r>
      <w:r w:rsidRPr="00950BF5">
        <w:rPr>
          <w:rFonts w:ascii="David" w:hAnsi="David"/>
          <w:rtl/>
        </w:rPr>
        <w:t xml:space="preserve">מצביעות על מסכת פעילות עבריינית אחת שבסופה התכוון הנאשם, יחד עם שותפיו לעבירה – להשלים את עבירת התפרצות. זוהי הסיבה לקשירת הקשר בין שותפי העבירה, זוהי הסיבה להחזקת כלי הפריצה, וזוהי </w:t>
      </w:r>
      <w:r>
        <w:rPr>
          <w:rFonts w:ascii="David" w:hAnsi="David" w:hint="cs"/>
          <w:rtl/>
        </w:rPr>
        <w:t xml:space="preserve">גם </w:t>
      </w:r>
      <w:r w:rsidRPr="00950BF5">
        <w:rPr>
          <w:rFonts w:ascii="David" w:hAnsi="David"/>
          <w:rtl/>
        </w:rPr>
        <w:t>הסיבה לתכנון הרב והארוך שביצעו השותפים בניסיון לה</w:t>
      </w:r>
      <w:r>
        <w:rPr>
          <w:rFonts w:ascii="David" w:hAnsi="David" w:hint="cs"/>
          <w:rtl/>
        </w:rPr>
        <w:t xml:space="preserve">שלים </w:t>
      </w:r>
      <w:r w:rsidRPr="00950BF5">
        <w:rPr>
          <w:rFonts w:ascii="David" w:hAnsi="David"/>
          <w:rtl/>
        </w:rPr>
        <w:t xml:space="preserve">את עבירת ההתפרצות. המדובר </w:t>
      </w:r>
      <w:r>
        <w:rPr>
          <w:rFonts w:ascii="David" w:hAnsi="David" w:hint="cs"/>
          <w:rtl/>
        </w:rPr>
        <w:t xml:space="preserve">אם כן </w:t>
      </w:r>
      <w:r w:rsidRPr="00950BF5">
        <w:rPr>
          <w:rFonts w:ascii="David" w:hAnsi="David"/>
          <w:rtl/>
        </w:rPr>
        <w:t xml:space="preserve">באירוע עברייני אחד והוא- ניסיון של </w:t>
      </w:r>
      <w:r>
        <w:rPr>
          <w:rFonts w:ascii="David" w:hAnsi="David" w:hint="cs"/>
          <w:rtl/>
        </w:rPr>
        <w:t>ה</w:t>
      </w:r>
      <w:r w:rsidRPr="00950BF5">
        <w:rPr>
          <w:rFonts w:ascii="David" w:hAnsi="David"/>
          <w:rtl/>
        </w:rPr>
        <w:t>חבור</w:t>
      </w:r>
      <w:r>
        <w:rPr>
          <w:rFonts w:ascii="David" w:hAnsi="David" w:hint="cs"/>
          <w:rtl/>
        </w:rPr>
        <w:t xml:space="preserve">ה </w:t>
      </w:r>
      <w:r w:rsidRPr="00950BF5">
        <w:rPr>
          <w:rFonts w:ascii="David" w:hAnsi="David"/>
          <w:rtl/>
        </w:rPr>
        <w:t>להתפרץ לדירות מגורים, ניסיון אשר כשל בסופו של דבר ללא שהובא ל</w:t>
      </w:r>
      <w:r>
        <w:rPr>
          <w:rFonts w:ascii="David" w:hAnsi="David" w:hint="cs"/>
          <w:rtl/>
        </w:rPr>
        <w:t>כ</w:t>
      </w:r>
      <w:r w:rsidRPr="00950BF5">
        <w:rPr>
          <w:rFonts w:ascii="David" w:hAnsi="David"/>
          <w:rtl/>
        </w:rPr>
        <w:t>די מימוש</w:t>
      </w:r>
      <w:r>
        <w:rPr>
          <w:rFonts w:ascii="David" w:hAnsi="David" w:hint="cs"/>
          <w:rtl/>
        </w:rPr>
        <w:t xml:space="preserve">, כאשר למספר העבירות שבכתב האישום המתוקן יינתן ביטוי בתוך מתחם הענישה.  </w:t>
      </w:r>
    </w:p>
    <w:p w14:paraId="0E7C99F9" w14:textId="77777777" w:rsidR="00CB50A0" w:rsidRPr="00950BF5" w:rsidRDefault="00CB50A0" w:rsidP="00CB50A0">
      <w:pPr>
        <w:numPr>
          <w:ilvl w:val="0"/>
          <w:numId w:val="1"/>
        </w:numPr>
        <w:spacing w:after="300" w:line="360" w:lineRule="auto"/>
        <w:jc w:val="both"/>
        <w:rPr>
          <w:rFonts w:ascii="David" w:hAnsi="David"/>
          <w:rtl/>
        </w:rPr>
      </w:pPr>
      <w:r w:rsidRPr="00950BF5">
        <w:rPr>
          <w:rFonts w:ascii="David" w:hAnsi="David"/>
          <w:rtl/>
        </w:rPr>
        <w:t xml:space="preserve">לפיכך אקבע מתחם ענישה אחד לכלל העבירות </w:t>
      </w:r>
      <w:r>
        <w:rPr>
          <w:rFonts w:ascii="David" w:hAnsi="David" w:hint="cs"/>
          <w:rtl/>
        </w:rPr>
        <w:t>שתחילתן ב</w:t>
      </w:r>
      <w:r w:rsidRPr="00950BF5">
        <w:rPr>
          <w:rFonts w:ascii="David" w:hAnsi="David"/>
          <w:rtl/>
        </w:rPr>
        <w:t>קשירת הקשר לביצוע פשע</w:t>
      </w:r>
      <w:r>
        <w:rPr>
          <w:rFonts w:ascii="David" w:hAnsi="David" w:hint="cs"/>
          <w:rtl/>
        </w:rPr>
        <w:t>,</w:t>
      </w:r>
      <w:r w:rsidRPr="00950BF5">
        <w:rPr>
          <w:rFonts w:ascii="David" w:hAnsi="David"/>
          <w:rtl/>
        </w:rPr>
        <w:t xml:space="preserve"> עבירות </w:t>
      </w:r>
      <w:r>
        <w:rPr>
          <w:rFonts w:ascii="David" w:hAnsi="David" w:hint="cs"/>
          <w:rtl/>
        </w:rPr>
        <w:t xml:space="preserve">של </w:t>
      </w:r>
      <w:r w:rsidRPr="00950BF5">
        <w:rPr>
          <w:rFonts w:ascii="David" w:hAnsi="David"/>
          <w:rtl/>
        </w:rPr>
        <w:t>החזקת כלי הפריצה</w:t>
      </w:r>
      <w:r>
        <w:rPr>
          <w:rFonts w:ascii="David" w:hAnsi="David" w:hint="cs"/>
          <w:rtl/>
        </w:rPr>
        <w:t>, והכל לצורך ביצוע עבירת ההתפרצות.</w:t>
      </w:r>
      <w:r w:rsidRPr="00950BF5">
        <w:rPr>
          <w:rFonts w:ascii="David" w:hAnsi="David"/>
          <w:rtl/>
        </w:rPr>
        <w:t xml:space="preserve"> ב</w:t>
      </w:r>
      <w:r>
        <w:rPr>
          <w:rFonts w:ascii="David" w:hAnsi="David" w:hint="cs"/>
          <w:rtl/>
        </w:rPr>
        <w:t>יחס ל</w:t>
      </w:r>
      <w:r w:rsidRPr="00950BF5">
        <w:rPr>
          <w:rFonts w:ascii="David" w:hAnsi="David"/>
          <w:rtl/>
        </w:rPr>
        <w:t>עביר</w:t>
      </w:r>
      <w:r>
        <w:rPr>
          <w:rFonts w:ascii="David" w:hAnsi="David" w:hint="cs"/>
          <w:rtl/>
        </w:rPr>
        <w:t>ו</w:t>
      </w:r>
      <w:r w:rsidRPr="00950BF5">
        <w:rPr>
          <w:rFonts w:ascii="David" w:hAnsi="David"/>
          <w:rtl/>
        </w:rPr>
        <w:t>ת החזקת הס</w:t>
      </w:r>
      <w:r>
        <w:rPr>
          <w:rFonts w:ascii="David" w:hAnsi="David" w:hint="cs"/>
          <w:rtl/>
        </w:rPr>
        <w:t xml:space="preserve">ם </w:t>
      </w:r>
      <w:r w:rsidRPr="00950BF5">
        <w:rPr>
          <w:rFonts w:ascii="David" w:hAnsi="David"/>
          <w:rtl/>
        </w:rPr>
        <w:t xml:space="preserve">וכליו </w:t>
      </w:r>
      <w:r>
        <w:rPr>
          <w:rFonts w:ascii="David" w:hAnsi="David" w:hint="cs"/>
          <w:rtl/>
        </w:rPr>
        <w:t xml:space="preserve">יש לקבוע מתחם </w:t>
      </w:r>
      <w:r w:rsidRPr="00950BF5">
        <w:rPr>
          <w:rFonts w:ascii="David" w:hAnsi="David"/>
          <w:rtl/>
        </w:rPr>
        <w:t xml:space="preserve">נפרד. (ראו: </w:t>
      </w:r>
      <w:hyperlink r:id="rId42" w:history="1">
        <w:r w:rsidR="00CF3902" w:rsidRPr="00CF3902">
          <w:rPr>
            <w:rStyle w:val="Hyperlink"/>
            <w:rFonts w:ascii="David" w:hAnsi="David"/>
            <w:rtl/>
          </w:rPr>
          <w:t>סעיף 40יג(א)</w:t>
        </w:r>
      </w:hyperlink>
      <w:r w:rsidRPr="00950BF5">
        <w:rPr>
          <w:rFonts w:ascii="David" w:hAnsi="David"/>
          <w:rtl/>
        </w:rPr>
        <w:t xml:space="preserve"> ל</w:t>
      </w:r>
      <w:hyperlink r:id="rId43" w:history="1">
        <w:r w:rsidR="00DD0AE5" w:rsidRPr="00DD0AE5">
          <w:rPr>
            <w:rFonts w:ascii="David" w:hAnsi="David"/>
            <w:color w:val="0000FF"/>
            <w:u w:val="single"/>
            <w:rtl/>
          </w:rPr>
          <w:t>חוק העונשין</w:t>
        </w:r>
      </w:hyperlink>
      <w:r w:rsidRPr="00950BF5">
        <w:rPr>
          <w:rFonts w:ascii="David" w:hAnsi="David"/>
          <w:rtl/>
        </w:rPr>
        <w:t xml:space="preserve"> וכן </w:t>
      </w:r>
      <w:hyperlink r:id="rId44" w:history="1">
        <w:r w:rsidR="00DD0AE5" w:rsidRPr="00DD0AE5">
          <w:rPr>
            <w:rFonts w:ascii="David" w:hAnsi="David"/>
            <w:color w:val="0000FF"/>
            <w:u w:val="single"/>
            <w:rtl/>
          </w:rPr>
          <w:t>ע"פ 1127/13</w:t>
        </w:r>
      </w:hyperlink>
      <w:r w:rsidRPr="00950BF5">
        <w:rPr>
          <w:rFonts w:ascii="David" w:hAnsi="David"/>
          <w:rtl/>
        </w:rPr>
        <w:t xml:space="preserve"> </w:t>
      </w:r>
      <w:r w:rsidRPr="008B3212">
        <w:rPr>
          <w:rFonts w:ascii="David" w:hAnsi="David"/>
          <w:b/>
          <w:bCs/>
          <w:rtl/>
        </w:rPr>
        <w:t>גברזגיי נ' מדינת ישראל</w:t>
      </w:r>
      <w:r w:rsidRPr="00950BF5">
        <w:rPr>
          <w:rFonts w:ascii="David" w:hAnsi="David"/>
          <w:rtl/>
        </w:rPr>
        <w:t xml:space="preserve"> (15.1.14)).   </w:t>
      </w:r>
    </w:p>
    <w:p w14:paraId="5D2BA90A" w14:textId="77777777" w:rsidR="00CB50A0" w:rsidRPr="00950BF5" w:rsidRDefault="00CB50A0" w:rsidP="00CB50A0">
      <w:pPr>
        <w:numPr>
          <w:ilvl w:val="0"/>
          <w:numId w:val="1"/>
        </w:numPr>
        <w:spacing w:after="300" w:line="360" w:lineRule="auto"/>
        <w:jc w:val="both"/>
        <w:rPr>
          <w:rFonts w:ascii="David" w:hAnsi="David"/>
        </w:rPr>
      </w:pPr>
      <w:r w:rsidRPr="00950BF5">
        <w:rPr>
          <w:rFonts w:ascii="David" w:hAnsi="David" w:hint="cs"/>
          <w:rtl/>
        </w:rPr>
        <w:t xml:space="preserve">כעת אפנה </w:t>
      </w:r>
      <w:r w:rsidRPr="00950BF5">
        <w:rPr>
          <w:rFonts w:ascii="David" w:hAnsi="David"/>
          <w:rtl/>
        </w:rPr>
        <w:t xml:space="preserve">לבחון </w:t>
      </w:r>
      <w:r w:rsidRPr="00950BF5">
        <w:rPr>
          <w:rFonts w:ascii="David" w:hAnsi="David" w:hint="cs"/>
          <w:rtl/>
        </w:rPr>
        <w:t>-</w:t>
      </w:r>
      <w:r w:rsidRPr="00950BF5">
        <w:rPr>
          <w:rFonts w:ascii="David" w:hAnsi="David"/>
          <w:rtl/>
        </w:rPr>
        <w:t xml:space="preserve">האם במקרה </w:t>
      </w:r>
      <w:r w:rsidRPr="00950BF5">
        <w:rPr>
          <w:rFonts w:ascii="David" w:hAnsi="David" w:hint="cs"/>
          <w:rtl/>
        </w:rPr>
        <w:t>דנן -</w:t>
      </w:r>
      <w:r w:rsidRPr="00950BF5">
        <w:rPr>
          <w:rFonts w:ascii="David" w:hAnsi="David"/>
          <w:rtl/>
        </w:rPr>
        <w:t>אכן יש</w:t>
      </w:r>
      <w:r w:rsidRPr="00950BF5">
        <w:rPr>
          <w:rFonts w:ascii="David" w:hAnsi="David" w:hint="cs"/>
          <w:rtl/>
        </w:rPr>
        <w:t xml:space="preserve">נו </w:t>
      </w:r>
      <w:r w:rsidRPr="00950BF5">
        <w:rPr>
          <w:rFonts w:ascii="David" w:hAnsi="David"/>
          <w:rtl/>
        </w:rPr>
        <w:t xml:space="preserve">מקום לטענת </w:t>
      </w:r>
      <w:r w:rsidRPr="00950BF5">
        <w:rPr>
          <w:rFonts w:ascii="David" w:hAnsi="David" w:hint="cs"/>
          <w:rtl/>
        </w:rPr>
        <w:t xml:space="preserve">ההגנה לפיה </w:t>
      </w:r>
      <w:r w:rsidRPr="00950BF5">
        <w:rPr>
          <w:rFonts w:ascii="David" w:hAnsi="David"/>
          <w:rtl/>
        </w:rPr>
        <w:t xml:space="preserve">אין </w:t>
      </w:r>
      <w:r w:rsidRPr="00950BF5">
        <w:rPr>
          <w:rFonts w:ascii="David" w:hAnsi="David" w:hint="cs"/>
          <w:rtl/>
        </w:rPr>
        <w:t xml:space="preserve">המדובר </w:t>
      </w:r>
      <w:r>
        <w:rPr>
          <w:rFonts w:ascii="David" w:hAnsi="David" w:hint="cs"/>
          <w:rtl/>
        </w:rPr>
        <w:t xml:space="preserve">אלא במעשה </w:t>
      </w:r>
      <w:r w:rsidRPr="00950BF5">
        <w:rPr>
          <w:rFonts w:ascii="David" w:hAnsi="David" w:hint="cs"/>
          <w:rtl/>
        </w:rPr>
        <w:t xml:space="preserve">שאינו חוצה את רף המעקב וההכנה, </w:t>
      </w:r>
      <w:r>
        <w:rPr>
          <w:rFonts w:ascii="David" w:hAnsi="David" w:hint="cs"/>
          <w:rtl/>
        </w:rPr>
        <w:t xml:space="preserve">המהווה </w:t>
      </w:r>
      <w:r w:rsidRPr="00950BF5">
        <w:rPr>
          <w:rFonts w:ascii="David" w:hAnsi="David" w:hint="cs"/>
          <w:rtl/>
        </w:rPr>
        <w:t xml:space="preserve">לכל היותר ניסיון </w:t>
      </w:r>
      <w:r>
        <w:rPr>
          <w:rFonts w:ascii="David" w:hAnsi="David" w:hint="cs"/>
          <w:rtl/>
        </w:rPr>
        <w:t>לביצוע התפרצות ברף חומרה נמוך,</w:t>
      </w:r>
      <w:r w:rsidRPr="00950BF5">
        <w:rPr>
          <w:rFonts w:ascii="David" w:hAnsi="David" w:hint="cs"/>
          <w:rtl/>
        </w:rPr>
        <w:t xml:space="preserve"> נתון </w:t>
      </w:r>
      <w:r>
        <w:rPr>
          <w:rFonts w:ascii="David" w:hAnsi="David" w:hint="cs"/>
          <w:rtl/>
        </w:rPr>
        <w:t>ה</w:t>
      </w:r>
      <w:r w:rsidRPr="00950BF5">
        <w:rPr>
          <w:rFonts w:ascii="David" w:hAnsi="David" w:hint="cs"/>
          <w:rtl/>
        </w:rPr>
        <w:t>משליך</w:t>
      </w:r>
      <w:r>
        <w:rPr>
          <w:rFonts w:ascii="David" w:hAnsi="David" w:hint="cs"/>
          <w:rtl/>
        </w:rPr>
        <w:t xml:space="preserve">, כך לטענת ההגנה, </w:t>
      </w:r>
      <w:r w:rsidRPr="00950BF5">
        <w:rPr>
          <w:rFonts w:ascii="David" w:hAnsi="David" w:hint="cs"/>
          <w:rtl/>
        </w:rPr>
        <w:t>על מתחם העונש</w:t>
      </w:r>
      <w:r w:rsidRPr="00950BF5">
        <w:rPr>
          <w:rFonts w:ascii="David" w:hAnsi="David"/>
          <w:rtl/>
        </w:rPr>
        <w:t xml:space="preserve">. </w:t>
      </w:r>
    </w:p>
    <w:p w14:paraId="6F00DEB0" w14:textId="77777777" w:rsidR="00CB50A0" w:rsidRPr="001932A4" w:rsidRDefault="00CB50A0" w:rsidP="00CB50A0">
      <w:pPr>
        <w:spacing w:after="300" w:line="360" w:lineRule="auto"/>
        <w:ind w:left="360"/>
        <w:jc w:val="both"/>
        <w:rPr>
          <w:rFonts w:ascii="David" w:hAnsi="David"/>
          <w:b/>
          <w:bCs/>
        </w:rPr>
      </w:pPr>
      <w:r w:rsidRPr="001932A4">
        <w:rPr>
          <w:rFonts w:ascii="David" w:hAnsi="David"/>
          <w:b/>
          <w:bCs/>
          <w:rtl/>
        </w:rPr>
        <w:t>עבירת ניסיון – מתווה נורמטיבי</w:t>
      </w:r>
    </w:p>
    <w:p w14:paraId="0F6C0206" w14:textId="77777777" w:rsidR="00CB50A0" w:rsidRPr="001932A4" w:rsidRDefault="00CF3902" w:rsidP="00CB50A0">
      <w:pPr>
        <w:numPr>
          <w:ilvl w:val="0"/>
          <w:numId w:val="1"/>
        </w:numPr>
        <w:spacing w:after="300" w:line="360" w:lineRule="auto"/>
        <w:jc w:val="both"/>
        <w:rPr>
          <w:rFonts w:ascii="David" w:hAnsi="David"/>
        </w:rPr>
      </w:pPr>
      <w:hyperlink r:id="rId45" w:history="1">
        <w:r w:rsidRPr="00CF3902">
          <w:rPr>
            <w:rStyle w:val="Hyperlink"/>
            <w:rFonts w:ascii="David" w:hAnsi="David"/>
            <w:rtl/>
          </w:rPr>
          <w:t>בסעיף 25</w:t>
        </w:r>
      </w:hyperlink>
      <w:r w:rsidR="00CB50A0" w:rsidRPr="001932A4">
        <w:rPr>
          <w:rFonts w:ascii="David" w:hAnsi="David"/>
          <w:rtl/>
        </w:rPr>
        <w:t xml:space="preserve"> ל</w:t>
      </w:r>
      <w:hyperlink r:id="rId46" w:history="1">
        <w:r w:rsidR="00DD0AE5" w:rsidRPr="00DD0AE5">
          <w:rPr>
            <w:rFonts w:ascii="David" w:hAnsi="David"/>
            <w:color w:val="0000FF"/>
            <w:u w:val="single"/>
            <w:rtl/>
          </w:rPr>
          <w:t>חוק העונשין</w:t>
        </w:r>
      </w:hyperlink>
      <w:r w:rsidR="00CB50A0" w:rsidRPr="001932A4">
        <w:rPr>
          <w:rFonts w:ascii="David" w:hAnsi="David"/>
          <w:rtl/>
        </w:rPr>
        <w:t xml:space="preserve"> נקבע כי אדם מנסה לעבור עבירה אם, במטרה לבצעה, עשה מעשה שאין בו הכנה בלבד והעבירה לא הושלמה.</w:t>
      </w:r>
    </w:p>
    <w:p w14:paraId="3D964BDD" w14:textId="77777777" w:rsidR="00CB50A0" w:rsidRPr="00353248" w:rsidRDefault="00CB50A0" w:rsidP="00CB50A0">
      <w:pPr>
        <w:numPr>
          <w:ilvl w:val="0"/>
          <w:numId w:val="1"/>
        </w:numPr>
        <w:spacing w:after="300" w:line="360" w:lineRule="auto"/>
        <w:jc w:val="both"/>
        <w:rPr>
          <w:rFonts w:ascii="David" w:hAnsi="David"/>
          <w:rtl/>
        </w:rPr>
      </w:pPr>
      <w:r w:rsidRPr="001932A4">
        <w:rPr>
          <w:rFonts w:ascii="David" w:hAnsi="David"/>
          <w:rtl/>
        </w:rPr>
        <w:t>ב</w:t>
      </w:r>
      <w:hyperlink r:id="rId47" w:history="1">
        <w:r w:rsidR="00DD0AE5" w:rsidRPr="00DD0AE5">
          <w:rPr>
            <w:rFonts w:ascii="David" w:hAnsi="David"/>
            <w:color w:val="0000FF"/>
            <w:u w:val="single"/>
            <w:rtl/>
          </w:rPr>
          <w:t>ע"פ 5150/93 פאיז סריס נ' מדינת ישראל, פ"ד מח</w:t>
        </w:r>
      </w:hyperlink>
      <w:r w:rsidRPr="001932A4">
        <w:rPr>
          <w:rFonts w:ascii="David" w:hAnsi="David"/>
          <w:rtl/>
        </w:rPr>
        <w:t>(2) 183</w:t>
      </w:r>
      <w:r>
        <w:rPr>
          <w:rFonts w:ascii="David" w:hAnsi="David" w:hint="cs"/>
          <w:rtl/>
        </w:rPr>
        <w:t xml:space="preserve"> </w:t>
      </w:r>
      <w:r w:rsidRPr="001932A4">
        <w:rPr>
          <w:rFonts w:ascii="David" w:hAnsi="David"/>
          <w:rtl/>
        </w:rPr>
        <w:t xml:space="preserve">הרחיב כב' המשנה לנשיא (בתוארו אז) השופט אהרון ברק אודות עבירת הניסיון. לדבריו, עפ"י הוראות הפסיקה, ניסיון לעבור עבירה משמעותו פעולה של אדם אשר מתחיל להוציא את כוונתו אל הפועל במעשה גלוי לעין ובאמצעים המתאימים להגשמתה אולם אינו מגשים את כוונתו עד כדי עשיית העבירה. </w:t>
      </w:r>
      <w:r w:rsidRPr="00353248">
        <w:rPr>
          <w:rFonts w:ascii="David" w:hAnsi="David"/>
          <w:rtl/>
        </w:rPr>
        <w:t>עבירת הניסיון מורכבת מיסוד נפשי ומיסוד עובדתי. היסוד הנפשי הוא בעל שני יסודות משנה:</w:t>
      </w:r>
      <w:r>
        <w:rPr>
          <w:rFonts w:ascii="David" w:hAnsi="David" w:hint="cs"/>
          <w:rtl/>
        </w:rPr>
        <w:t xml:space="preserve"> </w:t>
      </w:r>
      <w:r w:rsidRPr="00353248">
        <w:rPr>
          <w:rFonts w:ascii="David" w:hAnsi="David"/>
          <w:rtl/>
        </w:rPr>
        <w:t xml:space="preserve">היסוד הנפשי הנדרש לעבירה המוגמרת שהנאשם מנסה לבצעה, בצירוף היסוד הנפשי לעבירת הניסיון עצמה, דהיינו כוונת הנאשם להשלים את העבירה המוגמרת. המאפיין התנהגות זו יבוא לידי ביטוי באמצעות ביטוי התנהגותי המהווה חוליה, ולו ראשונה, בשרשרת חוליות התנהגותיות מתאימות שהיו מוליכות להשלמת היסוד ההתנהגותי אלמלא הופסקו (ראו: שם, פסקה 3 וההפניות המתאימות). </w:t>
      </w:r>
    </w:p>
    <w:p w14:paraId="49E93327" w14:textId="77777777" w:rsidR="00CB50A0" w:rsidRPr="001932A4" w:rsidRDefault="00CB50A0" w:rsidP="00CB50A0">
      <w:pPr>
        <w:numPr>
          <w:ilvl w:val="0"/>
          <w:numId w:val="1"/>
        </w:numPr>
        <w:spacing w:after="300" w:line="360" w:lineRule="auto"/>
        <w:jc w:val="both"/>
        <w:rPr>
          <w:rFonts w:ascii="David" w:hAnsi="David"/>
          <w:rtl/>
        </w:rPr>
      </w:pPr>
      <w:r w:rsidRPr="001932A4">
        <w:rPr>
          <w:rFonts w:ascii="David" w:hAnsi="David"/>
          <w:rtl/>
        </w:rPr>
        <w:t xml:space="preserve">כב' השופט ברק ציין בפסק דינו כי "די לה לאותה התנהגות, כדי שתהווה ניסיון לעבור עבירה, אם היא יצאה מגדר התנהגות מכינה בלבד, והיא מצויה באותו אזור התנהגותי המותחם בגבולו האחד בהתנהגות מינימאלית שכבר אינה הכנה, ובגבולו האחר בהתנהגות שכבר משלימה את העבירה המוגמרת... על-כן, אם שלב ההכנה מתאפיין בכך שהנאשם רוכש אמצעים, אוסף מידע, מתכנן ועושה פעולה המכוונת ליצור תנאים לביצוע העבירה, הרי שלב הניסיון הוא מעבר לכך, ויש בו פעולה או פעולות שהן חלק מסדרת פעולות שלולא הופרעו היו מקיימות את </w:t>
      </w:r>
      <w:r>
        <w:rPr>
          <w:rFonts w:ascii="David" w:hAnsi="David"/>
          <w:rtl/>
        </w:rPr>
        <w:t>היסוד ההתנהגותי של העבירה</w:t>
      </w:r>
      <w:r>
        <w:rPr>
          <w:rFonts w:ascii="David" w:hAnsi="David" w:hint="cs"/>
          <w:rtl/>
        </w:rPr>
        <w:t>"</w:t>
      </w:r>
      <w:r>
        <w:rPr>
          <w:rFonts w:ascii="David" w:hAnsi="David"/>
          <w:rtl/>
        </w:rPr>
        <w:t xml:space="preserve"> (</w:t>
      </w:r>
      <w:r>
        <w:rPr>
          <w:rFonts w:ascii="David" w:hAnsi="David" w:hint="cs"/>
          <w:rtl/>
        </w:rPr>
        <w:t xml:space="preserve">ראה </w:t>
      </w:r>
      <w:r>
        <w:rPr>
          <w:rFonts w:ascii="David" w:hAnsi="David"/>
          <w:rtl/>
        </w:rPr>
        <w:t>שם</w:t>
      </w:r>
      <w:r w:rsidRPr="001932A4">
        <w:rPr>
          <w:rFonts w:ascii="David" w:hAnsi="David"/>
          <w:rtl/>
        </w:rPr>
        <w:t xml:space="preserve">). </w:t>
      </w:r>
    </w:p>
    <w:p w14:paraId="125C3F27" w14:textId="77777777" w:rsidR="00CB50A0" w:rsidRPr="001932A4" w:rsidRDefault="00CB50A0" w:rsidP="00CB50A0">
      <w:pPr>
        <w:numPr>
          <w:ilvl w:val="0"/>
          <w:numId w:val="1"/>
        </w:numPr>
        <w:spacing w:after="300" w:line="360" w:lineRule="auto"/>
        <w:jc w:val="both"/>
        <w:rPr>
          <w:rFonts w:ascii="David" w:hAnsi="David"/>
        </w:rPr>
      </w:pPr>
      <w:r w:rsidRPr="001932A4">
        <w:rPr>
          <w:rFonts w:ascii="David" w:hAnsi="David"/>
          <w:rtl/>
        </w:rPr>
        <w:t>בתום פסה"ד הוסיף וחידד כב' השופט קדמי כי "לא תחילת "המעשה האסור" נדרשת כאן, אלא תחילת "הגשמת הכוונה"; ובמקום שמוכחת הכוונה - אין לבחון אלא אם המעשה שנעשה הינו שלב משלבי הגשמתה".</w:t>
      </w:r>
    </w:p>
    <w:p w14:paraId="77EF88CA" w14:textId="77777777" w:rsidR="00CB50A0" w:rsidRPr="001932A4" w:rsidRDefault="00CB50A0" w:rsidP="00CB50A0">
      <w:pPr>
        <w:numPr>
          <w:ilvl w:val="0"/>
          <w:numId w:val="1"/>
        </w:numPr>
        <w:spacing w:after="300" w:line="360" w:lineRule="auto"/>
        <w:jc w:val="both"/>
        <w:rPr>
          <w:rFonts w:ascii="David" w:hAnsi="David"/>
        </w:rPr>
      </w:pPr>
      <w:r>
        <w:rPr>
          <w:rFonts w:ascii="David" w:hAnsi="David" w:hint="cs"/>
          <w:rtl/>
        </w:rPr>
        <w:t xml:space="preserve">בעניין זה </w:t>
      </w:r>
      <w:r w:rsidRPr="001932A4">
        <w:rPr>
          <w:rFonts w:ascii="David" w:hAnsi="David"/>
          <w:rtl/>
        </w:rPr>
        <w:t>ציין</w:t>
      </w:r>
      <w:r>
        <w:rPr>
          <w:rFonts w:ascii="David" w:hAnsi="David" w:hint="cs"/>
          <w:rtl/>
        </w:rPr>
        <w:t xml:space="preserve"> המלומד</w:t>
      </w:r>
      <w:r w:rsidRPr="001932A4">
        <w:rPr>
          <w:rFonts w:ascii="David" w:hAnsi="David"/>
          <w:rtl/>
        </w:rPr>
        <w:t xml:space="preserve"> ד"ר ביין שעפ"י הלכת </w:t>
      </w:r>
      <w:r w:rsidRPr="00353248">
        <w:rPr>
          <w:rFonts w:ascii="David" w:hAnsi="David"/>
          <w:b/>
          <w:bCs/>
          <w:rtl/>
        </w:rPr>
        <w:t>סריס</w:t>
      </w:r>
      <w:r w:rsidRPr="001932A4">
        <w:rPr>
          <w:rFonts w:ascii="David" w:hAnsi="David"/>
          <w:rtl/>
        </w:rPr>
        <w:t xml:space="preserve"> הנ"ל, מעשי הכנה מתבטאים, בדרך כלל, בתכנון ובאיסוף אמצעים ומידע ואילו בניסיון יש כבר תנועה אל עבר הביצוע. עם זאת, אין צורך בתחילת ביצוע העבירה, ואין צורך שהנאשם יעשה כל התלוי בו להגשמתה.</w:t>
      </w:r>
      <w:r w:rsidRPr="002F0211">
        <w:rPr>
          <w:rFonts w:ascii="David" w:hAnsi="David"/>
          <w:rtl/>
        </w:rPr>
        <w:t xml:space="preserve"> </w:t>
      </w:r>
      <w:r>
        <w:rPr>
          <w:rFonts w:ascii="David" w:hAnsi="David" w:hint="cs"/>
          <w:rtl/>
        </w:rPr>
        <w:t xml:space="preserve">(ראה: </w:t>
      </w:r>
      <w:r w:rsidRPr="002F0211">
        <w:rPr>
          <w:rFonts w:ascii="David" w:hAnsi="David"/>
          <w:rtl/>
        </w:rPr>
        <w:t>הערות לעבירת הניסיון לאור תיקון 39 ל</w:t>
      </w:r>
      <w:hyperlink r:id="rId48" w:history="1">
        <w:r w:rsidR="00DD0AE5" w:rsidRPr="00DD0AE5">
          <w:rPr>
            <w:rFonts w:ascii="David" w:hAnsi="David"/>
            <w:color w:val="0000FF"/>
            <w:u w:val="single"/>
            <w:rtl/>
          </w:rPr>
          <w:t>חוק העונשין</w:t>
        </w:r>
      </w:hyperlink>
      <w:r w:rsidRPr="002F0211">
        <w:rPr>
          <w:rFonts w:ascii="David" w:hAnsi="David" w:hint="cs"/>
          <w:rtl/>
        </w:rPr>
        <w:t>,</w:t>
      </w:r>
      <w:r>
        <w:rPr>
          <w:rFonts w:ascii="David" w:hAnsi="David" w:hint="cs"/>
          <w:rtl/>
        </w:rPr>
        <w:t xml:space="preserve"> </w:t>
      </w:r>
      <w:r>
        <w:rPr>
          <w:rFonts w:ascii="David" w:hAnsi="David"/>
          <w:rtl/>
        </w:rPr>
        <w:t>המשפט, דצמבר 1995</w:t>
      </w:r>
      <w:r>
        <w:rPr>
          <w:rFonts w:ascii="David" w:hAnsi="David" w:hint="cs"/>
          <w:rtl/>
        </w:rPr>
        <w:t xml:space="preserve">). </w:t>
      </w:r>
    </w:p>
    <w:p w14:paraId="3B5FB47B" w14:textId="77777777" w:rsidR="00CB50A0" w:rsidRPr="001932A4" w:rsidRDefault="00CB50A0" w:rsidP="00CB50A0">
      <w:pPr>
        <w:numPr>
          <w:ilvl w:val="0"/>
          <w:numId w:val="1"/>
        </w:numPr>
        <w:spacing w:after="300" w:line="360" w:lineRule="auto"/>
        <w:jc w:val="both"/>
        <w:rPr>
          <w:rFonts w:ascii="David" w:hAnsi="David"/>
        </w:rPr>
      </w:pPr>
      <w:r w:rsidRPr="001932A4">
        <w:rPr>
          <w:rFonts w:ascii="David" w:hAnsi="David"/>
          <w:rtl/>
        </w:rPr>
        <w:t xml:space="preserve">במקרה </w:t>
      </w:r>
      <w:r>
        <w:rPr>
          <w:rFonts w:ascii="David" w:hAnsi="David" w:hint="cs"/>
          <w:rtl/>
        </w:rPr>
        <w:t xml:space="preserve">דנן, </w:t>
      </w:r>
      <w:r w:rsidRPr="001932A4">
        <w:rPr>
          <w:rFonts w:ascii="David" w:hAnsi="David"/>
          <w:rtl/>
        </w:rPr>
        <w:t xml:space="preserve">עבירת הניסיון עולה </w:t>
      </w:r>
      <w:r>
        <w:rPr>
          <w:rFonts w:ascii="David" w:hAnsi="David" w:hint="cs"/>
          <w:rtl/>
        </w:rPr>
        <w:t xml:space="preserve">כמעט </w:t>
      </w:r>
      <w:r w:rsidRPr="001932A4">
        <w:rPr>
          <w:rFonts w:ascii="David" w:hAnsi="David"/>
          <w:rtl/>
        </w:rPr>
        <w:t>כדי השלמת העבירה</w:t>
      </w:r>
      <w:r>
        <w:rPr>
          <w:rFonts w:ascii="David" w:hAnsi="David" w:hint="cs"/>
          <w:rtl/>
        </w:rPr>
        <w:t>, והיא אינה ברף נמוך של מעשים</w:t>
      </w:r>
      <w:r w:rsidRPr="001932A4">
        <w:rPr>
          <w:rFonts w:ascii="David" w:hAnsi="David"/>
          <w:rtl/>
        </w:rPr>
        <w:t xml:space="preserve">. הנאשם </w:t>
      </w:r>
      <w:r>
        <w:rPr>
          <w:rFonts w:ascii="David" w:hAnsi="David" w:hint="cs"/>
          <w:rtl/>
        </w:rPr>
        <w:t xml:space="preserve">נקט בפעולות משמעותיות לשם </w:t>
      </w:r>
      <w:r w:rsidRPr="001932A4">
        <w:rPr>
          <w:rFonts w:ascii="David" w:hAnsi="David"/>
          <w:rtl/>
        </w:rPr>
        <w:t xml:space="preserve">השלמת </w:t>
      </w:r>
      <w:r>
        <w:rPr>
          <w:rFonts w:ascii="David" w:hAnsi="David" w:hint="cs"/>
          <w:rtl/>
        </w:rPr>
        <w:t xml:space="preserve">עבירות </w:t>
      </w:r>
      <w:r w:rsidRPr="001932A4">
        <w:rPr>
          <w:rFonts w:ascii="David" w:hAnsi="David"/>
          <w:rtl/>
        </w:rPr>
        <w:t xml:space="preserve">ההתפרצות לדירות השונות כמתואר בכתב האישום. הוא פעל בצוותא חדא עם </w:t>
      </w:r>
      <w:r>
        <w:rPr>
          <w:rFonts w:ascii="David" w:hAnsi="David" w:hint="cs"/>
          <w:rtl/>
        </w:rPr>
        <w:t xml:space="preserve">שותפיו </w:t>
      </w:r>
      <w:r w:rsidRPr="001932A4">
        <w:rPr>
          <w:rFonts w:ascii="David" w:hAnsi="David"/>
          <w:rtl/>
        </w:rPr>
        <w:t>משך ימים</w:t>
      </w:r>
      <w:r>
        <w:rPr>
          <w:rFonts w:ascii="David" w:hAnsi="David" w:hint="cs"/>
          <w:rtl/>
        </w:rPr>
        <w:t xml:space="preserve">, ניהל </w:t>
      </w:r>
      <w:r w:rsidRPr="001932A4">
        <w:rPr>
          <w:rFonts w:ascii="David" w:hAnsi="David"/>
          <w:rtl/>
        </w:rPr>
        <w:t>שיחות</w:t>
      </w:r>
      <w:r>
        <w:rPr>
          <w:rFonts w:ascii="David" w:hAnsi="David" w:hint="cs"/>
          <w:rtl/>
        </w:rPr>
        <w:t xml:space="preserve"> מרובות </w:t>
      </w:r>
      <w:r w:rsidRPr="001932A4">
        <w:rPr>
          <w:rFonts w:ascii="David" w:hAnsi="David"/>
          <w:rtl/>
        </w:rPr>
        <w:t>עם שותפיו לעבירה</w:t>
      </w:r>
      <w:r>
        <w:rPr>
          <w:rFonts w:ascii="David" w:hAnsi="David" w:hint="cs"/>
          <w:rtl/>
        </w:rPr>
        <w:t xml:space="preserve">, מהן עולה </w:t>
      </w:r>
      <w:r w:rsidRPr="001932A4">
        <w:rPr>
          <w:rFonts w:ascii="David" w:hAnsi="David"/>
          <w:rtl/>
        </w:rPr>
        <w:t>שאלמלא חשש</w:t>
      </w:r>
      <w:r>
        <w:rPr>
          <w:rFonts w:ascii="David" w:hAnsi="David" w:hint="cs"/>
          <w:rtl/>
        </w:rPr>
        <w:t>ו</w:t>
      </w:r>
      <w:r w:rsidRPr="001932A4">
        <w:rPr>
          <w:rFonts w:ascii="David" w:hAnsi="David"/>
          <w:rtl/>
        </w:rPr>
        <w:t xml:space="preserve"> מפני נוכחות</w:t>
      </w:r>
      <w:r>
        <w:rPr>
          <w:rFonts w:ascii="David" w:hAnsi="David" w:hint="cs"/>
          <w:rtl/>
        </w:rPr>
        <w:t xml:space="preserve">ם של </w:t>
      </w:r>
      <w:r w:rsidRPr="001932A4">
        <w:rPr>
          <w:rFonts w:ascii="David" w:hAnsi="David"/>
          <w:rtl/>
        </w:rPr>
        <w:t xml:space="preserve">הדיירים בדירותיהם, </w:t>
      </w:r>
      <w:r>
        <w:rPr>
          <w:rFonts w:ascii="David" w:hAnsi="David" w:hint="cs"/>
          <w:rtl/>
        </w:rPr>
        <w:t xml:space="preserve">או נוכחות שוטרים במקום, </w:t>
      </w:r>
      <w:r w:rsidRPr="001932A4">
        <w:rPr>
          <w:rFonts w:ascii="David" w:hAnsi="David"/>
          <w:rtl/>
        </w:rPr>
        <w:t xml:space="preserve">היה הנאשם משלים את </w:t>
      </w:r>
      <w:r>
        <w:rPr>
          <w:rFonts w:ascii="David" w:hAnsi="David" w:hint="cs"/>
          <w:rtl/>
        </w:rPr>
        <w:t xml:space="preserve">ביצוען של העבירות. </w:t>
      </w:r>
      <w:r w:rsidRPr="001932A4">
        <w:rPr>
          <w:rFonts w:ascii="David" w:hAnsi="David"/>
          <w:rtl/>
        </w:rPr>
        <w:t xml:space="preserve"> </w:t>
      </w:r>
    </w:p>
    <w:p w14:paraId="619B9957" w14:textId="77777777" w:rsidR="00CB50A0" w:rsidRPr="001932A4" w:rsidRDefault="00CB50A0" w:rsidP="00CB50A0">
      <w:pPr>
        <w:spacing w:after="300" w:line="360" w:lineRule="auto"/>
        <w:ind w:left="360"/>
        <w:jc w:val="both"/>
        <w:rPr>
          <w:rFonts w:ascii="David" w:hAnsi="David"/>
          <w:b/>
          <w:bCs/>
        </w:rPr>
      </w:pPr>
      <w:r>
        <w:rPr>
          <w:rFonts w:ascii="David" w:hAnsi="David" w:hint="cs"/>
          <w:b/>
          <w:bCs/>
          <w:rtl/>
        </w:rPr>
        <w:t>מ</w:t>
      </w:r>
      <w:r w:rsidRPr="001932A4">
        <w:rPr>
          <w:rFonts w:ascii="David" w:hAnsi="David"/>
          <w:b/>
          <w:bCs/>
          <w:rtl/>
        </w:rPr>
        <w:t>תחם הע</w:t>
      </w:r>
      <w:r>
        <w:rPr>
          <w:rFonts w:ascii="David" w:hAnsi="David" w:hint="cs"/>
          <w:b/>
          <w:bCs/>
          <w:rtl/>
        </w:rPr>
        <w:t xml:space="preserve">ונש </w:t>
      </w:r>
      <w:r w:rsidRPr="001932A4">
        <w:rPr>
          <w:rFonts w:ascii="David" w:hAnsi="David"/>
          <w:b/>
          <w:bCs/>
          <w:rtl/>
        </w:rPr>
        <w:t>ההולם</w:t>
      </w:r>
      <w:r>
        <w:rPr>
          <w:rFonts w:ascii="David" w:hAnsi="David" w:hint="cs"/>
          <w:b/>
          <w:bCs/>
          <w:rtl/>
        </w:rPr>
        <w:t xml:space="preserve">: </w:t>
      </w:r>
    </w:p>
    <w:p w14:paraId="29568376" w14:textId="77777777" w:rsidR="00CB50A0" w:rsidRPr="00820C84" w:rsidRDefault="00CB50A0" w:rsidP="00CB50A0">
      <w:pPr>
        <w:numPr>
          <w:ilvl w:val="0"/>
          <w:numId w:val="1"/>
        </w:numPr>
        <w:spacing w:after="300" w:line="360" w:lineRule="auto"/>
        <w:jc w:val="both"/>
        <w:rPr>
          <w:rFonts w:ascii="David" w:hAnsi="David"/>
        </w:rPr>
      </w:pPr>
      <w:r w:rsidRPr="00820C84">
        <w:rPr>
          <w:rFonts w:ascii="David" w:hAnsi="David"/>
          <w:rtl/>
        </w:rPr>
        <w:t xml:space="preserve">על פי סעיף </w:t>
      </w:r>
      <w:hyperlink r:id="rId49" w:history="1">
        <w:r w:rsidR="00CF3902" w:rsidRPr="00CF3902">
          <w:rPr>
            <w:rStyle w:val="Hyperlink"/>
            <w:rFonts w:ascii="David" w:hAnsi="David"/>
            <w:rtl/>
          </w:rPr>
          <w:t>40 ב'</w:t>
        </w:r>
      </w:hyperlink>
      <w:r w:rsidRPr="00820C84">
        <w:rPr>
          <w:rFonts w:ascii="David" w:hAnsi="David"/>
          <w:rtl/>
        </w:rPr>
        <w:t xml:space="preserve"> ל</w:t>
      </w:r>
      <w:hyperlink r:id="rId50" w:history="1">
        <w:r w:rsidR="00DD0AE5" w:rsidRPr="00DD0AE5">
          <w:rPr>
            <w:rFonts w:ascii="David" w:hAnsi="David"/>
            <w:color w:val="0000FF"/>
            <w:u w:val="single"/>
            <w:rtl/>
          </w:rPr>
          <w:t>חוק העונשין</w:t>
        </w:r>
      </w:hyperlink>
      <w:r w:rsidRPr="00820C84">
        <w:rPr>
          <w:rFonts w:ascii="David" w:hAnsi="David"/>
          <w:rtl/>
        </w:rPr>
        <w:t xml:space="preserve"> נקבע שהעיקרון המנחה בענישה הוא עקרון ההלימה, קרי: יחס הולם בין חומרת מעשה העבירה ונסיבותיו ומידת אשמו של הנאשם, לבין סוג ומידת העונש המוטל עליו. </w:t>
      </w:r>
      <w:r>
        <w:rPr>
          <w:rFonts w:ascii="David" w:hAnsi="David" w:hint="cs"/>
          <w:rtl/>
        </w:rPr>
        <w:t>ב</w:t>
      </w:r>
      <w:r w:rsidRPr="00820C84">
        <w:rPr>
          <w:rFonts w:ascii="David" w:hAnsi="David"/>
          <w:rtl/>
        </w:rPr>
        <w:t>קביעת מתחם העונש ההולם, על בית המשפט להתחשב בערך החברתי שנפגע, במידת הפגיעה בו, במדיניות הענישה הנהוגה ובנסיבות הקשורות לביצוע העבירה.</w:t>
      </w:r>
    </w:p>
    <w:p w14:paraId="76FE0C12" w14:textId="77777777" w:rsidR="00CB50A0" w:rsidRPr="00290472" w:rsidRDefault="00CB50A0" w:rsidP="00CB50A0">
      <w:pPr>
        <w:numPr>
          <w:ilvl w:val="0"/>
          <w:numId w:val="1"/>
        </w:numPr>
        <w:spacing w:after="300" w:line="360" w:lineRule="auto"/>
        <w:jc w:val="both"/>
        <w:rPr>
          <w:rFonts w:ascii="David" w:hAnsi="David"/>
          <w:rtl/>
        </w:rPr>
      </w:pPr>
      <w:r w:rsidRPr="00290472">
        <w:rPr>
          <w:rFonts w:ascii="David" w:hAnsi="David"/>
          <w:rtl/>
        </w:rPr>
        <w:t>במקרה דנן,</w:t>
      </w:r>
      <w:r w:rsidRPr="00290472">
        <w:rPr>
          <w:rFonts w:ascii="David" w:hAnsi="David" w:hint="cs"/>
          <w:rtl/>
        </w:rPr>
        <w:t xml:space="preserve"> </w:t>
      </w:r>
      <w:r w:rsidRPr="00290472">
        <w:rPr>
          <w:rFonts w:ascii="David" w:hAnsi="David"/>
          <w:rtl/>
        </w:rPr>
        <w:t>הערך החברתי אשר נפגע בביצוע עבירת קשירת קשר לביצוע פשע</w:t>
      </w:r>
      <w:r w:rsidRPr="00290472">
        <w:rPr>
          <w:rFonts w:ascii="David" w:hAnsi="David" w:hint="cs"/>
          <w:rtl/>
        </w:rPr>
        <w:t xml:space="preserve">, </w:t>
      </w:r>
      <w:r w:rsidRPr="00290472">
        <w:rPr>
          <w:rFonts w:ascii="David" w:hAnsi="David"/>
          <w:rtl/>
        </w:rPr>
        <w:t xml:space="preserve">הינו </w:t>
      </w:r>
      <w:r w:rsidRPr="00290472">
        <w:rPr>
          <w:rFonts w:ascii="David" w:hAnsi="David" w:hint="cs"/>
          <w:rtl/>
        </w:rPr>
        <w:t>ב</w:t>
      </w:r>
      <w:r w:rsidRPr="00290472">
        <w:rPr>
          <w:rFonts w:ascii="David" w:hAnsi="David"/>
          <w:rtl/>
        </w:rPr>
        <w:t>מניעת ההתארגנות עבריינית כבר בשלבי</w:t>
      </w:r>
      <w:r w:rsidRPr="00290472">
        <w:rPr>
          <w:rFonts w:ascii="David" w:hAnsi="David" w:hint="cs"/>
          <w:rtl/>
        </w:rPr>
        <w:t xml:space="preserve">ה </w:t>
      </w:r>
      <w:r w:rsidRPr="00290472">
        <w:rPr>
          <w:rFonts w:ascii="David" w:hAnsi="David"/>
          <w:rtl/>
        </w:rPr>
        <w:t>המוקדמים</w:t>
      </w:r>
      <w:r w:rsidRPr="00290472">
        <w:rPr>
          <w:rFonts w:ascii="David" w:hAnsi="David" w:hint="cs"/>
          <w:rtl/>
        </w:rPr>
        <w:t xml:space="preserve">. בהתייחס לעבירת ההתפרצות הרי שהיא נוגעת גם בפגיעה בזכות הקניין. </w:t>
      </w:r>
      <w:r w:rsidRPr="00290472">
        <w:rPr>
          <w:rFonts w:ascii="David" w:hAnsi="David"/>
          <w:rtl/>
        </w:rPr>
        <w:t xml:space="preserve">בחינת מידת הפגיעה בערך המוגן מובילה למסקנה כי </w:t>
      </w:r>
      <w:r w:rsidRPr="00290472">
        <w:rPr>
          <w:rFonts w:ascii="David" w:hAnsi="David" w:hint="cs"/>
          <w:rtl/>
        </w:rPr>
        <w:t>ה</w:t>
      </w:r>
      <w:r w:rsidRPr="00290472">
        <w:rPr>
          <w:rFonts w:ascii="David" w:hAnsi="David"/>
          <w:rtl/>
        </w:rPr>
        <w:t xml:space="preserve">פגיעה </w:t>
      </w:r>
      <w:r w:rsidRPr="00290472">
        <w:rPr>
          <w:rFonts w:ascii="David" w:hAnsi="David" w:hint="cs"/>
          <w:rtl/>
        </w:rPr>
        <w:t xml:space="preserve">הינה </w:t>
      </w:r>
      <w:r w:rsidRPr="00290472">
        <w:rPr>
          <w:rFonts w:ascii="David" w:hAnsi="David"/>
          <w:rtl/>
        </w:rPr>
        <w:t>משמעותית</w:t>
      </w:r>
      <w:r w:rsidRPr="00290472">
        <w:rPr>
          <w:rFonts w:ascii="David" w:hAnsi="David" w:hint="cs"/>
          <w:rtl/>
        </w:rPr>
        <w:t xml:space="preserve"> במקרה זה. </w:t>
      </w:r>
      <w:r w:rsidRPr="00290472">
        <w:rPr>
          <w:rFonts w:ascii="David" w:hAnsi="David"/>
          <w:rtl/>
        </w:rPr>
        <w:t>הנאשמים קשרו ביניהם קשר לביצוע פשע של התפרצות לב</w:t>
      </w:r>
      <w:r w:rsidRPr="00290472">
        <w:rPr>
          <w:rFonts w:ascii="David" w:hAnsi="David" w:hint="cs"/>
          <w:rtl/>
        </w:rPr>
        <w:t xml:space="preserve">תי </w:t>
      </w:r>
      <w:r w:rsidRPr="00290472">
        <w:rPr>
          <w:rFonts w:ascii="David" w:hAnsi="David"/>
          <w:rtl/>
        </w:rPr>
        <w:t>מגורים וגניבה. תוכנית הקשר ה</w:t>
      </w:r>
      <w:r w:rsidRPr="00290472">
        <w:rPr>
          <w:rFonts w:ascii="David" w:hAnsi="David" w:hint="cs"/>
          <w:rtl/>
        </w:rPr>
        <w:t>ייתה סדורה והיא ה</w:t>
      </w:r>
      <w:r w:rsidRPr="00290472">
        <w:rPr>
          <w:rFonts w:ascii="David" w:hAnsi="David"/>
          <w:rtl/>
        </w:rPr>
        <w:t>בשילה והגיעה עד כדי הגעתם</w:t>
      </w:r>
      <w:r w:rsidRPr="00290472">
        <w:rPr>
          <w:rFonts w:ascii="David" w:hAnsi="David" w:hint="cs"/>
          <w:rtl/>
        </w:rPr>
        <w:t xml:space="preserve"> של הנאשם ושותפיו לזירת הביצוע</w:t>
      </w:r>
      <w:r w:rsidRPr="00290472">
        <w:rPr>
          <w:rFonts w:ascii="David" w:hAnsi="David"/>
          <w:rtl/>
        </w:rPr>
        <w:t>, כאשר הדבר שמ</w:t>
      </w:r>
      <w:r w:rsidRPr="00290472">
        <w:rPr>
          <w:rFonts w:ascii="David" w:hAnsi="David" w:hint="cs"/>
          <w:rtl/>
        </w:rPr>
        <w:t>ו</w:t>
      </w:r>
      <w:r w:rsidRPr="00290472">
        <w:rPr>
          <w:rFonts w:ascii="David" w:hAnsi="David"/>
          <w:rtl/>
        </w:rPr>
        <w:t>נע מה</w:t>
      </w:r>
      <w:r w:rsidRPr="00290472">
        <w:rPr>
          <w:rFonts w:ascii="David" w:hAnsi="David" w:hint="cs"/>
          <w:rtl/>
        </w:rPr>
        <w:t xml:space="preserve">ם </w:t>
      </w:r>
      <w:r w:rsidRPr="00290472">
        <w:rPr>
          <w:rFonts w:ascii="David" w:hAnsi="David"/>
          <w:rtl/>
        </w:rPr>
        <w:t>ל</w:t>
      </w:r>
      <w:r w:rsidRPr="00290472">
        <w:rPr>
          <w:rFonts w:ascii="David" w:hAnsi="David" w:hint="cs"/>
          <w:rtl/>
        </w:rPr>
        <w:t xml:space="preserve">השלים את ביצוע העבירות היא נוכחתם של בעלי הבית במקרה אחד, ובמקרה נוסף נוכחותם </w:t>
      </w:r>
      <w:r w:rsidRPr="00290472">
        <w:rPr>
          <w:rFonts w:ascii="David" w:hAnsi="David"/>
          <w:rtl/>
        </w:rPr>
        <w:t>של שוטרי</w:t>
      </w:r>
      <w:r w:rsidRPr="00290472">
        <w:rPr>
          <w:rFonts w:ascii="David" w:hAnsi="David" w:hint="cs"/>
          <w:rtl/>
        </w:rPr>
        <w:t xml:space="preserve"> בילוש ב</w:t>
      </w:r>
      <w:r w:rsidRPr="00290472">
        <w:rPr>
          <w:rFonts w:ascii="David" w:hAnsi="David"/>
          <w:rtl/>
        </w:rPr>
        <w:t>מקום ומעצר</w:t>
      </w:r>
      <w:r w:rsidRPr="00290472">
        <w:rPr>
          <w:rFonts w:ascii="David" w:hAnsi="David" w:hint="cs"/>
          <w:rtl/>
        </w:rPr>
        <w:t>ו של הנאשם</w:t>
      </w:r>
      <w:r w:rsidRPr="00290472">
        <w:rPr>
          <w:rFonts w:ascii="David" w:hAnsi="David"/>
          <w:rtl/>
        </w:rPr>
        <w:t xml:space="preserve">. </w:t>
      </w:r>
      <w:r w:rsidRPr="00290472">
        <w:rPr>
          <w:rFonts w:ascii="David" w:hAnsi="David" w:hint="cs"/>
          <w:rtl/>
        </w:rPr>
        <w:t>המעשים לוו בריבוי משתתפים, בריבוי פעולות, הצטיידות באמצעי התפרצות ייחודיי</w:t>
      </w:r>
      <w:r w:rsidRPr="00290472">
        <w:rPr>
          <w:rFonts w:ascii="David" w:hAnsi="David" w:hint="eastAsia"/>
          <w:rtl/>
        </w:rPr>
        <w:t>ם</w:t>
      </w:r>
      <w:r w:rsidRPr="00290472">
        <w:rPr>
          <w:rFonts w:ascii="David" w:hAnsi="David" w:hint="cs"/>
          <w:rtl/>
        </w:rPr>
        <w:t xml:space="preserve"> ועוד. עוד יש לציין את תפקידו של הנאשם בחולייה העבריינית: בפועל הנאשם היה זה שהמתין בכל אותן "זירות אירוע" לצורך ביצוען של העבירות, תצפת על אותן דירות שיועדו להתפרצות ועדכן את יתר שותפיו. אם כן, תפקידו של הנאשם בביצוע העבירות היה מרכזי ביותר, יתר חברי החוליה הסתמכו על המידע שמסר, והוא זה שהיה מיועד לבצע את עבירת ההתפרצות. </w:t>
      </w:r>
      <w:r w:rsidRPr="00290472">
        <w:rPr>
          <w:rFonts w:ascii="David" w:hAnsi="David"/>
          <w:rtl/>
        </w:rPr>
        <w:t>הנזק שהיה צפוי להיגרם מביצוע העבירה</w:t>
      </w:r>
      <w:r w:rsidRPr="00290472">
        <w:rPr>
          <w:rFonts w:ascii="David" w:hAnsi="David" w:hint="cs"/>
          <w:rtl/>
        </w:rPr>
        <w:t xml:space="preserve"> ה</w:t>
      </w:r>
      <w:r w:rsidRPr="00290472">
        <w:rPr>
          <w:rFonts w:ascii="David" w:hAnsi="David"/>
          <w:rtl/>
        </w:rPr>
        <w:t xml:space="preserve">ינו השלמת </w:t>
      </w:r>
      <w:r w:rsidRPr="00290472">
        <w:rPr>
          <w:rFonts w:ascii="David" w:hAnsi="David" w:hint="cs"/>
          <w:rtl/>
        </w:rPr>
        <w:t>ביצוע</w:t>
      </w:r>
      <w:r>
        <w:rPr>
          <w:rFonts w:ascii="David" w:hAnsi="David" w:hint="cs"/>
          <w:rtl/>
        </w:rPr>
        <w:t>ן של העבירות</w:t>
      </w:r>
      <w:r w:rsidRPr="00290472">
        <w:rPr>
          <w:rFonts w:ascii="David" w:hAnsi="David" w:hint="cs"/>
          <w:rtl/>
        </w:rPr>
        <w:t>, ו</w:t>
      </w:r>
      <w:r w:rsidRPr="00290472">
        <w:rPr>
          <w:rFonts w:ascii="David" w:hAnsi="David"/>
          <w:rtl/>
        </w:rPr>
        <w:t xml:space="preserve">הסיבה היחידה לכך שלא בוצעו עבירות של התפרצות וגניבה </w:t>
      </w:r>
      <w:r>
        <w:rPr>
          <w:rFonts w:ascii="David" w:hAnsi="David" w:hint="cs"/>
          <w:rtl/>
        </w:rPr>
        <w:t>נעוצה ב</w:t>
      </w:r>
      <w:r w:rsidRPr="00290472">
        <w:rPr>
          <w:rFonts w:ascii="David" w:hAnsi="David"/>
          <w:rtl/>
        </w:rPr>
        <w:t xml:space="preserve">נוכחות </w:t>
      </w:r>
      <w:r w:rsidRPr="00290472">
        <w:rPr>
          <w:rFonts w:ascii="David" w:hAnsi="David" w:hint="cs"/>
          <w:rtl/>
        </w:rPr>
        <w:t xml:space="preserve">בעלי הבתים ונוכחות </w:t>
      </w:r>
      <w:r w:rsidRPr="00290472">
        <w:rPr>
          <w:rFonts w:ascii="David" w:hAnsi="David"/>
          <w:rtl/>
        </w:rPr>
        <w:t>שוטרים במקום ומעצר</w:t>
      </w:r>
      <w:r w:rsidRPr="00290472">
        <w:rPr>
          <w:rFonts w:ascii="David" w:hAnsi="David" w:hint="cs"/>
          <w:rtl/>
        </w:rPr>
        <w:t>ו</w:t>
      </w:r>
      <w:r w:rsidRPr="00290472">
        <w:rPr>
          <w:rFonts w:ascii="David" w:hAnsi="David"/>
          <w:rtl/>
        </w:rPr>
        <w:t xml:space="preserve"> של הנאשם. מנגד, יש ל</w:t>
      </w:r>
      <w:r>
        <w:rPr>
          <w:rFonts w:ascii="David" w:hAnsi="David" w:hint="cs"/>
          <w:rtl/>
        </w:rPr>
        <w:t xml:space="preserve">תת </w:t>
      </w:r>
      <w:r w:rsidRPr="00290472">
        <w:rPr>
          <w:rFonts w:ascii="David" w:hAnsi="David"/>
          <w:rtl/>
        </w:rPr>
        <w:t>את הדעת לכך שבפועל לא נגרם שום נזק.</w:t>
      </w:r>
    </w:p>
    <w:p w14:paraId="0B221650" w14:textId="77777777" w:rsidR="00CB50A0" w:rsidRPr="00C902A0" w:rsidRDefault="00CB50A0" w:rsidP="00CB50A0">
      <w:pPr>
        <w:numPr>
          <w:ilvl w:val="0"/>
          <w:numId w:val="1"/>
        </w:numPr>
        <w:spacing w:after="300" w:line="360" w:lineRule="auto"/>
        <w:jc w:val="both"/>
        <w:rPr>
          <w:rFonts w:ascii="David" w:hAnsi="David"/>
          <w:rtl/>
        </w:rPr>
      </w:pPr>
      <w:r>
        <w:rPr>
          <w:rFonts w:ascii="David" w:hAnsi="David" w:hint="cs"/>
          <w:rtl/>
        </w:rPr>
        <w:t>ב</w:t>
      </w:r>
      <w:r w:rsidRPr="00C902A0">
        <w:rPr>
          <w:rFonts w:ascii="David" w:hAnsi="David"/>
          <w:rtl/>
        </w:rPr>
        <w:t>חינת מדיניות הענישה הנוהגת מעלה כי במקרים דומים הוטלו על נאשמים עונשי מאסר לתקופות ממושכות, כמפורט להלן:</w:t>
      </w:r>
    </w:p>
    <w:p w14:paraId="35BEB3A2" w14:textId="77777777" w:rsidR="00CB50A0" w:rsidRPr="00164F24" w:rsidRDefault="00D53002" w:rsidP="00CB50A0">
      <w:pPr>
        <w:spacing w:after="300" w:line="360" w:lineRule="auto"/>
        <w:ind w:left="720"/>
        <w:jc w:val="both"/>
        <w:rPr>
          <w:rFonts w:ascii="David" w:hAnsi="David"/>
          <w:rtl/>
        </w:rPr>
      </w:pPr>
      <w:hyperlink r:id="rId51" w:history="1">
        <w:r w:rsidRPr="00D53002">
          <w:rPr>
            <w:rFonts w:ascii="David" w:hAnsi="David"/>
            <w:color w:val="0000FF"/>
            <w:u w:val="single"/>
            <w:rtl/>
          </w:rPr>
          <w:t xml:space="preserve">בת"פ 5003-08 מדינת ישראל נגד טארק טוויל ואח' </w:t>
        </w:r>
      </w:hyperlink>
      <w:r w:rsidR="00CB50A0" w:rsidRPr="00164F24">
        <w:rPr>
          <w:rFonts w:ascii="David" w:hAnsi="David"/>
          <w:b/>
          <w:bCs/>
        </w:rPr>
        <w:t xml:space="preserve"> </w:t>
      </w:r>
      <w:r w:rsidR="00CB50A0" w:rsidRPr="00164F24">
        <w:rPr>
          <w:rFonts w:ascii="David" w:hAnsi="David"/>
          <w:rtl/>
        </w:rPr>
        <w:t xml:space="preserve">(14.1.13) נקבע </w:t>
      </w:r>
      <w:r w:rsidR="00CB50A0" w:rsidRPr="00164F24">
        <w:rPr>
          <w:rFonts w:ascii="David" w:hAnsi="David" w:hint="cs"/>
          <w:rtl/>
        </w:rPr>
        <w:t xml:space="preserve">כי מתחם </w:t>
      </w:r>
      <w:r w:rsidR="00CB50A0" w:rsidRPr="00164F24">
        <w:rPr>
          <w:rFonts w:ascii="David" w:hAnsi="David"/>
          <w:rtl/>
        </w:rPr>
        <w:t>הענישה הראוי על עבירת ניסיון התפרצות</w:t>
      </w:r>
      <w:r w:rsidR="00CB50A0" w:rsidRPr="00164F24">
        <w:rPr>
          <w:rFonts w:ascii="David" w:hAnsi="David" w:hint="cs"/>
          <w:rtl/>
        </w:rPr>
        <w:t>-</w:t>
      </w:r>
      <w:r w:rsidR="00CB50A0" w:rsidRPr="00164F24">
        <w:rPr>
          <w:rFonts w:ascii="David" w:hAnsi="David"/>
          <w:rtl/>
        </w:rPr>
        <w:t xml:space="preserve"> שלא הובא ל</w:t>
      </w:r>
      <w:r w:rsidR="00CB50A0">
        <w:rPr>
          <w:rFonts w:ascii="David" w:hAnsi="David" w:hint="cs"/>
          <w:rtl/>
        </w:rPr>
        <w:t xml:space="preserve">כדי </w:t>
      </w:r>
      <w:r w:rsidR="00CB50A0" w:rsidRPr="00164F24">
        <w:rPr>
          <w:rFonts w:ascii="David" w:hAnsi="David"/>
          <w:rtl/>
        </w:rPr>
        <w:t>סיום</w:t>
      </w:r>
      <w:r w:rsidR="00CB50A0" w:rsidRPr="00164F24">
        <w:rPr>
          <w:rFonts w:ascii="David" w:hAnsi="David" w:hint="cs"/>
          <w:rtl/>
        </w:rPr>
        <w:t>-</w:t>
      </w:r>
      <w:r w:rsidR="00CB50A0" w:rsidRPr="00164F24">
        <w:rPr>
          <w:rFonts w:ascii="David" w:hAnsi="David"/>
          <w:rtl/>
        </w:rPr>
        <w:t xml:space="preserve"> </w:t>
      </w:r>
      <w:r w:rsidR="00CB50A0" w:rsidRPr="00164F24">
        <w:rPr>
          <w:rFonts w:ascii="David" w:hAnsi="David" w:hint="cs"/>
          <w:rtl/>
        </w:rPr>
        <w:t xml:space="preserve">הינו החל משישה חודשי מאסר ועד 20 </w:t>
      </w:r>
      <w:r w:rsidR="00CB50A0" w:rsidRPr="00164F24">
        <w:rPr>
          <w:rFonts w:ascii="David" w:hAnsi="David"/>
          <w:rtl/>
        </w:rPr>
        <w:t>חודשי מאסר בפועל.</w:t>
      </w:r>
      <w:r w:rsidR="00CB50A0" w:rsidRPr="00164F24">
        <w:rPr>
          <w:rFonts w:ascii="David" w:hAnsi="David" w:hint="cs"/>
          <w:rtl/>
        </w:rPr>
        <w:t xml:space="preserve"> </w:t>
      </w:r>
    </w:p>
    <w:p w14:paraId="6FFE2D02" w14:textId="77777777" w:rsidR="00CB50A0" w:rsidRDefault="00CB50A0" w:rsidP="00CB50A0">
      <w:pPr>
        <w:spacing w:after="300" w:line="360" w:lineRule="auto"/>
        <w:ind w:left="720"/>
        <w:jc w:val="both"/>
        <w:rPr>
          <w:rFonts w:ascii="David" w:hAnsi="David"/>
          <w:rtl/>
        </w:rPr>
      </w:pPr>
      <w:r>
        <w:rPr>
          <w:rFonts w:ascii="David" w:hAnsi="David" w:hint="cs"/>
          <w:rtl/>
        </w:rPr>
        <w:t>ב</w:t>
      </w:r>
      <w:hyperlink r:id="rId52" w:history="1">
        <w:r w:rsidR="00DD0AE5" w:rsidRPr="00DD0AE5">
          <w:rPr>
            <w:rFonts w:ascii="David" w:hAnsi="David"/>
            <w:color w:val="0000FF"/>
            <w:u w:val="single"/>
            <w:rtl/>
          </w:rPr>
          <w:t>ת"פ 1311-02-14</w:t>
        </w:r>
      </w:hyperlink>
      <w:r w:rsidRPr="00642C86">
        <w:rPr>
          <w:rFonts w:ascii="David" w:hAnsi="David"/>
          <w:rtl/>
        </w:rPr>
        <w:t xml:space="preserve"> </w:t>
      </w:r>
      <w:r w:rsidRPr="00642C86">
        <w:rPr>
          <w:rFonts w:ascii="David" w:hAnsi="David"/>
          <w:b/>
          <w:bCs/>
          <w:rtl/>
        </w:rPr>
        <w:t>מדינת ישראל נ' אליהו אסרף</w:t>
      </w:r>
      <w:r w:rsidRPr="00642C86">
        <w:rPr>
          <w:rFonts w:ascii="David" w:hAnsi="David"/>
          <w:rtl/>
        </w:rPr>
        <w:t xml:space="preserve"> </w:t>
      </w:r>
      <w:r>
        <w:rPr>
          <w:rFonts w:ascii="David" w:hAnsi="David" w:hint="cs"/>
          <w:rtl/>
        </w:rPr>
        <w:t xml:space="preserve">(9.2.15) הוטל על נאשמים בעבירת התפרצות שהושלמה, אך הם נתפסו מיד לאחר מכן, 18 חודשי מאסר בפועל, מע"ת, וכן הופעל מאסר מותנה למשך 6 חודשים. </w:t>
      </w:r>
    </w:p>
    <w:p w14:paraId="051199CB" w14:textId="77777777" w:rsidR="00CB50A0" w:rsidRDefault="00CB50A0" w:rsidP="00CB50A0">
      <w:pPr>
        <w:spacing w:after="300" w:line="360" w:lineRule="auto"/>
        <w:ind w:left="720"/>
        <w:jc w:val="both"/>
        <w:rPr>
          <w:rFonts w:ascii="David" w:hAnsi="David"/>
          <w:rtl/>
        </w:rPr>
      </w:pPr>
      <w:r>
        <w:rPr>
          <w:rFonts w:ascii="David" w:hAnsi="David" w:hint="cs"/>
          <w:rtl/>
        </w:rPr>
        <w:t>ב</w:t>
      </w:r>
      <w:hyperlink r:id="rId53" w:history="1">
        <w:r w:rsidR="00DD0AE5" w:rsidRPr="00DD0AE5">
          <w:rPr>
            <w:rFonts w:ascii="David" w:hAnsi="David"/>
            <w:color w:val="0000FF"/>
            <w:u w:val="single"/>
            <w:rtl/>
          </w:rPr>
          <w:t>ת"פ 2046-12</w:t>
        </w:r>
      </w:hyperlink>
      <w:r>
        <w:rPr>
          <w:rFonts w:ascii="David" w:hAnsi="David" w:hint="cs"/>
          <w:rtl/>
        </w:rPr>
        <w:t xml:space="preserve"> </w:t>
      </w:r>
      <w:r w:rsidRPr="006E5BC8">
        <w:rPr>
          <w:rFonts w:ascii="David" w:hAnsi="David"/>
          <w:b/>
          <w:bCs/>
          <w:rtl/>
        </w:rPr>
        <w:t>מדינת ישראל נ' מנשה ליאור שרבף</w:t>
      </w:r>
      <w:r>
        <w:rPr>
          <w:rFonts w:ascii="David" w:hAnsi="David" w:hint="cs"/>
          <w:rtl/>
        </w:rPr>
        <w:t xml:space="preserve"> (29.4.13), ביצע הנאשם עבירת התפרצות שהושלמה, אך מבלי שהספיק לגנוב מהדירה ונגזרו עליו 10 חודשי מאסר בפועל, מע"ת ופיצוי כספי. </w:t>
      </w:r>
    </w:p>
    <w:p w14:paraId="0F45C229" w14:textId="77777777" w:rsidR="00CB50A0" w:rsidRDefault="00CB50A0" w:rsidP="00CB50A0">
      <w:pPr>
        <w:spacing w:after="300" w:line="360" w:lineRule="auto"/>
        <w:ind w:left="720"/>
        <w:jc w:val="both"/>
        <w:rPr>
          <w:rFonts w:ascii="David" w:hAnsi="David"/>
          <w:rtl/>
        </w:rPr>
      </w:pPr>
      <w:r>
        <w:rPr>
          <w:rFonts w:hint="cs"/>
          <w:rtl/>
        </w:rPr>
        <w:t>ב</w:t>
      </w:r>
      <w:hyperlink r:id="rId54" w:history="1">
        <w:r w:rsidR="00DD0AE5" w:rsidRPr="00DD0AE5">
          <w:rPr>
            <w:rFonts w:ascii="David" w:hAnsi="David"/>
            <w:color w:val="0000FF"/>
            <w:u w:val="single"/>
            <w:rtl/>
          </w:rPr>
          <w:t>רע"פ 2966/13</w:t>
        </w:r>
      </w:hyperlink>
      <w:r w:rsidRPr="00C30722">
        <w:rPr>
          <w:rFonts w:ascii="David" w:hAnsi="David"/>
          <w:rtl/>
        </w:rPr>
        <w:t xml:space="preserve"> </w:t>
      </w:r>
      <w:r w:rsidRPr="00C30722">
        <w:rPr>
          <w:rFonts w:ascii="David" w:hAnsi="David"/>
          <w:b/>
          <w:bCs/>
          <w:rtl/>
        </w:rPr>
        <w:t>נעמנה נ' מד"י</w:t>
      </w:r>
      <w:r w:rsidRPr="00C30722">
        <w:rPr>
          <w:rFonts w:ascii="David" w:hAnsi="David"/>
          <w:rtl/>
        </w:rPr>
        <w:t xml:space="preserve"> (5.5.13)</w:t>
      </w:r>
      <w:r>
        <w:rPr>
          <w:rFonts w:ascii="David" w:hAnsi="David" w:hint="cs"/>
          <w:rtl/>
        </w:rPr>
        <w:t xml:space="preserve"> אושר גז"ד בעניינם של 3 נאשמים שקשרו קשר לשם התפרצות לדירה, שניים מהם ביצעו את ההתפרצות, אך הגניבה נכשלה וברכב המילוט נתפסו כלי ההתפרצות. על שני הנאשמים שביצעו את ההתפרצו</w:t>
      </w:r>
      <w:r>
        <w:rPr>
          <w:rFonts w:ascii="David" w:hAnsi="David" w:hint="eastAsia"/>
          <w:rtl/>
        </w:rPr>
        <w:t>ת</w:t>
      </w:r>
      <w:r>
        <w:rPr>
          <w:rFonts w:ascii="David" w:hAnsi="David" w:hint="cs"/>
          <w:rtl/>
        </w:rPr>
        <w:t xml:space="preserve"> נגזרו  11 חודשי מאסר בפועל, ועל הנאשם הנוסף שהמתין ברכב והורשע בסיוע, הוטלו 7 חודשי מאסר בפועל. </w:t>
      </w:r>
    </w:p>
    <w:p w14:paraId="02366854" w14:textId="77777777" w:rsidR="00CB50A0" w:rsidRPr="00DA2F93" w:rsidRDefault="00DD0AE5" w:rsidP="00CB50A0">
      <w:pPr>
        <w:spacing w:after="300" w:line="360" w:lineRule="auto"/>
        <w:ind w:left="720"/>
        <w:jc w:val="both"/>
        <w:rPr>
          <w:rFonts w:ascii="David" w:hAnsi="David"/>
        </w:rPr>
      </w:pPr>
      <w:hyperlink r:id="rId55" w:history="1">
        <w:r w:rsidRPr="00DD0AE5">
          <w:rPr>
            <w:color w:val="0000FF"/>
            <w:u w:val="single"/>
            <w:rtl/>
          </w:rPr>
          <w:t>עפ"ג 28478-04-13</w:t>
        </w:r>
      </w:hyperlink>
      <w:r w:rsidR="00CB50A0">
        <w:rPr>
          <w:rtl/>
        </w:rPr>
        <w:t xml:space="preserve"> </w:t>
      </w:r>
      <w:r w:rsidR="00CB50A0" w:rsidRPr="00DA2F93">
        <w:rPr>
          <w:b/>
          <w:bCs/>
          <w:rtl/>
        </w:rPr>
        <w:t>מדינת ישראל נ' בוחניק</w:t>
      </w:r>
      <w:r w:rsidR="00CB50A0">
        <w:rPr>
          <w:rFonts w:ascii="David" w:hAnsi="David" w:hint="cs"/>
          <w:rtl/>
        </w:rPr>
        <w:t xml:space="preserve"> (לא פורסם) התקבל ערעור על קולת העונש והוחמר עונשו של נאשם בעבירת התפרצות, גניבה והחזקת סמים, אשר החפצים שגנב נתפסו והושבו לבעליהם (כך שנסיבות המקרה דומות למקרה שלפני, בהן הנזק שנגרם מההתפרצות נמנע). אציין שבאותו מקרה לא נמצא שלנאשם אופק שיקומי צפוי, כפי שהמקרה שלפני. ביהמ"ש המחוזי קבע שהמתחם ההולם בגין כלל העבירות הינו בטווח שבין 12-24 חודשי מאסר בפועל, שכן בימ"ש השלום התעלם מעבירת הסמים שנלוותה לאירוע ההתפרצות. בנסיבות האמורות נגזרו על הנאשם 14 חודשי מאסר והוחמרו העונשים הנלווים. פסק הדין אושר בביהמ"ש העליון. ראו: </w:t>
      </w:r>
      <w:hyperlink r:id="rId56" w:history="1">
        <w:r w:rsidRPr="00DD0AE5">
          <w:rPr>
            <w:rFonts w:ascii="David" w:hAnsi="David"/>
            <w:color w:val="0000FF"/>
            <w:u w:val="single"/>
            <w:rtl/>
          </w:rPr>
          <w:t>רע"פ 4156/13</w:t>
        </w:r>
      </w:hyperlink>
      <w:r w:rsidR="00CB50A0" w:rsidRPr="00DA2F93">
        <w:rPr>
          <w:rFonts w:ascii="David" w:hAnsi="David"/>
          <w:rtl/>
        </w:rPr>
        <w:t xml:space="preserve"> </w:t>
      </w:r>
      <w:r w:rsidR="00CB50A0" w:rsidRPr="00DA2F93">
        <w:rPr>
          <w:rFonts w:ascii="David" w:hAnsi="David"/>
          <w:b/>
          <w:bCs/>
          <w:rtl/>
        </w:rPr>
        <w:t>אפרים בוחניק נ' מדינת ישראל</w:t>
      </w:r>
      <w:r w:rsidR="00CB50A0" w:rsidRPr="00DA2F93">
        <w:rPr>
          <w:rFonts w:ascii="David" w:hAnsi="David"/>
          <w:rtl/>
        </w:rPr>
        <w:t xml:space="preserve"> (12.06.13)</w:t>
      </w:r>
      <w:r w:rsidR="00CB50A0">
        <w:rPr>
          <w:rFonts w:ascii="David" w:hAnsi="David" w:hint="cs"/>
          <w:rtl/>
        </w:rPr>
        <w:t>.</w:t>
      </w:r>
    </w:p>
    <w:p w14:paraId="7C4D124A" w14:textId="77777777" w:rsidR="00CB50A0" w:rsidRPr="00164F24" w:rsidRDefault="004718C4" w:rsidP="00CB50A0">
      <w:pPr>
        <w:spacing w:line="360" w:lineRule="auto"/>
        <w:ind w:left="720"/>
        <w:jc w:val="both"/>
        <w:rPr>
          <w:rFonts w:ascii="David" w:hAnsi="David"/>
        </w:rPr>
      </w:pPr>
      <w:hyperlink r:id="rId57" w:history="1">
        <w:r w:rsidRPr="004718C4">
          <w:rPr>
            <w:rFonts w:ascii="David" w:hAnsi="David"/>
            <w:color w:val="0000FF"/>
            <w:u w:val="single"/>
            <w:rtl/>
          </w:rPr>
          <w:t xml:space="preserve">בת"פ (ת"א) 4153-09 מדינת ישראל נ' לאלא </w:t>
        </w:r>
      </w:hyperlink>
      <w:r w:rsidR="00CB50A0" w:rsidRPr="00164F24">
        <w:rPr>
          <w:rFonts w:ascii="David" w:hAnsi="David"/>
          <w:rtl/>
        </w:rPr>
        <w:t xml:space="preserve"> (22.12.09), הורשע נאשם 1 על-פי הודאתו, במסגרת הסדר טיעון, בביצוע עבירות של קשירת קשר לביצוע פשע (התפרצות), ניסיון התפרצות ועבירות נלוות, ונדון ל-20 חודשי מאסר בפועל</w:t>
      </w:r>
      <w:r w:rsidR="00CB50A0">
        <w:rPr>
          <w:rFonts w:ascii="David" w:hAnsi="David"/>
          <w:rtl/>
        </w:rPr>
        <w:t>, יחד עם הפעלת מאסר מותנה, ס</w:t>
      </w:r>
      <w:r w:rsidR="00CB50A0">
        <w:rPr>
          <w:rFonts w:ascii="David" w:hAnsi="David" w:hint="cs"/>
          <w:rtl/>
        </w:rPr>
        <w:t>ה"כ</w:t>
      </w:r>
      <w:r w:rsidR="00CB50A0" w:rsidRPr="00164F24">
        <w:rPr>
          <w:rFonts w:ascii="David" w:hAnsi="David"/>
          <w:rtl/>
        </w:rPr>
        <w:t xml:space="preserve"> 26 חודשים. נאשמים 2 ו-3 הורשעו, על-פי הודאתם, במסגרת הסדר טיעון, בעבירות של קשירת קשר לביצוע פשע (התפרצות) וניסיון התפרצות. נאשם 2 נדון ל-18 חודשי מאסר בפועל, ונאשם 3 נדון ל-18 חודשי מאסר בפועל, יחד עם הפעלת מאסר מותנה, סך-הכ</w:t>
      </w:r>
      <w:r w:rsidR="00CB50A0">
        <w:rPr>
          <w:rFonts w:ascii="David" w:hAnsi="David" w:hint="cs"/>
          <w:rtl/>
        </w:rPr>
        <w:t>ו</w:t>
      </w:r>
      <w:r w:rsidR="00CB50A0" w:rsidRPr="00164F24">
        <w:rPr>
          <w:rFonts w:ascii="David" w:hAnsi="David"/>
          <w:rtl/>
        </w:rPr>
        <w:t>ל 20 חודשים. נאשם 4 הורשע, על-פי הודאתו, במסגרת הסדר טיעון, בביצוע עבירה של קשירת קשר לביצוע פשע (התפרצות), ונדון ל-11 חודשי מאסר בפועל, יחד עם הפעלת מאסר מותנה, סך-הכ</w:t>
      </w:r>
      <w:r w:rsidR="00CB50A0">
        <w:rPr>
          <w:rFonts w:ascii="David" w:hAnsi="David" w:hint="cs"/>
          <w:rtl/>
        </w:rPr>
        <w:t>ו</w:t>
      </w:r>
      <w:r w:rsidR="00CB50A0" w:rsidRPr="00164F24">
        <w:rPr>
          <w:rFonts w:ascii="David" w:hAnsi="David"/>
          <w:rtl/>
        </w:rPr>
        <w:t>ל 14 חודשים. נאשם 2 ערער על גזר הדין בעניינו לבית-המשפט המחוזי, אשר המליץ על חזרה מהערעור, והערעור נדחה.</w:t>
      </w:r>
    </w:p>
    <w:p w14:paraId="33C38E6E" w14:textId="77777777" w:rsidR="00CB50A0" w:rsidRPr="00E93677" w:rsidRDefault="00CB50A0" w:rsidP="00CB50A0">
      <w:pPr>
        <w:ind w:left="360"/>
        <w:jc w:val="both"/>
        <w:rPr>
          <w:rFonts w:ascii="David" w:hAnsi="David"/>
          <w:rtl/>
        </w:rPr>
      </w:pPr>
    </w:p>
    <w:p w14:paraId="703BF1F1" w14:textId="77777777" w:rsidR="00CB50A0" w:rsidRDefault="00CB50A0" w:rsidP="00CB50A0">
      <w:pPr>
        <w:numPr>
          <w:ilvl w:val="0"/>
          <w:numId w:val="1"/>
        </w:numPr>
        <w:spacing w:after="300" w:line="360" w:lineRule="auto"/>
        <w:jc w:val="both"/>
        <w:rPr>
          <w:rFonts w:ascii="David" w:hAnsi="David"/>
        </w:rPr>
      </w:pPr>
      <w:r>
        <w:rPr>
          <w:rFonts w:ascii="David" w:hAnsi="David" w:hint="cs"/>
          <w:rtl/>
        </w:rPr>
        <w:t xml:space="preserve">לטעמי </w:t>
      </w:r>
      <w:r w:rsidRPr="005A074C">
        <w:rPr>
          <w:rFonts w:ascii="David" w:hAnsi="David"/>
          <w:rtl/>
        </w:rPr>
        <w:t xml:space="preserve">מתחם העונש ההולם לעבירת הקשר צריך להיות נמוך ממתחם העונש ההולם </w:t>
      </w:r>
      <w:r>
        <w:rPr>
          <w:rFonts w:ascii="David" w:hAnsi="David" w:hint="cs"/>
          <w:rtl/>
        </w:rPr>
        <w:t>ביחס לעבירת ה</w:t>
      </w:r>
      <w:r w:rsidRPr="005A074C">
        <w:rPr>
          <w:rFonts w:ascii="David" w:hAnsi="David"/>
          <w:rtl/>
        </w:rPr>
        <w:t xml:space="preserve">התפרצות. יחד עם זאת, </w:t>
      </w:r>
      <w:r>
        <w:rPr>
          <w:rFonts w:ascii="David" w:hAnsi="David" w:hint="cs"/>
          <w:rtl/>
        </w:rPr>
        <w:t xml:space="preserve">ומשום </w:t>
      </w:r>
      <w:r w:rsidRPr="005A074C">
        <w:rPr>
          <w:rFonts w:ascii="David" w:hAnsi="David"/>
          <w:rtl/>
        </w:rPr>
        <w:t xml:space="preserve"> ו</w:t>
      </w:r>
      <w:r>
        <w:rPr>
          <w:rFonts w:ascii="David" w:hAnsi="David" w:hint="cs"/>
          <w:rtl/>
        </w:rPr>
        <w:t>ה</w:t>
      </w:r>
      <w:r w:rsidRPr="005A074C">
        <w:rPr>
          <w:rFonts w:ascii="David" w:hAnsi="David"/>
          <w:rtl/>
        </w:rPr>
        <w:t xml:space="preserve">מדובר בקשירת קשר ברף גבוה, כאשר הקשר הגיע </w:t>
      </w:r>
      <w:r>
        <w:rPr>
          <w:rFonts w:ascii="David" w:hAnsi="David" w:hint="cs"/>
          <w:rtl/>
        </w:rPr>
        <w:t xml:space="preserve">כאמור </w:t>
      </w:r>
      <w:r w:rsidRPr="005A074C">
        <w:rPr>
          <w:rFonts w:ascii="David" w:hAnsi="David"/>
          <w:rtl/>
        </w:rPr>
        <w:t xml:space="preserve">לשלב מתקדם של ביצוע, מתחם </w:t>
      </w:r>
      <w:r>
        <w:rPr>
          <w:rFonts w:ascii="David" w:hAnsi="David" w:hint="cs"/>
          <w:rtl/>
        </w:rPr>
        <w:t xml:space="preserve">העונש </w:t>
      </w:r>
      <w:r w:rsidRPr="005A074C">
        <w:rPr>
          <w:rFonts w:ascii="David" w:hAnsi="David"/>
          <w:rtl/>
        </w:rPr>
        <w:t xml:space="preserve">אינו יכול להיות נמוך באופן </w:t>
      </w:r>
      <w:r>
        <w:rPr>
          <w:rFonts w:ascii="David" w:hAnsi="David" w:hint="cs"/>
          <w:rtl/>
        </w:rPr>
        <w:t xml:space="preserve">משמעותי </w:t>
      </w:r>
      <w:r w:rsidRPr="005A074C">
        <w:rPr>
          <w:rFonts w:ascii="David" w:hAnsi="David"/>
          <w:rtl/>
        </w:rPr>
        <w:t>מהמתחם המקובל לעבירת ההתפרצות או ניסיון ההתפרצות.</w:t>
      </w:r>
    </w:p>
    <w:p w14:paraId="46BD9E8A" w14:textId="77777777" w:rsidR="00CB50A0" w:rsidRPr="00C902A0" w:rsidRDefault="00CB50A0" w:rsidP="00CB50A0">
      <w:pPr>
        <w:numPr>
          <w:ilvl w:val="0"/>
          <w:numId w:val="1"/>
        </w:numPr>
        <w:spacing w:after="300" w:line="360" w:lineRule="auto"/>
        <w:jc w:val="both"/>
        <w:rPr>
          <w:rFonts w:ascii="David" w:hAnsi="David"/>
        </w:rPr>
      </w:pPr>
      <w:r>
        <w:rPr>
          <w:rFonts w:ascii="David" w:hAnsi="David" w:hint="cs"/>
          <w:rtl/>
        </w:rPr>
        <w:t>ב</w:t>
      </w:r>
      <w:r w:rsidRPr="00C902A0">
        <w:rPr>
          <w:rFonts w:ascii="David" w:hAnsi="David"/>
          <w:rtl/>
        </w:rPr>
        <w:t>התאם לתיקון 113 ל</w:t>
      </w:r>
      <w:hyperlink r:id="rId58" w:history="1">
        <w:r w:rsidR="00DD0AE5" w:rsidRPr="00DD0AE5">
          <w:rPr>
            <w:rFonts w:ascii="David" w:hAnsi="David"/>
            <w:color w:val="0000FF"/>
            <w:u w:val="single"/>
            <w:rtl/>
          </w:rPr>
          <w:t>חוק העונשין</w:t>
        </w:r>
      </w:hyperlink>
      <w:r w:rsidRPr="00C902A0">
        <w:rPr>
          <w:rFonts w:ascii="David" w:hAnsi="David"/>
          <w:rtl/>
        </w:rPr>
        <w:t xml:space="preserve"> (סעיף </w:t>
      </w:r>
      <w:hyperlink r:id="rId59" w:history="1">
        <w:r w:rsidR="00CF3902" w:rsidRPr="00CF3902">
          <w:rPr>
            <w:rStyle w:val="Hyperlink"/>
            <w:rFonts w:ascii="David" w:hAnsi="David"/>
            <w:rtl/>
          </w:rPr>
          <w:t>40 יג'</w:t>
        </w:r>
      </w:hyperlink>
      <w:r w:rsidRPr="00C902A0">
        <w:rPr>
          <w:rFonts w:ascii="David" w:hAnsi="David"/>
          <w:rtl/>
        </w:rPr>
        <w:t>), סבורני כי מתחם העונש ההולם</w:t>
      </w:r>
      <w:r>
        <w:rPr>
          <w:rFonts w:ascii="David" w:hAnsi="David" w:hint="cs"/>
          <w:rtl/>
        </w:rPr>
        <w:t xml:space="preserve"> במקרה דנן הינו החל משמונה חודשי מאסר ועד 18 חודשי מאסר בפועל לצד ענישה נלווית, וביחס לעבירות הסם החל ממאסר על תנאי ועד מאסר קצר.</w:t>
      </w:r>
    </w:p>
    <w:p w14:paraId="7377F4DD" w14:textId="77777777" w:rsidR="00CB50A0" w:rsidRPr="007A7242" w:rsidRDefault="00CB50A0" w:rsidP="00CB50A0">
      <w:pPr>
        <w:spacing w:after="300" w:line="360" w:lineRule="auto"/>
        <w:ind w:left="360"/>
        <w:jc w:val="both"/>
        <w:rPr>
          <w:rFonts w:ascii="David" w:hAnsi="David"/>
          <w:b/>
          <w:bCs/>
        </w:rPr>
      </w:pPr>
      <w:r>
        <w:rPr>
          <w:rFonts w:ascii="David" w:hAnsi="David" w:hint="cs"/>
          <w:b/>
          <w:bCs/>
          <w:rtl/>
        </w:rPr>
        <w:t>ק</w:t>
      </w:r>
      <w:r w:rsidRPr="007A7242">
        <w:rPr>
          <w:rFonts w:ascii="David" w:hAnsi="David" w:hint="cs"/>
          <w:b/>
          <w:bCs/>
          <w:rtl/>
        </w:rPr>
        <w:t>ביעת עונ</w:t>
      </w:r>
      <w:r>
        <w:rPr>
          <w:rFonts w:ascii="David" w:hAnsi="David" w:hint="cs"/>
          <w:b/>
          <w:bCs/>
          <w:rtl/>
        </w:rPr>
        <w:t>ש</w:t>
      </w:r>
      <w:r w:rsidRPr="007A7242">
        <w:rPr>
          <w:rFonts w:ascii="David" w:hAnsi="David" w:hint="cs"/>
          <w:b/>
          <w:bCs/>
          <w:rtl/>
        </w:rPr>
        <w:t>ו של הנאשם</w:t>
      </w:r>
    </w:p>
    <w:p w14:paraId="5BF9AF3B" w14:textId="77777777" w:rsidR="00CB50A0" w:rsidRDefault="00CB50A0" w:rsidP="00CB50A0">
      <w:pPr>
        <w:pStyle w:val="a3"/>
        <w:numPr>
          <w:ilvl w:val="0"/>
          <w:numId w:val="1"/>
        </w:numPr>
        <w:spacing w:after="300" w:line="360" w:lineRule="auto"/>
        <w:ind w:left="714" w:hanging="357"/>
        <w:jc w:val="both"/>
      </w:pPr>
      <w:r>
        <w:rPr>
          <w:rtl/>
        </w:rPr>
        <w:t xml:space="preserve">בגזירת העונש המתאים לנאשם, בגדרי מתחם העונש ההולם, יש להתחשב בנסיבות שאינן קשורות בביצוע העבירה (סעיף </w:t>
      </w:r>
      <w:hyperlink r:id="rId60" w:history="1">
        <w:r w:rsidR="00CF3902" w:rsidRPr="00CF3902">
          <w:rPr>
            <w:rStyle w:val="Hyperlink"/>
            <w:rtl/>
          </w:rPr>
          <w:t>40 יא'</w:t>
        </w:r>
      </w:hyperlink>
      <w:r>
        <w:rPr>
          <w:rtl/>
        </w:rPr>
        <w:t>). במסגרת זו מן הראוי ליתן את הדעת לנסיבות הבאות:</w:t>
      </w:r>
      <w:r>
        <w:rPr>
          <w:rFonts w:hint="cs"/>
          <w:rtl/>
        </w:rPr>
        <w:t xml:space="preserve"> ה</w:t>
      </w:r>
      <w:r>
        <w:rPr>
          <w:rtl/>
        </w:rPr>
        <w:t>נאש</w:t>
      </w:r>
      <w:r>
        <w:rPr>
          <w:rFonts w:hint="cs"/>
          <w:rtl/>
        </w:rPr>
        <w:t>ם</w:t>
      </w:r>
      <w:r>
        <w:rPr>
          <w:rtl/>
        </w:rPr>
        <w:t xml:space="preserve"> הוד</w:t>
      </w:r>
      <w:r>
        <w:rPr>
          <w:rFonts w:hint="cs"/>
          <w:rtl/>
        </w:rPr>
        <w:t xml:space="preserve">ה </w:t>
      </w:r>
      <w:r>
        <w:rPr>
          <w:rtl/>
        </w:rPr>
        <w:t>במעשים המיוחסים ל</w:t>
      </w:r>
      <w:r>
        <w:rPr>
          <w:rFonts w:hint="cs"/>
          <w:rtl/>
        </w:rPr>
        <w:t>ו</w:t>
      </w:r>
      <w:r>
        <w:rPr>
          <w:rtl/>
        </w:rPr>
        <w:t xml:space="preserve"> לאחר תיקון כתב האישום, במסגרת הסדר טעון</w:t>
      </w:r>
      <w:r>
        <w:rPr>
          <w:rFonts w:hint="cs"/>
          <w:rtl/>
        </w:rPr>
        <w:t xml:space="preserve"> ובכך חסך זמן שיפוטי יקר</w:t>
      </w:r>
      <w:r>
        <w:rPr>
          <w:rtl/>
        </w:rPr>
        <w:t>.</w:t>
      </w:r>
      <w:r>
        <w:rPr>
          <w:rFonts w:hint="cs"/>
          <w:rtl/>
        </w:rPr>
        <w:t xml:space="preserve"> עוד יש להתחשב בנ</w:t>
      </w:r>
      <w:r>
        <w:rPr>
          <w:rtl/>
        </w:rPr>
        <w:t>סיבות חיי</w:t>
      </w:r>
      <w:r>
        <w:rPr>
          <w:rFonts w:hint="cs"/>
          <w:rtl/>
        </w:rPr>
        <w:t>ו</w:t>
      </w:r>
      <w:r>
        <w:rPr>
          <w:rtl/>
        </w:rPr>
        <w:t xml:space="preserve"> </w:t>
      </w:r>
      <w:r>
        <w:rPr>
          <w:rFonts w:hint="cs"/>
          <w:rtl/>
        </w:rPr>
        <w:t>ה</w:t>
      </w:r>
      <w:r>
        <w:rPr>
          <w:rtl/>
        </w:rPr>
        <w:t>קשות של הנאשם</w:t>
      </w:r>
      <w:r>
        <w:rPr>
          <w:rFonts w:hint="cs"/>
          <w:rtl/>
        </w:rPr>
        <w:t>,</w:t>
      </w:r>
      <w:r>
        <w:rPr>
          <w:rtl/>
        </w:rPr>
        <w:t xml:space="preserve"> ש</w:t>
      </w:r>
      <w:r>
        <w:rPr>
          <w:rFonts w:hint="cs"/>
          <w:rtl/>
        </w:rPr>
        <w:t xml:space="preserve">בוודאי </w:t>
      </w:r>
      <w:r>
        <w:rPr>
          <w:rtl/>
        </w:rPr>
        <w:t>הייתה להן השפעה על ביצוע מעשה העבירה</w:t>
      </w:r>
      <w:r>
        <w:rPr>
          <w:rFonts w:hint="cs"/>
          <w:rtl/>
        </w:rPr>
        <w:t>. ודוק, במקרה שלפני אכן מעורר תיאור נסיבות קשה, עת הנאשם נותר לבדו בארץ כבר מגיל צעיר, ככל הנראה מגיל 14, ללא הורים מטפלים וללא שסמכות כלשהי תשקיע בו ותפעל להוציאו ממעגל העבריינות אליו נקלע. גם באשר לחלוף</w:t>
      </w:r>
      <w:r>
        <w:rPr>
          <w:rtl/>
        </w:rPr>
        <w:t xml:space="preserve"> הזמן מעת ביצוע העבירה</w:t>
      </w:r>
      <w:r>
        <w:rPr>
          <w:rFonts w:hint="cs"/>
          <w:rtl/>
        </w:rPr>
        <w:t xml:space="preserve"> יש כדי לפעול לטובת הנאשם שכן</w:t>
      </w:r>
      <w:r>
        <w:rPr>
          <w:rtl/>
        </w:rPr>
        <w:t xml:space="preserve"> העבירה בוצעה בשנת</w:t>
      </w:r>
      <w:r>
        <w:rPr>
          <w:rFonts w:hint="cs"/>
          <w:rtl/>
        </w:rPr>
        <w:t xml:space="preserve"> 2018 ומאז לא נעברו על ידו עבירות נוספות</w:t>
      </w:r>
      <w:r>
        <w:rPr>
          <w:rtl/>
        </w:rPr>
        <w:t>.</w:t>
      </w:r>
      <w:r>
        <w:rPr>
          <w:rFonts w:hint="cs"/>
          <w:rtl/>
        </w:rPr>
        <w:t xml:space="preserve"> הנאשם גם גילה יציבות תעסוקתית מאז נעברה העבירות. </w:t>
      </w:r>
      <w:r w:rsidR="00BA3383">
        <w:rPr>
          <w:rFonts w:hint="cs"/>
          <w:rtl/>
        </w:rPr>
        <w:t xml:space="preserve"> </w:t>
      </w:r>
    </w:p>
    <w:p w14:paraId="14C44879" w14:textId="77777777" w:rsidR="00CB50A0" w:rsidRDefault="00CB50A0" w:rsidP="00CB50A0">
      <w:pPr>
        <w:pStyle w:val="a3"/>
        <w:numPr>
          <w:ilvl w:val="0"/>
          <w:numId w:val="1"/>
        </w:numPr>
        <w:spacing w:after="300" w:line="360" w:lineRule="auto"/>
        <w:ind w:left="714" w:hanging="357"/>
        <w:jc w:val="both"/>
      </w:pPr>
      <w:r>
        <w:rPr>
          <w:rFonts w:hint="cs"/>
          <w:rtl/>
        </w:rPr>
        <w:t xml:space="preserve">לחובת הנאשם עומד עברו הפלילי הכולל 2 הרשעות מבית המשפט לנוער, אשר בגין כל אחת מהן ריצה 12 חודשי מאסר. לאחר בגרותו, בשנת 2016, הורשע הנאשם בשלישית ונדון לשנת מאסר נוספת, אותה סיים לרצות רק לפני כשנתיים. בנוסף, </w:t>
      </w:r>
      <w:r>
        <w:rPr>
          <w:rtl/>
        </w:rPr>
        <w:t xml:space="preserve">נגד </w:t>
      </w:r>
      <w:r>
        <w:rPr>
          <w:rFonts w:hint="cs"/>
          <w:rtl/>
        </w:rPr>
        <w:t>ה</w:t>
      </w:r>
      <w:r>
        <w:rPr>
          <w:rtl/>
        </w:rPr>
        <w:t>נאשם</w:t>
      </w:r>
      <w:r>
        <w:rPr>
          <w:rFonts w:hint="cs"/>
          <w:rtl/>
        </w:rPr>
        <w:t xml:space="preserve"> </w:t>
      </w:r>
      <w:r>
        <w:rPr>
          <w:rtl/>
        </w:rPr>
        <w:t>תלוי ועומד מאסר מותנ</w:t>
      </w:r>
      <w:r>
        <w:rPr>
          <w:rFonts w:hint="cs"/>
          <w:rtl/>
        </w:rPr>
        <w:t xml:space="preserve">ה בר </w:t>
      </w:r>
      <w:r>
        <w:rPr>
          <w:rtl/>
        </w:rPr>
        <w:t xml:space="preserve">הפעלה </w:t>
      </w:r>
      <w:r>
        <w:rPr>
          <w:rFonts w:hint="cs"/>
          <w:rtl/>
        </w:rPr>
        <w:t xml:space="preserve">למשך 4 </w:t>
      </w:r>
      <w:r>
        <w:rPr>
          <w:rtl/>
        </w:rPr>
        <w:t>חודשים</w:t>
      </w:r>
      <w:r>
        <w:rPr>
          <w:rFonts w:hint="cs"/>
          <w:rtl/>
        </w:rPr>
        <w:t xml:space="preserve"> מתיק קודם בעבירה דומה של "קשירת קשר" </w:t>
      </w:r>
      <w:r>
        <w:rPr>
          <w:rtl/>
        </w:rPr>
        <w:t>שלא היה ב</w:t>
      </w:r>
      <w:r>
        <w:rPr>
          <w:rFonts w:hint="cs"/>
          <w:rtl/>
        </w:rPr>
        <w:t>ה</w:t>
      </w:r>
      <w:r>
        <w:rPr>
          <w:rtl/>
        </w:rPr>
        <w:t xml:space="preserve"> כדי להרתיעו</w:t>
      </w:r>
      <w:r>
        <w:rPr>
          <w:rFonts w:hint="cs"/>
          <w:rtl/>
        </w:rPr>
        <w:t>.</w:t>
      </w:r>
      <w:r>
        <w:rPr>
          <w:rtl/>
        </w:rPr>
        <w:t xml:space="preserve"> </w:t>
      </w:r>
    </w:p>
    <w:p w14:paraId="491CFBDC" w14:textId="77777777" w:rsidR="00CB50A0" w:rsidRDefault="00CB50A0" w:rsidP="00CB50A0">
      <w:pPr>
        <w:pStyle w:val="a3"/>
        <w:numPr>
          <w:ilvl w:val="0"/>
          <w:numId w:val="1"/>
        </w:numPr>
        <w:spacing w:after="300" w:line="360" w:lineRule="auto"/>
        <w:ind w:left="714" w:hanging="357"/>
        <w:jc w:val="both"/>
        <w:rPr>
          <w:rtl/>
        </w:rPr>
      </w:pPr>
      <w:r>
        <w:rPr>
          <w:rtl/>
        </w:rPr>
        <w:t>במקרה דנן, לא קיימים שיקולים אשר מצדיקים סטייה מהמתחם, לחומרה או לקולא. שיקול ה</w:t>
      </w:r>
      <w:r>
        <w:rPr>
          <w:rFonts w:hint="cs"/>
          <w:rtl/>
        </w:rPr>
        <w:t xml:space="preserve">שיקום אינו רלוונטי. </w:t>
      </w:r>
      <w:r>
        <w:rPr>
          <w:rtl/>
        </w:rPr>
        <w:t xml:space="preserve">הנאשם לא הגיע למפגשים עם שירות המבחן, על אף שניתנה לו הזדמנות לכך, </w:t>
      </w:r>
      <w:r>
        <w:rPr>
          <w:rFonts w:hint="cs"/>
          <w:rtl/>
        </w:rPr>
        <w:t xml:space="preserve">הוא סירב ליצירת קשר עם עו"ס שתסייע בעדו בתכנית שיקומית וזוהי גם הסיבה בגינה הומלץ על ידם להטיל עונש הרתעתי כנגדו. </w:t>
      </w:r>
    </w:p>
    <w:p w14:paraId="77F6FFB5" w14:textId="77777777" w:rsidR="00CB50A0" w:rsidRDefault="00CB50A0" w:rsidP="00CB50A0">
      <w:pPr>
        <w:pStyle w:val="a3"/>
        <w:numPr>
          <w:ilvl w:val="0"/>
          <w:numId w:val="1"/>
        </w:numPr>
        <w:spacing w:after="300" w:line="360" w:lineRule="auto"/>
        <w:ind w:left="714" w:hanging="357"/>
        <w:jc w:val="both"/>
      </w:pPr>
      <w:r>
        <w:rPr>
          <w:rFonts w:hint="cs"/>
          <w:rtl/>
        </w:rPr>
        <w:t>בנסיבות בהן ביצוע ה</w:t>
      </w:r>
      <w:r>
        <w:rPr>
          <w:rtl/>
        </w:rPr>
        <w:t>עביר</w:t>
      </w:r>
      <w:r>
        <w:rPr>
          <w:rFonts w:hint="cs"/>
          <w:rtl/>
        </w:rPr>
        <w:t xml:space="preserve">ות </w:t>
      </w:r>
      <w:r>
        <w:rPr>
          <w:rtl/>
        </w:rPr>
        <w:t>בוצע למען בצע כסף, מן הראוי ל</w:t>
      </w:r>
      <w:r>
        <w:rPr>
          <w:rFonts w:hint="cs"/>
          <w:rtl/>
        </w:rPr>
        <w:t xml:space="preserve">כלול בגר הדין </w:t>
      </w:r>
      <w:r>
        <w:rPr>
          <w:rtl/>
        </w:rPr>
        <w:t xml:space="preserve">אף </w:t>
      </w:r>
      <w:r>
        <w:rPr>
          <w:rFonts w:hint="cs"/>
          <w:rtl/>
        </w:rPr>
        <w:t xml:space="preserve">רכיב של </w:t>
      </w:r>
      <w:r>
        <w:rPr>
          <w:rtl/>
        </w:rPr>
        <w:t>קנס כספי.</w:t>
      </w:r>
    </w:p>
    <w:p w14:paraId="59BCCC52" w14:textId="77777777" w:rsidR="00CB50A0" w:rsidRDefault="00CB50A0" w:rsidP="00CB50A0">
      <w:pPr>
        <w:numPr>
          <w:ilvl w:val="0"/>
          <w:numId w:val="1"/>
        </w:numPr>
        <w:spacing w:after="300" w:line="360" w:lineRule="auto"/>
        <w:jc w:val="both"/>
        <w:rPr>
          <w:rFonts w:ascii="David" w:hAnsi="David"/>
        </w:rPr>
      </w:pPr>
      <w:r>
        <w:rPr>
          <w:rFonts w:ascii="David" w:hAnsi="David" w:hint="cs"/>
          <w:rtl/>
        </w:rPr>
        <w:t>לאור כל האמור, תוך שהתחשבתי מחד בנסיבותיו האישיות של הנאשם, העובדה כי בסופו של דבר עבירת ההתפרצות לא הגיעה לכלל סיום, ומאידך בחומרת המעשים והיעדר אופק שיקומי, החלטתי להטיל על הנאשם את העונשים הבאים:</w:t>
      </w:r>
    </w:p>
    <w:p w14:paraId="3AF75283" w14:textId="77777777" w:rsidR="00CB50A0" w:rsidRDefault="00CB50A0" w:rsidP="00CB50A0">
      <w:pPr>
        <w:pStyle w:val="a9"/>
        <w:numPr>
          <w:ilvl w:val="0"/>
          <w:numId w:val="2"/>
        </w:numPr>
        <w:spacing w:after="300" w:line="360" w:lineRule="auto"/>
        <w:ind w:left="1077" w:hanging="357"/>
        <w:contextualSpacing w:val="0"/>
        <w:jc w:val="both"/>
        <w:rPr>
          <w:rFonts w:ascii="David" w:hAnsi="David"/>
        </w:rPr>
      </w:pPr>
      <w:r>
        <w:rPr>
          <w:rFonts w:ascii="David" w:hAnsi="David" w:hint="cs"/>
          <w:rtl/>
        </w:rPr>
        <w:t xml:space="preserve">מאסר בפועל למשך 10 חודשים בניכוי ימי מעצרו. </w:t>
      </w:r>
    </w:p>
    <w:p w14:paraId="3D253492" w14:textId="77777777" w:rsidR="00CB50A0" w:rsidRDefault="00CB50A0" w:rsidP="00CB50A0">
      <w:pPr>
        <w:pStyle w:val="a9"/>
        <w:numPr>
          <w:ilvl w:val="0"/>
          <w:numId w:val="2"/>
        </w:numPr>
        <w:spacing w:after="300" w:line="360" w:lineRule="auto"/>
        <w:ind w:left="1077" w:hanging="357"/>
        <w:contextualSpacing w:val="0"/>
        <w:jc w:val="both"/>
        <w:rPr>
          <w:rFonts w:ascii="David" w:hAnsi="David"/>
        </w:rPr>
      </w:pPr>
      <w:r>
        <w:rPr>
          <w:rFonts w:ascii="David" w:hAnsi="David" w:hint="cs"/>
          <w:rtl/>
        </w:rPr>
        <w:t xml:space="preserve">מורה על הפעלת מאסר על תנאי למשך 4 חודשים מתיק מספר 50662-02-16 מיום 20.6.16 וזאת במצטבר. </w:t>
      </w:r>
      <w:r>
        <w:rPr>
          <w:rFonts w:ascii="David" w:hAnsi="David" w:hint="cs"/>
          <w:u w:val="single"/>
          <w:rtl/>
        </w:rPr>
        <w:t xml:space="preserve">סה"כ </w:t>
      </w:r>
      <w:r w:rsidRPr="00A0549F">
        <w:rPr>
          <w:rFonts w:ascii="David" w:hAnsi="David" w:hint="cs"/>
          <w:u w:val="single"/>
          <w:rtl/>
        </w:rPr>
        <w:t>ירצה הנאשם מאסר ל</w:t>
      </w:r>
      <w:r>
        <w:rPr>
          <w:rFonts w:ascii="David" w:hAnsi="David" w:hint="cs"/>
          <w:u w:val="single"/>
          <w:rtl/>
        </w:rPr>
        <w:t xml:space="preserve">תקופה של 14 </w:t>
      </w:r>
      <w:r w:rsidRPr="00A0549F">
        <w:rPr>
          <w:rFonts w:ascii="David" w:hAnsi="David" w:hint="cs"/>
          <w:u w:val="single"/>
          <w:rtl/>
        </w:rPr>
        <w:t>חודשים</w:t>
      </w:r>
      <w:r w:rsidRPr="009F3C46">
        <w:rPr>
          <w:rFonts w:ascii="David" w:hAnsi="David" w:hint="cs"/>
          <w:rtl/>
        </w:rPr>
        <w:t xml:space="preserve">. </w:t>
      </w:r>
      <w:r>
        <w:rPr>
          <w:rFonts w:ascii="David" w:hAnsi="David" w:hint="cs"/>
          <w:rtl/>
        </w:rPr>
        <w:t xml:space="preserve"> </w:t>
      </w:r>
    </w:p>
    <w:p w14:paraId="575E9BBB" w14:textId="77777777" w:rsidR="00CB50A0" w:rsidRPr="004D091C" w:rsidRDefault="00CB50A0" w:rsidP="00CB50A0">
      <w:pPr>
        <w:spacing w:after="300" w:line="360" w:lineRule="auto"/>
        <w:ind w:left="1077"/>
        <w:jc w:val="both"/>
        <w:rPr>
          <w:rFonts w:ascii="David" w:hAnsi="David"/>
        </w:rPr>
      </w:pPr>
      <w:r w:rsidRPr="004D091C">
        <w:rPr>
          <w:rFonts w:ascii="David" w:hAnsi="David" w:hint="cs"/>
          <w:rtl/>
        </w:rPr>
        <w:t>הנאשם יתייצב לריצוי העונש ביום 1.10.2020 עד השעה 10:00 בימ"ר ניצן כשברשותו תעודת זהות או דרכון.</w:t>
      </w:r>
    </w:p>
    <w:p w14:paraId="638934D7" w14:textId="77777777" w:rsidR="00CB50A0" w:rsidRDefault="00CB50A0" w:rsidP="00CB50A0">
      <w:pPr>
        <w:pStyle w:val="a9"/>
        <w:numPr>
          <w:ilvl w:val="0"/>
          <w:numId w:val="2"/>
        </w:numPr>
        <w:spacing w:after="300" w:line="360" w:lineRule="auto"/>
        <w:ind w:left="1077" w:hanging="357"/>
        <w:contextualSpacing w:val="0"/>
        <w:jc w:val="both"/>
        <w:rPr>
          <w:rFonts w:ascii="David" w:hAnsi="David"/>
        </w:rPr>
      </w:pPr>
      <w:r w:rsidRPr="00A0549F">
        <w:rPr>
          <w:rFonts w:ascii="David" w:hAnsi="David" w:hint="cs"/>
          <w:rtl/>
        </w:rPr>
        <w:t>מאסר ל</w:t>
      </w:r>
      <w:r>
        <w:rPr>
          <w:rFonts w:ascii="David" w:hAnsi="David" w:hint="cs"/>
          <w:rtl/>
        </w:rPr>
        <w:t xml:space="preserve">תקופה של 8 </w:t>
      </w:r>
      <w:r w:rsidRPr="00A0549F">
        <w:rPr>
          <w:rFonts w:ascii="David" w:hAnsi="David" w:hint="cs"/>
          <w:rtl/>
        </w:rPr>
        <w:t xml:space="preserve">חודשים וזאת </w:t>
      </w:r>
      <w:r>
        <w:rPr>
          <w:rFonts w:ascii="David" w:hAnsi="David" w:hint="cs"/>
          <w:rtl/>
        </w:rPr>
        <w:t xml:space="preserve">על תנאי </w:t>
      </w:r>
      <w:r w:rsidRPr="00A0549F">
        <w:rPr>
          <w:rFonts w:ascii="David" w:hAnsi="David" w:hint="cs"/>
          <w:rtl/>
        </w:rPr>
        <w:t>למשך 3 שנים שלא יעבור עבירת רכוש מסוג פשע</w:t>
      </w:r>
      <w:r>
        <w:rPr>
          <w:rFonts w:ascii="David" w:hAnsi="David" w:hint="cs"/>
          <w:rtl/>
        </w:rPr>
        <w:t>.</w:t>
      </w:r>
    </w:p>
    <w:p w14:paraId="21BD0921" w14:textId="77777777" w:rsidR="00CB50A0" w:rsidRDefault="00CB50A0" w:rsidP="00CB50A0">
      <w:pPr>
        <w:pStyle w:val="a9"/>
        <w:numPr>
          <w:ilvl w:val="0"/>
          <w:numId w:val="2"/>
        </w:numPr>
        <w:spacing w:after="300" w:line="360" w:lineRule="auto"/>
        <w:contextualSpacing w:val="0"/>
        <w:jc w:val="both"/>
        <w:rPr>
          <w:rFonts w:ascii="David" w:hAnsi="David"/>
        </w:rPr>
      </w:pPr>
      <w:r>
        <w:rPr>
          <w:rFonts w:ascii="David" w:hAnsi="David" w:hint="cs"/>
          <w:rtl/>
        </w:rPr>
        <w:t xml:space="preserve">מאסר לתקופה של 5 חודשים </w:t>
      </w:r>
      <w:r w:rsidRPr="00A0549F">
        <w:rPr>
          <w:rFonts w:ascii="David" w:hAnsi="David" w:hint="cs"/>
          <w:rtl/>
        </w:rPr>
        <w:t xml:space="preserve">וזאת </w:t>
      </w:r>
      <w:r>
        <w:rPr>
          <w:rFonts w:ascii="David" w:hAnsi="David" w:hint="cs"/>
          <w:rtl/>
        </w:rPr>
        <w:t>על תנאי למשך 3 שנים שלא יעבור עבירת רכוש מסוג עוון</w:t>
      </w:r>
      <w:r w:rsidRPr="00A0549F">
        <w:rPr>
          <w:rFonts w:ascii="David" w:hAnsi="David" w:hint="cs"/>
          <w:rtl/>
        </w:rPr>
        <w:t>.</w:t>
      </w:r>
      <w:r w:rsidRPr="00A164EB">
        <w:rPr>
          <w:rtl/>
        </w:rPr>
        <w:t xml:space="preserve"> </w:t>
      </w:r>
    </w:p>
    <w:p w14:paraId="6C13F57A" w14:textId="77777777" w:rsidR="00CB50A0" w:rsidRDefault="00CB50A0" w:rsidP="00CB50A0">
      <w:pPr>
        <w:pStyle w:val="a9"/>
        <w:numPr>
          <w:ilvl w:val="0"/>
          <w:numId w:val="2"/>
        </w:numPr>
        <w:spacing w:after="300" w:line="360" w:lineRule="auto"/>
        <w:contextualSpacing w:val="0"/>
        <w:jc w:val="both"/>
        <w:rPr>
          <w:rFonts w:ascii="David" w:hAnsi="David"/>
        </w:rPr>
      </w:pPr>
      <w:r>
        <w:rPr>
          <w:rFonts w:ascii="David" w:hAnsi="David" w:hint="cs"/>
          <w:rtl/>
        </w:rPr>
        <w:t xml:space="preserve">מאסר לתקופה של חודשיים וזאת על תנאי למשך שלוש שנים שלא יעבור על </w:t>
      </w:r>
      <w:hyperlink r:id="rId61" w:history="1">
        <w:r w:rsidR="00CF3902" w:rsidRPr="00CF3902">
          <w:rPr>
            <w:rStyle w:val="Hyperlink"/>
            <w:rFonts w:ascii="David" w:hAnsi="David" w:hint="eastAsia"/>
            <w:rtl/>
          </w:rPr>
          <w:t>סעיפים</w:t>
        </w:r>
        <w:r w:rsidR="00CF3902" w:rsidRPr="00CF3902">
          <w:rPr>
            <w:rStyle w:val="Hyperlink"/>
            <w:rFonts w:ascii="David" w:hAnsi="David"/>
            <w:rtl/>
          </w:rPr>
          <w:t xml:space="preserve"> 7(א)+7(ג)</w:t>
        </w:r>
      </w:hyperlink>
      <w:r>
        <w:rPr>
          <w:rFonts w:ascii="David" w:hAnsi="David" w:hint="cs"/>
          <w:rtl/>
        </w:rPr>
        <w:t xml:space="preserve">, וסעיף </w:t>
      </w:r>
      <w:hyperlink r:id="rId62" w:history="1">
        <w:r w:rsidR="00CF3902" w:rsidRPr="00CF3902">
          <w:rPr>
            <w:rStyle w:val="Hyperlink"/>
            <w:rFonts w:ascii="David" w:hAnsi="David"/>
            <w:rtl/>
          </w:rPr>
          <w:t>10</w:t>
        </w:r>
      </w:hyperlink>
      <w:r>
        <w:rPr>
          <w:rFonts w:ascii="David" w:hAnsi="David" w:hint="cs"/>
          <w:rtl/>
        </w:rPr>
        <w:t xml:space="preserve"> מ</w:t>
      </w:r>
      <w:hyperlink r:id="rId63" w:history="1">
        <w:r w:rsidR="00DD0AE5" w:rsidRPr="00DD0AE5">
          <w:rPr>
            <w:rFonts w:ascii="David" w:hAnsi="David"/>
            <w:color w:val="0000FF"/>
            <w:u w:val="single"/>
            <w:rtl/>
          </w:rPr>
          <w:t>פקודת הסמים המסוכנים</w:t>
        </w:r>
      </w:hyperlink>
      <w:r>
        <w:rPr>
          <w:rFonts w:ascii="David" w:hAnsi="David" w:hint="cs"/>
          <w:rtl/>
        </w:rPr>
        <w:t xml:space="preserve">. </w:t>
      </w:r>
    </w:p>
    <w:p w14:paraId="54BD35E4" w14:textId="77777777" w:rsidR="00CB50A0" w:rsidRDefault="00CB50A0" w:rsidP="00CB50A0">
      <w:pPr>
        <w:pStyle w:val="a9"/>
        <w:numPr>
          <w:ilvl w:val="0"/>
          <w:numId w:val="2"/>
        </w:numPr>
        <w:spacing w:after="300" w:line="360" w:lineRule="auto"/>
        <w:contextualSpacing w:val="0"/>
        <w:jc w:val="both"/>
        <w:rPr>
          <w:rFonts w:ascii="David" w:hAnsi="David"/>
        </w:rPr>
      </w:pPr>
      <w:r w:rsidRPr="00A164EB">
        <w:rPr>
          <w:rFonts w:ascii="David" w:hAnsi="David"/>
          <w:rtl/>
        </w:rPr>
        <w:t>קנס כספי בסך של 2,000 ₪ או 30 ימי מאסר תמורתו. הקנס ישולם בעשרה תשלומים חודשיים שווים ורצופים, שהראשון שבהם ביום</w:t>
      </w:r>
      <w:r>
        <w:rPr>
          <w:rFonts w:ascii="David" w:hAnsi="David" w:hint="cs"/>
          <w:rtl/>
        </w:rPr>
        <w:t xml:space="preserve"> 1.11.2020</w:t>
      </w:r>
      <w:r w:rsidRPr="00A164EB">
        <w:rPr>
          <w:rFonts w:ascii="David" w:hAnsi="David"/>
          <w:rtl/>
        </w:rPr>
        <w:t>. לא ישולם תשלום כלשהו במועדו, תעמוד היתרה לפירעון מיידי.</w:t>
      </w:r>
      <w:r>
        <w:rPr>
          <w:rFonts w:ascii="David" w:hAnsi="David" w:hint="cs"/>
          <w:rtl/>
        </w:rPr>
        <w:t xml:space="preserve"> ניתן לקזז את הקנס מפיקדון המצוי בתיק המ"ת, ואת היתרה להשיב לנאשם- וזאת בכפוף לכל דין.</w:t>
      </w:r>
    </w:p>
    <w:p w14:paraId="79C94D4E" w14:textId="77777777" w:rsidR="00CB50A0" w:rsidRPr="00A0549F" w:rsidRDefault="00CB50A0" w:rsidP="00CB50A0">
      <w:pPr>
        <w:pStyle w:val="a9"/>
        <w:numPr>
          <w:ilvl w:val="0"/>
          <w:numId w:val="2"/>
        </w:numPr>
        <w:spacing w:after="300" w:line="360" w:lineRule="auto"/>
        <w:ind w:left="1077" w:hanging="357"/>
        <w:contextualSpacing w:val="0"/>
        <w:jc w:val="both"/>
        <w:rPr>
          <w:rFonts w:ascii="David" w:hAnsi="David"/>
        </w:rPr>
      </w:pPr>
      <w:r>
        <w:rPr>
          <w:rFonts w:ascii="David" w:hAnsi="David" w:hint="cs"/>
          <w:rtl/>
        </w:rPr>
        <w:t>כלי הפריצה יחולטו.</w:t>
      </w:r>
    </w:p>
    <w:p w14:paraId="3AA7B59A" w14:textId="77777777" w:rsidR="00CB50A0" w:rsidRPr="009F3C46" w:rsidRDefault="00CB50A0" w:rsidP="00CB50A0">
      <w:pPr>
        <w:spacing w:after="300" w:line="360" w:lineRule="auto"/>
        <w:ind w:left="360"/>
        <w:jc w:val="both"/>
        <w:rPr>
          <w:rFonts w:ascii="David" w:hAnsi="David"/>
          <w:b/>
          <w:bCs/>
          <w:rtl/>
        </w:rPr>
      </w:pPr>
      <w:r w:rsidRPr="009F3C46">
        <w:rPr>
          <w:rFonts w:ascii="David" w:hAnsi="David" w:hint="cs"/>
          <w:b/>
          <w:bCs/>
          <w:rtl/>
        </w:rPr>
        <w:t xml:space="preserve">זכות ערעור </w:t>
      </w:r>
      <w:r>
        <w:rPr>
          <w:rFonts w:ascii="David" w:hAnsi="David" w:hint="cs"/>
          <w:b/>
          <w:bCs/>
          <w:rtl/>
        </w:rPr>
        <w:t xml:space="preserve">לבית המשפט המחוזי </w:t>
      </w:r>
      <w:r w:rsidRPr="009F3C46">
        <w:rPr>
          <w:rFonts w:ascii="David" w:hAnsi="David" w:hint="cs"/>
          <w:b/>
          <w:bCs/>
          <w:rtl/>
        </w:rPr>
        <w:t xml:space="preserve">בתוך 45 ימים. </w:t>
      </w:r>
      <w:r w:rsidR="00CE0788">
        <w:rPr>
          <w:rFonts w:ascii="David" w:hAnsi="David" w:hint="cs"/>
          <w:b/>
          <w:bCs/>
          <w:rtl/>
        </w:rPr>
        <w:t xml:space="preserve"> </w:t>
      </w:r>
      <w:r w:rsidR="00302D80">
        <w:rPr>
          <w:rFonts w:ascii="David" w:hAnsi="David" w:hint="cs"/>
          <w:b/>
          <w:bCs/>
          <w:rtl/>
        </w:rPr>
        <w:t xml:space="preserve"> </w:t>
      </w:r>
    </w:p>
    <w:p w14:paraId="4EEEAFFC" w14:textId="77777777" w:rsidR="00CB50A0" w:rsidRPr="00B05847" w:rsidRDefault="00CB50A0" w:rsidP="00CB50A0">
      <w:pPr>
        <w:rPr>
          <w:rtl/>
        </w:rPr>
      </w:pPr>
    </w:p>
    <w:p w14:paraId="35E224A0" w14:textId="77777777" w:rsidR="00CB50A0" w:rsidRDefault="00DD0AE5" w:rsidP="00CB50A0">
      <w:pPr>
        <w:rPr>
          <w:rFonts w:cs="FrankRuehl"/>
          <w:sz w:val="28"/>
          <w:szCs w:val="28"/>
          <w:rtl/>
        </w:rPr>
      </w:pPr>
      <w:bookmarkStart w:id="7" w:name="Nitan"/>
      <w:r>
        <w:rPr>
          <w:rFonts w:ascii="Arial" w:hAnsi="Arial"/>
          <w:rtl/>
        </w:rPr>
        <w:t xml:space="preserve">ניתן היום,  ט' אב תש"פ, 23 ליולי 2020, בנוכחות המאשימה הנאשם ובוא כוחו. </w:t>
      </w:r>
      <w:bookmarkEnd w:id="7"/>
    </w:p>
    <w:p w14:paraId="3FA3CBF1" w14:textId="77777777" w:rsidR="00CB50A0" w:rsidRDefault="00CB50A0" w:rsidP="00DD0AE5">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09D3B0C6" w14:textId="77777777" w:rsidR="00CB50A0" w:rsidRDefault="00CB50A0" w:rsidP="00CB50A0">
      <w:pPr>
        <w:jc w:val="center"/>
        <w:rPr>
          <w:rFonts w:ascii="Arial" w:hAnsi="Arial" w:cs="FrankRuehl"/>
          <w:sz w:val="28"/>
          <w:szCs w:val="28"/>
          <w:rtl/>
        </w:rPr>
      </w:pPr>
    </w:p>
    <w:p w14:paraId="193155B4" w14:textId="77777777" w:rsidR="00CB50A0" w:rsidRPr="00DD0AE5" w:rsidRDefault="00DD0AE5" w:rsidP="00CB50A0">
      <w:pPr>
        <w:rPr>
          <w:rFonts w:cs="FrankRuehl"/>
          <w:color w:val="FFFFFF"/>
          <w:sz w:val="2"/>
          <w:szCs w:val="2"/>
          <w:rtl/>
        </w:rPr>
      </w:pPr>
      <w:r w:rsidRPr="00DD0AE5">
        <w:rPr>
          <w:rFonts w:cs="FrankRuehl"/>
          <w:color w:val="FFFFFF"/>
          <w:sz w:val="2"/>
          <w:szCs w:val="2"/>
          <w:rtl/>
        </w:rPr>
        <w:t>5129371</w:t>
      </w:r>
    </w:p>
    <w:p w14:paraId="14B18F98" w14:textId="77777777" w:rsidR="00DD0AE5" w:rsidRDefault="00DD0AE5" w:rsidP="00DD0AE5">
      <w:pPr>
        <w:jc w:val="center"/>
        <w:rPr>
          <w:color w:val="0000FF"/>
          <w:u w:val="single"/>
        </w:rPr>
      </w:pPr>
      <w:hyperlink r:id="rId64" w:history="1">
        <w:r>
          <w:rPr>
            <w:color w:val="0000FF"/>
            <w:u w:val="single"/>
            <w:rtl/>
          </w:rPr>
          <w:t>בעניין עריכה ושינויים במסמכי פסיקה, חקיקה ועוד באתר נבו – הקש כאן</w:t>
        </w:r>
      </w:hyperlink>
    </w:p>
    <w:p w14:paraId="7ADE6C58" w14:textId="77777777" w:rsidR="00CF3902" w:rsidRPr="00CF3902" w:rsidRDefault="003C7379" w:rsidP="00CF3902">
      <w:pPr>
        <w:keepNext/>
        <w:rPr>
          <w:rFonts w:ascii="David" w:hAnsi="David"/>
          <w:color w:val="000000"/>
          <w:sz w:val="22"/>
          <w:szCs w:val="22"/>
          <w:rtl/>
        </w:rPr>
      </w:pPr>
      <w:r>
        <w:rPr>
          <w:rFonts w:ascii="David" w:hAnsi="David" w:hint="cs"/>
          <w:color w:val="000000"/>
          <w:sz w:val="22"/>
          <w:szCs w:val="22"/>
          <w:rtl/>
        </w:rPr>
        <w:t xml:space="preserve"> </w:t>
      </w:r>
    </w:p>
    <w:p w14:paraId="41EF59AA" w14:textId="77777777" w:rsidR="00CF3902" w:rsidRPr="00CF3902" w:rsidRDefault="00CF3902" w:rsidP="00CF3902">
      <w:pPr>
        <w:keepNext/>
        <w:rPr>
          <w:rFonts w:ascii="David" w:hAnsi="David"/>
          <w:color w:val="000000"/>
          <w:sz w:val="22"/>
          <w:szCs w:val="22"/>
          <w:rtl/>
        </w:rPr>
      </w:pPr>
      <w:r w:rsidRPr="00CF3902">
        <w:rPr>
          <w:rFonts w:ascii="David" w:hAnsi="David"/>
          <w:color w:val="000000"/>
          <w:sz w:val="22"/>
          <w:szCs w:val="22"/>
          <w:rtl/>
        </w:rPr>
        <w:t>ארנון איתן 54678313-/</w:t>
      </w:r>
    </w:p>
    <w:p w14:paraId="164FA59A" w14:textId="77777777" w:rsidR="00DD0AE5" w:rsidRPr="00DD0AE5" w:rsidRDefault="00CF3902" w:rsidP="00CF3902">
      <w:pPr>
        <w:rPr>
          <w:color w:val="0000FF"/>
          <w:u w:val="single"/>
        </w:rPr>
      </w:pPr>
      <w:r w:rsidRPr="00CF3902">
        <w:rPr>
          <w:color w:val="000000"/>
          <w:u w:val="single"/>
          <w:rtl/>
        </w:rPr>
        <w:t>נוסח מסמך זה כפוף לשינויי ניסוח ועריכה</w:t>
      </w:r>
    </w:p>
    <w:sectPr w:rsidR="00DD0AE5" w:rsidRPr="00DD0AE5" w:rsidSect="00CF3902">
      <w:headerReference w:type="even" r:id="rId65"/>
      <w:headerReference w:type="default" r:id="rId66"/>
      <w:footerReference w:type="even" r:id="rId67"/>
      <w:footerReference w:type="default" r:id="rId68"/>
      <w:pgSz w:w="11907" w:h="16840" w:code="9"/>
      <w:pgMar w:top="1701" w:right="1701" w:bottom="1702" w:left="1701" w:header="187" w:footer="1017"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D5C902" w14:textId="77777777" w:rsidR="00740FC7" w:rsidRDefault="00740FC7" w:rsidP="00EF3600">
      <w:r>
        <w:separator/>
      </w:r>
    </w:p>
  </w:endnote>
  <w:endnote w:type="continuationSeparator" w:id="0">
    <w:p w14:paraId="0211FCBD" w14:textId="77777777" w:rsidR="00740FC7" w:rsidRDefault="00740FC7" w:rsidP="00EF3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687A05" w14:textId="77777777" w:rsidR="00CF3902" w:rsidRDefault="00CF3902" w:rsidP="00CF3902">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31DCF43" w14:textId="77777777" w:rsidR="00BB4D44" w:rsidRPr="00CF3902" w:rsidRDefault="00CF3902" w:rsidP="00CF3902">
    <w:pPr>
      <w:pStyle w:val="a5"/>
      <w:pBdr>
        <w:top w:val="single" w:sz="4" w:space="1" w:color="auto"/>
        <w:between w:val="single" w:sz="4" w:space="0" w:color="auto"/>
      </w:pBdr>
      <w:spacing w:after="60"/>
      <w:jc w:val="center"/>
      <w:rPr>
        <w:rFonts w:ascii="FrankRuehl" w:hAnsi="FrankRuehl" w:cs="FrankRuehl"/>
        <w:color w:val="000000"/>
      </w:rPr>
    </w:pPr>
    <w:r w:rsidRPr="00CF390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66D738" w14:textId="77777777" w:rsidR="00CF3902" w:rsidRDefault="00CF3902" w:rsidP="00CF3902">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20C54">
      <w:rPr>
        <w:rFonts w:ascii="FrankRuehl" w:hAnsi="FrankRuehl" w:cs="FrankRuehl"/>
        <w:noProof/>
        <w:rtl/>
      </w:rPr>
      <w:t>1</w:t>
    </w:r>
    <w:r>
      <w:rPr>
        <w:rFonts w:ascii="FrankRuehl" w:hAnsi="FrankRuehl" w:cs="FrankRuehl"/>
        <w:rtl/>
      </w:rPr>
      <w:fldChar w:fldCharType="end"/>
    </w:r>
  </w:p>
  <w:p w14:paraId="4F5B592F" w14:textId="77777777" w:rsidR="00BB4D44" w:rsidRPr="00CF3902" w:rsidRDefault="00CF3902" w:rsidP="00CF3902">
    <w:pPr>
      <w:pStyle w:val="a5"/>
      <w:pBdr>
        <w:top w:val="single" w:sz="4" w:space="1" w:color="auto"/>
        <w:between w:val="single" w:sz="4" w:space="0" w:color="auto"/>
      </w:pBdr>
      <w:spacing w:after="60"/>
      <w:jc w:val="center"/>
      <w:rPr>
        <w:rFonts w:ascii="FrankRuehl" w:hAnsi="FrankRuehl" w:cs="FrankRuehl"/>
        <w:color w:val="000000"/>
      </w:rPr>
    </w:pPr>
    <w:r w:rsidRPr="00CF3902">
      <w:rPr>
        <w:rFonts w:ascii="FrankRuehl" w:hAnsi="FrankRuehl" w:cs="FrankRuehl"/>
        <w:color w:val="000000"/>
      </w:rPr>
      <w:pict w14:anchorId="765FB1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FF5661" w14:textId="77777777" w:rsidR="00740FC7" w:rsidRDefault="00740FC7" w:rsidP="00EF3600">
      <w:r>
        <w:separator/>
      </w:r>
    </w:p>
  </w:footnote>
  <w:footnote w:type="continuationSeparator" w:id="0">
    <w:p w14:paraId="12B0DBDA" w14:textId="77777777" w:rsidR="00740FC7" w:rsidRDefault="00740FC7" w:rsidP="00EF36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2AC458" w14:textId="77777777" w:rsidR="00DD0AE5" w:rsidRPr="00CF3902" w:rsidRDefault="00CF3902" w:rsidP="00CF390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5434-11-18</w:t>
    </w:r>
    <w:r>
      <w:rPr>
        <w:rFonts w:ascii="David" w:hAnsi="David"/>
        <w:color w:val="000000"/>
        <w:sz w:val="22"/>
        <w:szCs w:val="22"/>
        <w:rtl/>
      </w:rPr>
      <w:tab/>
      <w:t xml:space="preserve"> מדינת ישראל נ' דוד שמלשוילי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2F6B09" w14:textId="77777777" w:rsidR="00DD0AE5" w:rsidRPr="00CF3902" w:rsidRDefault="00CF3902" w:rsidP="00CF390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5434-11-18</w:t>
    </w:r>
    <w:r>
      <w:rPr>
        <w:rFonts w:ascii="David" w:hAnsi="David"/>
        <w:color w:val="000000"/>
        <w:sz w:val="22"/>
        <w:szCs w:val="22"/>
        <w:rtl/>
      </w:rPr>
      <w:tab/>
      <w:t xml:space="preserve"> מדינת ישראל נ' דוד שמלשוילי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C05981"/>
    <w:multiLevelType w:val="hybridMultilevel"/>
    <w:tmpl w:val="D674D2DA"/>
    <w:lvl w:ilvl="0" w:tplc="854674D2">
      <w:start w:val="1"/>
      <w:numFmt w:val="hebrew1"/>
      <w:lvlText w:val="%1."/>
      <w:lvlJc w:val="left"/>
      <w:pPr>
        <w:ind w:left="1080" w:hanging="360"/>
      </w:pPr>
      <w:rPr>
        <w:rFonts w:hint="default"/>
        <w:lang w:val="en-U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46A45EC"/>
    <w:multiLevelType w:val="hybridMultilevel"/>
    <w:tmpl w:val="EB42D3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10209344">
    <w:abstractNumId w:val="1"/>
  </w:num>
  <w:num w:numId="2" w16cid:durableId="14524352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B50A0"/>
    <w:rsid w:val="000408E5"/>
    <w:rsid w:val="000D0D12"/>
    <w:rsid w:val="0016124E"/>
    <w:rsid w:val="001B5A3B"/>
    <w:rsid w:val="002C7DA1"/>
    <w:rsid w:val="00302D80"/>
    <w:rsid w:val="003C7379"/>
    <w:rsid w:val="00447CE6"/>
    <w:rsid w:val="004718C4"/>
    <w:rsid w:val="00506187"/>
    <w:rsid w:val="00611108"/>
    <w:rsid w:val="00740FC7"/>
    <w:rsid w:val="007C3BE3"/>
    <w:rsid w:val="007E3B44"/>
    <w:rsid w:val="00983F9E"/>
    <w:rsid w:val="00A8767C"/>
    <w:rsid w:val="00B20C54"/>
    <w:rsid w:val="00BA3383"/>
    <w:rsid w:val="00BB4D44"/>
    <w:rsid w:val="00CB50A0"/>
    <w:rsid w:val="00CE0788"/>
    <w:rsid w:val="00CF3902"/>
    <w:rsid w:val="00D53002"/>
    <w:rsid w:val="00DD0AE5"/>
    <w:rsid w:val="00E547CA"/>
    <w:rsid w:val="00EF360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5A47368"/>
  <w15:chartTrackingRefBased/>
  <w15:docId w15:val="{F36616FC-1A3B-492C-B2F1-5434EC7A2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B50A0"/>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B50A0"/>
    <w:pPr>
      <w:tabs>
        <w:tab w:val="center" w:pos="4153"/>
        <w:tab w:val="right" w:pos="8306"/>
      </w:tabs>
    </w:pPr>
    <w:rPr>
      <w:rFonts w:cs="Times New Roman"/>
      <w:lang w:val="x-none" w:eastAsia="x-none"/>
    </w:rPr>
  </w:style>
  <w:style w:type="character" w:customStyle="1" w:styleId="a4">
    <w:name w:val="כותרת עליונה תו"/>
    <w:link w:val="a3"/>
    <w:rsid w:val="00CB50A0"/>
    <w:rPr>
      <w:rFonts w:ascii="Times New Roman" w:eastAsia="Times New Roman" w:hAnsi="Times New Roman" w:cs="David"/>
      <w:sz w:val="24"/>
      <w:szCs w:val="24"/>
    </w:rPr>
  </w:style>
  <w:style w:type="paragraph" w:styleId="a5">
    <w:name w:val="footer"/>
    <w:basedOn w:val="a"/>
    <w:link w:val="a6"/>
    <w:rsid w:val="00CB50A0"/>
    <w:pPr>
      <w:tabs>
        <w:tab w:val="center" w:pos="4153"/>
        <w:tab w:val="right" w:pos="8306"/>
      </w:tabs>
    </w:pPr>
    <w:rPr>
      <w:rFonts w:cs="Times New Roman"/>
      <w:lang w:val="x-none" w:eastAsia="x-none"/>
    </w:rPr>
  </w:style>
  <w:style w:type="character" w:customStyle="1" w:styleId="a6">
    <w:name w:val="כותרת תחתונה תו"/>
    <w:link w:val="a5"/>
    <w:rsid w:val="00CB50A0"/>
    <w:rPr>
      <w:rFonts w:ascii="Times New Roman" w:eastAsia="Times New Roman" w:hAnsi="Times New Roman" w:cs="David"/>
      <w:sz w:val="24"/>
      <w:szCs w:val="24"/>
    </w:rPr>
  </w:style>
  <w:style w:type="table" w:styleId="a7">
    <w:name w:val="Table Grid"/>
    <w:basedOn w:val="a1"/>
    <w:rsid w:val="00CB50A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CB50A0"/>
  </w:style>
  <w:style w:type="paragraph" w:styleId="a9">
    <w:name w:val="List Paragraph"/>
    <w:basedOn w:val="a"/>
    <w:qFormat/>
    <w:rsid w:val="00CB50A0"/>
    <w:pPr>
      <w:ind w:left="720"/>
      <w:contextualSpacing/>
    </w:pPr>
  </w:style>
  <w:style w:type="character" w:styleId="Hyperlink">
    <w:name w:val="Hyperlink"/>
    <w:rsid w:val="00CB50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29.a" TargetMode="External"/><Relationship Id="rId21" Type="http://schemas.openxmlformats.org/officeDocument/2006/relationships/hyperlink" Target="http://www.nevo.co.il/law/74903" TargetMode="External"/><Relationship Id="rId42" Type="http://schemas.openxmlformats.org/officeDocument/2006/relationships/hyperlink" Target="http://www.nevo.co.il/law/70301/40jc.a" TargetMode="External"/><Relationship Id="rId47" Type="http://schemas.openxmlformats.org/officeDocument/2006/relationships/hyperlink" Target="http://www.nevo.co.il/case/17925687" TargetMode="External"/><Relationship Id="rId63" Type="http://schemas.openxmlformats.org/officeDocument/2006/relationships/hyperlink" Target="http://www.nevo.co.il/law/4216" TargetMode="External"/><Relationship Id="rId68"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499.a.1" TargetMode="External"/><Relationship Id="rId29" Type="http://schemas.openxmlformats.org/officeDocument/2006/relationships/hyperlink" Target="http://www.nevo.co.il/law/4216/7.a" TargetMode="External"/><Relationship Id="rId11" Type="http://schemas.openxmlformats.org/officeDocument/2006/relationships/hyperlink" Target="http://www.nevo.co.il/law/70301/406.b" TargetMode="External"/><Relationship Id="rId24" Type="http://schemas.openxmlformats.org/officeDocument/2006/relationships/hyperlink" Target="http://www.nevo.co.il/law/70301" TargetMode="External"/><Relationship Id="rId32" Type="http://schemas.openxmlformats.org/officeDocument/2006/relationships/hyperlink" Target="http://www.nevo.co.il/law/4216/10" TargetMode="External"/><Relationship Id="rId37" Type="http://schemas.openxmlformats.org/officeDocument/2006/relationships/hyperlink" Target="http://www.nevo.co.il/law/74903/186" TargetMode="External"/><Relationship Id="rId40" Type="http://schemas.openxmlformats.org/officeDocument/2006/relationships/hyperlink" Target="http://www.nevo.co.il/law/70301" TargetMode="External"/><Relationship Id="rId45" Type="http://schemas.openxmlformats.org/officeDocument/2006/relationships/hyperlink" Target="http://www.nevo.co.il/law/70301/25" TargetMode="External"/><Relationship Id="rId53" Type="http://schemas.openxmlformats.org/officeDocument/2006/relationships/hyperlink" Target="http://www.nevo.co.il/case/5318442" TargetMode="External"/><Relationship Id="rId58" Type="http://schemas.openxmlformats.org/officeDocument/2006/relationships/hyperlink" Target="http://www.nevo.co.il/law/70301" TargetMode="External"/><Relationship Id="rId66" Type="http://schemas.openxmlformats.org/officeDocument/2006/relationships/header" Target="header2.xml"/><Relationship Id="rId5" Type="http://schemas.openxmlformats.org/officeDocument/2006/relationships/footnotes" Target="footnotes.xml"/><Relationship Id="rId61" Type="http://schemas.openxmlformats.org/officeDocument/2006/relationships/hyperlink" Target="http://www.nevo.co.il/law/4216/7.a.;7.c" TargetMode="External"/><Relationship Id="rId19" Type="http://schemas.openxmlformats.org/officeDocument/2006/relationships/hyperlink" Target="http://www.nevo.co.il/law/4216/7.c" TargetMode="External"/><Relationship Id="rId14" Type="http://schemas.openxmlformats.org/officeDocument/2006/relationships/hyperlink" Target="http://www.nevo.co.il/law/70301/40jc" TargetMode="External"/><Relationship Id="rId22" Type="http://schemas.openxmlformats.org/officeDocument/2006/relationships/hyperlink" Target="http://www.nevo.co.il/law/74903/186" TargetMode="External"/><Relationship Id="rId27" Type="http://schemas.openxmlformats.org/officeDocument/2006/relationships/hyperlink" Target="http://www.nevo.co.il/law/70301/499.a.1" TargetMode="External"/><Relationship Id="rId30" Type="http://schemas.openxmlformats.org/officeDocument/2006/relationships/hyperlink" Target="http://www.nevo.co.il/law/4216/7.c" TargetMode="External"/><Relationship Id="rId35" Type="http://schemas.openxmlformats.org/officeDocument/2006/relationships/hyperlink" Target="http://www.nevo.co.il/law/70301/40jc" TargetMode="External"/><Relationship Id="rId43" Type="http://schemas.openxmlformats.org/officeDocument/2006/relationships/hyperlink" Target="http://www.nevo.co.il/law/70301" TargetMode="External"/><Relationship Id="rId48" Type="http://schemas.openxmlformats.org/officeDocument/2006/relationships/hyperlink" Target="http://www.nevo.co.il/law/70301" TargetMode="External"/><Relationship Id="rId56" Type="http://schemas.openxmlformats.org/officeDocument/2006/relationships/hyperlink" Target="http://www.nevo.co.il/case/7678468" TargetMode="External"/><Relationship Id="rId64" Type="http://schemas.openxmlformats.org/officeDocument/2006/relationships/hyperlink" Target="http://www.nevo.co.il/advertisements/nevo-100.doc" TargetMode="External"/><Relationship Id="rId69" Type="http://schemas.openxmlformats.org/officeDocument/2006/relationships/fontTable" Target="fontTable.xml"/><Relationship Id="rId8" Type="http://schemas.openxmlformats.org/officeDocument/2006/relationships/hyperlink" Target="http://www.nevo.co.il/law/70301/25" TargetMode="External"/><Relationship Id="rId51" Type="http://schemas.openxmlformats.org/officeDocument/2006/relationships/hyperlink" Target="http://www.nevo.co.il/case/2333932" TargetMode="External"/><Relationship Id="rId3" Type="http://schemas.openxmlformats.org/officeDocument/2006/relationships/settings" Target="settings.xml"/><Relationship Id="rId12" Type="http://schemas.openxmlformats.org/officeDocument/2006/relationships/hyperlink" Target="http://www.nevo.co.il/law/70301/409" TargetMode="External"/><Relationship Id="rId17" Type="http://schemas.openxmlformats.org/officeDocument/2006/relationships/hyperlink" Target="http://www.nevo.co.il/law/4216" TargetMode="External"/><Relationship Id="rId25" Type="http://schemas.openxmlformats.org/officeDocument/2006/relationships/hyperlink" Target="http://www.nevo.co.il/law/70301/25" TargetMode="External"/><Relationship Id="rId33" Type="http://schemas.openxmlformats.org/officeDocument/2006/relationships/hyperlink" Target="http://www.nevo.co.il/law/70301/40jc" TargetMode="External"/><Relationship Id="rId38" Type="http://schemas.openxmlformats.org/officeDocument/2006/relationships/hyperlink" Target="http://www.nevo.co.il/law/74903" TargetMode="External"/><Relationship Id="rId46" Type="http://schemas.openxmlformats.org/officeDocument/2006/relationships/hyperlink" Target="http://www.nevo.co.il/law/70301" TargetMode="External"/><Relationship Id="rId59" Type="http://schemas.openxmlformats.org/officeDocument/2006/relationships/hyperlink" Target="http://www.nevo.co.il/law/70301/40jc" TargetMode="External"/><Relationship Id="rId67" Type="http://schemas.openxmlformats.org/officeDocument/2006/relationships/footer" Target="footer1.xml"/><Relationship Id="rId20" Type="http://schemas.openxmlformats.org/officeDocument/2006/relationships/hyperlink" Target="http://www.nevo.co.il/law/4216/10" TargetMode="External"/><Relationship Id="rId41" Type="http://schemas.openxmlformats.org/officeDocument/2006/relationships/hyperlink" Target="http://www.nevo.co.il/case/13093721" TargetMode="External"/><Relationship Id="rId54" Type="http://schemas.openxmlformats.org/officeDocument/2006/relationships/hyperlink" Target="http://www.nevo.co.il/case/16999522" TargetMode="External"/><Relationship Id="rId62" Type="http://schemas.openxmlformats.org/officeDocument/2006/relationships/hyperlink" Target="http://www.nevo.co.il/law/4216/10" TargetMode="External"/><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jc.a" TargetMode="External"/><Relationship Id="rId23" Type="http://schemas.openxmlformats.org/officeDocument/2006/relationships/hyperlink" Target="http://www.nevo.co.il/law/70301/406.b" TargetMode="External"/><Relationship Id="rId28" Type="http://schemas.openxmlformats.org/officeDocument/2006/relationships/hyperlink" Target="http://www.nevo.co.il/law/70301/409" TargetMode="External"/><Relationship Id="rId36" Type="http://schemas.openxmlformats.org/officeDocument/2006/relationships/hyperlink" Target="http://www.nevo.co.il/case/20033641" TargetMode="External"/><Relationship Id="rId49" Type="http://schemas.openxmlformats.org/officeDocument/2006/relationships/hyperlink" Target="http://www.nevo.co.il/law/70301/40b" TargetMode="External"/><Relationship Id="rId57" Type="http://schemas.openxmlformats.org/officeDocument/2006/relationships/hyperlink" Target="http://www.nevo.co.il/case/2513959" TargetMode="External"/><Relationship Id="rId10" Type="http://schemas.openxmlformats.org/officeDocument/2006/relationships/hyperlink" Target="http://www.nevo.co.il/law/70301/40b" TargetMode="External"/><Relationship Id="rId31" Type="http://schemas.openxmlformats.org/officeDocument/2006/relationships/hyperlink" Target="http://www.nevo.co.il/law/4216" TargetMode="External"/><Relationship Id="rId44" Type="http://schemas.openxmlformats.org/officeDocument/2006/relationships/hyperlink" Target="http://www.nevo.co.il/case/6018516" TargetMode="External"/><Relationship Id="rId52" Type="http://schemas.openxmlformats.org/officeDocument/2006/relationships/hyperlink" Target="http://www.nevo.co.il/case/11287112" TargetMode="External"/><Relationship Id="rId60" Type="http://schemas.openxmlformats.org/officeDocument/2006/relationships/hyperlink" Target="http://www.nevo.co.il/law/70301/40ja" TargetMode="External"/><Relationship Id="rId6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70301/29.a" TargetMode="External"/><Relationship Id="rId13" Type="http://schemas.openxmlformats.org/officeDocument/2006/relationships/hyperlink" Target="http://www.nevo.co.il/law/70301/40ja" TargetMode="External"/><Relationship Id="rId18" Type="http://schemas.openxmlformats.org/officeDocument/2006/relationships/hyperlink" Target="http://www.nevo.co.il/law/4216/7.a" TargetMode="External"/><Relationship Id="rId39" Type="http://schemas.openxmlformats.org/officeDocument/2006/relationships/hyperlink" Target="http://www.nevo.co.il/law/70301/40jc" TargetMode="External"/><Relationship Id="rId34" Type="http://schemas.openxmlformats.org/officeDocument/2006/relationships/hyperlink" Target="http://www.nevo.co.il/law/70301" TargetMode="External"/><Relationship Id="rId50" Type="http://schemas.openxmlformats.org/officeDocument/2006/relationships/hyperlink" Target="http://www.nevo.co.il/law/70301" TargetMode="External"/><Relationship Id="rId55" Type="http://schemas.openxmlformats.org/officeDocument/2006/relationships/hyperlink" Target="http://www.nevo.co.il/case/689302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4260</Words>
  <Characters>21305</Characters>
  <Application>Microsoft Office Word</Application>
  <DocSecurity>0</DocSecurity>
  <Lines>177</Lines>
  <Paragraphs>51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25514</CharactersWithSpaces>
  <SharedDoc>false</SharedDoc>
  <HLinks>
    <vt:vector size="348" baseType="variant">
      <vt:variant>
        <vt:i4>393283</vt:i4>
      </vt:variant>
      <vt:variant>
        <vt:i4>171</vt:i4>
      </vt:variant>
      <vt:variant>
        <vt:i4>0</vt:i4>
      </vt:variant>
      <vt:variant>
        <vt:i4>5</vt:i4>
      </vt:variant>
      <vt:variant>
        <vt:lpwstr>http://www.nevo.co.il/advertisements/nevo-100.doc</vt:lpwstr>
      </vt:variant>
      <vt:variant>
        <vt:lpwstr/>
      </vt:variant>
      <vt:variant>
        <vt:i4>8257637</vt:i4>
      </vt:variant>
      <vt:variant>
        <vt:i4>168</vt:i4>
      </vt:variant>
      <vt:variant>
        <vt:i4>0</vt:i4>
      </vt:variant>
      <vt:variant>
        <vt:i4>5</vt:i4>
      </vt:variant>
      <vt:variant>
        <vt:lpwstr>http://www.nevo.co.il/law/4216</vt:lpwstr>
      </vt:variant>
      <vt:variant>
        <vt:lpwstr/>
      </vt:variant>
      <vt:variant>
        <vt:i4>5177418</vt:i4>
      </vt:variant>
      <vt:variant>
        <vt:i4>165</vt:i4>
      </vt:variant>
      <vt:variant>
        <vt:i4>0</vt:i4>
      </vt:variant>
      <vt:variant>
        <vt:i4>5</vt:i4>
      </vt:variant>
      <vt:variant>
        <vt:lpwstr>http://www.nevo.co.il/law/4216/10</vt:lpwstr>
      </vt:variant>
      <vt:variant>
        <vt:lpwstr/>
      </vt:variant>
      <vt:variant>
        <vt:i4>3997821</vt:i4>
      </vt:variant>
      <vt:variant>
        <vt:i4>162</vt:i4>
      </vt:variant>
      <vt:variant>
        <vt:i4>0</vt:i4>
      </vt:variant>
      <vt:variant>
        <vt:i4>5</vt:i4>
      </vt:variant>
      <vt:variant>
        <vt:lpwstr>http://www.nevo.co.il/law/4216/7.a.;7.c</vt:lpwstr>
      </vt:variant>
      <vt:variant>
        <vt:lpwstr/>
      </vt:variant>
      <vt:variant>
        <vt:i4>262155</vt:i4>
      </vt:variant>
      <vt:variant>
        <vt:i4>159</vt:i4>
      </vt:variant>
      <vt:variant>
        <vt:i4>0</vt:i4>
      </vt:variant>
      <vt:variant>
        <vt:i4>5</vt:i4>
      </vt:variant>
      <vt:variant>
        <vt:lpwstr>http://www.nevo.co.il/law/70301/40ja</vt:lpwstr>
      </vt:variant>
      <vt:variant>
        <vt:lpwstr/>
      </vt:variant>
      <vt:variant>
        <vt:i4>393227</vt:i4>
      </vt:variant>
      <vt:variant>
        <vt:i4>156</vt:i4>
      </vt:variant>
      <vt:variant>
        <vt:i4>0</vt:i4>
      </vt:variant>
      <vt:variant>
        <vt:i4>5</vt:i4>
      </vt:variant>
      <vt:variant>
        <vt:lpwstr>http://www.nevo.co.il/law/70301/40jc</vt:lpwstr>
      </vt:variant>
      <vt:variant>
        <vt:lpwstr/>
      </vt:variant>
      <vt:variant>
        <vt:i4>7995492</vt:i4>
      </vt:variant>
      <vt:variant>
        <vt:i4>153</vt:i4>
      </vt:variant>
      <vt:variant>
        <vt:i4>0</vt:i4>
      </vt:variant>
      <vt:variant>
        <vt:i4>5</vt:i4>
      </vt:variant>
      <vt:variant>
        <vt:lpwstr>http://www.nevo.co.il/law/70301</vt:lpwstr>
      </vt:variant>
      <vt:variant>
        <vt:lpwstr/>
      </vt:variant>
      <vt:variant>
        <vt:i4>3342455</vt:i4>
      </vt:variant>
      <vt:variant>
        <vt:i4>150</vt:i4>
      </vt:variant>
      <vt:variant>
        <vt:i4>0</vt:i4>
      </vt:variant>
      <vt:variant>
        <vt:i4>5</vt:i4>
      </vt:variant>
      <vt:variant>
        <vt:lpwstr>http://www.nevo.co.il/case/2513959</vt:lpwstr>
      </vt:variant>
      <vt:variant>
        <vt:lpwstr/>
      </vt:variant>
      <vt:variant>
        <vt:i4>3932284</vt:i4>
      </vt:variant>
      <vt:variant>
        <vt:i4>147</vt:i4>
      </vt:variant>
      <vt:variant>
        <vt:i4>0</vt:i4>
      </vt:variant>
      <vt:variant>
        <vt:i4>5</vt:i4>
      </vt:variant>
      <vt:variant>
        <vt:lpwstr>http://www.nevo.co.il/case/7678468</vt:lpwstr>
      </vt:variant>
      <vt:variant>
        <vt:lpwstr/>
      </vt:variant>
      <vt:variant>
        <vt:i4>4063357</vt:i4>
      </vt:variant>
      <vt:variant>
        <vt:i4>144</vt:i4>
      </vt:variant>
      <vt:variant>
        <vt:i4>0</vt:i4>
      </vt:variant>
      <vt:variant>
        <vt:i4>5</vt:i4>
      </vt:variant>
      <vt:variant>
        <vt:lpwstr>http://www.nevo.co.il/case/6893021</vt:lpwstr>
      </vt:variant>
      <vt:variant>
        <vt:lpwstr/>
      </vt:variant>
      <vt:variant>
        <vt:i4>3342462</vt:i4>
      </vt:variant>
      <vt:variant>
        <vt:i4>141</vt:i4>
      </vt:variant>
      <vt:variant>
        <vt:i4>0</vt:i4>
      </vt:variant>
      <vt:variant>
        <vt:i4>5</vt:i4>
      </vt:variant>
      <vt:variant>
        <vt:lpwstr>http://www.nevo.co.il/case/16999522</vt:lpwstr>
      </vt:variant>
      <vt:variant>
        <vt:lpwstr/>
      </vt:variant>
      <vt:variant>
        <vt:i4>3276923</vt:i4>
      </vt:variant>
      <vt:variant>
        <vt:i4>138</vt:i4>
      </vt:variant>
      <vt:variant>
        <vt:i4>0</vt:i4>
      </vt:variant>
      <vt:variant>
        <vt:i4>5</vt:i4>
      </vt:variant>
      <vt:variant>
        <vt:lpwstr>http://www.nevo.co.il/case/5318442</vt:lpwstr>
      </vt:variant>
      <vt:variant>
        <vt:lpwstr/>
      </vt:variant>
      <vt:variant>
        <vt:i4>3473532</vt:i4>
      </vt:variant>
      <vt:variant>
        <vt:i4>135</vt:i4>
      </vt:variant>
      <vt:variant>
        <vt:i4>0</vt:i4>
      </vt:variant>
      <vt:variant>
        <vt:i4>5</vt:i4>
      </vt:variant>
      <vt:variant>
        <vt:lpwstr>http://www.nevo.co.il/case/11287112</vt:lpwstr>
      </vt:variant>
      <vt:variant>
        <vt:lpwstr/>
      </vt:variant>
      <vt:variant>
        <vt:i4>3801207</vt:i4>
      </vt:variant>
      <vt:variant>
        <vt:i4>132</vt:i4>
      </vt:variant>
      <vt:variant>
        <vt:i4>0</vt:i4>
      </vt:variant>
      <vt:variant>
        <vt:i4>5</vt:i4>
      </vt:variant>
      <vt:variant>
        <vt:lpwstr>http://www.nevo.co.il/case/2333932</vt:lpwstr>
      </vt:variant>
      <vt:variant>
        <vt:lpwstr/>
      </vt:variant>
      <vt:variant>
        <vt:i4>7995492</vt:i4>
      </vt:variant>
      <vt:variant>
        <vt:i4>129</vt:i4>
      </vt:variant>
      <vt:variant>
        <vt:i4>0</vt:i4>
      </vt:variant>
      <vt:variant>
        <vt:i4>5</vt:i4>
      </vt:variant>
      <vt:variant>
        <vt:lpwstr>http://www.nevo.co.il/law/70301</vt:lpwstr>
      </vt:variant>
      <vt:variant>
        <vt:lpwstr/>
      </vt:variant>
      <vt:variant>
        <vt:i4>6619233</vt:i4>
      </vt:variant>
      <vt:variant>
        <vt:i4>126</vt:i4>
      </vt:variant>
      <vt:variant>
        <vt:i4>0</vt:i4>
      </vt:variant>
      <vt:variant>
        <vt:i4>5</vt:i4>
      </vt:variant>
      <vt:variant>
        <vt:lpwstr>http://www.nevo.co.il/law/70301/40b</vt:lpwstr>
      </vt:variant>
      <vt:variant>
        <vt:lpwstr/>
      </vt:variant>
      <vt:variant>
        <vt:i4>7995492</vt:i4>
      </vt:variant>
      <vt:variant>
        <vt:i4>123</vt:i4>
      </vt:variant>
      <vt:variant>
        <vt:i4>0</vt:i4>
      </vt:variant>
      <vt:variant>
        <vt:i4>5</vt:i4>
      </vt:variant>
      <vt:variant>
        <vt:lpwstr>http://www.nevo.co.il/law/70301</vt:lpwstr>
      </vt:variant>
      <vt:variant>
        <vt:lpwstr/>
      </vt:variant>
      <vt:variant>
        <vt:i4>3473527</vt:i4>
      </vt:variant>
      <vt:variant>
        <vt:i4>120</vt:i4>
      </vt:variant>
      <vt:variant>
        <vt:i4>0</vt:i4>
      </vt:variant>
      <vt:variant>
        <vt:i4>5</vt:i4>
      </vt:variant>
      <vt:variant>
        <vt:lpwstr>http://www.nevo.co.il/case/17925687</vt:lpwstr>
      </vt:variant>
      <vt:variant>
        <vt:lpwstr/>
      </vt:variant>
      <vt:variant>
        <vt:i4>7995492</vt:i4>
      </vt:variant>
      <vt:variant>
        <vt:i4>117</vt:i4>
      </vt:variant>
      <vt:variant>
        <vt:i4>0</vt:i4>
      </vt:variant>
      <vt:variant>
        <vt:i4>5</vt:i4>
      </vt:variant>
      <vt:variant>
        <vt:lpwstr>http://www.nevo.co.il/law/70301</vt:lpwstr>
      </vt:variant>
      <vt:variant>
        <vt:lpwstr/>
      </vt:variant>
      <vt:variant>
        <vt:i4>6291559</vt:i4>
      </vt:variant>
      <vt:variant>
        <vt:i4>114</vt:i4>
      </vt:variant>
      <vt:variant>
        <vt:i4>0</vt:i4>
      </vt:variant>
      <vt:variant>
        <vt:i4>5</vt:i4>
      </vt:variant>
      <vt:variant>
        <vt:lpwstr>http://www.nevo.co.il/law/70301/25</vt:lpwstr>
      </vt:variant>
      <vt:variant>
        <vt:lpwstr/>
      </vt:variant>
      <vt:variant>
        <vt:i4>3407997</vt:i4>
      </vt:variant>
      <vt:variant>
        <vt:i4>111</vt:i4>
      </vt:variant>
      <vt:variant>
        <vt:i4>0</vt:i4>
      </vt:variant>
      <vt:variant>
        <vt:i4>5</vt:i4>
      </vt:variant>
      <vt:variant>
        <vt:lpwstr>http://www.nevo.co.il/case/6018516</vt:lpwstr>
      </vt:variant>
      <vt:variant>
        <vt:lpwstr/>
      </vt:variant>
      <vt:variant>
        <vt:i4>7995492</vt:i4>
      </vt:variant>
      <vt:variant>
        <vt:i4>108</vt:i4>
      </vt:variant>
      <vt:variant>
        <vt:i4>0</vt:i4>
      </vt:variant>
      <vt:variant>
        <vt:i4>5</vt:i4>
      </vt:variant>
      <vt:variant>
        <vt:lpwstr>http://www.nevo.co.il/law/70301</vt:lpwstr>
      </vt:variant>
      <vt:variant>
        <vt:lpwstr/>
      </vt:variant>
      <vt:variant>
        <vt:i4>6750245</vt:i4>
      </vt:variant>
      <vt:variant>
        <vt:i4>105</vt:i4>
      </vt:variant>
      <vt:variant>
        <vt:i4>0</vt:i4>
      </vt:variant>
      <vt:variant>
        <vt:i4>5</vt:i4>
      </vt:variant>
      <vt:variant>
        <vt:lpwstr>http://www.nevo.co.il/law/70301/40jc.a</vt:lpwstr>
      </vt:variant>
      <vt:variant>
        <vt:lpwstr/>
      </vt:variant>
      <vt:variant>
        <vt:i4>3145849</vt:i4>
      </vt:variant>
      <vt:variant>
        <vt:i4>102</vt:i4>
      </vt:variant>
      <vt:variant>
        <vt:i4>0</vt:i4>
      </vt:variant>
      <vt:variant>
        <vt:i4>5</vt:i4>
      </vt:variant>
      <vt:variant>
        <vt:lpwstr>http://www.nevo.co.il/case/13093721</vt:lpwstr>
      </vt:variant>
      <vt:variant>
        <vt:lpwstr/>
      </vt:variant>
      <vt:variant>
        <vt:i4>7995492</vt:i4>
      </vt:variant>
      <vt:variant>
        <vt:i4>99</vt:i4>
      </vt:variant>
      <vt:variant>
        <vt:i4>0</vt:i4>
      </vt:variant>
      <vt:variant>
        <vt:i4>5</vt:i4>
      </vt:variant>
      <vt:variant>
        <vt:lpwstr>http://www.nevo.co.il/law/70301</vt:lpwstr>
      </vt:variant>
      <vt:variant>
        <vt:lpwstr/>
      </vt:variant>
      <vt:variant>
        <vt:i4>393227</vt:i4>
      </vt:variant>
      <vt:variant>
        <vt:i4>96</vt:i4>
      </vt:variant>
      <vt:variant>
        <vt:i4>0</vt:i4>
      </vt:variant>
      <vt:variant>
        <vt:i4>5</vt:i4>
      </vt:variant>
      <vt:variant>
        <vt:lpwstr>http://www.nevo.co.il/law/70301/40jc</vt:lpwstr>
      </vt:variant>
      <vt:variant>
        <vt:lpwstr/>
      </vt:variant>
      <vt:variant>
        <vt:i4>8257646</vt:i4>
      </vt:variant>
      <vt:variant>
        <vt:i4>93</vt:i4>
      </vt:variant>
      <vt:variant>
        <vt:i4>0</vt:i4>
      </vt:variant>
      <vt:variant>
        <vt:i4>5</vt:i4>
      </vt:variant>
      <vt:variant>
        <vt:lpwstr>http://www.nevo.co.il/law/74903</vt:lpwstr>
      </vt:variant>
      <vt:variant>
        <vt:lpwstr/>
      </vt:variant>
      <vt:variant>
        <vt:i4>6881388</vt:i4>
      </vt:variant>
      <vt:variant>
        <vt:i4>90</vt:i4>
      </vt:variant>
      <vt:variant>
        <vt:i4>0</vt:i4>
      </vt:variant>
      <vt:variant>
        <vt:i4>5</vt:i4>
      </vt:variant>
      <vt:variant>
        <vt:lpwstr>http://www.nevo.co.il/law/74903/186</vt:lpwstr>
      </vt:variant>
      <vt:variant>
        <vt:lpwstr/>
      </vt:variant>
      <vt:variant>
        <vt:i4>3473521</vt:i4>
      </vt:variant>
      <vt:variant>
        <vt:i4>87</vt:i4>
      </vt:variant>
      <vt:variant>
        <vt:i4>0</vt:i4>
      </vt:variant>
      <vt:variant>
        <vt:i4>5</vt:i4>
      </vt:variant>
      <vt:variant>
        <vt:lpwstr>http://www.nevo.co.il/case/20033641</vt:lpwstr>
      </vt:variant>
      <vt:variant>
        <vt:lpwstr/>
      </vt:variant>
      <vt:variant>
        <vt:i4>393227</vt:i4>
      </vt:variant>
      <vt:variant>
        <vt:i4>84</vt:i4>
      </vt:variant>
      <vt:variant>
        <vt:i4>0</vt:i4>
      </vt:variant>
      <vt:variant>
        <vt:i4>5</vt:i4>
      </vt:variant>
      <vt:variant>
        <vt:lpwstr>http://www.nevo.co.il/law/70301/40jc</vt:lpwstr>
      </vt:variant>
      <vt:variant>
        <vt:lpwstr/>
      </vt:variant>
      <vt:variant>
        <vt:i4>7995492</vt:i4>
      </vt:variant>
      <vt:variant>
        <vt:i4>81</vt:i4>
      </vt:variant>
      <vt:variant>
        <vt:i4>0</vt:i4>
      </vt:variant>
      <vt:variant>
        <vt:i4>5</vt:i4>
      </vt:variant>
      <vt:variant>
        <vt:lpwstr>http://www.nevo.co.il/law/70301</vt:lpwstr>
      </vt:variant>
      <vt:variant>
        <vt:lpwstr/>
      </vt:variant>
      <vt:variant>
        <vt:i4>393227</vt:i4>
      </vt:variant>
      <vt:variant>
        <vt:i4>78</vt:i4>
      </vt:variant>
      <vt:variant>
        <vt:i4>0</vt:i4>
      </vt:variant>
      <vt:variant>
        <vt:i4>5</vt:i4>
      </vt:variant>
      <vt:variant>
        <vt:lpwstr>http://www.nevo.co.il/law/70301/40jc</vt:lpwstr>
      </vt:variant>
      <vt:variant>
        <vt:lpwstr/>
      </vt:variant>
      <vt:variant>
        <vt:i4>5177418</vt:i4>
      </vt:variant>
      <vt:variant>
        <vt:i4>75</vt:i4>
      </vt:variant>
      <vt:variant>
        <vt:i4>0</vt:i4>
      </vt:variant>
      <vt:variant>
        <vt:i4>5</vt:i4>
      </vt:variant>
      <vt:variant>
        <vt:lpwstr>http://www.nevo.co.il/law/4216/10</vt:lpwstr>
      </vt:variant>
      <vt:variant>
        <vt:lpwstr/>
      </vt:variant>
      <vt:variant>
        <vt:i4>8257637</vt:i4>
      </vt:variant>
      <vt:variant>
        <vt:i4>72</vt:i4>
      </vt:variant>
      <vt:variant>
        <vt:i4>0</vt:i4>
      </vt:variant>
      <vt:variant>
        <vt:i4>5</vt:i4>
      </vt:variant>
      <vt:variant>
        <vt:lpwstr>http://www.nevo.co.il/law/4216</vt:lpwstr>
      </vt:variant>
      <vt:variant>
        <vt:lpwstr/>
      </vt:variant>
      <vt:variant>
        <vt:i4>2752612</vt:i4>
      </vt:variant>
      <vt:variant>
        <vt:i4>69</vt:i4>
      </vt:variant>
      <vt:variant>
        <vt:i4>0</vt:i4>
      </vt:variant>
      <vt:variant>
        <vt:i4>5</vt:i4>
      </vt:variant>
      <vt:variant>
        <vt:lpwstr>http://www.nevo.co.il/law/4216/7.c</vt:lpwstr>
      </vt:variant>
      <vt:variant>
        <vt:lpwstr/>
      </vt:variant>
      <vt:variant>
        <vt:i4>2621540</vt:i4>
      </vt:variant>
      <vt:variant>
        <vt:i4>66</vt:i4>
      </vt:variant>
      <vt:variant>
        <vt:i4>0</vt:i4>
      </vt:variant>
      <vt:variant>
        <vt:i4>5</vt:i4>
      </vt:variant>
      <vt:variant>
        <vt:lpwstr>http://www.nevo.co.il/law/4216/7.a</vt:lpwstr>
      </vt:variant>
      <vt:variant>
        <vt:lpwstr/>
      </vt:variant>
      <vt:variant>
        <vt:i4>6619233</vt:i4>
      </vt:variant>
      <vt:variant>
        <vt:i4>63</vt:i4>
      </vt:variant>
      <vt:variant>
        <vt:i4>0</vt:i4>
      </vt:variant>
      <vt:variant>
        <vt:i4>5</vt:i4>
      </vt:variant>
      <vt:variant>
        <vt:lpwstr>http://www.nevo.co.il/law/70301/409</vt:lpwstr>
      </vt:variant>
      <vt:variant>
        <vt:lpwstr/>
      </vt:variant>
      <vt:variant>
        <vt:i4>7077945</vt:i4>
      </vt:variant>
      <vt:variant>
        <vt:i4>60</vt:i4>
      </vt:variant>
      <vt:variant>
        <vt:i4>0</vt:i4>
      </vt:variant>
      <vt:variant>
        <vt:i4>5</vt:i4>
      </vt:variant>
      <vt:variant>
        <vt:lpwstr>http://www.nevo.co.il/law/70301/499.a.1</vt:lpwstr>
      </vt:variant>
      <vt:variant>
        <vt:lpwstr/>
      </vt:variant>
      <vt:variant>
        <vt:i4>852041</vt:i4>
      </vt:variant>
      <vt:variant>
        <vt:i4>57</vt:i4>
      </vt:variant>
      <vt:variant>
        <vt:i4>0</vt:i4>
      </vt:variant>
      <vt:variant>
        <vt:i4>5</vt:i4>
      </vt:variant>
      <vt:variant>
        <vt:lpwstr>http://www.nevo.co.il/law/70301/29.a</vt:lpwstr>
      </vt:variant>
      <vt:variant>
        <vt:lpwstr/>
      </vt:variant>
      <vt:variant>
        <vt:i4>6291559</vt:i4>
      </vt:variant>
      <vt:variant>
        <vt:i4>54</vt:i4>
      </vt:variant>
      <vt:variant>
        <vt:i4>0</vt:i4>
      </vt:variant>
      <vt:variant>
        <vt:i4>5</vt:i4>
      </vt:variant>
      <vt:variant>
        <vt:lpwstr>http://www.nevo.co.il/law/70301/25</vt:lpwstr>
      </vt:variant>
      <vt:variant>
        <vt:lpwstr/>
      </vt:variant>
      <vt:variant>
        <vt:i4>7995492</vt:i4>
      </vt:variant>
      <vt:variant>
        <vt:i4>51</vt:i4>
      </vt:variant>
      <vt:variant>
        <vt:i4>0</vt:i4>
      </vt:variant>
      <vt:variant>
        <vt:i4>5</vt:i4>
      </vt:variant>
      <vt:variant>
        <vt:lpwstr>http://www.nevo.co.il/law/70301</vt:lpwstr>
      </vt:variant>
      <vt:variant>
        <vt:lpwstr/>
      </vt:variant>
      <vt:variant>
        <vt:i4>4915287</vt:i4>
      </vt:variant>
      <vt:variant>
        <vt:i4>48</vt:i4>
      </vt:variant>
      <vt:variant>
        <vt:i4>0</vt:i4>
      </vt:variant>
      <vt:variant>
        <vt:i4>5</vt:i4>
      </vt:variant>
      <vt:variant>
        <vt:lpwstr>http://www.nevo.co.il/law/70301/406.b</vt:lpwstr>
      </vt:variant>
      <vt:variant>
        <vt:lpwstr/>
      </vt:variant>
      <vt:variant>
        <vt:i4>6881388</vt:i4>
      </vt:variant>
      <vt:variant>
        <vt:i4>45</vt:i4>
      </vt:variant>
      <vt:variant>
        <vt:i4>0</vt:i4>
      </vt:variant>
      <vt:variant>
        <vt:i4>5</vt:i4>
      </vt:variant>
      <vt:variant>
        <vt:lpwstr>http://www.nevo.co.il/law/74903/186</vt:lpwstr>
      </vt:variant>
      <vt:variant>
        <vt:lpwstr/>
      </vt:variant>
      <vt:variant>
        <vt:i4>8257646</vt:i4>
      </vt:variant>
      <vt:variant>
        <vt:i4>42</vt:i4>
      </vt:variant>
      <vt:variant>
        <vt:i4>0</vt:i4>
      </vt:variant>
      <vt:variant>
        <vt:i4>5</vt:i4>
      </vt:variant>
      <vt:variant>
        <vt:lpwstr>http://www.nevo.co.il/law/74903</vt:lpwstr>
      </vt:variant>
      <vt:variant>
        <vt:lpwstr/>
      </vt:variant>
      <vt:variant>
        <vt:i4>5177418</vt:i4>
      </vt:variant>
      <vt:variant>
        <vt:i4>39</vt:i4>
      </vt:variant>
      <vt:variant>
        <vt:i4>0</vt:i4>
      </vt:variant>
      <vt:variant>
        <vt:i4>5</vt:i4>
      </vt:variant>
      <vt:variant>
        <vt:lpwstr>http://www.nevo.co.il/law/4216/10</vt:lpwstr>
      </vt:variant>
      <vt:variant>
        <vt:lpwstr/>
      </vt:variant>
      <vt:variant>
        <vt:i4>2752612</vt:i4>
      </vt:variant>
      <vt:variant>
        <vt:i4>36</vt:i4>
      </vt:variant>
      <vt:variant>
        <vt:i4>0</vt:i4>
      </vt:variant>
      <vt:variant>
        <vt:i4>5</vt:i4>
      </vt:variant>
      <vt:variant>
        <vt:lpwstr>http://www.nevo.co.il/law/4216/7.c</vt:lpwstr>
      </vt:variant>
      <vt:variant>
        <vt:lpwstr/>
      </vt:variant>
      <vt:variant>
        <vt:i4>2621540</vt:i4>
      </vt:variant>
      <vt:variant>
        <vt:i4>33</vt:i4>
      </vt:variant>
      <vt:variant>
        <vt:i4>0</vt:i4>
      </vt:variant>
      <vt:variant>
        <vt:i4>5</vt:i4>
      </vt:variant>
      <vt:variant>
        <vt:lpwstr>http://www.nevo.co.il/law/4216/7.a</vt:lpwstr>
      </vt:variant>
      <vt:variant>
        <vt:lpwstr/>
      </vt:variant>
      <vt:variant>
        <vt:i4>8257637</vt:i4>
      </vt:variant>
      <vt:variant>
        <vt:i4>30</vt:i4>
      </vt:variant>
      <vt:variant>
        <vt:i4>0</vt:i4>
      </vt:variant>
      <vt:variant>
        <vt:i4>5</vt:i4>
      </vt:variant>
      <vt:variant>
        <vt:lpwstr>http://www.nevo.co.il/law/4216</vt:lpwstr>
      </vt:variant>
      <vt:variant>
        <vt:lpwstr/>
      </vt:variant>
      <vt:variant>
        <vt:i4>7077945</vt:i4>
      </vt:variant>
      <vt:variant>
        <vt:i4>27</vt:i4>
      </vt:variant>
      <vt:variant>
        <vt:i4>0</vt:i4>
      </vt:variant>
      <vt:variant>
        <vt:i4>5</vt:i4>
      </vt:variant>
      <vt:variant>
        <vt:lpwstr>http://www.nevo.co.il/law/70301/499.a.1</vt:lpwstr>
      </vt:variant>
      <vt:variant>
        <vt:lpwstr/>
      </vt:variant>
      <vt:variant>
        <vt:i4>6750245</vt:i4>
      </vt:variant>
      <vt:variant>
        <vt:i4>24</vt:i4>
      </vt:variant>
      <vt:variant>
        <vt:i4>0</vt:i4>
      </vt:variant>
      <vt:variant>
        <vt:i4>5</vt:i4>
      </vt:variant>
      <vt:variant>
        <vt:lpwstr>http://www.nevo.co.il/law/70301/40jc.a</vt:lpwstr>
      </vt:variant>
      <vt:variant>
        <vt:lpwstr/>
      </vt:variant>
      <vt:variant>
        <vt:i4>393227</vt:i4>
      </vt:variant>
      <vt:variant>
        <vt:i4>21</vt:i4>
      </vt:variant>
      <vt:variant>
        <vt:i4>0</vt:i4>
      </vt:variant>
      <vt:variant>
        <vt:i4>5</vt:i4>
      </vt:variant>
      <vt:variant>
        <vt:lpwstr>http://www.nevo.co.il/law/70301/40jc</vt:lpwstr>
      </vt:variant>
      <vt:variant>
        <vt:lpwstr/>
      </vt:variant>
      <vt:variant>
        <vt:i4>262155</vt:i4>
      </vt:variant>
      <vt:variant>
        <vt:i4>18</vt:i4>
      </vt:variant>
      <vt:variant>
        <vt:i4>0</vt:i4>
      </vt:variant>
      <vt:variant>
        <vt:i4>5</vt:i4>
      </vt:variant>
      <vt:variant>
        <vt:lpwstr>http://www.nevo.co.il/law/70301/40ja</vt:lpwstr>
      </vt:variant>
      <vt:variant>
        <vt:lpwstr/>
      </vt:variant>
      <vt:variant>
        <vt:i4>6619233</vt:i4>
      </vt:variant>
      <vt:variant>
        <vt:i4>15</vt:i4>
      </vt:variant>
      <vt:variant>
        <vt:i4>0</vt:i4>
      </vt:variant>
      <vt:variant>
        <vt:i4>5</vt:i4>
      </vt:variant>
      <vt:variant>
        <vt:lpwstr>http://www.nevo.co.il/law/70301/409</vt:lpwstr>
      </vt:variant>
      <vt:variant>
        <vt:lpwstr/>
      </vt:variant>
      <vt:variant>
        <vt:i4>4915287</vt:i4>
      </vt:variant>
      <vt:variant>
        <vt:i4>12</vt:i4>
      </vt:variant>
      <vt:variant>
        <vt:i4>0</vt:i4>
      </vt:variant>
      <vt:variant>
        <vt:i4>5</vt:i4>
      </vt:variant>
      <vt:variant>
        <vt:lpwstr>http://www.nevo.co.il/law/70301/406.b</vt:lpwstr>
      </vt:variant>
      <vt:variant>
        <vt:lpwstr/>
      </vt:variant>
      <vt:variant>
        <vt:i4>6619233</vt:i4>
      </vt:variant>
      <vt:variant>
        <vt:i4>9</vt:i4>
      </vt:variant>
      <vt:variant>
        <vt:i4>0</vt:i4>
      </vt:variant>
      <vt:variant>
        <vt:i4>5</vt:i4>
      </vt:variant>
      <vt:variant>
        <vt:lpwstr>http://www.nevo.co.il/law/70301/40b</vt:lpwstr>
      </vt:variant>
      <vt:variant>
        <vt:lpwstr/>
      </vt:variant>
      <vt:variant>
        <vt:i4>852041</vt:i4>
      </vt:variant>
      <vt:variant>
        <vt:i4>6</vt:i4>
      </vt:variant>
      <vt:variant>
        <vt:i4>0</vt:i4>
      </vt:variant>
      <vt:variant>
        <vt:i4>5</vt:i4>
      </vt:variant>
      <vt:variant>
        <vt:lpwstr>http://www.nevo.co.il/law/70301/29.a</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2025-04-22T23:58:00Z</dcterms:created>
  <dcterms:modified xsi:type="dcterms:W3CDTF">2025-04-22T23:58:00Z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5434</vt:lpwstr>
  </property>
  <property fmtid="{D5CDD505-2E9C-101B-9397-08002B2CF9AE}" pid="6" name="NEWPARTB">
    <vt:lpwstr>11</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דוד שמלשוילי</vt:lpwstr>
  </property>
  <property fmtid="{D5CDD505-2E9C-101B-9397-08002B2CF9AE}" pid="10" name="JUDGE">
    <vt:lpwstr>ארנון איתן</vt:lpwstr>
  </property>
  <property fmtid="{D5CDD505-2E9C-101B-9397-08002B2CF9AE}" pid="11" name="CITY">
    <vt:lpwstr>י-ם</vt:lpwstr>
  </property>
  <property fmtid="{D5CDD505-2E9C-101B-9397-08002B2CF9AE}" pid="12" name="DATE">
    <vt:lpwstr>20200723</vt:lpwstr>
  </property>
  <property fmtid="{D5CDD505-2E9C-101B-9397-08002B2CF9AE}" pid="13" name="TYPE_N_DATE">
    <vt:lpwstr>38020200723</vt:lpwstr>
  </property>
  <property fmtid="{D5CDD505-2E9C-101B-9397-08002B2CF9AE}" pid="14" name="WORDNUMPAGES">
    <vt:lpwstr>11</vt:lpwstr>
  </property>
  <property fmtid="{D5CDD505-2E9C-101B-9397-08002B2CF9AE}" pid="15" name="TYPE_ABS_DATE">
    <vt:lpwstr>380020200723</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20033641;13093721;6018516;17925687;2333932;11287112;5318442;16999522;6893021;7678468;2513959</vt:lpwstr>
  </property>
  <property fmtid="{D5CDD505-2E9C-101B-9397-08002B2CF9AE}" pid="36" name="LAWLISTTMP1">
    <vt:lpwstr>70301/406.b;025:2;029.a;499.a.1;409;40jc:4;40jc.a;040b;40ja</vt:lpwstr>
  </property>
  <property fmtid="{D5CDD505-2E9C-101B-9397-08002B2CF9AE}" pid="37" name="LAWLISTTMP2">
    <vt:lpwstr>4216/007.a:2;007.c:2;010:2</vt:lpwstr>
  </property>
  <property fmtid="{D5CDD505-2E9C-101B-9397-08002B2CF9AE}" pid="38" name="LAWLISTTMP3">
    <vt:lpwstr>74903/186</vt:lpwstr>
  </property>
</Properties>
</file>