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8820" w:type="dxa"/>
        <w:jc w:val="center"/>
        <w:tblLook w:val="0000" w:firstRow="0" w:lastRow="0" w:firstColumn="0" w:lastColumn="0" w:noHBand="0" w:noVBand="0"/>
      </w:tblPr>
      <w:tblGrid>
        <w:gridCol w:w="945"/>
        <w:gridCol w:w="4111"/>
        <w:gridCol w:w="3665"/>
        <w:gridCol w:w="99"/>
      </w:tblGrid>
      <w:tr w:rsidR="0013556C" w:rsidRPr="006446DA" w14:paraId="26512289" w14:textId="77777777" w:rsidTr="00741438">
        <w:trPr>
          <w:gridAfter w:val="1"/>
          <w:wAfter w:w="99" w:type="dxa"/>
          <w:trHeight w:hRule="exact" w:val="418"/>
          <w:jc w:val="center"/>
        </w:trPr>
        <w:tc>
          <w:tcPr>
            <w:tcW w:w="8721" w:type="dxa"/>
            <w:gridSpan w:val="3"/>
          </w:tcPr>
          <w:p w14:paraId="4D0DD27F" w14:textId="77777777" w:rsidR="0013556C" w:rsidRPr="006446DA" w:rsidRDefault="0013556C" w:rsidP="007556BC">
            <w:pPr>
              <w:pStyle w:val="a3"/>
              <w:jc w:val="center"/>
              <w:rPr>
                <w:rFonts w:ascii="David" w:hAnsi="David"/>
                <w:b/>
                <w:bCs/>
                <w:color w:val="000080"/>
                <w:rtl/>
              </w:rPr>
            </w:pPr>
            <w:bookmarkStart w:id="0" w:name="FirstLawyer"/>
            <w:bookmarkStart w:id="1" w:name="LastJudge"/>
            <w:r w:rsidRPr="006446DA">
              <w:rPr>
                <w:rFonts w:ascii="David" w:hAnsi="David"/>
                <w:b/>
                <w:bCs/>
                <w:color w:val="000080"/>
                <w:sz w:val="28"/>
                <w:szCs w:val="28"/>
                <w:rtl/>
              </w:rPr>
              <w:t>בית משפט השלום בירושלים</w:t>
            </w:r>
          </w:p>
        </w:tc>
      </w:tr>
      <w:tr w:rsidR="0013556C" w:rsidRPr="006446DA" w14:paraId="579CEDEF" w14:textId="77777777" w:rsidTr="00741438">
        <w:trPr>
          <w:gridAfter w:val="1"/>
          <w:wAfter w:w="99" w:type="dxa"/>
          <w:trHeight w:val="337"/>
          <w:jc w:val="center"/>
        </w:trPr>
        <w:tc>
          <w:tcPr>
            <w:tcW w:w="5054" w:type="dxa"/>
            <w:gridSpan w:val="2"/>
          </w:tcPr>
          <w:p w14:paraId="11A6B7CA" w14:textId="77777777" w:rsidR="0013556C" w:rsidRPr="006446DA" w:rsidRDefault="0013556C" w:rsidP="007556BC">
            <w:pPr>
              <w:rPr>
                <w:rFonts w:ascii="David" w:hAnsi="David"/>
                <w:b/>
                <w:bCs/>
                <w:sz w:val="28"/>
                <w:szCs w:val="28"/>
                <w:rtl/>
              </w:rPr>
            </w:pPr>
            <w:r w:rsidRPr="006446DA">
              <w:rPr>
                <w:rFonts w:ascii="David" w:hAnsi="David"/>
                <w:b/>
                <w:bCs/>
                <w:rtl/>
              </w:rPr>
              <w:t>ת"פ</w:t>
            </w:r>
            <w:r w:rsidRPr="006446DA">
              <w:rPr>
                <w:rFonts w:ascii="David" w:hAnsi="David"/>
                <w:b/>
                <w:bCs/>
                <w:sz w:val="28"/>
                <w:szCs w:val="28"/>
                <w:rtl/>
              </w:rPr>
              <w:t xml:space="preserve"> </w:t>
            </w:r>
            <w:r w:rsidRPr="006446DA">
              <w:rPr>
                <w:rFonts w:ascii="David" w:hAnsi="David"/>
                <w:b/>
                <w:bCs/>
                <w:rtl/>
              </w:rPr>
              <w:t>57409-11-18</w:t>
            </w:r>
            <w:r w:rsidRPr="006446DA">
              <w:rPr>
                <w:rFonts w:ascii="David" w:hAnsi="David"/>
                <w:b/>
                <w:bCs/>
                <w:sz w:val="28"/>
                <w:szCs w:val="28"/>
                <w:rtl/>
              </w:rPr>
              <w:t xml:space="preserve"> </w:t>
            </w:r>
            <w:r w:rsidRPr="006446DA">
              <w:rPr>
                <w:rFonts w:ascii="David" w:hAnsi="David"/>
                <w:b/>
                <w:bCs/>
                <w:rtl/>
              </w:rPr>
              <w:t>מדינת ישראל נ' בר שביט</w:t>
            </w:r>
            <w:r w:rsidRPr="006446DA">
              <w:rPr>
                <w:rFonts w:ascii="David" w:hAnsi="David"/>
                <w:b/>
                <w:bCs/>
                <w:rtl/>
              </w:rPr>
              <w:br/>
              <w:t>ת"פ (רמלה) 14096-11-20</w:t>
            </w:r>
            <w:r w:rsidRPr="006446DA">
              <w:rPr>
                <w:rFonts w:ascii="David" w:hAnsi="David"/>
                <w:b/>
                <w:bCs/>
                <w:rtl/>
              </w:rPr>
              <w:br/>
            </w:r>
            <w:r w:rsidRPr="006446DA">
              <w:rPr>
                <w:rFonts w:ascii="David" w:hAnsi="David" w:hint="cs"/>
                <w:b/>
                <w:bCs/>
                <w:rtl/>
              </w:rPr>
              <w:t>ת"פ 34771-10-20</w:t>
            </w:r>
            <w:r w:rsidRPr="006446DA">
              <w:rPr>
                <w:rFonts w:ascii="David" w:hAnsi="David"/>
                <w:b/>
                <w:bCs/>
                <w:rtl/>
              </w:rPr>
              <w:br/>
            </w:r>
          </w:p>
        </w:tc>
        <w:tc>
          <w:tcPr>
            <w:tcW w:w="3667" w:type="dxa"/>
          </w:tcPr>
          <w:p w14:paraId="43E587F0" w14:textId="77777777" w:rsidR="0013556C" w:rsidRPr="006446DA" w:rsidRDefault="0013556C" w:rsidP="007556BC">
            <w:pPr>
              <w:pStyle w:val="a3"/>
              <w:jc w:val="right"/>
              <w:rPr>
                <w:rFonts w:cs="FrankRuehl"/>
                <w:sz w:val="28"/>
                <w:szCs w:val="28"/>
                <w:rtl/>
              </w:rPr>
            </w:pPr>
          </w:p>
        </w:tc>
      </w:tr>
      <w:tr w:rsidR="0013556C" w:rsidRPr="006446DA" w14:paraId="16634221"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295"/>
          <w:jc w:val="center"/>
        </w:trPr>
        <w:tc>
          <w:tcPr>
            <w:tcW w:w="945" w:type="dxa"/>
            <w:tcBorders>
              <w:top w:val="nil"/>
              <w:left w:val="nil"/>
              <w:bottom w:val="nil"/>
              <w:right w:val="nil"/>
            </w:tcBorders>
            <w:shd w:val="clear" w:color="auto" w:fill="auto"/>
          </w:tcPr>
          <w:p w14:paraId="3A60CB4E" w14:textId="77777777" w:rsidR="0013556C" w:rsidRPr="006446DA" w:rsidRDefault="0013556C" w:rsidP="0013556C">
            <w:pPr>
              <w:jc w:val="both"/>
              <w:rPr>
                <w:rFonts w:ascii="David" w:hAnsi="David"/>
                <w:b/>
                <w:bCs/>
                <w:sz w:val="28"/>
                <w:szCs w:val="28"/>
              </w:rPr>
            </w:pPr>
            <w:r w:rsidRPr="006446DA">
              <w:rPr>
                <w:rFonts w:hint="cs"/>
                <w:rtl/>
              </w:rPr>
              <w:t xml:space="preserve"> </w:t>
            </w:r>
            <w:r w:rsidRPr="006446DA">
              <w:rPr>
                <w:rFonts w:ascii="David" w:hAnsi="David"/>
                <w:b/>
                <w:bCs/>
                <w:sz w:val="28"/>
                <w:szCs w:val="28"/>
                <w:rtl/>
              </w:rPr>
              <w:t xml:space="preserve">לפני </w:t>
            </w:r>
          </w:p>
        </w:tc>
        <w:tc>
          <w:tcPr>
            <w:tcW w:w="7875" w:type="dxa"/>
            <w:gridSpan w:val="3"/>
            <w:tcBorders>
              <w:top w:val="nil"/>
              <w:left w:val="nil"/>
              <w:bottom w:val="nil"/>
              <w:right w:val="nil"/>
            </w:tcBorders>
            <w:shd w:val="clear" w:color="auto" w:fill="auto"/>
          </w:tcPr>
          <w:p w14:paraId="2E64553D" w14:textId="77777777" w:rsidR="0013556C" w:rsidRPr="006446DA" w:rsidRDefault="0013556C" w:rsidP="007556BC">
            <w:pPr>
              <w:rPr>
                <w:rFonts w:ascii="David" w:hAnsi="David"/>
                <w:b/>
                <w:bCs/>
                <w:sz w:val="28"/>
                <w:szCs w:val="28"/>
                <w:rtl/>
              </w:rPr>
            </w:pPr>
            <w:r w:rsidRPr="006446DA">
              <w:rPr>
                <w:rFonts w:ascii="David" w:hAnsi="David"/>
                <w:b/>
                <w:bCs/>
                <w:sz w:val="28"/>
                <w:szCs w:val="28"/>
                <w:rtl/>
              </w:rPr>
              <w:t>כבוד השופט  דוד שאול גבאי ריכטר</w:t>
            </w:r>
          </w:p>
          <w:p w14:paraId="5A26E032" w14:textId="77777777" w:rsidR="0013556C" w:rsidRPr="006446DA" w:rsidRDefault="0013556C" w:rsidP="007556BC">
            <w:pPr>
              <w:rPr>
                <w:rFonts w:ascii="David" w:hAnsi="David"/>
                <w:b/>
                <w:bCs/>
                <w:sz w:val="28"/>
                <w:szCs w:val="28"/>
                <w:rtl/>
              </w:rPr>
            </w:pPr>
          </w:p>
          <w:p w14:paraId="2073D29B" w14:textId="77777777" w:rsidR="0013556C" w:rsidRPr="006446DA" w:rsidRDefault="0013556C" w:rsidP="0013556C">
            <w:pPr>
              <w:jc w:val="both"/>
              <w:rPr>
                <w:rFonts w:ascii="David" w:hAnsi="David"/>
                <w:b/>
                <w:bCs/>
                <w:sz w:val="28"/>
                <w:szCs w:val="28"/>
              </w:rPr>
            </w:pPr>
          </w:p>
        </w:tc>
      </w:tr>
      <w:tr w:rsidR="0013556C" w:rsidRPr="006446DA" w14:paraId="1B1DB197"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78EC99D7" w14:textId="77777777" w:rsidR="0013556C" w:rsidRPr="006446DA" w:rsidRDefault="0013556C" w:rsidP="0013556C">
            <w:pPr>
              <w:jc w:val="both"/>
              <w:rPr>
                <w:rFonts w:ascii="David" w:hAnsi="David"/>
                <w:b/>
                <w:bCs/>
                <w:sz w:val="28"/>
                <w:szCs w:val="28"/>
              </w:rPr>
            </w:pPr>
            <w:bookmarkStart w:id="2" w:name="FirstAppellant"/>
            <w:r w:rsidRPr="006446DA">
              <w:rPr>
                <w:rFonts w:ascii="David" w:hAnsi="David"/>
                <w:b/>
                <w:bCs/>
                <w:sz w:val="28"/>
                <w:szCs w:val="28"/>
                <w:rtl/>
              </w:rPr>
              <w:t>בעניין:</w:t>
            </w:r>
          </w:p>
        </w:tc>
        <w:tc>
          <w:tcPr>
            <w:tcW w:w="4114" w:type="dxa"/>
            <w:tcBorders>
              <w:top w:val="nil"/>
              <w:left w:val="nil"/>
              <w:bottom w:val="nil"/>
              <w:right w:val="nil"/>
            </w:tcBorders>
            <w:shd w:val="clear" w:color="auto" w:fill="auto"/>
          </w:tcPr>
          <w:p w14:paraId="27D6D39B" w14:textId="77777777" w:rsidR="0013556C" w:rsidRPr="006446DA" w:rsidRDefault="0013556C" w:rsidP="007556BC">
            <w:pPr>
              <w:rPr>
                <w:rFonts w:ascii="David" w:hAnsi="David"/>
                <w:b/>
                <w:bCs/>
                <w:sz w:val="28"/>
                <w:szCs w:val="28"/>
              </w:rPr>
            </w:pPr>
            <w:r w:rsidRPr="006446DA">
              <w:rPr>
                <w:rFonts w:ascii="David" w:hAnsi="David"/>
                <w:b/>
                <w:bCs/>
                <w:sz w:val="28"/>
                <w:szCs w:val="28"/>
                <w:rtl/>
              </w:rPr>
              <w:t>מדינת ישראל</w:t>
            </w:r>
            <w:r w:rsidRPr="006446DA">
              <w:rPr>
                <w:rFonts w:ascii="David" w:hAnsi="David"/>
                <w:b/>
                <w:bCs/>
                <w:sz w:val="28"/>
                <w:szCs w:val="28"/>
                <w:rtl/>
              </w:rPr>
              <w:br/>
              <w:t>ע"י</w:t>
            </w:r>
            <w:r w:rsidRPr="006446DA">
              <w:rPr>
                <w:rFonts w:ascii="David" w:hAnsi="David" w:hint="cs"/>
                <w:b/>
                <w:bCs/>
                <w:sz w:val="28"/>
                <w:szCs w:val="28"/>
                <w:rtl/>
              </w:rPr>
              <w:t xml:space="preserve"> פקד דוד כהן, מתמחה </w:t>
            </w:r>
            <w:r w:rsidRPr="006446DA">
              <w:rPr>
                <w:rFonts w:ascii="David" w:hAnsi="David"/>
                <w:b/>
                <w:bCs/>
                <w:sz w:val="28"/>
                <w:szCs w:val="28"/>
                <w:rtl/>
              </w:rPr>
              <w:br/>
            </w:r>
            <w:r w:rsidRPr="006446DA">
              <w:rPr>
                <w:rFonts w:ascii="David" w:hAnsi="David" w:hint="cs"/>
                <w:b/>
                <w:bCs/>
                <w:sz w:val="28"/>
                <w:szCs w:val="28"/>
                <w:rtl/>
              </w:rPr>
              <w:t>מ</w:t>
            </w:r>
            <w:r w:rsidRPr="006446DA">
              <w:rPr>
                <w:rFonts w:ascii="David" w:hAnsi="David"/>
                <w:b/>
                <w:bCs/>
                <w:sz w:val="28"/>
                <w:szCs w:val="28"/>
                <w:rtl/>
              </w:rPr>
              <w:t>תביעות ירושלים</w:t>
            </w:r>
          </w:p>
        </w:tc>
        <w:tc>
          <w:tcPr>
            <w:tcW w:w="3761" w:type="dxa"/>
            <w:gridSpan w:val="2"/>
            <w:tcBorders>
              <w:top w:val="nil"/>
              <w:left w:val="nil"/>
              <w:bottom w:val="nil"/>
              <w:right w:val="nil"/>
            </w:tcBorders>
            <w:shd w:val="clear" w:color="auto" w:fill="auto"/>
          </w:tcPr>
          <w:p w14:paraId="77809694" w14:textId="77777777" w:rsidR="0013556C" w:rsidRPr="006446DA" w:rsidRDefault="0013556C" w:rsidP="0013556C">
            <w:pPr>
              <w:jc w:val="both"/>
              <w:rPr>
                <w:rFonts w:ascii="David" w:hAnsi="David"/>
                <w:b/>
                <w:bCs/>
                <w:sz w:val="28"/>
                <w:szCs w:val="28"/>
              </w:rPr>
            </w:pPr>
          </w:p>
        </w:tc>
      </w:tr>
      <w:bookmarkEnd w:id="2"/>
      <w:tr w:rsidR="0013556C" w:rsidRPr="006446DA" w14:paraId="66763552"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5D32B137" w14:textId="77777777" w:rsidR="0013556C" w:rsidRPr="006446DA" w:rsidRDefault="0013556C" w:rsidP="0013556C">
            <w:pPr>
              <w:jc w:val="both"/>
              <w:rPr>
                <w:rFonts w:ascii="David" w:hAnsi="David"/>
                <w:b/>
                <w:bCs/>
                <w:sz w:val="28"/>
                <w:szCs w:val="28"/>
                <w:rtl/>
              </w:rPr>
            </w:pPr>
          </w:p>
        </w:tc>
        <w:tc>
          <w:tcPr>
            <w:tcW w:w="4114" w:type="dxa"/>
            <w:tcBorders>
              <w:top w:val="nil"/>
              <w:left w:val="nil"/>
              <w:bottom w:val="nil"/>
              <w:right w:val="nil"/>
            </w:tcBorders>
            <w:shd w:val="clear" w:color="auto" w:fill="auto"/>
          </w:tcPr>
          <w:p w14:paraId="7CC57021" w14:textId="77777777" w:rsidR="0013556C" w:rsidRPr="006446DA" w:rsidRDefault="0013556C" w:rsidP="0013556C">
            <w:pPr>
              <w:jc w:val="both"/>
              <w:rPr>
                <w:rFonts w:ascii="David" w:hAnsi="David"/>
                <w:b/>
                <w:bCs/>
                <w:sz w:val="28"/>
                <w:szCs w:val="28"/>
                <w:rtl/>
              </w:rPr>
            </w:pPr>
          </w:p>
        </w:tc>
        <w:tc>
          <w:tcPr>
            <w:tcW w:w="3761" w:type="dxa"/>
            <w:gridSpan w:val="2"/>
            <w:tcBorders>
              <w:top w:val="nil"/>
              <w:left w:val="nil"/>
              <w:bottom w:val="nil"/>
              <w:right w:val="nil"/>
            </w:tcBorders>
            <w:shd w:val="clear" w:color="auto" w:fill="auto"/>
          </w:tcPr>
          <w:p w14:paraId="3D6BAA6F" w14:textId="77777777" w:rsidR="0013556C" w:rsidRPr="006446DA" w:rsidRDefault="0013556C" w:rsidP="0013556C">
            <w:pPr>
              <w:jc w:val="right"/>
              <w:rPr>
                <w:rFonts w:ascii="David" w:hAnsi="David"/>
                <w:b/>
                <w:bCs/>
                <w:sz w:val="28"/>
                <w:szCs w:val="28"/>
                <w:rtl/>
              </w:rPr>
            </w:pPr>
            <w:r w:rsidRPr="006446DA">
              <w:rPr>
                <w:rFonts w:ascii="David" w:hAnsi="David"/>
                <w:b/>
                <w:bCs/>
                <w:sz w:val="28"/>
                <w:szCs w:val="28"/>
                <w:rtl/>
              </w:rPr>
              <w:t>המאשימה</w:t>
            </w:r>
          </w:p>
        </w:tc>
      </w:tr>
      <w:tr w:rsidR="0013556C" w:rsidRPr="006446DA" w14:paraId="19E942AC"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5FE87230" w14:textId="77777777" w:rsidR="0013556C" w:rsidRPr="006446DA" w:rsidRDefault="0013556C" w:rsidP="0013556C">
            <w:pPr>
              <w:jc w:val="both"/>
              <w:rPr>
                <w:rFonts w:ascii="David" w:hAnsi="David"/>
                <w:b/>
                <w:bCs/>
                <w:sz w:val="28"/>
                <w:szCs w:val="28"/>
                <w:rtl/>
              </w:rPr>
            </w:pPr>
          </w:p>
        </w:tc>
        <w:tc>
          <w:tcPr>
            <w:tcW w:w="7875" w:type="dxa"/>
            <w:gridSpan w:val="3"/>
            <w:tcBorders>
              <w:top w:val="nil"/>
              <w:left w:val="nil"/>
              <w:bottom w:val="nil"/>
              <w:right w:val="nil"/>
            </w:tcBorders>
            <w:shd w:val="clear" w:color="auto" w:fill="auto"/>
          </w:tcPr>
          <w:p w14:paraId="73718EC0" w14:textId="77777777" w:rsidR="0013556C" w:rsidRPr="006446DA" w:rsidRDefault="0013556C" w:rsidP="0013556C">
            <w:pPr>
              <w:jc w:val="center"/>
              <w:rPr>
                <w:rFonts w:ascii="David" w:hAnsi="David"/>
                <w:b/>
                <w:bCs/>
                <w:sz w:val="28"/>
                <w:szCs w:val="28"/>
                <w:rtl/>
              </w:rPr>
            </w:pPr>
          </w:p>
          <w:p w14:paraId="667E4A7E" w14:textId="77777777" w:rsidR="0013556C" w:rsidRPr="006446DA" w:rsidRDefault="0013556C" w:rsidP="0013556C">
            <w:pPr>
              <w:jc w:val="center"/>
              <w:rPr>
                <w:rFonts w:ascii="David" w:hAnsi="David"/>
                <w:b/>
                <w:bCs/>
                <w:sz w:val="28"/>
                <w:szCs w:val="28"/>
                <w:rtl/>
              </w:rPr>
            </w:pPr>
            <w:r w:rsidRPr="006446DA">
              <w:rPr>
                <w:rFonts w:ascii="David" w:hAnsi="David"/>
                <w:b/>
                <w:bCs/>
                <w:sz w:val="28"/>
                <w:szCs w:val="28"/>
                <w:rtl/>
              </w:rPr>
              <w:t>נגד</w:t>
            </w:r>
          </w:p>
          <w:p w14:paraId="15FCAF99" w14:textId="77777777" w:rsidR="0013556C" w:rsidRPr="006446DA" w:rsidRDefault="0013556C" w:rsidP="0013556C">
            <w:pPr>
              <w:jc w:val="both"/>
              <w:rPr>
                <w:rFonts w:ascii="David" w:hAnsi="David"/>
                <w:b/>
                <w:bCs/>
                <w:sz w:val="28"/>
                <w:szCs w:val="28"/>
              </w:rPr>
            </w:pPr>
          </w:p>
        </w:tc>
      </w:tr>
      <w:tr w:rsidR="0013556C" w:rsidRPr="006446DA" w14:paraId="73960184"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24AF7BE8" w14:textId="77777777" w:rsidR="0013556C" w:rsidRPr="006446DA" w:rsidRDefault="0013556C" w:rsidP="007556BC">
            <w:pPr>
              <w:rPr>
                <w:rFonts w:ascii="David" w:hAnsi="David"/>
                <w:b/>
                <w:bCs/>
                <w:sz w:val="28"/>
                <w:szCs w:val="28"/>
                <w:rtl/>
              </w:rPr>
            </w:pPr>
          </w:p>
        </w:tc>
        <w:tc>
          <w:tcPr>
            <w:tcW w:w="4114" w:type="dxa"/>
            <w:tcBorders>
              <w:top w:val="nil"/>
              <w:left w:val="nil"/>
              <w:bottom w:val="nil"/>
              <w:right w:val="nil"/>
            </w:tcBorders>
            <w:shd w:val="clear" w:color="auto" w:fill="auto"/>
          </w:tcPr>
          <w:p w14:paraId="7B312854" w14:textId="77777777" w:rsidR="0013556C" w:rsidRPr="006446DA" w:rsidRDefault="0013556C" w:rsidP="007556BC">
            <w:pPr>
              <w:rPr>
                <w:rFonts w:ascii="David" w:hAnsi="David"/>
                <w:b/>
                <w:bCs/>
                <w:sz w:val="28"/>
                <w:szCs w:val="28"/>
                <w:rtl/>
              </w:rPr>
            </w:pPr>
            <w:r w:rsidRPr="006446DA">
              <w:rPr>
                <w:rFonts w:ascii="David" w:hAnsi="David"/>
                <w:b/>
                <w:bCs/>
                <w:sz w:val="28"/>
                <w:szCs w:val="28"/>
                <w:rtl/>
              </w:rPr>
              <w:t xml:space="preserve">מיכאל ישראל בר שביט </w:t>
            </w:r>
            <w:r w:rsidRPr="006446DA">
              <w:rPr>
                <w:rFonts w:ascii="David" w:hAnsi="David"/>
                <w:b/>
                <w:bCs/>
                <w:sz w:val="28"/>
                <w:szCs w:val="28"/>
                <w:rtl/>
              </w:rPr>
              <w:br/>
              <w:t>ע"י ב"ב עוה"ד מנחם שטאובר</w:t>
            </w:r>
          </w:p>
          <w:p w14:paraId="27E50F6F" w14:textId="77777777" w:rsidR="0013556C" w:rsidRPr="006446DA" w:rsidRDefault="0013556C" w:rsidP="007556BC">
            <w:pPr>
              <w:rPr>
                <w:rFonts w:ascii="David" w:hAnsi="David"/>
                <w:b/>
                <w:bCs/>
                <w:sz w:val="28"/>
                <w:szCs w:val="28"/>
                <w:rtl/>
              </w:rPr>
            </w:pPr>
            <w:r w:rsidRPr="006446DA">
              <w:rPr>
                <w:rFonts w:ascii="David" w:hAnsi="David" w:hint="cs"/>
                <w:b/>
                <w:bCs/>
                <w:sz w:val="28"/>
                <w:szCs w:val="28"/>
                <w:rtl/>
              </w:rPr>
              <w:t>מטעם הסניגוריה הציבורית</w:t>
            </w:r>
          </w:p>
        </w:tc>
        <w:tc>
          <w:tcPr>
            <w:tcW w:w="3761" w:type="dxa"/>
            <w:gridSpan w:val="2"/>
            <w:tcBorders>
              <w:top w:val="nil"/>
              <w:left w:val="nil"/>
              <w:bottom w:val="nil"/>
              <w:right w:val="nil"/>
            </w:tcBorders>
            <w:shd w:val="clear" w:color="auto" w:fill="auto"/>
          </w:tcPr>
          <w:p w14:paraId="198DE4FA" w14:textId="77777777" w:rsidR="0013556C" w:rsidRPr="006446DA" w:rsidRDefault="0013556C" w:rsidP="0013556C">
            <w:pPr>
              <w:jc w:val="right"/>
              <w:rPr>
                <w:rFonts w:ascii="David" w:hAnsi="David"/>
                <w:b/>
                <w:bCs/>
                <w:sz w:val="28"/>
                <w:szCs w:val="28"/>
              </w:rPr>
            </w:pPr>
          </w:p>
        </w:tc>
      </w:tr>
      <w:tr w:rsidR="0013556C" w:rsidRPr="006446DA" w14:paraId="71E41580" w14:textId="77777777" w:rsidTr="00741438">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Ex>
        <w:trPr>
          <w:trHeight w:val="355"/>
          <w:jc w:val="center"/>
        </w:trPr>
        <w:tc>
          <w:tcPr>
            <w:tcW w:w="945" w:type="dxa"/>
            <w:tcBorders>
              <w:top w:val="nil"/>
              <w:left w:val="nil"/>
              <w:bottom w:val="nil"/>
              <w:right w:val="nil"/>
            </w:tcBorders>
            <w:shd w:val="clear" w:color="auto" w:fill="auto"/>
          </w:tcPr>
          <w:p w14:paraId="5CC515B8" w14:textId="77777777" w:rsidR="0013556C" w:rsidRPr="006446DA" w:rsidRDefault="0013556C" w:rsidP="0013556C">
            <w:pPr>
              <w:jc w:val="both"/>
              <w:rPr>
                <w:rFonts w:ascii="David" w:hAnsi="David"/>
                <w:b/>
                <w:bCs/>
                <w:sz w:val="28"/>
                <w:szCs w:val="28"/>
                <w:rtl/>
              </w:rPr>
            </w:pPr>
          </w:p>
        </w:tc>
        <w:tc>
          <w:tcPr>
            <w:tcW w:w="4114" w:type="dxa"/>
            <w:tcBorders>
              <w:top w:val="nil"/>
              <w:left w:val="nil"/>
              <w:bottom w:val="nil"/>
              <w:right w:val="nil"/>
            </w:tcBorders>
            <w:shd w:val="clear" w:color="auto" w:fill="auto"/>
          </w:tcPr>
          <w:p w14:paraId="0FDF1BEC" w14:textId="77777777" w:rsidR="0013556C" w:rsidRPr="006446DA" w:rsidRDefault="0013556C" w:rsidP="0013556C">
            <w:pPr>
              <w:jc w:val="both"/>
              <w:rPr>
                <w:rFonts w:ascii="David" w:hAnsi="David"/>
                <w:b/>
                <w:bCs/>
                <w:sz w:val="28"/>
                <w:szCs w:val="28"/>
                <w:rtl/>
              </w:rPr>
            </w:pPr>
          </w:p>
        </w:tc>
        <w:tc>
          <w:tcPr>
            <w:tcW w:w="3761" w:type="dxa"/>
            <w:gridSpan w:val="2"/>
            <w:tcBorders>
              <w:top w:val="nil"/>
              <w:left w:val="nil"/>
              <w:bottom w:val="nil"/>
              <w:right w:val="nil"/>
            </w:tcBorders>
            <w:shd w:val="clear" w:color="auto" w:fill="auto"/>
          </w:tcPr>
          <w:p w14:paraId="7D3EEBAC" w14:textId="77777777" w:rsidR="0013556C" w:rsidRPr="006446DA" w:rsidRDefault="0013556C" w:rsidP="0013556C">
            <w:pPr>
              <w:jc w:val="right"/>
              <w:rPr>
                <w:rFonts w:ascii="David" w:hAnsi="David"/>
                <w:b/>
                <w:bCs/>
                <w:sz w:val="28"/>
                <w:szCs w:val="28"/>
              </w:rPr>
            </w:pPr>
            <w:r w:rsidRPr="006446DA">
              <w:rPr>
                <w:rFonts w:ascii="David" w:hAnsi="David"/>
                <w:b/>
                <w:bCs/>
                <w:sz w:val="28"/>
                <w:szCs w:val="28"/>
                <w:rtl/>
              </w:rPr>
              <w:t>הנאשם</w:t>
            </w:r>
          </w:p>
        </w:tc>
      </w:tr>
    </w:tbl>
    <w:p w14:paraId="5619BE9E" w14:textId="77777777" w:rsidR="00741438" w:rsidRPr="00741438" w:rsidRDefault="00741438" w:rsidP="00741438">
      <w:pPr>
        <w:spacing w:before="120" w:after="120" w:line="240" w:lineRule="exact"/>
        <w:ind w:left="283" w:hanging="283"/>
        <w:jc w:val="both"/>
        <w:rPr>
          <w:rFonts w:ascii="FrankRuehl" w:hAnsi="FrankRuehl" w:cs="FrankRuehl"/>
          <w:rtl/>
        </w:rPr>
      </w:pPr>
    </w:p>
    <w:p w14:paraId="34B29BA0" w14:textId="77777777" w:rsidR="00AA014D" w:rsidRPr="00AA014D" w:rsidRDefault="00AA014D" w:rsidP="00AA014D">
      <w:pPr>
        <w:spacing w:before="120" w:after="120" w:line="240" w:lineRule="exact"/>
        <w:ind w:left="283" w:hanging="283"/>
        <w:jc w:val="both"/>
        <w:rPr>
          <w:rFonts w:ascii="FrankRuehl" w:hAnsi="FrankRuehl" w:cs="FrankRuehl"/>
          <w:rtl/>
        </w:rPr>
      </w:pPr>
    </w:p>
    <w:p w14:paraId="43091600" w14:textId="77777777" w:rsidR="000D42F4" w:rsidRDefault="000D42F4" w:rsidP="000D42F4">
      <w:pPr>
        <w:rPr>
          <w:rtl/>
        </w:rPr>
      </w:pPr>
      <w:bookmarkStart w:id="3" w:name="LawTable"/>
      <w:bookmarkEnd w:id="3"/>
    </w:p>
    <w:p w14:paraId="4E9DE5C6" w14:textId="77777777" w:rsidR="000D42F4" w:rsidRPr="000D42F4" w:rsidRDefault="000D42F4" w:rsidP="000D42F4">
      <w:pPr>
        <w:spacing w:before="120" w:after="120" w:line="240" w:lineRule="exact"/>
        <w:ind w:left="283" w:hanging="283"/>
        <w:jc w:val="both"/>
        <w:rPr>
          <w:rFonts w:ascii="FrankRuehl" w:hAnsi="FrankRuehl" w:cs="FrankRuehl"/>
          <w:rtl/>
        </w:rPr>
      </w:pPr>
    </w:p>
    <w:p w14:paraId="1A84CCBA" w14:textId="77777777" w:rsidR="000D42F4" w:rsidRPr="000D42F4" w:rsidRDefault="000D42F4" w:rsidP="000D42F4">
      <w:pPr>
        <w:spacing w:before="120" w:after="120" w:line="240" w:lineRule="exact"/>
        <w:ind w:left="283" w:hanging="283"/>
        <w:jc w:val="both"/>
        <w:rPr>
          <w:rFonts w:ascii="FrankRuehl" w:hAnsi="FrankRuehl" w:cs="FrankRuehl"/>
          <w:rtl/>
        </w:rPr>
      </w:pPr>
    </w:p>
    <w:p w14:paraId="73AEAF58" w14:textId="77777777" w:rsidR="000D42F4" w:rsidRPr="000D42F4" w:rsidRDefault="000D42F4" w:rsidP="000D42F4">
      <w:pPr>
        <w:spacing w:before="120" w:after="120" w:line="240" w:lineRule="exact"/>
        <w:ind w:left="283" w:hanging="283"/>
        <w:jc w:val="both"/>
        <w:rPr>
          <w:rFonts w:ascii="FrankRuehl" w:hAnsi="FrankRuehl" w:cs="FrankRuehl"/>
          <w:rtl/>
        </w:rPr>
      </w:pPr>
      <w:r w:rsidRPr="000D42F4">
        <w:rPr>
          <w:rFonts w:ascii="FrankRuehl" w:hAnsi="FrankRuehl" w:cs="FrankRuehl"/>
          <w:rtl/>
        </w:rPr>
        <w:t xml:space="preserve">חקיקה שאוזכרה: </w:t>
      </w:r>
    </w:p>
    <w:p w14:paraId="0F89B084" w14:textId="77777777" w:rsidR="000D42F4" w:rsidRPr="000D42F4" w:rsidRDefault="000D42F4" w:rsidP="000D42F4">
      <w:pPr>
        <w:spacing w:before="120" w:after="120" w:line="240" w:lineRule="exact"/>
        <w:ind w:left="283" w:hanging="283"/>
        <w:jc w:val="both"/>
        <w:rPr>
          <w:rFonts w:ascii="FrankRuehl" w:hAnsi="FrankRuehl" w:cs="FrankRuehl"/>
          <w:rtl/>
        </w:rPr>
      </w:pPr>
      <w:hyperlink r:id="rId7" w:history="1">
        <w:r w:rsidRPr="000D42F4">
          <w:rPr>
            <w:rFonts w:ascii="FrankRuehl" w:hAnsi="FrankRuehl" w:cs="FrankRuehl"/>
            <w:color w:val="0000FF"/>
            <w:rtl/>
          </w:rPr>
          <w:t>פקודת הסמים המסוכנים [נוסח חדש], תשל"ג-1973</w:t>
        </w:r>
      </w:hyperlink>
      <w:r w:rsidRPr="000D42F4">
        <w:rPr>
          <w:rFonts w:ascii="FrankRuehl" w:hAnsi="FrankRuehl" w:cs="FrankRuehl"/>
          <w:rtl/>
        </w:rPr>
        <w:t xml:space="preserve">: סע'  </w:t>
      </w:r>
      <w:hyperlink r:id="rId8" w:history="1">
        <w:r w:rsidRPr="000D42F4">
          <w:rPr>
            <w:rFonts w:ascii="FrankRuehl" w:hAnsi="FrankRuehl" w:cs="FrankRuehl"/>
            <w:color w:val="0000FF"/>
            <w:rtl/>
          </w:rPr>
          <w:t>7(א)(ג)</w:t>
        </w:r>
      </w:hyperlink>
    </w:p>
    <w:p w14:paraId="30458102" w14:textId="77777777" w:rsidR="000D42F4" w:rsidRPr="000D42F4" w:rsidRDefault="000D42F4" w:rsidP="000D42F4">
      <w:pPr>
        <w:rPr>
          <w:rtl/>
        </w:rPr>
      </w:pPr>
      <w:bookmarkStart w:id="4" w:name="LawTable_End"/>
      <w:bookmarkEnd w:id="4"/>
    </w:p>
    <w:p w14:paraId="75730762" w14:textId="77777777" w:rsidR="0013556C" w:rsidRPr="00AA014D" w:rsidRDefault="0013556C" w:rsidP="00AA014D"/>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13556C" w14:paraId="60EF6FA4" w14:textId="77777777" w:rsidTr="0013556C">
        <w:trPr>
          <w:trHeight w:val="355"/>
          <w:jc w:val="center"/>
        </w:trPr>
        <w:tc>
          <w:tcPr>
            <w:tcW w:w="8820" w:type="dxa"/>
            <w:tcBorders>
              <w:top w:val="nil"/>
              <w:left w:val="nil"/>
              <w:bottom w:val="nil"/>
              <w:right w:val="nil"/>
            </w:tcBorders>
            <w:shd w:val="clear" w:color="auto" w:fill="auto"/>
          </w:tcPr>
          <w:p w14:paraId="58EF3CC0" w14:textId="77777777" w:rsidR="006446DA" w:rsidRPr="006446DA" w:rsidRDefault="006446DA" w:rsidP="006446DA">
            <w:pPr>
              <w:jc w:val="center"/>
              <w:rPr>
                <w:rFonts w:ascii="David" w:hAnsi="David"/>
                <w:b/>
                <w:bCs/>
                <w:sz w:val="32"/>
                <w:szCs w:val="32"/>
                <w:u w:val="single"/>
                <w:rtl/>
              </w:rPr>
            </w:pPr>
            <w:bookmarkStart w:id="5" w:name="PsakDin" w:colFirst="0" w:colLast="0"/>
            <w:bookmarkEnd w:id="0"/>
            <w:bookmarkEnd w:id="1"/>
            <w:r w:rsidRPr="006446DA">
              <w:rPr>
                <w:rFonts w:ascii="David" w:hAnsi="David"/>
                <w:b/>
                <w:bCs/>
                <w:sz w:val="32"/>
                <w:szCs w:val="32"/>
                <w:u w:val="single"/>
                <w:rtl/>
              </w:rPr>
              <w:t>גזר דין</w:t>
            </w:r>
          </w:p>
          <w:p w14:paraId="6CFA7F38" w14:textId="77777777" w:rsidR="0013556C" w:rsidRPr="006446DA" w:rsidRDefault="0013556C" w:rsidP="006446DA">
            <w:pPr>
              <w:jc w:val="center"/>
              <w:rPr>
                <w:rFonts w:ascii="David" w:hAnsi="David"/>
                <w:bCs/>
                <w:sz w:val="32"/>
                <w:szCs w:val="32"/>
                <w:u w:val="single"/>
                <w:rtl/>
              </w:rPr>
            </w:pPr>
          </w:p>
        </w:tc>
      </w:tr>
      <w:bookmarkEnd w:id="5"/>
    </w:tbl>
    <w:p w14:paraId="5C9AE0C9" w14:textId="77777777" w:rsidR="0013556C" w:rsidRPr="00B05847" w:rsidRDefault="0013556C" w:rsidP="0013556C">
      <w:pPr>
        <w:rPr>
          <w:rFonts w:ascii="Arial" w:hAnsi="Arial"/>
          <w:rtl/>
        </w:rPr>
      </w:pPr>
    </w:p>
    <w:p w14:paraId="3CAE62AD" w14:textId="77777777" w:rsidR="0013556C" w:rsidRDefault="0013556C" w:rsidP="0013556C">
      <w:pPr>
        <w:spacing w:line="360" w:lineRule="auto"/>
        <w:rPr>
          <w:rFonts w:ascii="David" w:hAnsi="David"/>
          <w:b/>
          <w:bCs/>
          <w:sz w:val="26"/>
          <w:szCs w:val="26"/>
          <w:u w:val="single"/>
          <w:rtl/>
        </w:rPr>
      </w:pPr>
      <w:r w:rsidRPr="00C93651">
        <w:rPr>
          <w:rFonts w:ascii="David" w:hAnsi="David"/>
          <w:b/>
          <w:bCs/>
          <w:sz w:val="26"/>
          <w:szCs w:val="26"/>
          <w:u w:val="single"/>
          <w:rtl/>
        </w:rPr>
        <w:t>כתב</w:t>
      </w:r>
      <w:r>
        <w:rPr>
          <w:rFonts w:ascii="David" w:hAnsi="David" w:hint="cs"/>
          <w:b/>
          <w:bCs/>
          <w:sz w:val="26"/>
          <w:szCs w:val="26"/>
          <w:u w:val="single"/>
          <w:rtl/>
        </w:rPr>
        <w:t>י</w:t>
      </w:r>
      <w:r w:rsidRPr="00C93651">
        <w:rPr>
          <w:rFonts w:ascii="David" w:hAnsi="David"/>
          <w:b/>
          <w:bCs/>
          <w:sz w:val="26"/>
          <w:szCs w:val="26"/>
          <w:u w:val="single"/>
          <w:rtl/>
        </w:rPr>
        <w:t xml:space="preserve"> האישום</w:t>
      </w:r>
      <w:r>
        <w:rPr>
          <w:rFonts w:ascii="David" w:hAnsi="David" w:hint="cs"/>
          <w:b/>
          <w:bCs/>
          <w:sz w:val="26"/>
          <w:szCs w:val="26"/>
          <w:u w:val="single"/>
          <w:rtl/>
        </w:rPr>
        <w:t xml:space="preserve"> בהם הודה הנאשם</w:t>
      </w:r>
    </w:p>
    <w:p w14:paraId="090C50A8" w14:textId="77777777" w:rsidR="0013556C" w:rsidRPr="00C93651" w:rsidRDefault="0013556C" w:rsidP="0013556C">
      <w:pPr>
        <w:pStyle w:val="a9"/>
        <w:numPr>
          <w:ilvl w:val="0"/>
          <w:numId w:val="1"/>
        </w:numPr>
        <w:spacing w:line="360" w:lineRule="auto"/>
        <w:jc w:val="both"/>
        <w:rPr>
          <w:rFonts w:ascii="David" w:hAnsi="David"/>
          <w:b/>
          <w:bCs/>
          <w:sz w:val="26"/>
          <w:szCs w:val="26"/>
          <w:u w:val="single"/>
        </w:rPr>
      </w:pPr>
      <w:bookmarkStart w:id="6" w:name="ABSTRACT_START"/>
      <w:bookmarkEnd w:id="6"/>
      <w:r w:rsidRPr="00C93651">
        <w:rPr>
          <w:rFonts w:ascii="David" w:hAnsi="David"/>
          <w:sz w:val="26"/>
          <w:szCs w:val="26"/>
          <w:rtl/>
        </w:rPr>
        <w:t xml:space="preserve">הנאשם </w:t>
      </w:r>
      <w:r>
        <w:rPr>
          <w:rFonts w:ascii="David" w:hAnsi="David" w:hint="cs"/>
          <w:sz w:val="26"/>
          <w:szCs w:val="26"/>
          <w:rtl/>
        </w:rPr>
        <w:t>שלפניי הודה בשלושה כתבי אישום שיובאו להלן לפי סדרם הכרונולוגי של האירועים.</w:t>
      </w:r>
    </w:p>
    <w:p w14:paraId="387EED49" w14:textId="77777777" w:rsidR="0013556C" w:rsidRPr="00C93651" w:rsidRDefault="006446DA" w:rsidP="0013556C">
      <w:pPr>
        <w:pStyle w:val="a9"/>
        <w:numPr>
          <w:ilvl w:val="0"/>
          <w:numId w:val="1"/>
        </w:numPr>
        <w:spacing w:line="360" w:lineRule="auto"/>
        <w:jc w:val="both"/>
        <w:rPr>
          <w:rFonts w:ascii="David" w:hAnsi="David"/>
          <w:b/>
          <w:bCs/>
          <w:sz w:val="26"/>
          <w:szCs w:val="26"/>
          <w:u w:val="single"/>
        </w:rPr>
      </w:pPr>
      <w:hyperlink r:id="rId9" w:history="1">
        <w:r w:rsidRPr="006446DA">
          <w:rPr>
            <w:rFonts w:ascii="David" w:hAnsi="David"/>
            <w:color w:val="0000FF"/>
            <w:sz w:val="26"/>
            <w:szCs w:val="26"/>
            <w:u w:val="single"/>
            <w:rtl/>
          </w:rPr>
          <w:t>ת"פ 57409-11-18</w:t>
        </w:r>
      </w:hyperlink>
      <w:r w:rsidR="0013556C" w:rsidRPr="00E67F71">
        <w:rPr>
          <w:rFonts w:ascii="David" w:hAnsi="David" w:hint="cs"/>
          <w:sz w:val="26"/>
          <w:szCs w:val="26"/>
          <w:u w:val="single"/>
          <w:rtl/>
        </w:rPr>
        <w:t xml:space="preserve"> </w:t>
      </w:r>
      <w:r w:rsidR="0013556C">
        <w:rPr>
          <w:rFonts w:ascii="David" w:hAnsi="David" w:hint="cs"/>
          <w:sz w:val="26"/>
          <w:szCs w:val="26"/>
          <w:rtl/>
        </w:rPr>
        <w:t>(</w:t>
      </w:r>
      <w:r w:rsidR="0013556C" w:rsidRPr="00C93651">
        <w:rPr>
          <w:rFonts w:ascii="David" w:hAnsi="David" w:hint="cs"/>
          <w:b/>
          <w:bCs/>
          <w:sz w:val="26"/>
          <w:szCs w:val="26"/>
          <w:rtl/>
        </w:rPr>
        <w:t>התיק הראשון</w:t>
      </w:r>
      <w:r w:rsidR="0013556C">
        <w:rPr>
          <w:rFonts w:ascii="David" w:hAnsi="David" w:hint="cs"/>
          <w:sz w:val="26"/>
          <w:szCs w:val="26"/>
          <w:rtl/>
        </w:rPr>
        <w:t xml:space="preserve">) </w:t>
      </w:r>
      <w:r w:rsidR="0013556C">
        <w:rPr>
          <w:rFonts w:ascii="David" w:hAnsi="David"/>
          <w:sz w:val="26"/>
          <w:szCs w:val="26"/>
          <w:rtl/>
        </w:rPr>
        <w:t>–</w:t>
      </w:r>
      <w:r w:rsidR="0013556C">
        <w:rPr>
          <w:rFonts w:ascii="David" w:hAnsi="David" w:hint="cs"/>
          <w:sz w:val="26"/>
          <w:szCs w:val="26"/>
          <w:rtl/>
        </w:rPr>
        <w:t xml:space="preserve"> בתיק זה </w:t>
      </w:r>
      <w:r w:rsidR="0013556C" w:rsidRPr="00C93651">
        <w:rPr>
          <w:rFonts w:ascii="David" w:hAnsi="David"/>
          <w:sz w:val="26"/>
          <w:szCs w:val="26"/>
          <w:rtl/>
        </w:rPr>
        <w:t xml:space="preserve">הורשע </w:t>
      </w:r>
      <w:r w:rsidR="0013556C">
        <w:rPr>
          <w:rFonts w:ascii="David" w:hAnsi="David" w:hint="cs"/>
          <w:sz w:val="26"/>
          <w:szCs w:val="26"/>
          <w:rtl/>
        </w:rPr>
        <w:t xml:space="preserve">הנאשם בכתב אישום מתוקן </w:t>
      </w:r>
      <w:r w:rsidR="0013556C" w:rsidRPr="00C93651">
        <w:rPr>
          <w:rFonts w:ascii="David" w:hAnsi="David"/>
          <w:sz w:val="26"/>
          <w:szCs w:val="26"/>
          <w:rtl/>
        </w:rPr>
        <w:t>בעביר</w:t>
      </w:r>
      <w:r w:rsidR="0013556C">
        <w:rPr>
          <w:rFonts w:ascii="David" w:hAnsi="David" w:hint="cs"/>
          <w:sz w:val="26"/>
          <w:szCs w:val="26"/>
          <w:rtl/>
        </w:rPr>
        <w:t xml:space="preserve">ה של </w:t>
      </w:r>
      <w:r w:rsidR="0013556C" w:rsidRPr="00F75688">
        <w:rPr>
          <w:rFonts w:ascii="David" w:hAnsi="David" w:hint="cs"/>
          <w:b/>
          <w:bCs/>
          <w:sz w:val="26"/>
          <w:szCs w:val="26"/>
          <w:rtl/>
        </w:rPr>
        <w:t>החזקת סם שלא לצריכה עצמית</w:t>
      </w:r>
      <w:r w:rsidR="0013556C">
        <w:rPr>
          <w:rFonts w:ascii="David" w:hAnsi="David" w:hint="cs"/>
          <w:sz w:val="26"/>
          <w:szCs w:val="26"/>
          <w:rtl/>
        </w:rPr>
        <w:t xml:space="preserve">, לפי </w:t>
      </w:r>
      <w:hyperlink r:id="rId10" w:history="1">
        <w:r w:rsidR="00741438" w:rsidRPr="00741438">
          <w:rPr>
            <w:rStyle w:val="Hyperlink"/>
            <w:rFonts w:ascii="David" w:hAnsi="David" w:hint="eastAsia"/>
            <w:sz w:val="26"/>
            <w:szCs w:val="26"/>
            <w:rtl/>
          </w:rPr>
          <w:t>סעיפים</w:t>
        </w:r>
        <w:r w:rsidR="00741438" w:rsidRPr="00741438">
          <w:rPr>
            <w:rStyle w:val="Hyperlink"/>
            <w:rFonts w:ascii="David" w:hAnsi="David"/>
            <w:sz w:val="26"/>
            <w:szCs w:val="26"/>
            <w:rtl/>
          </w:rPr>
          <w:t xml:space="preserve"> 7(א)(ג)</w:t>
        </w:r>
      </w:hyperlink>
      <w:r w:rsidR="0013556C">
        <w:rPr>
          <w:rFonts w:ascii="David" w:hAnsi="David" w:hint="cs"/>
          <w:sz w:val="26"/>
          <w:szCs w:val="26"/>
          <w:rtl/>
        </w:rPr>
        <w:t xml:space="preserve"> רישא לפקודת הסמים, בכך </w:t>
      </w:r>
      <w:r w:rsidR="0013556C" w:rsidRPr="00C93651">
        <w:rPr>
          <w:rFonts w:ascii="David" w:hAnsi="David"/>
          <w:sz w:val="26"/>
          <w:szCs w:val="26"/>
          <w:rtl/>
        </w:rPr>
        <w:t>שביום 24.6.2018 נתפס הנאשם ברכבו, כשברכב בתוך קופסת נעליים, נמצא סם מסוג קנב</w:t>
      </w:r>
      <w:r w:rsidR="0013556C">
        <w:rPr>
          <w:rFonts w:ascii="David" w:hAnsi="David" w:hint="cs"/>
          <w:sz w:val="26"/>
          <w:szCs w:val="26"/>
          <w:rtl/>
        </w:rPr>
        <w:t>י</w:t>
      </w:r>
      <w:r w:rsidR="0013556C" w:rsidRPr="00C93651">
        <w:rPr>
          <w:rFonts w:ascii="David" w:hAnsi="David"/>
          <w:sz w:val="26"/>
          <w:szCs w:val="26"/>
          <w:rtl/>
        </w:rPr>
        <w:t xml:space="preserve">ס במשקל 123.24 גרם נטו. </w:t>
      </w:r>
    </w:p>
    <w:bookmarkStart w:id="7" w:name="ABSTRACT_END"/>
    <w:bookmarkEnd w:id="7"/>
    <w:p w14:paraId="7861E275" w14:textId="77777777" w:rsidR="0013556C" w:rsidRDefault="006446DA" w:rsidP="0013556C">
      <w:pPr>
        <w:pStyle w:val="a9"/>
        <w:numPr>
          <w:ilvl w:val="0"/>
          <w:numId w:val="1"/>
        </w:numPr>
        <w:spacing w:line="360" w:lineRule="auto"/>
        <w:jc w:val="both"/>
        <w:rPr>
          <w:rFonts w:ascii="David" w:hAnsi="David"/>
          <w:sz w:val="26"/>
          <w:szCs w:val="26"/>
        </w:rPr>
      </w:pPr>
      <w:r w:rsidRPr="006446DA">
        <w:rPr>
          <w:rFonts w:ascii="David" w:hAnsi="David"/>
          <w:color w:val="0000FF"/>
          <w:sz w:val="26"/>
          <w:szCs w:val="26"/>
          <w:u w:val="single"/>
          <w:rtl/>
        </w:rPr>
        <w:lastRenderedPageBreak/>
        <w:fldChar w:fldCharType="begin"/>
      </w:r>
      <w:r w:rsidRPr="006446DA">
        <w:rPr>
          <w:rFonts w:ascii="David" w:hAnsi="David"/>
          <w:color w:val="0000FF"/>
          <w:sz w:val="26"/>
          <w:szCs w:val="26"/>
          <w:u w:val="single"/>
          <w:rtl/>
        </w:rPr>
        <w:instrText xml:space="preserve"> </w:instrText>
      </w:r>
      <w:r w:rsidRPr="006446DA">
        <w:rPr>
          <w:rFonts w:ascii="David" w:hAnsi="David"/>
          <w:color w:val="0000FF"/>
          <w:sz w:val="26"/>
          <w:szCs w:val="26"/>
          <w:u w:val="single"/>
        </w:rPr>
        <w:instrText xml:space="preserve">HYPERLINK </w:instrText>
      </w:r>
      <w:r w:rsidRPr="006446DA">
        <w:rPr>
          <w:rFonts w:ascii="David" w:hAnsi="David"/>
          <w:color w:val="0000FF"/>
          <w:sz w:val="26"/>
          <w:szCs w:val="26"/>
          <w:u w:val="single"/>
          <w:rtl/>
        </w:rPr>
        <w:instrText>"</w:instrText>
      </w:r>
      <w:r w:rsidRPr="006446DA">
        <w:rPr>
          <w:rFonts w:ascii="David" w:hAnsi="David"/>
          <w:color w:val="0000FF"/>
          <w:sz w:val="26"/>
          <w:szCs w:val="26"/>
          <w:u w:val="single"/>
        </w:rPr>
        <w:instrText>http://www.nevo.co.il/case/27133541"</w:instrText>
      </w:r>
      <w:r w:rsidRPr="006446DA">
        <w:rPr>
          <w:rFonts w:ascii="David" w:hAnsi="David"/>
          <w:color w:val="0000FF"/>
          <w:sz w:val="26"/>
          <w:szCs w:val="26"/>
          <w:u w:val="single"/>
          <w:rtl/>
        </w:rPr>
        <w:instrText xml:space="preserve"> </w:instrText>
      </w:r>
      <w:r w:rsidRPr="006446DA">
        <w:rPr>
          <w:rFonts w:ascii="David" w:hAnsi="David"/>
          <w:color w:val="0000FF"/>
          <w:sz w:val="26"/>
          <w:szCs w:val="26"/>
          <w:u w:val="single"/>
          <w:rtl/>
        </w:rPr>
      </w:r>
      <w:r w:rsidRPr="006446DA">
        <w:rPr>
          <w:rFonts w:ascii="David" w:hAnsi="David"/>
          <w:color w:val="0000FF"/>
          <w:sz w:val="26"/>
          <w:szCs w:val="26"/>
          <w:u w:val="single"/>
          <w:rtl/>
        </w:rPr>
        <w:fldChar w:fldCharType="separate"/>
      </w:r>
      <w:r w:rsidRPr="006446DA">
        <w:rPr>
          <w:rFonts w:ascii="David" w:hAnsi="David"/>
          <w:color w:val="0000FF"/>
          <w:sz w:val="26"/>
          <w:szCs w:val="26"/>
          <w:u w:val="single"/>
          <w:rtl/>
        </w:rPr>
        <w:t>ת"פ (רמלה) 14096-11-20</w:t>
      </w:r>
      <w:r w:rsidRPr="006446DA">
        <w:rPr>
          <w:rFonts w:ascii="David" w:hAnsi="David"/>
          <w:color w:val="0000FF"/>
          <w:sz w:val="26"/>
          <w:szCs w:val="26"/>
          <w:u w:val="single"/>
          <w:rtl/>
        </w:rPr>
        <w:fldChar w:fldCharType="end"/>
      </w:r>
      <w:r w:rsidR="0013556C" w:rsidRPr="00E67F71">
        <w:rPr>
          <w:rFonts w:ascii="David" w:hAnsi="David" w:hint="cs"/>
          <w:sz w:val="26"/>
          <w:szCs w:val="26"/>
          <w:rtl/>
        </w:rPr>
        <w:t xml:space="preserve"> (</w:t>
      </w:r>
      <w:r w:rsidR="0013556C" w:rsidRPr="00F75688">
        <w:rPr>
          <w:rFonts w:ascii="David" w:hAnsi="David" w:hint="cs"/>
          <w:b/>
          <w:bCs/>
          <w:sz w:val="26"/>
          <w:szCs w:val="26"/>
          <w:rtl/>
        </w:rPr>
        <w:t>התיק השני</w:t>
      </w:r>
      <w:r w:rsidR="0013556C" w:rsidRPr="00E67F71">
        <w:rPr>
          <w:rFonts w:ascii="David" w:hAnsi="David" w:hint="cs"/>
          <w:sz w:val="26"/>
          <w:szCs w:val="26"/>
          <w:rtl/>
        </w:rPr>
        <w:t xml:space="preserve">) </w:t>
      </w:r>
      <w:r w:rsidR="0013556C">
        <w:rPr>
          <w:rFonts w:ascii="David" w:hAnsi="David"/>
          <w:sz w:val="26"/>
          <w:szCs w:val="26"/>
          <w:rtl/>
        </w:rPr>
        <w:t>–</w:t>
      </w:r>
      <w:r w:rsidR="0013556C">
        <w:rPr>
          <w:rFonts w:ascii="David" w:hAnsi="David" w:hint="cs"/>
          <w:sz w:val="26"/>
          <w:szCs w:val="26"/>
          <w:rtl/>
        </w:rPr>
        <w:t xml:space="preserve"> בתיק זה הורשע הנאשם בכתב אישום מתוקן בעבירה של </w:t>
      </w:r>
      <w:r w:rsidR="0013556C" w:rsidRPr="00F75688">
        <w:rPr>
          <w:rFonts w:ascii="David" w:hAnsi="David" w:hint="cs"/>
          <w:b/>
          <w:bCs/>
          <w:sz w:val="26"/>
          <w:szCs w:val="26"/>
          <w:rtl/>
        </w:rPr>
        <w:t>החזקת סם שלא לצריכה עצמית</w:t>
      </w:r>
      <w:r w:rsidR="0013556C">
        <w:rPr>
          <w:rFonts w:ascii="David" w:hAnsi="David" w:hint="cs"/>
          <w:sz w:val="26"/>
          <w:szCs w:val="26"/>
          <w:rtl/>
        </w:rPr>
        <w:t>, בכך שביום 1.1.2020 בדירת בני זוג המתגוררים בלוד, נתפסו עם הנאשם (הן בדירה והן ברכבו) סמים מסוג קנביס במשקל מצטבר של 38.94 שהיה מחולק ומאוחסן במקומות שונים.</w:t>
      </w:r>
    </w:p>
    <w:p w14:paraId="5E3993A5" w14:textId="77777777" w:rsidR="0013556C" w:rsidRPr="00E67F71" w:rsidRDefault="0013556C" w:rsidP="0013556C">
      <w:pPr>
        <w:pStyle w:val="a9"/>
        <w:numPr>
          <w:ilvl w:val="0"/>
          <w:numId w:val="1"/>
        </w:numPr>
        <w:spacing w:line="360" w:lineRule="auto"/>
        <w:jc w:val="both"/>
        <w:rPr>
          <w:rFonts w:ascii="David" w:hAnsi="David"/>
          <w:sz w:val="26"/>
          <w:szCs w:val="26"/>
        </w:rPr>
      </w:pPr>
      <w:r w:rsidRPr="00F75688">
        <w:rPr>
          <w:rFonts w:ascii="David" w:hAnsi="David" w:hint="cs"/>
          <w:sz w:val="26"/>
          <w:szCs w:val="26"/>
          <w:u w:val="single"/>
          <w:rtl/>
        </w:rPr>
        <w:t xml:space="preserve">ת"פ 34771-10-20 </w:t>
      </w:r>
      <w:r>
        <w:rPr>
          <w:rFonts w:ascii="David" w:hAnsi="David" w:hint="cs"/>
          <w:sz w:val="26"/>
          <w:szCs w:val="26"/>
          <w:rtl/>
        </w:rPr>
        <w:t>(</w:t>
      </w:r>
      <w:r w:rsidRPr="00F75688">
        <w:rPr>
          <w:rFonts w:ascii="David" w:hAnsi="David" w:hint="cs"/>
          <w:b/>
          <w:bCs/>
          <w:sz w:val="26"/>
          <w:szCs w:val="26"/>
          <w:rtl/>
        </w:rPr>
        <w:t>התיק השלישי</w:t>
      </w:r>
      <w:r>
        <w:rPr>
          <w:rFonts w:ascii="David" w:hAnsi="David" w:hint="cs"/>
          <w:sz w:val="26"/>
          <w:szCs w:val="26"/>
          <w:rtl/>
        </w:rPr>
        <w:t xml:space="preserve">) </w:t>
      </w:r>
      <w:r>
        <w:rPr>
          <w:rFonts w:ascii="David" w:hAnsi="David"/>
          <w:sz w:val="26"/>
          <w:szCs w:val="26"/>
          <w:rtl/>
        </w:rPr>
        <w:t>–</w:t>
      </w:r>
      <w:r>
        <w:rPr>
          <w:rFonts w:ascii="David" w:hAnsi="David" w:hint="cs"/>
          <w:sz w:val="26"/>
          <w:szCs w:val="26"/>
          <w:rtl/>
        </w:rPr>
        <w:t xml:space="preserve"> בתיק זה הורשע הנאשם בכתב אישום מתוקן ב</w:t>
      </w:r>
      <w:r w:rsidRPr="00F75688">
        <w:rPr>
          <w:rFonts w:ascii="David" w:hAnsi="David" w:hint="cs"/>
          <w:b/>
          <w:bCs/>
          <w:sz w:val="26"/>
          <w:szCs w:val="26"/>
          <w:rtl/>
        </w:rPr>
        <w:t>החזקת סם לצריכה עצמית</w:t>
      </w:r>
      <w:r>
        <w:rPr>
          <w:rFonts w:ascii="David" w:hAnsi="David" w:hint="cs"/>
          <w:sz w:val="26"/>
          <w:szCs w:val="26"/>
          <w:rtl/>
        </w:rPr>
        <w:t xml:space="preserve">, לפי </w:t>
      </w:r>
      <w:hyperlink r:id="rId11" w:history="1">
        <w:r w:rsidR="00741438" w:rsidRPr="00741438">
          <w:rPr>
            <w:rStyle w:val="Hyperlink"/>
            <w:rFonts w:ascii="David" w:hAnsi="David" w:hint="eastAsia"/>
            <w:sz w:val="26"/>
            <w:szCs w:val="26"/>
            <w:rtl/>
          </w:rPr>
          <w:t>סעיפים</w:t>
        </w:r>
        <w:r w:rsidR="00741438" w:rsidRPr="00741438">
          <w:rPr>
            <w:rStyle w:val="Hyperlink"/>
            <w:rFonts w:ascii="David" w:hAnsi="David"/>
            <w:sz w:val="26"/>
            <w:szCs w:val="26"/>
            <w:rtl/>
          </w:rPr>
          <w:t xml:space="preserve"> 7(א)(ג)</w:t>
        </w:r>
      </w:hyperlink>
      <w:r>
        <w:rPr>
          <w:rFonts w:ascii="David" w:hAnsi="David" w:hint="cs"/>
          <w:sz w:val="26"/>
          <w:szCs w:val="26"/>
          <w:rtl/>
        </w:rPr>
        <w:t xml:space="preserve"> סיפא לפקודת הסמים, בכך שביום 1.2.2020 נתפסו ברכבו כ-2.3 גרם קנביס ופריטים נוספים ובהם סכין, מספריים שקצה להבם שרוף, שקיות לבדיקות לגילוי סמים בשתן, שקיות חלוקה ו-31 מעטפות ובהן כרטיסי </w:t>
      </w:r>
      <w:r>
        <w:rPr>
          <w:rFonts w:ascii="David" w:hAnsi="David" w:hint="cs"/>
          <w:sz w:val="26"/>
          <w:szCs w:val="26"/>
        </w:rPr>
        <w:t>SIM</w:t>
      </w:r>
      <w:r>
        <w:rPr>
          <w:rFonts w:ascii="David" w:hAnsi="David" w:hint="cs"/>
          <w:sz w:val="26"/>
          <w:szCs w:val="26"/>
          <w:rtl/>
        </w:rPr>
        <w:t>.</w:t>
      </w:r>
    </w:p>
    <w:p w14:paraId="61E20591" w14:textId="77777777" w:rsidR="0013556C" w:rsidRDefault="0013556C" w:rsidP="0013556C">
      <w:pPr>
        <w:spacing w:line="360" w:lineRule="auto"/>
        <w:jc w:val="both"/>
        <w:rPr>
          <w:rFonts w:ascii="David" w:hAnsi="David"/>
          <w:b/>
          <w:bCs/>
          <w:sz w:val="26"/>
          <w:szCs w:val="26"/>
          <w:u w:val="single"/>
          <w:rtl/>
        </w:rPr>
      </w:pPr>
    </w:p>
    <w:p w14:paraId="36FC89B5" w14:textId="77777777" w:rsidR="0013556C" w:rsidRPr="00C93651" w:rsidRDefault="0013556C" w:rsidP="0013556C">
      <w:pPr>
        <w:spacing w:line="360" w:lineRule="auto"/>
        <w:jc w:val="both"/>
        <w:rPr>
          <w:rFonts w:ascii="David" w:hAnsi="David"/>
          <w:b/>
          <w:bCs/>
          <w:sz w:val="26"/>
          <w:szCs w:val="26"/>
          <w:u w:val="single"/>
        </w:rPr>
      </w:pPr>
      <w:r w:rsidRPr="00C93651">
        <w:rPr>
          <w:rFonts w:ascii="David" w:hAnsi="David"/>
          <w:b/>
          <w:bCs/>
          <w:sz w:val="26"/>
          <w:szCs w:val="26"/>
          <w:u w:val="single"/>
          <w:rtl/>
        </w:rPr>
        <w:t>מהלך הדיון</w:t>
      </w:r>
    </w:p>
    <w:p w14:paraId="113BAC2A" w14:textId="77777777" w:rsidR="0013556C" w:rsidRPr="00F75688" w:rsidRDefault="0013556C" w:rsidP="0013556C">
      <w:pPr>
        <w:pStyle w:val="a9"/>
        <w:numPr>
          <w:ilvl w:val="0"/>
          <w:numId w:val="1"/>
        </w:numPr>
        <w:spacing w:line="360" w:lineRule="auto"/>
        <w:jc w:val="both"/>
        <w:rPr>
          <w:rFonts w:ascii="David" w:hAnsi="David"/>
          <w:sz w:val="26"/>
          <w:szCs w:val="26"/>
        </w:rPr>
      </w:pPr>
      <w:r w:rsidRPr="00F75688">
        <w:rPr>
          <w:rFonts w:ascii="David" w:hAnsi="David"/>
          <w:sz w:val="26"/>
          <w:szCs w:val="26"/>
          <w:rtl/>
        </w:rPr>
        <w:t>הנאשם הודה בכתב</w:t>
      </w:r>
      <w:r>
        <w:rPr>
          <w:rFonts w:ascii="David" w:hAnsi="David" w:hint="cs"/>
          <w:sz w:val="26"/>
          <w:szCs w:val="26"/>
          <w:rtl/>
        </w:rPr>
        <w:t>י</w:t>
      </w:r>
      <w:r w:rsidRPr="00F75688">
        <w:rPr>
          <w:rFonts w:ascii="David" w:hAnsi="David"/>
          <w:sz w:val="26"/>
          <w:szCs w:val="26"/>
          <w:rtl/>
        </w:rPr>
        <w:t xml:space="preserve"> אישום </w:t>
      </w:r>
      <w:r>
        <w:rPr>
          <w:rFonts w:ascii="David" w:hAnsi="David" w:hint="cs"/>
          <w:sz w:val="26"/>
          <w:szCs w:val="26"/>
          <w:rtl/>
        </w:rPr>
        <w:t>ה</w:t>
      </w:r>
      <w:r w:rsidRPr="00F75688">
        <w:rPr>
          <w:rFonts w:ascii="David" w:hAnsi="David"/>
          <w:sz w:val="26"/>
          <w:szCs w:val="26"/>
          <w:rtl/>
        </w:rPr>
        <w:t>מתוק</w:t>
      </w:r>
      <w:r>
        <w:rPr>
          <w:rFonts w:ascii="David" w:hAnsi="David" w:hint="cs"/>
          <w:sz w:val="26"/>
          <w:szCs w:val="26"/>
          <w:rtl/>
        </w:rPr>
        <w:t>נים</w:t>
      </w:r>
      <w:r w:rsidRPr="00F75688">
        <w:rPr>
          <w:rFonts w:ascii="David" w:hAnsi="David"/>
          <w:sz w:val="26"/>
          <w:szCs w:val="26"/>
          <w:rtl/>
        </w:rPr>
        <w:t xml:space="preserve"> ונשלח לשירות המבחן להכנת תסקיר בעניינו. לאחר קבלת התסקיר, הוסכם בין הצדדים לבדוק </w:t>
      </w:r>
      <w:r>
        <w:rPr>
          <w:rFonts w:ascii="David" w:hAnsi="David" w:hint="cs"/>
          <w:sz w:val="26"/>
          <w:szCs w:val="26"/>
          <w:rtl/>
        </w:rPr>
        <w:t xml:space="preserve">את </w:t>
      </w:r>
      <w:r w:rsidRPr="00F75688">
        <w:rPr>
          <w:rFonts w:ascii="David" w:hAnsi="David"/>
          <w:sz w:val="26"/>
          <w:szCs w:val="26"/>
          <w:rtl/>
        </w:rPr>
        <w:t xml:space="preserve">התאמתו של הנאשם לבית משפט קהילתי. שירות המבחן הגיש תסקיר וקבע כי הנאשם אינו מתאים לתכנית בית </w:t>
      </w:r>
      <w:r>
        <w:rPr>
          <w:rFonts w:ascii="David" w:hAnsi="David" w:hint="cs"/>
          <w:sz w:val="26"/>
          <w:szCs w:val="26"/>
          <w:rtl/>
        </w:rPr>
        <w:t>ה</w:t>
      </w:r>
      <w:r w:rsidRPr="00F75688">
        <w:rPr>
          <w:rFonts w:ascii="David" w:hAnsi="David"/>
          <w:sz w:val="26"/>
          <w:szCs w:val="26"/>
          <w:rtl/>
        </w:rPr>
        <w:t>משפט קהילתי כפי שיפורט בהמשך.</w:t>
      </w:r>
      <w:r>
        <w:rPr>
          <w:rFonts w:ascii="David" w:hAnsi="David" w:hint="cs"/>
          <w:sz w:val="26"/>
          <w:szCs w:val="26"/>
          <w:rtl/>
        </w:rPr>
        <w:t xml:space="preserve"> תיק זה נדחה פעמים רבות מתוך רצון לאפשר לנאשם הזדמנות אמִתית לעלות על פסים של שיקום ולייצב את חייו באופן חיובי ויצרני. הנאשם שב והופנה לשירות המבחן פעם אחר פעם לאורך מספר שנים ובסה"כ הוגשו </w:t>
      </w:r>
      <w:r w:rsidRPr="00830F71">
        <w:rPr>
          <w:rFonts w:ascii="David" w:hAnsi="David" w:hint="cs"/>
          <w:sz w:val="26"/>
          <w:szCs w:val="26"/>
          <w:rtl/>
        </w:rPr>
        <w:t xml:space="preserve">בעניינו </w:t>
      </w:r>
      <w:r>
        <w:rPr>
          <w:rFonts w:ascii="David" w:hAnsi="David" w:hint="cs"/>
          <w:sz w:val="26"/>
          <w:szCs w:val="26"/>
          <w:rtl/>
        </w:rPr>
        <w:t xml:space="preserve">עשרה תסקירים, לרבות תסקיר ההתאמה לבית המשפט הקהילתי. אציין, כי בכל דיון שבו נדחה התיק, הסברתי לנאשם מה נדרש ממנו מתוך תקווה שיפנים זאת. </w:t>
      </w:r>
    </w:p>
    <w:p w14:paraId="39487EB5" w14:textId="77777777" w:rsidR="0013556C" w:rsidRDefault="0013556C" w:rsidP="0013556C">
      <w:pPr>
        <w:spacing w:line="360" w:lineRule="auto"/>
        <w:jc w:val="both"/>
        <w:rPr>
          <w:rFonts w:ascii="David" w:hAnsi="David"/>
          <w:sz w:val="26"/>
          <w:szCs w:val="26"/>
          <w:rtl/>
        </w:rPr>
      </w:pPr>
    </w:p>
    <w:p w14:paraId="2D31A91E" w14:textId="77777777" w:rsidR="0013556C" w:rsidRPr="00F75688" w:rsidRDefault="0013556C" w:rsidP="0013556C">
      <w:pPr>
        <w:spacing w:line="360" w:lineRule="auto"/>
        <w:jc w:val="both"/>
        <w:rPr>
          <w:rFonts w:ascii="David" w:hAnsi="David"/>
          <w:b/>
          <w:bCs/>
          <w:sz w:val="26"/>
          <w:szCs w:val="26"/>
          <w:u w:val="single"/>
          <w:rtl/>
        </w:rPr>
      </w:pPr>
      <w:r w:rsidRPr="00F75688">
        <w:rPr>
          <w:rFonts w:ascii="David" w:hAnsi="David" w:hint="cs"/>
          <w:b/>
          <w:bCs/>
          <w:sz w:val="26"/>
          <w:szCs w:val="26"/>
          <w:u w:val="single"/>
          <w:rtl/>
        </w:rPr>
        <w:t>רישום פלילי</w:t>
      </w:r>
    </w:p>
    <w:p w14:paraId="6531A2B0"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לנאשם ארבעה רישומים פליליים קודמים מהם, שלוש הרשעות קודמות. תיק ראשון משנת 2008 בבית המשפט לנוער (עבירת גניבה מ-2007) הסתיים ללא הרשעה;  תיק שני משנת 2009 בבית המשפט לנוער (עבירות אלימות ומין מאותה שנה) הסתיים במאסר בפועל לתקופה של שנה; תיק שלישי משנת 2016 (עבירות סחר בסמים מהשנים 2014 </w:t>
      </w:r>
      <w:r>
        <w:rPr>
          <w:rFonts w:ascii="David" w:hAnsi="David"/>
          <w:sz w:val="26"/>
          <w:szCs w:val="26"/>
          <w:rtl/>
        </w:rPr>
        <w:t>–</w:t>
      </w:r>
      <w:r>
        <w:rPr>
          <w:rFonts w:ascii="David" w:hAnsi="David" w:hint="cs"/>
          <w:sz w:val="26"/>
          <w:szCs w:val="26"/>
          <w:rtl/>
        </w:rPr>
        <w:t xml:space="preserve"> 2015) הסתיים במאסר בפועל בן 4 חודשים, והתיק הרביעי, </w:t>
      </w:r>
      <w:hyperlink r:id="rId12" w:history="1">
        <w:r w:rsidR="006446DA" w:rsidRPr="006446DA">
          <w:rPr>
            <w:rFonts w:ascii="David" w:hAnsi="David"/>
            <w:color w:val="0000FF"/>
            <w:sz w:val="26"/>
            <w:szCs w:val="26"/>
            <w:u w:val="single"/>
            <w:rtl/>
          </w:rPr>
          <w:t>ת"פ (קרית שמונה)</w:t>
        </w:r>
        <w:r w:rsidR="006446DA" w:rsidRPr="006446DA">
          <w:rPr>
            <w:rFonts w:ascii="David" w:hAnsi="David"/>
            <w:color w:val="0000FF"/>
            <w:sz w:val="26"/>
            <w:szCs w:val="26"/>
            <w:u w:val="single"/>
            <w:rtl/>
          </w:rPr>
          <w:br/>
          <w:t>47364-12-16</w:t>
        </w:r>
      </w:hyperlink>
      <w:r>
        <w:rPr>
          <w:rFonts w:ascii="David" w:hAnsi="David" w:hint="cs"/>
          <w:sz w:val="26"/>
          <w:szCs w:val="26"/>
          <w:rtl/>
        </w:rPr>
        <w:t xml:space="preserve"> (עבירות סחר משנת 2016 ו-2017) הסתיים בהטלת 9 חודשי מאסר בפועל לרבות הפעלת מאסר מותנה, וכן בהטלת 7 חודשי מאסר על-תנאי בגין עבירות סמים מסוג פשע, ו-4 חודשי מאסר על-תנאי בגין עבירות סמים מסוג עוון, שניהם למשך 3 שנים ממועד השחרור (</w:t>
      </w:r>
      <w:r w:rsidRPr="009F145C">
        <w:rPr>
          <w:rFonts w:ascii="David" w:hAnsi="David" w:hint="cs"/>
          <w:b/>
          <w:bCs/>
          <w:sz w:val="26"/>
          <w:szCs w:val="26"/>
          <w:rtl/>
        </w:rPr>
        <w:t>תיק התנאי, המאסרים המותנים</w:t>
      </w:r>
      <w:r>
        <w:rPr>
          <w:rFonts w:ascii="David" w:hAnsi="David" w:hint="cs"/>
          <w:sz w:val="26"/>
          <w:szCs w:val="26"/>
          <w:rtl/>
        </w:rPr>
        <w:t xml:space="preserve">). </w:t>
      </w:r>
    </w:p>
    <w:p w14:paraId="3C3B1C05" w14:textId="77777777" w:rsidR="0013556C" w:rsidRPr="00F75688"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בשל הרשעת הנאשם בעבירות בשלושת כתבי האישום שתוארו לעיל, המאסר המותנה בן שבעת החודשים הוא חב-הפעלה, בעוד המאסר המותנה בן ארבעת החודשים הוא בר-הפעלה.</w:t>
      </w:r>
    </w:p>
    <w:p w14:paraId="42AEBCBD" w14:textId="77777777" w:rsidR="0013556C" w:rsidRPr="007917FC" w:rsidRDefault="0013556C" w:rsidP="0013556C">
      <w:pPr>
        <w:spacing w:line="360" w:lineRule="auto"/>
        <w:jc w:val="both"/>
        <w:rPr>
          <w:rFonts w:ascii="David" w:hAnsi="David"/>
          <w:b/>
          <w:bCs/>
          <w:sz w:val="26"/>
          <w:szCs w:val="26"/>
          <w:u w:val="single"/>
          <w:rtl/>
        </w:rPr>
      </w:pPr>
    </w:p>
    <w:p w14:paraId="448B7F18" w14:textId="77777777" w:rsidR="0013556C" w:rsidRPr="00C93651" w:rsidRDefault="0013556C" w:rsidP="0013556C">
      <w:pPr>
        <w:spacing w:line="360" w:lineRule="auto"/>
        <w:jc w:val="both"/>
        <w:rPr>
          <w:rFonts w:ascii="David" w:hAnsi="David"/>
          <w:b/>
          <w:bCs/>
          <w:sz w:val="26"/>
          <w:szCs w:val="26"/>
          <w:u w:val="single"/>
          <w:rtl/>
        </w:rPr>
      </w:pPr>
      <w:r w:rsidRPr="00C93651">
        <w:rPr>
          <w:rFonts w:ascii="David" w:hAnsi="David"/>
          <w:b/>
          <w:bCs/>
          <w:sz w:val="26"/>
          <w:szCs w:val="26"/>
          <w:u w:val="single"/>
          <w:rtl/>
        </w:rPr>
        <w:t>תסקירי שירות המבחן</w:t>
      </w:r>
      <w:r>
        <w:rPr>
          <w:rFonts w:ascii="David" w:hAnsi="David" w:hint="cs"/>
          <w:b/>
          <w:bCs/>
          <w:sz w:val="26"/>
          <w:szCs w:val="26"/>
          <w:u w:val="single"/>
          <w:rtl/>
        </w:rPr>
        <w:t xml:space="preserve"> ומסמכי אבחון נוספים</w:t>
      </w:r>
    </w:p>
    <w:p w14:paraId="36978CCB" w14:textId="77777777" w:rsidR="0013556C" w:rsidRDefault="0013556C" w:rsidP="0013556C">
      <w:pPr>
        <w:pStyle w:val="a9"/>
        <w:numPr>
          <w:ilvl w:val="0"/>
          <w:numId w:val="1"/>
        </w:numPr>
        <w:spacing w:line="360" w:lineRule="auto"/>
        <w:jc w:val="both"/>
        <w:rPr>
          <w:rFonts w:ascii="David" w:hAnsi="David"/>
          <w:sz w:val="26"/>
          <w:szCs w:val="26"/>
        </w:rPr>
      </w:pPr>
      <w:r w:rsidRPr="00CE6B18">
        <w:rPr>
          <w:rFonts w:ascii="David" w:hAnsi="David" w:hint="cs"/>
          <w:sz w:val="26"/>
          <w:szCs w:val="26"/>
          <w:rtl/>
        </w:rPr>
        <w:t>כאמור, בעניינו של הנאשם הוגשו תסקירים רבים לאורך תקופה המתפרסת על פני כארבע שנים, אך התמונה העולה מהם עקבית למדי. מדובר בצעיר כבן 29 רווק, שכעת מתגורר עם אמו ואֵחיו למחצה. הוריו של הנאשם התגרשו כשהיה ילד צעיר, דבר אותו חווה כמשברי. אמו נישאה בשנית ומשתי מערכות היחסים של הוריו יש לו אחות ואחאים למחצה. מגיל צעיר התגלו קשיי תפקוד והסתגלות של הנאשם למערכות הלימוד, ולבקשתו בגיל 14 יצא למסגרת חוץ ביתית אך לא החזיק בה מעמד בשל התנהגות חוצת גבולות. הוא החל להסתבך במעשים פליליים ובשל אי יציבות במצבו ועזיבה של חלופת מעצר בהיותו נער, נדון בסופו של דבר למאסר ממושך למרות גילו הצעיר. הנאשם החל להשתמש בקנביס מאז גיל העשרה המאוחר, והוא מוצא בקנביס פתרון לגיטימי לבעיותיו. בשל התנגדותו העקבית של הנאשם, הוא מעולם לא עבר אבחון פסיכיאטרי מסודר</w:t>
      </w:r>
      <w:r>
        <w:rPr>
          <w:rFonts w:ascii="David" w:hAnsi="David" w:hint="cs"/>
          <w:sz w:val="26"/>
          <w:szCs w:val="26"/>
          <w:rtl/>
        </w:rPr>
        <w:t xml:space="preserve"> עד לשנתיים האחרונות</w:t>
      </w:r>
      <w:r w:rsidRPr="00CE6B18">
        <w:rPr>
          <w:rFonts w:ascii="David" w:hAnsi="David" w:hint="cs"/>
          <w:sz w:val="26"/>
          <w:szCs w:val="26"/>
          <w:rtl/>
        </w:rPr>
        <w:t>, הגם שהתנהגותו הבלתי יציבה ב</w:t>
      </w:r>
      <w:r>
        <w:rPr>
          <w:rFonts w:ascii="David" w:hAnsi="David" w:hint="cs"/>
          <w:sz w:val="26"/>
          <w:szCs w:val="26"/>
          <w:rtl/>
        </w:rPr>
        <w:t>י</w:t>
      </w:r>
      <w:r w:rsidRPr="00CE6B18">
        <w:rPr>
          <w:rFonts w:ascii="David" w:hAnsi="David" w:hint="cs"/>
          <w:sz w:val="26"/>
          <w:szCs w:val="26"/>
          <w:rtl/>
        </w:rPr>
        <w:t>סס</w:t>
      </w:r>
      <w:r>
        <w:rPr>
          <w:rFonts w:ascii="David" w:hAnsi="David" w:hint="cs"/>
          <w:sz w:val="26"/>
          <w:szCs w:val="26"/>
          <w:rtl/>
        </w:rPr>
        <w:t>ה</w:t>
      </w:r>
      <w:r w:rsidRPr="00CE6B18">
        <w:rPr>
          <w:rFonts w:ascii="David" w:hAnsi="David" w:hint="cs"/>
          <w:sz w:val="26"/>
          <w:szCs w:val="26"/>
          <w:rtl/>
        </w:rPr>
        <w:t xml:space="preserve"> את הצורך באבחון שכזה</w:t>
      </w:r>
      <w:r>
        <w:rPr>
          <w:rFonts w:ascii="David" w:hAnsi="David" w:hint="cs"/>
          <w:sz w:val="26"/>
          <w:szCs w:val="26"/>
          <w:rtl/>
        </w:rPr>
        <w:t xml:space="preserve"> מוקדם יותר בחייו</w:t>
      </w:r>
      <w:r w:rsidRPr="00CE6B18">
        <w:rPr>
          <w:rFonts w:ascii="David" w:hAnsi="David" w:hint="cs"/>
          <w:sz w:val="26"/>
          <w:szCs w:val="26"/>
          <w:rtl/>
        </w:rPr>
        <w:t xml:space="preserve">. בנוסף, על רקע שנות ילדותו ונעוריו, הוא </w:t>
      </w:r>
      <w:r>
        <w:rPr>
          <w:rFonts w:ascii="David" w:hAnsi="David" w:hint="cs"/>
          <w:sz w:val="26"/>
          <w:szCs w:val="26"/>
          <w:rtl/>
        </w:rPr>
        <w:t>מ</w:t>
      </w:r>
      <w:r w:rsidRPr="00CE6B18">
        <w:rPr>
          <w:rFonts w:ascii="David" w:hAnsi="David" w:hint="cs"/>
          <w:sz w:val="26"/>
          <w:szCs w:val="26"/>
          <w:rtl/>
        </w:rPr>
        <w:t xml:space="preserve">תקשה לתת אמון במערכות המדינה לרבות מערכות הטיפול. בשל תיקיו הפליליים לא גויס לצבא, ועבד בעבודות שונות באופן לא יציב. כך גם החליף מקומות ואיזורי מגורים באופן תכוף, נע ונד בין קרובי משפחה, לעתים הפך לדר רחוב, אם כי בשנה האחרונה ולמעלה מכך, מתגורר עם אמו כאמור. </w:t>
      </w:r>
    </w:p>
    <w:p w14:paraId="6F010FC0"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לכל אורך תקופה המשפט שיתוף הפעולה של הנאשם עם שירות המבחן היה לקוי עד מאוד, למעט תקופות קצרות בהן מסר בדיקות שתן נקיות מסמים. הוא אף נחשד בזיוף אחת מהן. כך גם לא מצא לנחוץ להשתלב במסגרת טיפולית המותאמת לצרכיו וכן לא מצא לנכון לעבור אבחון נפשי כמתבקש ממצבו עד לפני שנתיים. </w:t>
      </w:r>
    </w:p>
    <w:p w14:paraId="16C627F2"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בתקופות הדחיה "הרבצתי תורה" בנאשם על-מנת שיבין שלא יהיה מנוס משליחתו למאסר בפועל מעבר לתקופת המאסר המותנה שחלקו חב-הפעלה, וזאת נוכח התנהלותו, וכי הדרך היחידה לחמוק ממאסר, היא דרך הטיפול והשיקום. </w:t>
      </w:r>
    </w:p>
    <w:p w14:paraId="4AF737AB"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אלא שגם בתסקיר האחרון מחודש יוני 2023, לא עלה כי הנאשם השכיל לעלות על מסלול של טיפול ושיקום, והמשיך לגלות עמדה תוקפנית כלפי גורמי הטיפול.</w:t>
      </w:r>
    </w:p>
    <w:p w14:paraId="091F8346"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אציין, כי ב"כ הנאשם הגיש מכתב מאת המִנהל לשירותים חברתיים בקרית שמונה, ממנו עולה כי במהלך שנת 2023 השתתף הנאשם בחמישה מפגשים עם עובדי המִנהל וכן מסר בדיקות שתן שכולן היו נקיות. מהמכתב עלה כי הנאשם הגיע למפגשים באופן סדיר אך התקשה להיפתח ולשתף פעולה, וכאשר נודע לו שישנה כוונה לגבות תשלום בעבור המשך המפגשים חדל מלהגיע אליהם. </w:t>
      </w:r>
    </w:p>
    <w:p w14:paraId="18FBDA57" w14:textId="77777777" w:rsidR="0013556C" w:rsidRPr="00CE6B18" w:rsidRDefault="0013556C" w:rsidP="0013556C">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עוד יצוין, כי הסניגור הגיש סיכום מטעם וועדה של הביטוח הלאומי, שהכיר בנאשם כמתמודד נפש על רקע דכאון חרדה והפרעת אישיות, וזאת בשיעור 40% ובדרגת אי כושר 100% וזאת לשנים 2020 </w:t>
      </w:r>
      <w:r>
        <w:rPr>
          <w:rFonts w:ascii="David" w:hAnsi="David"/>
          <w:sz w:val="26"/>
          <w:szCs w:val="26"/>
          <w:rtl/>
        </w:rPr>
        <w:t>–</w:t>
      </w:r>
      <w:r>
        <w:rPr>
          <w:rFonts w:ascii="David" w:hAnsi="David" w:hint="cs"/>
          <w:sz w:val="26"/>
          <w:szCs w:val="26"/>
          <w:rtl/>
        </w:rPr>
        <w:t xml:space="preserve"> 2024. כמו כן הוגש סיכום אבחון פסיכיאטרי שבוצע ע"י ד"ר עליזה רינג, פסיכיאטרית למבוגרים שאבחנה את הנאשם כמי שסובל מפוסט טראומה מורכבת. ממסמך אבחון נפשי נוסף עולה כי הנאשם מסר שהטיפול התרופתי הפסיכיאטרי אינו  מסייע לו ואף מרע את מצבו, ומשום כך הוא עושה שימוש בקנביס, שלטענתו מסייע להטבת מצבו. </w:t>
      </w:r>
    </w:p>
    <w:p w14:paraId="10F40124" w14:textId="77777777" w:rsidR="0013556C" w:rsidRPr="00C93651" w:rsidRDefault="0013556C" w:rsidP="0013556C">
      <w:pPr>
        <w:spacing w:line="360" w:lineRule="auto"/>
        <w:jc w:val="both"/>
        <w:rPr>
          <w:rFonts w:ascii="David" w:hAnsi="David"/>
          <w:b/>
          <w:bCs/>
          <w:sz w:val="26"/>
          <w:szCs w:val="26"/>
          <w:u w:val="single"/>
          <w:rtl/>
        </w:rPr>
      </w:pPr>
    </w:p>
    <w:p w14:paraId="7BDC8B21" w14:textId="77777777" w:rsidR="0013556C" w:rsidRPr="00C93651" w:rsidRDefault="0013556C" w:rsidP="0013556C">
      <w:pPr>
        <w:spacing w:line="360" w:lineRule="auto"/>
        <w:jc w:val="both"/>
        <w:rPr>
          <w:rFonts w:ascii="David" w:hAnsi="David"/>
          <w:b/>
          <w:bCs/>
          <w:sz w:val="26"/>
          <w:szCs w:val="26"/>
          <w:u w:val="single"/>
          <w:rtl/>
        </w:rPr>
      </w:pPr>
      <w:r w:rsidRPr="00C93651">
        <w:rPr>
          <w:rFonts w:ascii="David" w:hAnsi="David"/>
          <w:b/>
          <w:bCs/>
          <w:sz w:val="26"/>
          <w:szCs w:val="26"/>
          <w:u w:val="single"/>
          <w:rtl/>
        </w:rPr>
        <w:t>טיעונים לעונש</w:t>
      </w:r>
    </w:p>
    <w:p w14:paraId="56D27503" w14:textId="77777777" w:rsidR="0013556C" w:rsidRPr="00CE6B18" w:rsidRDefault="0013556C" w:rsidP="0013556C">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הצדדים לא הגיעו להסכמה עונשית. ב"כ המאשימה עמד על מכלול המעשים, על ההזדמנויות הרבות שניתנו לנאשם ועל אי ניצול הזדמנויות אלו מצדו של הנאשם. הוא עתר למתחם שבין 4 ל-12 חודשי מאסר במכלול התיקים וביקש להטיל על הנאשם 6 חודשי מאסר ולהפעיל במצטבר את עונשי המאסר המותנה וכן להטיל ענישה נלווית. הסניגור מנגד עתר להארכת המאסרים המותנים תוך שיצא מנקודת הנחה שהתנהלותו של הנאשם במהלך ההליכים שלפניי ועיקרם, הפסקת השימוש בסמים, מהווה שיקום הלכה למעשה, שיקום שנעשה על-פי דרכו של הנאשם ולמרות הקשיים שמתמודד עמם. לכן סבר ב"כ הנאשם, כי התנהלות זו הופכת את הפעלת המאסרים המותנים בלתי צודקת, ומכאן שיש להאריכם. </w:t>
      </w:r>
    </w:p>
    <w:p w14:paraId="62DFD006" w14:textId="77777777" w:rsidR="0013556C" w:rsidRPr="00C93651" w:rsidRDefault="0013556C" w:rsidP="0013556C">
      <w:pPr>
        <w:spacing w:line="360" w:lineRule="auto"/>
        <w:jc w:val="both"/>
        <w:rPr>
          <w:rFonts w:ascii="David" w:hAnsi="David"/>
          <w:b/>
          <w:bCs/>
          <w:sz w:val="26"/>
          <w:szCs w:val="26"/>
          <w:u w:val="single"/>
        </w:rPr>
      </w:pPr>
    </w:p>
    <w:p w14:paraId="3F3C7183" w14:textId="77777777" w:rsidR="0013556C" w:rsidRDefault="0013556C" w:rsidP="0013556C">
      <w:pPr>
        <w:spacing w:line="360" w:lineRule="auto"/>
        <w:jc w:val="both"/>
        <w:rPr>
          <w:rFonts w:ascii="David" w:hAnsi="David"/>
          <w:b/>
          <w:bCs/>
          <w:sz w:val="26"/>
          <w:szCs w:val="26"/>
          <w:u w:val="single"/>
          <w:rtl/>
        </w:rPr>
      </w:pPr>
      <w:r w:rsidRPr="00C93651">
        <w:rPr>
          <w:rFonts w:ascii="David" w:hAnsi="David"/>
          <w:b/>
          <w:bCs/>
          <w:sz w:val="26"/>
          <w:szCs w:val="26"/>
          <w:u w:val="single"/>
          <w:rtl/>
        </w:rPr>
        <w:t xml:space="preserve">קביעת מתחם הענישה </w:t>
      </w:r>
    </w:p>
    <w:p w14:paraId="0CDB87AF" w14:textId="77777777" w:rsidR="0013556C" w:rsidRPr="00CE6B18" w:rsidRDefault="0013556C" w:rsidP="0013556C">
      <w:pPr>
        <w:pStyle w:val="a9"/>
        <w:numPr>
          <w:ilvl w:val="0"/>
          <w:numId w:val="1"/>
        </w:numPr>
        <w:spacing w:line="360" w:lineRule="auto"/>
        <w:jc w:val="both"/>
        <w:rPr>
          <w:rFonts w:ascii="David" w:hAnsi="David"/>
          <w:b/>
          <w:bCs/>
          <w:sz w:val="26"/>
          <w:szCs w:val="26"/>
          <w:u w:val="single"/>
          <w:rtl/>
        </w:rPr>
      </w:pPr>
      <w:r w:rsidRPr="00CE6B18">
        <w:rPr>
          <w:rFonts w:ascii="David" w:hAnsi="David"/>
          <w:sz w:val="26"/>
          <w:szCs w:val="26"/>
          <w:rtl/>
        </w:rPr>
        <w:t xml:space="preserve">מתחם הענישה צריך להתייחס לעקרון ההלימה, הנוגע ליחס לערך החברתי המוגן, מידת הפגיעה בו, מדיניות הענישה הנוהגת ונסיבות ביצוע העבירה. </w:t>
      </w:r>
    </w:p>
    <w:p w14:paraId="5CF0F6ED" w14:textId="77777777" w:rsidR="0013556C" w:rsidRPr="00CE6B18" w:rsidRDefault="0013556C" w:rsidP="0013556C">
      <w:pPr>
        <w:pStyle w:val="a9"/>
        <w:numPr>
          <w:ilvl w:val="0"/>
          <w:numId w:val="1"/>
        </w:numPr>
        <w:spacing w:line="360" w:lineRule="auto"/>
        <w:jc w:val="both"/>
        <w:rPr>
          <w:rFonts w:ascii="David" w:hAnsi="David"/>
          <w:sz w:val="26"/>
          <w:szCs w:val="26"/>
          <w:rtl/>
        </w:rPr>
      </w:pPr>
      <w:r w:rsidRPr="00CE6B18">
        <w:rPr>
          <w:rFonts w:ascii="David" w:hAnsi="David"/>
          <w:b/>
          <w:bCs/>
          <w:sz w:val="26"/>
          <w:szCs w:val="26"/>
          <w:rtl/>
        </w:rPr>
        <w:t xml:space="preserve">אשר לערך המוגן </w:t>
      </w:r>
      <w:r w:rsidRPr="00CE6B18">
        <w:rPr>
          <w:rFonts w:ascii="David" w:hAnsi="David"/>
          <w:sz w:val="26"/>
          <w:szCs w:val="26"/>
          <w:rtl/>
        </w:rPr>
        <w:t xml:space="preserve">– </w:t>
      </w:r>
      <w:r>
        <w:rPr>
          <w:rFonts w:ascii="David" w:hAnsi="David" w:hint="cs"/>
          <w:sz w:val="26"/>
          <w:szCs w:val="26"/>
          <w:rtl/>
        </w:rPr>
        <w:t xml:space="preserve">סמים פוגעים בבריאות הציבור ובביטחונו, וגם סם "קל" כגון קנביס, כשצריכתו בלתי מבוקרת, מזיק למשתמשים ומעודד את השימוש בקרב כלל הציבור. מידת הפגיעה בערכים המוגנים בינונית. </w:t>
      </w:r>
    </w:p>
    <w:p w14:paraId="233DBE56" w14:textId="77777777" w:rsidR="0013556C" w:rsidRPr="001C7D64" w:rsidRDefault="0013556C" w:rsidP="0013556C">
      <w:pPr>
        <w:pStyle w:val="a9"/>
        <w:numPr>
          <w:ilvl w:val="0"/>
          <w:numId w:val="1"/>
        </w:numPr>
        <w:spacing w:line="360" w:lineRule="auto"/>
        <w:jc w:val="both"/>
        <w:rPr>
          <w:rFonts w:ascii="David" w:hAnsi="David"/>
          <w:sz w:val="26"/>
          <w:szCs w:val="26"/>
          <w:rtl/>
        </w:rPr>
      </w:pPr>
      <w:r w:rsidRPr="00CE6B18">
        <w:rPr>
          <w:rFonts w:ascii="David" w:hAnsi="David" w:hint="cs"/>
          <w:b/>
          <w:bCs/>
          <w:sz w:val="26"/>
          <w:szCs w:val="26"/>
          <w:rtl/>
        </w:rPr>
        <w:t>אשר ל</w:t>
      </w:r>
      <w:r w:rsidRPr="00CE6B18">
        <w:rPr>
          <w:rFonts w:ascii="David" w:hAnsi="David"/>
          <w:b/>
          <w:bCs/>
          <w:sz w:val="26"/>
          <w:szCs w:val="26"/>
          <w:rtl/>
        </w:rPr>
        <w:t>נסיבות הקשורות בביצוע העבירה</w:t>
      </w:r>
      <w:r w:rsidRPr="00CE6B18">
        <w:rPr>
          <w:rFonts w:ascii="David" w:hAnsi="David" w:hint="cs"/>
          <w:b/>
          <w:bCs/>
          <w:sz w:val="26"/>
          <w:szCs w:val="26"/>
          <w:rtl/>
        </w:rPr>
        <w:t xml:space="preserve"> </w:t>
      </w:r>
      <w:r>
        <w:rPr>
          <w:rFonts w:ascii="David" w:hAnsi="David"/>
          <w:b/>
          <w:bCs/>
          <w:sz w:val="26"/>
          <w:szCs w:val="26"/>
          <w:rtl/>
        </w:rPr>
        <w:t>–</w:t>
      </w:r>
      <w:r w:rsidRPr="00CE6B18">
        <w:rPr>
          <w:rFonts w:ascii="David" w:hAnsi="David" w:hint="cs"/>
          <w:b/>
          <w:bCs/>
          <w:sz w:val="26"/>
          <w:szCs w:val="26"/>
          <w:rtl/>
        </w:rPr>
        <w:t xml:space="preserve"> </w:t>
      </w:r>
      <w:r w:rsidRPr="001C7D64">
        <w:rPr>
          <w:rFonts w:ascii="David" w:hAnsi="David" w:hint="cs"/>
          <w:sz w:val="26"/>
          <w:szCs w:val="26"/>
          <w:rtl/>
        </w:rPr>
        <w:t>בכל התיק</w:t>
      </w:r>
      <w:r>
        <w:rPr>
          <w:rFonts w:ascii="David" w:hAnsi="David" w:hint="cs"/>
          <w:sz w:val="26"/>
          <w:szCs w:val="26"/>
          <w:rtl/>
        </w:rPr>
        <w:t>ים</w:t>
      </w:r>
      <w:r w:rsidRPr="001C7D64">
        <w:rPr>
          <w:rFonts w:ascii="David" w:hAnsi="David" w:hint="cs"/>
          <w:sz w:val="26"/>
          <w:szCs w:val="26"/>
          <w:rtl/>
        </w:rPr>
        <w:t xml:space="preserve"> מדובר בעבירות מתוכננות, כאשר </w:t>
      </w:r>
      <w:r>
        <w:rPr>
          <w:rFonts w:ascii="David" w:hAnsi="David" w:hint="cs"/>
          <w:sz w:val="26"/>
          <w:szCs w:val="26"/>
          <w:rtl/>
        </w:rPr>
        <w:t xml:space="preserve">החזקת הסמים ברכב יחד עם פריטים המעידים על כוונה לסחור מהווה נסיבה לחומרה. המוטיב החוזר בשלושת התיקים הפועל לחובת הנאשם הוא עצם החזקת הסמים ברכב. </w:t>
      </w:r>
      <w:r w:rsidRPr="001C7D64">
        <w:rPr>
          <w:rFonts w:ascii="David" w:hAnsi="David" w:hint="cs"/>
          <w:sz w:val="26"/>
          <w:szCs w:val="26"/>
          <w:rtl/>
        </w:rPr>
        <w:t xml:space="preserve">הנאשם אחראי למעשים </w:t>
      </w:r>
      <w:r>
        <w:rPr>
          <w:rFonts w:ascii="David" w:hAnsi="David" w:hint="cs"/>
          <w:sz w:val="26"/>
          <w:szCs w:val="26"/>
          <w:rtl/>
        </w:rPr>
        <w:t>ואחריות זו אף מתגברת נוכח היעדר הבנת הנאשם כי הוא מכור לסמים והתמכרות זו מניעה אותו, במידה רבה, לביצוע המעשים עוברי החוק.</w:t>
      </w:r>
    </w:p>
    <w:p w14:paraId="12BBB3B9" w14:textId="77777777" w:rsidR="0013556C" w:rsidRPr="001C7D64" w:rsidRDefault="0013556C" w:rsidP="0013556C">
      <w:pPr>
        <w:pStyle w:val="a9"/>
        <w:numPr>
          <w:ilvl w:val="0"/>
          <w:numId w:val="1"/>
        </w:numPr>
        <w:spacing w:line="360" w:lineRule="auto"/>
        <w:jc w:val="both"/>
        <w:rPr>
          <w:rFonts w:ascii="David" w:hAnsi="David"/>
          <w:sz w:val="26"/>
          <w:szCs w:val="26"/>
          <w:rtl/>
        </w:rPr>
      </w:pPr>
      <w:r w:rsidRPr="008F2328">
        <w:rPr>
          <w:rFonts w:ascii="David" w:hAnsi="David"/>
          <w:b/>
          <w:bCs/>
          <w:sz w:val="26"/>
          <w:szCs w:val="26"/>
          <w:rtl/>
        </w:rPr>
        <w:t>מדיניות הענישה הנוהגת</w:t>
      </w:r>
      <w:r w:rsidRPr="001C7D64">
        <w:rPr>
          <w:rFonts w:ascii="David" w:hAnsi="David"/>
          <w:b/>
          <w:bCs/>
          <w:sz w:val="26"/>
          <w:szCs w:val="26"/>
          <w:rtl/>
        </w:rPr>
        <w:t xml:space="preserve"> – </w:t>
      </w:r>
      <w:r w:rsidRPr="001C7D64">
        <w:rPr>
          <w:rFonts w:ascii="David" w:hAnsi="David"/>
          <w:sz w:val="26"/>
          <w:szCs w:val="26"/>
          <w:rtl/>
        </w:rPr>
        <w:t xml:space="preserve">הפסיקה מגוונת בהקשר לעבירות מסוג זה. </w:t>
      </w:r>
      <w:hyperlink r:id="rId13" w:history="1">
        <w:r w:rsidR="006446DA" w:rsidRPr="006446DA">
          <w:rPr>
            <w:rFonts w:ascii="David" w:hAnsi="David"/>
            <w:color w:val="0000FF"/>
            <w:sz w:val="26"/>
            <w:szCs w:val="26"/>
            <w:u w:val="single"/>
            <w:rtl/>
          </w:rPr>
          <w:t>ת"פ (קרית שמונה) 14998-08-16</w:t>
        </w:r>
      </w:hyperlink>
      <w:r w:rsidRPr="001C7D64">
        <w:rPr>
          <w:rFonts w:ascii="David" w:hAnsi="David"/>
          <w:b/>
          <w:bCs/>
          <w:sz w:val="26"/>
          <w:szCs w:val="26"/>
          <w:rtl/>
        </w:rPr>
        <w:t xml:space="preserve"> </w:t>
      </w:r>
      <w:r w:rsidRPr="00830F71">
        <w:rPr>
          <w:rFonts w:ascii="David" w:hAnsi="David"/>
          <w:b/>
          <w:bCs/>
          <w:sz w:val="26"/>
          <w:szCs w:val="26"/>
          <w:rtl/>
        </w:rPr>
        <w:t>מ"י נ' כהן</w:t>
      </w:r>
      <w:r w:rsidRPr="001C7D64">
        <w:rPr>
          <w:rFonts w:ascii="David" w:hAnsi="David"/>
          <w:b/>
          <w:bCs/>
          <w:sz w:val="26"/>
          <w:szCs w:val="26"/>
          <w:rtl/>
        </w:rPr>
        <w:t xml:space="preserve"> </w:t>
      </w:r>
      <w:r w:rsidRPr="001C7D64">
        <w:rPr>
          <w:rFonts w:ascii="David" w:hAnsi="David"/>
          <w:sz w:val="26"/>
          <w:szCs w:val="26"/>
          <w:rtl/>
        </w:rPr>
        <w:t>(מיום 16.3.2017) מתייחס לנסיבות חמורות ממקרנו הכוללות סחר, ושם הפניה לפסיקה נוהגת. שם נקבע, כי מתחם הענישה יכול התחיל בשל"ץ. ב</w:t>
      </w:r>
      <w:hyperlink r:id="rId14" w:history="1">
        <w:r w:rsidR="006446DA" w:rsidRPr="006446DA">
          <w:rPr>
            <w:rFonts w:ascii="David" w:hAnsi="David"/>
            <w:color w:val="0000FF"/>
            <w:sz w:val="26"/>
            <w:szCs w:val="26"/>
            <w:u w:val="single"/>
            <w:rtl/>
          </w:rPr>
          <w:t>רע"פ 5478/19</w:t>
        </w:r>
      </w:hyperlink>
      <w:r w:rsidRPr="001C7D64">
        <w:rPr>
          <w:rFonts w:ascii="David" w:hAnsi="David"/>
          <w:sz w:val="26"/>
          <w:szCs w:val="26"/>
          <w:rtl/>
        </w:rPr>
        <w:t xml:space="preserve"> </w:t>
      </w:r>
      <w:r w:rsidRPr="00830F71">
        <w:rPr>
          <w:rFonts w:ascii="David" w:hAnsi="David"/>
          <w:b/>
          <w:bCs/>
          <w:sz w:val="26"/>
          <w:szCs w:val="26"/>
          <w:rtl/>
        </w:rPr>
        <w:t>לוין נ' מ"י</w:t>
      </w:r>
      <w:r w:rsidRPr="001C7D64">
        <w:rPr>
          <w:rFonts w:ascii="David" w:hAnsi="David"/>
          <w:sz w:val="26"/>
          <w:szCs w:val="26"/>
          <w:rtl/>
        </w:rPr>
        <w:t xml:space="preserve"> (מיום 25.8.2019) הסתפק בית המשפט העליון בשל"ץ בנסיבות חמורות יותר שכללו סחר בסמים ליותר מאדם אחד.</w:t>
      </w:r>
    </w:p>
    <w:p w14:paraId="45EA88D0" w14:textId="77777777" w:rsidR="0013556C" w:rsidRPr="001C7D64" w:rsidRDefault="0013556C" w:rsidP="0013556C">
      <w:pPr>
        <w:pStyle w:val="a9"/>
        <w:numPr>
          <w:ilvl w:val="0"/>
          <w:numId w:val="1"/>
        </w:numPr>
        <w:spacing w:line="360" w:lineRule="auto"/>
        <w:jc w:val="both"/>
        <w:rPr>
          <w:rFonts w:ascii="David" w:hAnsi="David"/>
          <w:sz w:val="26"/>
          <w:szCs w:val="26"/>
          <w:rtl/>
        </w:rPr>
      </w:pPr>
      <w:r w:rsidRPr="001C7D64">
        <w:rPr>
          <w:rFonts w:ascii="David" w:hAnsi="David"/>
          <w:b/>
          <w:bCs/>
          <w:sz w:val="26"/>
          <w:szCs w:val="26"/>
          <w:rtl/>
        </w:rPr>
        <w:t>מתחם הענישה</w:t>
      </w:r>
      <w:r w:rsidRPr="001C7D64">
        <w:rPr>
          <w:rFonts w:ascii="David" w:hAnsi="David"/>
          <w:sz w:val="26"/>
          <w:szCs w:val="26"/>
          <w:rtl/>
        </w:rPr>
        <w:t xml:space="preserve"> – </w:t>
      </w:r>
      <w:r>
        <w:rPr>
          <w:rFonts w:ascii="David" w:hAnsi="David" w:hint="cs"/>
          <w:sz w:val="26"/>
          <w:szCs w:val="26"/>
          <w:rtl/>
        </w:rPr>
        <w:t xml:space="preserve">נוכח הפסיקה הנוהגת ועמדת המאשימה, אני מאמץ מתחם משוקלל שבין חודשיים ל-10 חודשי מאסר. </w:t>
      </w:r>
    </w:p>
    <w:p w14:paraId="518F6DC7" w14:textId="77777777" w:rsidR="0013556C" w:rsidRDefault="0013556C" w:rsidP="0013556C">
      <w:pPr>
        <w:spacing w:line="360" w:lineRule="auto"/>
        <w:jc w:val="both"/>
        <w:rPr>
          <w:rFonts w:ascii="David" w:hAnsi="David"/>
          <w:b/>
          <w:bCs/>
          <w:sz w:val="26"/>
          <w:szCs w:val="26"/>
          <w:u w:val="single"/>
          <w:rtl/>
        </w:rPr>
      </w:pPr>
    </w:p>
    <w:p w14:paraId="06733972" w14:textId="77777777" w:rsidR="0013556C" w:rsidRDefault="0013556C" w:rsidP="0013556C">
      <w:pPr>
        <w:spacing w:line="360" w:lineRule="auto"/>
        <w:jc w:val="both"/>
        <w:rPr>
          <w:rFonts w:ascii="David" w:hAnsi="David"/>
          <w:b/>
          <w:bCs/>
          <w:sz w:val="26"/>
          <w:szCs w:val="26"/>
          <w:u w:val="single"/>
          <w:rtl/>
        </w:rPr>
      </w:pPr>
      <w:r w:rsidRPr="001C7D64">
        <w:rPr>
          <w:rFonts w:ascii="David" w:hAnsi="David"/>
          <w:b/>
          <w:bCs/>
          <w:sz w:val="26"/>
          <w:szCs w:val="26"/>
          <w:u w:val="single"/>
          <w:rtl/>
        </w:rPr>
        <w:t xml:space="preserve">נסיבות שאינן קשורות בביצוע העבירה </w:t>
      </w:r>
      <w:r>
        <w:rPr>
          <w:rFonts w:ascii="David" w:hAnsi="David" w:hint="cs"/>
          <w:b/>
          <w:bCs/>
          <w:sz w:val="26"/>
          <w:szCs w:val="26"/>
          <w:u w:val="single"/>
          <w:rtl/>
        </w:rPr>
        <w:t>והמיקום במתחם</w:t>
      </w:r>
    </w:p>
    <w:p w14:paraId="0D6F8F34"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כאמור, נסיבות חייו של הנאשם אינן קלות, והרקע המשפחתי ממנו הוא מגיע צלק את נפשו ואת אישיותו והותיר בו חותם עמוק ומשמעותי, עמו הנאשם נאלץ להתמודד יומיום. התנהגותו לאורך ההליכים שלפניי מלמדת על התמודדות זו, ועל השניוּת שבין הרמה ההצהרתית לבין הרמה המעשית התפקודית, כאשר ביניהן מתקיים פער עמוק. </w:t>
      </w:r>
    </w:p>
    <w:p w14:paraId="0BD567A1"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בניגוד לסניגור, אינני סבור שהנאשם עשה את המוטל עליו ובוודאי שלא נקט מאמצים מספיקים להיחלץ ממצבו. הנאשם הוא מתמודד נפש וכן מכור לסמים, דהיינו אדם המתמודד עם תחלואה כפולה. אלא שהנאשם מתכחש להתמכרותו לסמים וזהו אחד ממוקדי אי יכולתו להתמודד באופן מיטיב עם המציאות. בהקשר להתמודדותו הנפשית, במקום להתמודד באופן חיובי ומועיל עם הקשיים הנובעים מהשפעת התרופות הפסיכיאטריות עליו ולפעול למציאת פתרון תרופתי שיתאים לו, הוא ממשיך לעשות שימוש בקנביס, שבוודאי אינו מטיב עמו, אלא אף מחמיר את מצבו, בוודאי בהינתן ההתמודדות הנפשית שלו. </w:t>
      </w:r>
    </w:p>
    <w:p w14:paraId="14F545A3" w14:textId="77777777" w:rsidR="0013556C" w:rsidRDefault="0013556C" w:rsidP="0013556C">
      <w:pPr>
        <w:pStyle w:val="a9"/>
        <w:numPr>
          <w:ilvl w:val="0"/>
          <w:numId w:val="1"/>
        </w:numPr>
        <w:spacing w:line="360" w:lineRule="auto"/>
        <w:jc w:val="both"/>
        <w:rPr>
          <w:rFonts w:ascii="David" w:hAnsi="David"/>
          <w:sz w:val="26"/>
          <w:szCs w:val="26"/>
        </w:rPr>
      </w:pPr>
      <w:r>
        <w:rPr>
          <w:rFonts w:ascii="David" w:hAnsi="David" w:hint="cs"/>
          <w:sz w:val="26"/>
          <w:szCs w:val="26"/>
          <w:rtl/>
        </w:rPr>
        <w:t xml:space="preserve">בנוסף, כל הניסיונות לגייס את הנאשם לשגרת פעילות יזומה עלו בתוהו, והוא ממשיך לטבול במרה שחורה, ולהאשים את סביבתו במר גורלו. חבל שכך הם פני הדברים, ואולם היות הנאשם מתמודד נפש, אינה שוללת ממנו את היכולת לשנות את מציאות חייו, גם אם באופן איטי והדרגתי. אלא שהנאשם כלל לא עשה מאמצים בכיוון זה, ואני שולל מכל וכל שמציאות חייו בשנים האחרונות, ותחת חרב המשפט המתנהל נגדו, ניתנת להגדרה כדבר-מה חיובי. נכון הוא שהנאשם קיבל אחריות לשלושה תיקים, אך בהתנהלותו לא היה כל חסכון בזמנו שלו או בזמנו של בית המשפט, והזמן בוזבז לריק בניסיונות חוזרים ונשנים של בית המשפט לגייס את הנאשם לשינוי שלא התחולל. זוהי בחירתו של הנאשם ועל כך אני מצר, שכן בחירה זו אינה מותירה בידיי ברירה. ניסיונו של הסניגור המוכשר לצייר בצבעי "שיקום" את מהלך הדברים אינו יכול לעמוד בנסיבות אלה. </w:t>
      </w:r>
    </w:p>
    <w:p w14:paraId="207D2FE5" w14:textId="77777777" w:rsidR="0013556C" w:rsidRPr="008F2328" w:rsidRDefault="0013556C" w:rsidP="0013556C">
      <w:pPr>
        <w:pStyle w:val="a9"/>
        <w:numPr>
          <w:ilvl w:val="0"/>
          <w:numId w:val="1"/>
        </w:numPr>
        <w:spacing w:line="360" w:lineRule="auto"/>
        <w:jc w:val="both"/>
        <w:rPr>
          <w:rFonts w:ascii="David" w:hAnsi="David"/>
          <w:sz w:val="26"/>
          <w:szCs w:val="26"/>
          <w:rtl/>
        </w:rPr>
      </w:pPr>
      <w:r>
        <w:rPr>
          <w:rFonts w:ascii="David" w:hAnsi="David" w:hint="cs"/>
          <w:sz w:val="26"/>
          <w:szCs w:val="26"/>
          <w:rtl/>
        </w:rPr>
        <w:t xml:space="preserve">במכלול הנסיבות יש להטיל על הנאשם עונש בחלק הראשון של המתחם. </w:t>
      </w:r>
    </w:p>
    <w:p w14:paraId="7DA32813" w14:textId="77777777" w:rsidR="0013556C" w:rsidRPr="00C93651" w:rsidRDefault="0013556C" w:rsidP="0013556C">
      <w:pPr>
        <w:spacing w:line="360" w:lineRule="auto"/>
        <w:jc w:val="both"/>
        <w:rPr>
          <w:rFonts w:ascii="David" w:hAnsi="David"/>
          <w:sz w:val="26"/>
          <w:szCs w:val="26"/>
          <w:rtl/>
        </w:rPr>
      </w:pPr>
    </w:p>
    <w:p w14:paraId="77455078" w14:textId="77777777" w:rsidR="0013556C" w:rsidRPr="00C93651" w:rsidRDefault="0013556C" w:rsidP="0013556C">
      <w:pPr>
        <w:spacing w:line="360" w:lineRule="auto"/>
        <w:jc w:val="both"/>
        <w:rPr>
          <w:rFonts w:ascii="David" w:hAnsi="David"/>
          <w:sz w:val="26"/>
          <w:szCs w:val="26"/>
          <w:rtl/>
        </w:rPr>
      </w:pPr>
      <w:r>
        <w:rPr>
          <w:rFonts w:ascii="David" w:hAnsi="David" w:hint="cs"/>
          <w:b/>
          <w:bCs/>
          <w:sz w:val="26"/>
          <w:szCs w:val="26"/>
          <w:u w:val="single"/>
          <w:rtl/>
        </w:rPr>
        <w:t>שאלת הארכת המאסר המותנה</w:t>
      </w:r>
    </w:p>
    <w:p w14:paraId="392CF744" w14:textId="77777777" w:rsidR="0013556C" w:rsidRPr="00D70A3D" w:rsidRDefault="0013556C" w:rsidP="0013556C">
      <w:pPr>
        <w:pStyle w:val="a9"/>
        <w:numPr>
          <w:ilvl w:val="0"/>
          <w:numId w:val="1"/>
        </w:numPr>
        <w:spacing w:line="360" w:lineRule="auto"/>
        <w:jc w:val="both"/>
        <w:rPr>
          <w:rFonts w:ascii="David" w:hAnsi="David"/>
          <w:sz w:val="26"/>
          <w:szCs w:val="26"/>
          <w:rtl/>
        </w:rPr>
      </w:pPr>
      <w:r w:rsidRPr="00D70A3D">
        <w:rPr>
          <w:rFonts w:ascii="David" w:hAnsi="David" w:hint="cs"/>
          <w:sz w:val="26"/>
          <w:szCs w:val="26"/>
          <w:rtl/>
        </w:rPr>
        <w:t xml:space="preserve">בנסיבות שנוצרו, אין מנוס מהפעלת המאסרים המותנים, שכן אין כל נסיבה שבדין להימנע מכך. </w:t>
      </w:r>
      <w:r>
        <w:rPr>
          <w:rFonts w:ascii="David" w:hAnsi="David" w:hint="cs"/>
          <w:sz w:val="26"/>
          <w:szCs w:val="26"/>
          <w:rtl/>
        </w:rPr>
        <w:t>נוכח התנהלות הנאשם למרות ההזדמנויות שניתנו לו, בוודאי שלא ניתן לומר שמתקיימים כאן שיקולי צדק.</w:t>
      </w:r>
    </w:p>
    <w:p w14:paraId="0D16C64B" w14:textId="77777777" w:rsidR="0013556C" w:rsidRDefault="0013556C" w:rsidP="0013556C">
      <w:pPr>
        <w:spacing w:line="360" w:lineRule="auto"/>
        <w:jc w:val="both"/>
        <w:rPr>
          <w:rFonts w:ascii="David" w:hAnsi="David"/>
          <w:b/>
          <w:bCs/>
          <w:sz w:val="26"/>
          <w:szCs w:val="26"/>
          <w:u w:val="single"/>
          <w:rtl/>
        </w:rPr>
      </w:pPr>
    </w:p>
    <w:p w14:paraId="3DC1F5E0" w14:textId="77777777" w:rsidR="0013556C" w:rsidRPr="00C93651" w:rsidRDefault="0013556C" w:rsidP="0013556C">
      <w:pPr>
        <w:spacing w:line="360" w:lineRule="auto"/>
        <w:jc w:val="both"/>
        <w:rPr>
          <w:rFonts w:ascii="David" w:hAnsi="David"/>
          <w:b/>
          <w:bCs/>
          <w:sz w:val="26"/>
          <w:szCs w:val="26"/>
          <w:u w:val="single"/>
          <w:rtl/>
        </w:rPr>
      </w:pPr>
      <w:r w:rsidRPr="00C93651">
        <w:rPr>
          <w:rFonts w:ascii="David" w:hAnsi="David"/>
          <w:b/>
          <w:bCs/>
          <w:sz w:val="26"/>
          <w:szCs w:val="26"/>
          <w:u w:val="single"/>
          <w:rtl/>
        </w:rPr>
        <w:t>גזירת הדין</w:t>
      </w:r>
    </w:p>
    <w:p w14:paraId="550268EB" w14:textId="77777777" w:rsidR="0013556C" w:rsidRPr="008F2328" w:rsidRDefault="0013556C" w:rsidP="0013556C">
      <w:pPr>
        <w:pStyle w:val="a9"/>
        <w:numPr>
          <w:ilvl w:val="0"/>
          <w:numId w:val="1"/>
        </w:numPr>
        <w:spacing w:line="360" w:lineRule="auto"/>
        <w:jc w:val="both"/>
        <w:rPr>
          <w:rFonts w:ascii="Arial" w:hAnsi="Arial"/>
          <w:sz w:val="26"/>
          <w:szCs w:val="26"/>
        </w:rPr>
      </w:pPr>
      <w:r w:rsidRPr="008F2328">
        <w:rPr>
          <w:rFonts w:ascii="Arial" w:hAnsi="Arial"/>
          <w:sz w:val="26"/>
          <w:szCs w:val="26"/>
          <w:rtl/>
        </w:rPr>
        <w:t>נוכח כל האמור, גוזר על הנאשם את העונשים הבאים:</w:t>
      </w:r>
    </w:p>
    <w:p w14:paraId="587FD157" w14:textId="77777777" w:rsidR="0013556C" w:rsidRDefault="0013556C" w:rsidP="0013556C">
      <w:pPr>
        <w:pStyle w:val="a9"/>
        <w:numPr>
          <w:ilvl w:val="0"/>
          <w:numId w:val="2"/>
        </w:numPr>
        <w:spacing w:line="360" w:lineRule="auto"/>
        <w:jc w:val="both"/>
        <w:rPr>
          <w:rFonts w:ascii="Arial" w:hAnsi="Arial"/>
          <w:sz w:val="26"/>
          <w:szCs w:val="26"/>
        </w:rPr>
      </w:pPr>
      <w:r>
        <w:rPr>
          <w:rFonts w:ascii="Arial" w:hAnsi="Arial"/>
          <w:sz w:val="26"/>
          <w:szCs w:val="26"/>
          <w:rtl/>
        </w:rPr>
        <w:t xml:space="preserve">מאסר בפועל לתקופה של </w:t>
      </w:r>
      <w:r>
        <w:rPr>
          <w:rFonts w:ascii="Arial" w:hAnsi="Arial" w:hint="cs"/>
          <w:sz w:val="26"/>
          <w:szCs w:val="26"/>
          <w:rtl/>
        </w:rPr>
        <w:t xml:space="preserve">5 חודשים </w:t>
      </w:r>
      <w:r>
        <w:rPr>
          <w:rFonts w:ascii="Arial" w:hAnsi="Arial"/>
          <w:sz w:val="26"/>
          <w:szCs w:val="26"/>
          <w:rtl/>
        </w:rPr>
        <w:t xml:space="preserve">בניכוי מלא של ימי מעצרו של הנאשם </w:t>
      </w:r>
      <w:r>
        <w:rPr>
          <w:rFonts w:ascii="Arial" w:hAnsi="Arial" w:hint="cs"/>
          <w:sz w:val="26"/>
          <w:szCs w:val="26"/>
          <w:rtl/>
        </w:rPr>
        <w:t xml:space="preserve">בתיקים שבכותרת </w:t>
      </w:r>
      <w:r>
        <w:rPr>
          <w:rFonts w:ascii="Arial" w:hAnsi="Arial"/>
          <w:sz w:val="26"/>
          <w:szCs w:val="26"/>
          <w:rtl/>
        </w:rPr>
        <w:t>על-פי חישוב שב"ס שיכריע</w:t>
      </w:r>
      <w:r>
        <w:rPr>
          <w:rFonts w:ascii="Arial" w:hAnsi="Arial" w:hint="cs"/>
          <w:sz w:val="26"/>
          <w:szCs w:val="26"/>
          <w:rtl/>
        </w:rPr>
        <w:t>;</w:t>
      </w:r>
      <w:r>
        <w:rPr>
          <w:rFonts w:ascii="Arial" w:hAnsi="Arial"/>
          <w:sz w:val="26"/>
          <w:szCs w:val="26"/>
          <w:rtl/>
        </w:rPr>
        <w:t xml:space="preserve"> </w:t>
      </w:r>
    </w:p>
    <w:p w14:paraId="3A8EEBDE" w14:textId="77777777" w:rsidR="0013556C" w:rsidRPr="0064047D" w:rsidRDefault="0013556C" w:rsidP="0013556C">
      <w:pPr>
        <w:pStyle w:val="a9"/>
        <w:numPr>
          <w:ilvl w:val="0"/>
          <w:numId w:val="2"/>
        </w:numPr>
        <w:spacing w:line="360" w:lineRule="auto"/>
        <w:jc w:val="both"/>
        <w:rPr>
          <w:rFonts w:ascii="Arial" w:hAnsi="Arial"/>
          <w:b/>
          <w:bCs/>
          <w:sz w:val="26"/>
          <w:szCs w:val="26"/>
        </w:rPr>
      </w:pPr>
      <w:r w:rsidRPr="006B62F4">
        <w:rPr>
          <w:rFonts w:ascii="Arial" w:hAnsi="Arial"/>
          <w:b/>
          <w:bCs/>
          <w:sz w:val="26"/>
          <w:szCs w:val="26"/>
          <w:rtl/>
        </w:rPr>
        <w:t>מפעיל</w:t>
      </w:r>
      <w:r w:rsidRPr="00473B5C">
        <w:rPr>
          <w:rFonts w:ascii="Arial" w:hAnsi="Arial"/>
          <w:sz w:val="26"/>
          <w:szCs w:val="26"/>
          <w:rtl/>
        </w:rPr>
        <w:t xml:space="preserve"> בזאת את </w:t>
      </w:r>
      <w:r>
        <w:rPr>
          <w:rFonts w:ascii="Arial" w:hAnsi="Arial" w:hint="cs"/>
          <w:sz w:val="26"/>
          <w:szCs w:val="26"/>
          <w:rtl/>
        </w:rPr>
        <w:t xml:space="preserve">שתי תקופות </w:t>
      </w:r>
      <w:r w:rsidRPr="00473B5C">
        <w:rPr>
          <w:rFonts w:ascii="Arial" w:hAnsi="Arial"/>
          <w:sz w:val="26"/>
          <w:szCs w:val="26"/>
          <w:rtl/>
        </w:rPr>
        <w:t>המאסר</w:t>
      </w:r>
      <w:r w:rsidRPr="00473B5C">
        <w:rPr>
          <w:rFonts w:ascii="Arial" w:hAnsi="Arial" w:hint="cs"/>
          <w:sz w:val="26"/>
          <w:szCs w:val="26"/>
          <w:rtl/>
        </w:rPr>
        <w:t>ים</w:t>
      </w:r>
      <w:r w:rsidRPr="00473B5C">
        <w:rPr>
          <w:rFonts w:ascii="Arial" w:hAnsi="Arial"/>
          <w:sz w:val="26"/>
          <w:szCs w:val="26"/>
          <w:rtl/>
        </w:rPr>
        <w:t xml:space="preserve"> </w:t>
      </w:r>
      <w:r w:rsidRPr="00473B5C">
        <w:rPr>
          <w:rFonts w:ascii="Arial" w:hAnsi="Arial" w:hint="cs"/>
          <w:sz w:val="26"/>
          <w:szCs w:val="26"/>
          <w:rtl/>
        </w:rPr>
        <w:t>המותנים שבתיק התנאי (שבעה חודשים וארבעה חודשים) וזאת בחופף אחד לשני, ו</w:t>
      </w:r>
      <w:r>
        <w:rPr>
          <w:rFonts w:ascii="Arial" w:hAnsi="Arial" w:hint="cs"/>
          <w:sz w:val="26"/>
          <w:szCs w:val="26"/>
          <w:rtl/>
        </w:rPr>
        <w:t>ב</w:t>
      </w:r>
      <w:r w:rsidRPr="00473B5C">
        <w:rPr>
          <w:rFonts w:ascii="Arial" w:hAnsi="Arial" w:hint="cs"/>
          <w:sz w:val="26"/>
          <w:szCs w:val="26"/>
          <w:rtl/>
        </w:rPr>
        <w:t xml:space="preserve">מצטבר למאסר הנוכחי. </w:t>
      </w:r>
      <w:r w:rsidRPr="0064047D">
        <w:rPr>
          <w:rFonts w:ascii="Arial" w:hAnsi="Arial" w:hint="cs"/>
          <w:b/>
          <w:bCs/>
          <w:sz w:val="26"/>
          <w:szCs w:val="26"/>
          <w:rtl/>
        </w:rPr>
        <w:t xml:space="preserve">בסה"כ מטיל על הנאשם 12 חודשי מאסר בפועל בניכוי ימי מעצרו בתיקים שבכותרת ע"פ חישוב שב"ס שיכריע. </w:t>
      </w:r>
      <w:r w:rsidRPr="0064047D">
        <w:rPr>
          <w:rFonts w:ascii="Arial" w:hAnsi="Arial"/>
          <w:b/>
          <w:bCs/>
          <w:sz w:val="26"/>
          <w:szCs w:val="26"/>
          <w:rtl/>
        </w:rPr>
        <w:t>על הנאשם להתייצב לריצוי עונשו בבית הכלא "</w:t>
      </w:r>
      <w:r>
        <w:rPr>
          <w:rFonts w:ascii="Arial" w:hAnsi="Arial" w:hint="cs"/>
          <w:b/>
          <w:bCs/>
          <w:sz w:val="26"/>
          <w:szCs w:val="26"/>
          <w:rtl/>
        </w:rPr>
        <w:t>קישון</w:t>
      </w:r>
      <w:r w:rsidRPr="0064047D">
        <w:rPr>
          <w:rFonts w:ascii="Arial" w:hAnsi="Arial"/>
          <w:b/>
          <w:bCs/>
          <w:sz w:val="26"/>
          <w:szCs w:val="26"/>
          <w:rtl/>
        </w:rPr>
        <w:t xml:space="preserve">" </w:t>
      </w:r>
      <w:r>
        <w:rPr>
          <w:rFonts w:ascii="Arial" w:hAnsi="Arial" w:hint="cs"/>
          <w:b/>
          <w:bCs/>
          <w:sz w:val="26"/>
          <w:szCs w:val="26"/>
          <w:rtl/>
        </w:rPr>
        <w:t xml:space="preserve">בצפון </w:t>
      </w:r>
      <w:r w:rsidRPr="0064047D">
        <w:rPr>
          <w:rFonts w:ascii="Arial" w:hAnsi="Arial"/>
          <w:b/>
          <w:bCs/>
          <w:sz w:val="26"/>
          <w:szCs w:val="26"/>
          <w:rtl/>
        </w:rPr>
        <w:t xml:space="preserve">ביום </w:t>
      </w:r>
      <w:r>
        <w:rPr>
          <w:rFonts w:ascii="Arial" w:hAnsi="Arial" w:hint="cs"/>
          <w:b/>
          <w:bCs/>
          <w:sz w:val="26"/>
          <w:szCs w:val="26"/>
          <w:rtl/>
        </w:rPr>
        <w:t>5.9.2023</w:t>
      </w:r>
      <w:r w:rsidRPr="0064047D">
        <w:rPr>
          <w:rFonts w:ascii="Arial" w:hAnsi="Arial"/>
          <w:b/>
          <w:bCs/>
          <w:sz w:val="26"/>
          <w:szCs w:val="26"/>
          <w:rtl/>
        </w:rPr>
        <w:t xml:space="preserve"> עד לשעה 10:00 כשהוא מצוייד בתעודת זהות ובעותק מגזר הדין;</w:t>
      </w:r>
    </w:p>
    <w:p w14:paraId="17FB87C1" w14:textId="77777777" w:rsidR="0013556C" w:rsidRDefault="0013556C" w:rsidP="0013556C">
      <w:pPr>
        <w:pStyle w:val="a9"/>
        <w:numPr>
          <w:ilvl w:val="0"/>
          <w:numId w:val="2"/>
        </w:numPr>
        <w:spacing w:line="360" w:lineRule="auto"/>
        <w:jc w:val="both"/>
        <w:rPr>
          <w:rFonts w:ascii="Arial" w:hAnsi="Arial"/>
          <w:sz w:val="26"/>
          <w:szCs w:val="26"/>
        </w:rPr>
      </w:pPr>
      <w:r>
        <w:rPr>
          <w:rFonts w:ascii="Arial" w:hAnsi="Arial"/>
          <w:sz w:val="26"/>
          <w:szCs w:val="26"/>
          <w:rtl/>
        </w:rPr>
        <w:t xml:space="preserve">מאסר על תנאי של </w:t>
      </w:r>
      <w:r>
        <w:rPr>
          <w:rFonts w:ascii="Arial" w:hAnsi="Arial" w:hint="cs"/>
          <w:sz w:val="26"/>
          <w:szCs w:val="26"/>
          <w:rtl/>
        </w:rPr>
        <w:t xml:space="preserve">6 </w:t>
      </w:r>
      <w:r>
        <w:rPr>
          <w:rFonts w:ascii="Arial" w:hAnsi="Arial"/>
          <w:sz w:val="26"/>
          <w:szCs w:val="26"/>
          <w:rtl/>
        </w:rPr>
        <w:t xml:space="preserve">חודשים, שלא </w:t>
      </w:r>
      <w:r>
        <w:rPr>
          <w:rFonts w:ascii="Arial" w:hAnsi="Arial" w:hint="cs"/>
          <w:sz w:val="26"/>
          <w:szCs w:val="26"/>
          <w:rtl/>
        </w:rPr>
        <w:t>יעבור הנאשם כל עבירת פשע לפי פקודת הסמים בתוך שלוש שנים משחרורו;</w:t>
      </w:r>
    </w:p>
    <w:p w14:paraId="2793C45E" w14:textId="77777777" w:rsidR="0013556C" w:rsidRDefault="0013556C" w:rsidP="0013556C">
      <w:pPr>
        <w:pStyle w:val="a9"/>
        <w:numPr>
          <w:ilvl w:val="0"/>
          <w:numId w:val="2"/>
        </w:numPr>
        <w:spacing w:line="360" w:lineRule="auto"/>
        <w:jc w:val="both"/>
        <w:rPr>
          <w:rFonts w:ascii="Arial" w:hAnsi="Arial"/>
          <w:sz w:val="26"/>
          <w:szCs w:val="26"/>
        </w:rPr>
      </w:pPr>
      <w:r>
        <w:rPr>
          <w:rFonts w:ascii="Arial" w:hAnsi="Arial"/>
          <w:sz w:val="26"/>
          <w:szCs w:val="26"/>
          <w:rtl/>
        </w:rPr>
        <w:t xml:space="preserve">התחייבות בסך </w:t>
      </w:r>
      <w:r>
        <w:rPr>
          <w:rFonts w:ascii="Arial" w:hAnsi="Arial" w:hint="cs"/>
          <w:sz w:val="26"/>
          <w:szCs w:val="26"/>
          <w:rtl/>
        </w:rPr>
        <w:t xml:space="preserve">10,000 </w:t>
      </w:r>
      <w:r>
        <w:rPr>
          <w:rFonts w:ascii="Arial" w:hAnsi="Arial"/>
          <w:sz w:val="26"/>
          <w:szCs w:val="26"/>
          <w:rtl/>
        </w:rPr>
        <w:t xml:space="preserve">₪ שלא לעבור </w:t>
      </w:r>
      <w:r>
        <w:rPr>
          <w:rFonts w:ascii="Arial" w:hAnsi="Arial" w:hint="cs"/>
          <w:sz w:val="26"/>
          <w:szCs w:val="26"/>
          <w:rtl/>
        </w:rPr>
        <w:t xml:space="preserve">כל עבירת פשע לפי פקודת הסמים </w:t>
      </w:r>
      <w:r>
        <w:rPr>
          <w:rFonts w:ascii="Arial" w:hAnsi="Arial"/>
          <w:sz w:val="26"/>
          <w:szCs w:val="26"/>
          <w:rtl/>
        </w:rPr>
        <w:t xml:space="preserve">בתוך שנתיים </w:t>
      </w:r>
      <w:r>
        <w:rPr>
          <w:rFonts w:ascii="Arial" w:hAnsi="Arial" w:hint="cs"/>
          <w:sz w:val="26"/>
          <w:szCs w:val="26"/>
          <w:rtl/>
        </w:rPr>
        <w:t>משחרורו של הנאשם.</w:t>
      </w:r>
    </w:p>
    <w:p w14:paraId="6AE10809" w14:textId="77777777" w:rsidR="0013556C" w:rsidRDefault="0013556C" w:rsidP="0013556C">
      <w:pPr>
        <w:spacing w:line="360" w:lineRule="auto"/>
        <w:jc w:val="both"/>
        <w:rPr>
          <w:rFonts w:ascii="Arial" w:hAnsi="Arial"/>
          <w:sz w:val="26"/>
          <w:szCs w:val="26"/>
          <w:rtl/>
        </w:rPr>
      </w:pPr>
    </w:p>
    <w:p w14:paraId="55FE42D2" w14:textId="77777777" w:rsidR="0013556C" w:rsidRPr="00473B5C" w:rsidRDefault="0013556C" w:rsidP="0013556C">
      <w:pPr>
        <w:spacing w:line="360" w:lineRule="auto"/>
        <w:jc w:val="both"/>
        <w:rPr>
          <w:rFonts w:ascii="Arial" w:hAnsi="Arial"/>
          <w:sz w:val="26"/>
          <w:szCs w:val="26"/>
        </w:rPr>
      </w:pPr>
      <w:r>
        <w:rPr>
          <w:rFonts w:ascii="Arial" w:hAnsi="Arial" w:hint="cs"/>
          <w:sz w:val="26"/>
          <w:szCs w:val="26"/>
          <w:rtl/>
        </w:rPr>
        <w:t>לא סברתי שיש מקום להטיל על הנאשם רכיב כלכלי נוסף מלבד ההתחייבות.</w:t>
      </w:r>
    </w:p>
    <w:p w14:paraId="16564E61" w14:textId="77777777" w:rsidR="0013556C" w:rsidRDefault="0013556C" w:rsidP="0013556C">
      <w:pPr>
        <w:jc w:val="both"/>
        <w:rPr>
          <w:rFonts w:ascii="David" w:hAnsi="David"/>
          <w:b/>
          <w:bCs/>
          <w:sz w:val="26"/>
          <w:szCs w:val="26"/>
          <w:rtl/>
        </w:rPr>
      </w:pPr>
    </w:p>
    <w:p w14:paraId="08099BC9" w14:textId="77777777" w:rsidR="0013556C" w:rsidRPr="00473B5C" w:rsidRDefault="0013556C" w:rsidP="0013556C">
      <w:pPr>
        <w:spacing w:line="360" w:lineRule="auto"/>
        <w:jc w:val="both"/>
        <w:rPr>
          <w:rFonts w:ascii="David" w:hAnsi="David"/>
          <w:sz w:val="26"/>
          <w:szCs w:val="26"/>
          <w:rtl/>
        </w:rPr>
      </w:pPr>
      <w:r w:rsidRPr="00473B5C">
        <w:rPr>
          <w:rFonts w:ascii="David" w:hAnsi="David" w:hint="cs"/>
          <w:sz w:val="26"/>
          <w:szCs w:val="26"/>
          <w:rtl/>
        </w:rPr>
        <w:t xml:space="preserve">מורה על השמדת הסמים והמוצגים. </w:t>
      </w:r>
    </w:p>
    <w:p w14:paraId="73AA1880" w14:textId="77777777" w:rsidR="0013556C" w:rsidRDefault="0013556C" w:rsidP="0013556C">
      <w:pPr>
        <w:jc w:val="both"/>
        <w:rPr>
          <w:rFonts w:ascii="David" w:hAnsi="David"/>
          <w:b/>
          <w:bCs/>
          <w:sz w:val="26"/>
          <w:szCs w:val="26"/>
          <w:rtl/>
        </w:rPr>
      </w:pPr>
    </w:p>
    <w:p w14:paraId="5F7AE653" w14:textId="77777777" w:rsidR="0013556C" w:rsidRDefault="0013556C" w:rsidP="0013556C">
      <w:pPr>
        <w:spacing w:line="360" w:lineRule="auto"/>
        <w:jc w:val="both"/>
        <w:rPr>
          <w:rFonts w:ascii="David" w:hAnsi="David"/>
          <w:b/>
          <w:bCs/>
          <w:sz w:val="26"/>
          <w:szCs w:val="26"/>
          <w:rtl/>
        </w:rPr>
      </w:pPr>
      <w:r>
        <w:rPr>
          <w:rFonts w:ascii="David" w:hAnsi="David" w:hint="cs"/>
          <w:b/>
          <w:bCs/>
          <w:sz w:val="26"/>
          <w:szCs w:val="26"/>
          <w:rtl/>
        </w:rPr>
        <w:t xml:space="preserve">ככל שקיימות הפקדות יוחזרו למפקידים על אף הודעת עיקול. </w:t>
      </w:r>
    </w:p>
    <w:p w14:paraId="08E2F9DD" w14:textId="77777777" w:rsidR="0013556C" w:rsidRDefault="006446DA" w:rsidP="0013556C">
      <w:pPr>
        <w:rPr>
          <w:b/>
          <w:bCs/>
          <w:sz w:val="26"/>
          <w:szCs w:val="26"/>
          <w:rtl/>
        </w:rPr>
      </w:pPr>
      <w:r w:rsidRPr="006446DA">
        <w:rPr>
          <w:b/>
          <w:bCs/>
          <w:color w:val="FFFFFF"/>
          <w:sz w:val="2"/>
          <w:szCs w:val="2"/>
          <w:rtl/>
        </w:rPr>
        <w:t>5129371</w:t>
      </w:r>
      <w:r w:rsidR="0013556C">
        <w:rPr>
          <w:b/>
          <w:bCs/>
          <w:sz w:val="26"/>
          <w:szCs w:val="26"/>
          <w:rtl/>
        </w:rPr>
        <w:t>יש לשלוח לשירות המבחן.</w:t>
      </w:r>
      <w:r w:rsidR="0013556C">
        <w:rPr>
          <w:rFonts w:hint="cs"/>
          <w:b/>
          <w:bCs/>
          <w:sz w:val="26"/>
          <w:szCs w:val="26"/>
          <w:rtl/>
        </w:rPr>
        <w:t xml:space="preserve"> </w:t>
      </w:r>
    </w:p>
    <w:p w14:paraId="0698427E" w14:textId="77777777" w:rsidR="0013556C" w:rsidRDefault="006446DA" w:rsidP="0013556C">
      <w:pPr>
        <w:rPr>
          <w:b/>
          <w:bCs/>
          <w:sz w:val="26"/>
          <w:szCs w:val="26"/>
          <w:rtl/>
        </w:rPr>
      </w:pPr>
      <w:r w:rsidRPr="006446DA">
        <w:rPr>
          <w:b/>
          <w:bCs/>
          <w:color w:val="FFFFFF"/>
          <w:sz w:val="2"/>
          <w:szCs w:val="2"/>
          <w:rtl/>
        </w:rPr>
        <w:t>54678313</w:t>
      </w:r>
      <w:r w:rsidR="0013556C">
        <w:rPr>
          <w:b/>
          <w:bCs/>
          <w:sz w:val="26"/>
          <w:szCs w:val="26"/>
          <w:rtl/>
        </w:rPr>
        <w:t>זכות ערעור כחוק.</w:t>
      </w:r>
    </w:p>
    <w:p w14:paraId="1A3B9FE3" w14:textId="77777777" w:rsidR="0013556C" w:rsidRPr="008F2328" w:rsidRDefault="0013556C" w:rsidP="0013556C">
      <w:pPr>
        <w:rPr>
          <w:rFonts w:ascii="David" w:hAnsi="David"/>
          <w:sz w:val="26"/>
          <w:szCs w:val="26"/>
          <w:rtl/>
        </w:rPr>
      </w:pPr>
    </w:p>
    <w:p w14:paraId="7C717F35" w14:textId="77777777" w:rsidR="0013556C" w:rsidRDefault="006446DA" w:rsidP="0013556C">
      <w:pPr>
        <w:rPr>
          <w:rFonts w:cs="FrankRuehl"/>
          <w:sz w:val="28"/>
          <w:szCs w:val="28"/>
          <w:rtl/>
        </w:rPr>
      </w:pPr>
      <w:bookmarkStart w:id="8" w:name="Nitan"/>
      <w:r>
        <w:rPr>
          <w:rFonts w:ascii="David" w:hAnsi="David"/>
          <w:sz w:val="26"/>
          <w:szCs w:val="26"/>
          <w:rtl/>
        </w:rPr>
        <w:t xml:space="preserve">ניתן היום, כ"א תמוז התשפ"ג 10 ביולי 2023 במעמד הצדדים. </w:t>
      </w:r>
      <w:bookmarkEnd w:id="8"/>
    </w:p>
    <w:p w14:paraId="292A19DA" w14:textId="77777777" w:rsidR="0013556C" w:rsidRDefault="0013556C" w:rsidP="006446DA">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4F2E94F0" w14:textId="77777777" w:rsidR="0013556C" w:rsidRPr="00741438" w:rsidRDefault="00741438" w:rsidP="0013556C">
      <w:pPr>
        <w:jc w:val="center"/>
        <w:rPr>
          <w:rFonts w:ascii="Arial" w:hAnsi="Arial" w:cs="FrankRuehl"/>
          <w:color w:val="FFFFFF"/>
          <w:sz w:val="2"/>
          <w:szCs w:val="2"/>
          <w:rtl/>
        </w:rPr>
      </w:pPr>
      <w:r w:rsidRPr="00741438">
        <w:rPr>
          <w:rFonts w:ascii="Arial" w:hAnsi="Arial" w:cs="FrankRuehl"/>
          <w:color w:val="FFFFFF"/>
          <w:sz w:val="2"/>
          <w:szCs w:val="2"/>
          <w:rtl/>
        </w:rPr>
        <w:t>5129371</w:t>
      </w:r>
    </w:p>
    <w:p w14:paraId="4914A5BC" w14:textId="77777777" w:rsidR="0065564C" w:rsidRPr="00741438" w:rsidRDefault="00741438" w:rsidP="006446DA">
      <w:pPr>
        <w:keepNext/>
        <w:rPr>
          <w:rFonts w:ascii="David" w:hAnsi="David"/>
          <w:color w:val="FFFFFF"/>
          <w:sz w:val="2"/>
          <w:szCs w:val="2"/>
          <w:rtl/>
        </w:rPr>
      </w:pPr>
      <w:r w:rsidRPr="00741438">
        <w:rPr>
          <w:rFonts w:ascii="David" w:hAnsi="David"/>
          <w:color w:val="FFFFFF"/>
          <w:sz w:val="2"/>
          <w:szCs w:val="2"/>
          <w:rtl/>
        </w:rPr>
        <w:t>54678313</w:t>
      </w:r>
    </w:p>
    <w:p w14:paraId="38270260" w14:textId="77777777" w:rsidR="006446DA" w:rsidRDefault="006446DA" w:rsidP="006446DA">
      <w:pPr>
        <w:rPr>
          <w:rtl/>
        </w:rPr>
      </w:pPr>
    </w:p>
    <w:p w14:paraId="4B92F7FD" w14:textId="77777777" w:rsidR="006446DA" w:rsidRDefault="006446DA" w:rsidP="006446DA">
      <w:pPr>
        <w:jc w:val="center"/>
        <w:rPr>
          <w:color w:val="0000FF"/>
          <w:u w:val="single"/>
        </w:rPr>
      </w:pPr>
      <w:hyperlink r:id="rId15" w:history="1">
        <w:r>
          <w:rPr>
            <w:color w:val="0000FF"/>
            <w:u w:val="single"/>
            <w:rtl/>
          </w:rPr>
          <w:t>בעניין עריכה ושינויים במסמכי פסיקה, חקיקה ועוד באתר נבו – הקש כאן</w:t>
        </w:r>
      </w:hyperlink>
    </w:p>
    <w:p w14:paraId="604079F4" w14:textId="77777777" w:rsidR="00741438" w:rsidRPr="00741438" w:rsidRDefault="00741438" w:rsidP="00741438">
      <w:pPr>
        <w:keepNext/>
        <w:rPr>
          <w:rFonts w:ascii="David" w:hAnsi="David"/>
          <w:color w:val="000000"/>
          <w:sz w:val="22"/>
          <w:szCs w:val="22"/>
          <w:rtl/>
        </w:rPr>
      </w:pPr>
    </w:p>
    <w:p w14:paraId="249365B3" w14:textId="77777777" w:rsidR="00741438" w:rsidRPr="00741438" w:rsidRDefault="00741438" w:rsidP="00741438">
      <w:pPr>
        <w:keepNext/>
        <w:rPr>
          <w:rFonts w:ascii="David" w:hAnsi="David"/>
          <w:color w:val="000000"/>
          <w:sz w:val="22"/>
          <w:szCs w:val="22"/>
          <w:rtl/>
        </w:rPr>
      </w:pPr>
      <w:r w:rsidRPr="00741438">
        <w:rPr>
          <w:rFonts w:ascii="David" w:hAnsi="David"/>
          <w:color w:val="000000"/>
          <w:sz w:val="22"/>
          <w:szCs w:val="22"/>
          <w:rtl/>
        </w:rPr>
        <w:t>דוד שאול גבאי ריכטר 54678313-/</w:t>
      </w:r>
    </w:p>
    <w:p w14:paraId="45B1589F" w14:textId="77777777" w:rsidR="006446DA" w:rsidRPr="006446DA" w:rsidRDefault="00741438" w:rsidP="00741438">
      <w:pPr>
        <w:rPr>
          <w:color w:val="0000FF"/>
          <w:u w:val="single"/>
        </w:rPr>
      </w:pPr>
      <w:r w:rsidRPr="00741438">
        <w:rPr>
          <w:color w:val="000000"/>
          <w:u w:val="single"/>
          <w:rtl/>
        </w:rPr>
        <w:t>נוסח מסמך זה כפוף לשינויי ניסוח ועריכה</w:t>
      </w:r>
    </w:p>
    <w:sectPr w:rsidR="006446DA" w:rsidRPr="006446DA" w:rsidSect="00741438">
      <w:headerReference w:type="even" r:id="rId16"/>
      <w:headerReference w:type="default" r:id="rId17"/>
      <w:footerReference w:type="even" r:id="rId18"/>
      <w:footerReference w:type="default" r:id="rId1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13081E" w14:textId="77777777" w:rsidR="00AD57C5" w:rsidRDefault="00AD57C5" w:rsidP="001A0584">
      <w:r>
        <w:separator/>
      </w:r>
    </w:p>
  </w:endnote>
  <w:endnote w:type="continuationSeparator" w:id="0">
    <w:p w14:paraId="44915E32" w14:textId="77777777" w:rsidR="00AD57C5" w:rsidRDefault="00AD57C5" w:rsidP="001A05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310628" w14:textId="77777777" w:rsidR="00741438" w:rsidRDefault="00741438" w:rsidP="007414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00C61D27" w14:textId="77777777" w:rsidR="007556BC" w:rsidRPr="00741438" w:rsidRDefault="00741438" w:rsidP="00741438">
    <w:pPr>
      <w:pStyle w:val="a5"/>
      <w:pBdr>
        <w:top w:val="single" w:sz="4" w:space="1" w:color="auto"/>
        <w:between w:val="single" w:sz="4" w:space="0" w:color="auto"/>
      </w:pBdr>
      <w:spacing w:after="60"/>
      <w:jc w:val="center"/>
      <w:rPr>
        <w:rFonts w:ascii="FrankRuehl" w:hAnsi="FrankRuehl" w:cs="FrankRuehl"/>
        <w:color w:val="000000"/>
      </w:rPr>
    </w:pPr>
    <w:r w:rsidRPr="0074143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3854F19" w14:textId="77777777" w:rsidR="00741438" w:rsidRDefault="00741438" w:rsidP="00741438">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603DDB">
      <w:rPr>
        <w:rFonts w:ascii="FrankRuehl" w:hAnsi="FrankRuehl" w:cs="FrankRuehl"/>
        <w:noProof/>
        <w:rtl/>
      </w:rPr>
      <w:t>1</w:t>
    </w:r>
    <w:r>
      <w:rPr>
        <w:rFonts w:ascii="FrankRuehl" w:hAnsi="FrankRuehl" w:cs="FrankRuehl"/>
        <w:rtl/>
      </w:rPr>
      <w:fldChar w:fldCharType="end"/>
    </w:r>
  </w:p>
  <w:p w14:paraId="1C384674" w14:textId="77777777" w:rsidR="007556BC" w:rsidRPr="00741438" w:rsidRDefault="00741438" w:rsidP="00741438">
    <w:pPr>
      <w:pStyle w:val="a5"/>
      <w:pBdr>
        <w:top w:val="single" w:sz="4" w:space="1" w:color="auto"/>
        <w:between w:val="single" w:sz="4" w:space="0" w:color="auto"/>
      </w:pBdr>
      <w:spacing w:after="60"/>
      <w:jc w:val="center"/>
      <w:rPr>
        <w:rFonts w:ascii="FrankRuehl" w:hAnsi="FrankRuehl" w:cs="FrankRuehl"/>
        <w:color w:val="000000"/>
      </w:rPr>
    </w:pPr>
    <w:r w:rsidRPr="00741438">
      <w:rPr>
        <w:rFonts w:ascii="FrankRuehl" w:hAnsi="FrankRuehl" w:cs="FrankRuehl"/>
        <w:color w:val="000000"/>
      </w:rPr>
      <w:pict w14:anchorId="1158386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7C531D5" w14:textId="77777777" w:rsidR="00AD57C5" w:rsidRDefault="00AD57C5" w:rsidP="001A0584">
      <w:r>
        <w:separator/>
      </w:r>
    </w:p>
  </w:footnote>
  <w:footnote w:type="continuationSeparator" w:id="0">
    <w:p w14:paraId="0DAB5F1D" w14:textId="77777777" w:rsidR="00AD57C5" w:rsidRDefault="00AD57C5" w:rsidP="001A05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B32AE5" w14:textId="77777777" w:rsidR="006446DA" w:rsidRPr="00741438" w:rsidRDefault="00741438" w:rsidP="0074143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57409-11-18</w:t>
    </w:r>
    <w:r>
      <w:rPr>
        <w:rFonts w:ascii="David" w:hAnsi="David"/>
        <w:color w:val="000000"/>
        <w:sz w:val="22"/>
        <w:szCs w:val="22"/>
        <w:rtl/>
      </w:rPr>
      <w:tab/>
      <w:t xml:space="preserve"> מדינת ישראל נ' מיכאל ישראל בר שביט</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C4D7A0" w14:textId="77777777" w:rsidR="006446DA" w:rsidRPr="00741438" w:rsidRDefault="00741438" w:rsidP="00741438">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(י-ם) 57409-11-18</w:t>
    </w:r>
    <w:r>
      <w:rPr>
        <w:rFonts w:ascii="David" w:hAnsi="David"/>
        <w:color w:val="000000"/>
        <w:sz w:val="22"/>
        <w:szCs w:val="22"/>
        <w:rtl/>
      </w:rPr>
      <w:tab/>
      <w:t xml:space="preserve"> מדינת ישראל נ' מיכאל ישראל בר שביט</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A8A568F"/>
    <w:multiLevelType w:val="hybridMultilevel"/>
    <w:tmpl w:val="42CCE7EA"/>
    <w:lvl w:ilvl="0" w:tplc="82D81318">
      <w:start w:val="1"/>
      <w:numFmt w:val="decimal"/>
      <w:lvlText w:val="%1."/>
      <w:lvlJc w:val="left"/>
      <w:pPr>
        <w:ind w:left="360" w:hanging="360"/>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8AD4B78"/>
    <w:multiLevelType w:val="hybridMultilevel"/>
    <w:tmpl w:val="D4DA3A2C"/>
    <w:lvl w:ilvl="0" w:tplc="5DF87CC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69162429">
    <w:abstractNumId w:val="0"/>
  </w:num>
  <w:num w:numId="2" w16cid:durableId="19463809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13556C"/>
    <w:rsid w:val="000D42F4"/>
    <w:rsid w:val="0013556C"/>
    <w:rsid w:val="001A0584"/>
    <w:rsid w:val="001B5A3B"/>
    <w:rsid w:val="005750EE"/>
    <w:rsid w:val="00603DDB"/>
    <w:rsid w:val="006446DA"/>
    <w:rsid w:val="0065564C"/>
    <w:rsid w:val="00741438"/>
    <w:rsid w:val="007556BC"/>
    <w:rsid w:val="0096686E"/>
    <w:rsid w:val="00AA014D"/>
    <w:rsid w:val="00AD57C5"/>
    <w:rsid w:val="00AF536D"/>
    <w:rsid w:val="00C8574E"/>
    <w:rsid w:val="00DC14A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367A7A52"/>
  <w15:chartTrackingRefBased/>
  <w15:docId w15:val="{3FC20C4F-0D9E-45A2-86D5-920AC5AB3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3556C"/>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13556C"/>
    <w:pPr>
      <w:tabs>
        <w:tab w:val="center" w:pos="4153"/>
        <w:tab w:val="right" w:pos="8306"/>
      </w:tabs>
    </w:pPr>
  </w:style>
  <w:style w:type="character" w:customStyle="1" w:styleId="a4">
    <w:name w:val="כותרת עליונה תו"/>
    <w:link w:val="a3"/>
    <w:rsid w:val="0013556C"/>
    <w:rPr>
      <w:rFonts w:ascii="Times New Roman" w:eastAsia="Times New Roman" w:hAnsi="Times New Roman" w:cs="David"/>
      <w:sz w:val="24"/>
      <w:szCs w:val="24"/>
    </w:rPr>
  </w:style>
  <w:style w:type="paragraph" w:styleId="a5">
    <w:name w:val="footer"/>
    <w:basedOn w:val="a"/>
    <w:link w:val="a6"/>
    <w:rsid w:val="0013556C"/>
    <w:pPr>
      <w:tabs>
        <w:tab w:val="center" w:pos="4153"/>
        <w:tab w:val="right" w:pos="8306"/>
      </w:tabs>
    </w:pPr>
  </w:style>
  <w:style w:type="character" w:customStyle="1" w:styleId="a6">
    <w:name w:val="כותרת תחתונה תו"/>
    <w:link w:val="a5"/>
    <w:rsid w:val="0013556C"/>
    <w:rPr>
      <w:rFonts w:ascii="Times New Roman" w:eastAsia="Times New Roman" w:hAnsi="Times New Roman" w:cs="David"/>
      <w:sz w:val="24"/>
      <w:szCs w:val="24"/>
    </w:rPr>
  </w:style>
  <w:style w:type="table" w:styleId="a7">
    <w:name w:val="Table Grid"/>
    <w:basedOn w:val="a1"/>
    <w:rsid w:val="0013556C"/>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13556C"/>
  </w:style>
  <w:style w:type="paragraph" w:styleId="a9">
    <w:name w:val="List Paragraph"/>
    <w:basedOn w:val="a"/>
    <w:qFormat/>
    <w:rsid w:val="0013556C"/>
    <w:pPr>
      <w:ind w:left="720"/>
      <w:contextualSpacing/>
    </w:pPr>
  </w:style>
  <w:style w:type="character" w:styleId="Hyperlink">
    <w:name w:val="Hyperlink"/>
    <w:rsid w:val="006446D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c" TargetMode="External"/><Relationship Id="rId13" Type="http://schemas.openxmlformats.org/officeDocument/2006/relationships/hyperlink" Target="http://www.nevo.co.il/case/21914524"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nevo.co.il/law/4216" TargetMode="External"/><Relationship Id="rId12" Type="http://schemas.openxmlformats.org/officeDocument/2006/relationships/hyperlink" Target="http://www.nevo.co.il/case/21821300" TargetMode="External"/><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7.a.c" TargetMode="External"/><Relationship Id="rId5" Type="http://schemas.openxmlformats.org/officeDocument/2006/relationships/footnotes" Target="footnotes.xml"/><Relationship Id="rId15" Type="http://schemas.openxmlformats.org/officeDocument/2006/relationships/hyperlink" Target="http://www.nevo.co.il/advertisements/nevo-100.doc" TargetMode="External"/><Relationship Id="rId10" Type="http://schemas.openxmlformats.org/officeDocument/2006/relationships/hyperlink" Target="http://www.nevo.co.il/law/4216/7.a.c"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case/25174807" TargetMode="External"/><Relationship Id="rId14" Type="http://schemas.openxmlformats.org/officeDocument/2006/relationships/hyperlink" Target="http://www.nevo.co.il/case/25975844"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1760</Words>
  <Characters>8803</Characters>
  <Application>Microsoft Office Word</Application>
  <DocSecurity>0</DocSecurity>
  <Lines>73</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10542</CharactersWithSpaces>
  <SharedDoc>false</SharedDoc>
  <HLinks>
    <vt:vector size="60" baseType="variant">
      <vt:variant>
        <vt:i4>393283</vt:i4>
      </vt:variant>
      <vt:variant>
        <vt:i4>27</vt:i4>
      </vt:variant>
      <vt:variant>
        <vt:i4>0</vt:i4>
      </vt:variant>
      <vt:variant>
        <vt:i4>5</vt:i4>
      </vt:variant>
      <vt:variant>
        <vt:lpwstr>http://www.nevo.co.il/advertisements/nevo-100.doc</vt:lpwstr>
      </vt:variant>
      <vt:variant>
        <vt:lpwstr/>
      </vt:variant>
      <vt:variant>
        <vt:i4>3801214</vt:i4>
      </vt:variant>
      <vt:variant>
        <vt:i4>24</vt:i4>
      </vt:variant>
      <vt:variant>
        <vt:i4>0</vt:i4>
      </vt:variant>
      <vt:variant>
        <vt:i4>5</vt:i4>
      </vt:variant>
      <vt:variant>
        <vt:lpwstr>http://www.nevo.co.il/case/25975844</vt:lpwstr>
      </vt:variant>
      <vt:variant>
        <vt:lpwstr/>
      </vt:variant>
      <vt:variant>
        <vt:i4>3997809</vt:i4>
      </vt:variant>
      <vt:variant>
        <vt:i4>21</vt:i4>
      </vt:variant>
      <vt:variant>
        <vt:i4>0</vt:i4>
      </vt:variant>
      <vt:variant>
        <vt:i4>5</vt:i4>
      </vt:variant>
      <vt:variant>
        <vt:lpwstr>http://www.nevo.co.il/case/21914524</vt:lpwstr>
      </vt:variant>
      <vt:variant>
        <vt:lpwstr/>
      </vt:variant>
      <vt:variant>
        <vt:i4>3866740</vt:i4>
      </vt:variant>
      <vt:variant>
        <vt:i4>18</vt:i4>
      </vt:variant>
      <vt:variant>
        <vt:i4>0</vt:i4>
      </vt:variant>
      <vt:variant>
        <vt:i4>5</vt:i4>
      </vt:variant>
      <vt:variant>
        <vt:lpwstr>http://www.nevo.co.il/case/21821300</vt:lpwstr>
      </vt:variant>
      <vt:variant>
        <vt:lpwstr/>
      </vt:variant>
      <vt:variant>
        <vt:i4>4915274</vt:i4>
      </vt:variant>
      <vt:variant>
        <vt:i4>15</vt:i4>
      </vt:variant>
      <vt:variant>
        <vt:i4>0</vt:i4>
      </vt:variant>
      <vt:variant>
        <vt:i4>5</vt:i4>
      </vt:variant>
      <vt:variant>
        <vt:lpwstr>http://www.nevo.co.il/law/4216/7.a.c</vt:lpwstr>
      </vt:variant>
      <vt:variant>
        <vt:lpwstr/>
      </vt:variant>
      <vt:variant>
        <vt:i4>3407989</vt:i4>
      </vt:variant>
      <vt:variant>
        <vt:i4>12</vt:i4>
      </vt:variant>
      <vt:variant>
        <vt:i4>0</vt:i4>
      </vt:variant>
      <vt:variant>
        <vt:i4>5</vt:i4>
      </vt:variant>
      <vt:variant>
        <vt:lpwstr>http://www.nevo.co.il/case/27133541</vt:lpwstr>
      </vt:variant>
      <vt:variant>
        <vt:lpwstr/>
      </vt:variant>
      <vt:variant>
        <vt:i4>4915274</vt:i4>
      </vt:variant>
      <vt:variant>
        <vt:i4>9</vt:i4>
      </vt:variant>
      <vt:variant>
        <vt:i4>0</vt:i4>
      </vt:variant>
      <vt:variant>
        <vt:i4>5</vt:i4>
      </vt:variant>
      <vt:variant>
        <vt:lpwstr>http://www.nevo.co.il/law/4216/7.a.c</vt:lpwstr>
      </vt:variant>
      <vt:variant>
        <vt:lpwstr/>
      </vt:variant>
      <vt:variant>
        <vt:i4>3604606</vt:i4>
      </vt:variant>
      <vt:variant>
        <vt:i4>6</vt:i4>
      </vt:variant>
      <vt:variant>
        <vt:i4>0</vt:i4>
      </vt:variant>
      <vt:variant>
        <vt:i4>5</vt:i4>
      </vt:variant>
      <vt:variant>
        <vt:lpwstr>http://www.nevo.co.il/case/25174807</vt:lpwstr>
      </vt:variant>
      <vt:variant>
        <vt:lpwstr/>
      </vt:variant>
      <vt:variant>
        <vt:i4>4915274</vt:i4>
      </vt:variant>
      <vt:variant>
        <vt:i4>3</vt:i4>
      </vt:variant>
      <vt:variant>
        <vt:i4>0</vt:i4>
      </vt:variant>
      <vt:variant>
        <vt:i4>5</vt:i4>
      </vt:variant>
      <vt:variant>
        <vt:lpwstr>http://www.nevo.co.il/law/4216/7.a.c</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2025-04-22T23:58:00Z</dcterms:created>
  <dcterms:modified xsi:type="dcterms:W3CDTF">2025-04-22T23:58:00Z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תפ;תפ;תפ</vt:lpwstr>
  </property>
  <property fmtid="{D5CDD505-2E9C-101B-9397-08002B2CF9AE}" pid="5" name="NEWPARTA">
    <vt:lpwstr>57409;34771;14096</vt:lpwstr>
  </property>
  <property fmtid="{D5CDD505-2E9C-101B-9397-08002B2CF9AE}" pid="6" name="NEWPARTB">
    <vt:lpwstr>11;10;11</vt:lpwstr>
  </property>
  <property fmtid="{D5CDD505-2E9C-101B-9397-08002B2CF9AE}" pid="7" name="NEWPARTC">
    <vt:lpwstr>18;20;20</vt:lpwstr>
  </property>
  <property fmtid="{D5CDD505-2E9C-101B-9397-08002B2CF9AE}" pid="8" name="APPELLANT">
    <vt:lpwstr>מדינת ישראל</vt:lpwstr>
  </property>
  <property fmtid="{D5CDD505-2E9C-101B-9397-08002B2CF9AE}" pid="9" name="APPELLEE">
    <vt:lpwstr>מיכאל ישראל בר שביט</vt:lpwstr>
  </property>
  <property fmtid="{D5CDD505-2E9C-101B-9397-08002B2CF9AE}" pid="10" name="LAWYER">
    <vt:lpwstr>מנחם שטאובר</vt:lpwstr>
  </property>
  <property fmtid="{D5CDD505-2E9C-101B-9397-08002B2CF9AE}" pid="11" name="JUDGE">
    <vt:lpwstr>דוד שאול גבאי ריכטר</vt:lpwstr>
  </property>
  <property fmtid="{D5CDD505-2E9C-101B-9397-08002B2CF9AE}" pid="12" name="CITY">
    <vt:lpwstr>י-ם</vt:lpwstr>
  </property>
  <property fmtid="{D5CDD505-2E9C-101B-9397-08002B2CF9AE}" pid="13" name="DATE">
    <vt:lpwstr>20230710</vt:lpwstr>
  </property>
  <property fmtid="{D5CDD505-2E9C-101B-9397-08002B2CF9AE}" pid="14" name="TYPE_N_DATE">
    <vt:lpwstr>38020230710</vt:lpwstr>
  </property>
  <property fmtid="{D5CDD505-2E9C-101B-9397-08002B2CF9AE}" pid="15" name="WORDNUMPAGES">
    <vt:lpwstr>6</vt:lpwstr>
  </property>
  <property fmtid="{D5CDD505-2E9C-101B-9397-08002B2CF9AE}" pid="16" name="TYPE_ABS_DATE">
    <vt:lpwstr>380020230710</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25174807;27133541;21821300;21914524;25975844</vt:lpwstr>
  </property>
  <property fmtid="{D5CDD505-2E9C-101B-9397-08002B2CF9AE}" pid="36" name="LAWLISTTMP1">
    <vt:lpwstr>4216/007.a.c:2</vt:lpwstr>
  </property>
</Properties>
</file>