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F74AFA" w:rsidRPr="005746B6" w14:paraId="6818BBBD" w14:textId="77777777" w:rsidTr="00080B15">
        <w:trPr>
          <w:trHeight w:hRule="exact" w:val="418"/>
          <w:jc w:val="center"/>
        </w:trPr>
        <w:tc>
          <w:tcPr>
            <w:tcW w:w="8721" w:type="dxa"/>
            <w:gridSpan w:val="2"/>
          </w:tcPr>
          <w:p w14:paraId="7AFD7259" w14:textId="77777777" w:rsidR="00F74AFA" w:rsidRPr="005746B6" w:rsidRDefault="00F74AFA" w:rsidP="001336CD">
            <w:pPr>
              <w:pStyle w:val="a3"/>
              <w:jc w:val="center"/>
              <w:rPr>
                <w:rFonts w:ascii="Tahoma" w:hAnsi="Tahoma" w:cs="Tahoma"/>
                <w:color w:val="000080"/>
                <w:rtl/>
              </w:rPr>
            </w:pPr>
            <w:bookmarkStart w:id="0" w:name="LastJudge"/>
            <w:r w:rsidRPr="005746B6">
              <w:rPr>
                <w:rFonts w:ascii="Tahoma" w:hAnsi="Tahoma" w:cs="Tahoma"/>
                <w:b/>
                <w:bCs/>
                <w:color w:val="000080"/>
                <w:rtl/>
              </w:rPr>
              <w:t>בית משפט השלום בבאר שבע</w:t>
            </w:r>
          </w:p>
        </w:tc>
      </w:tr>
      <w:tr w:rsidR="00F74AFA" w:rsidRPr="005746B6" w14:paraId="1AB71623" w14:textId="77777777" w:rsidTr="00080B15">
        <w:trPr>
          <w:trHeight w:val="337"/>
          <w:jc w:val="center"/>
        </w:trPr>
        <w:tc>
          <w:tcPr>
            <w:tcW w:w="5055" w:type="dxa"/>
          </w:tcPr>
          <w:p w14:paraId="17E721CC" w14:textId="77777777" w:rsidR="00F74AFA" w:rsidRPr="005746B6" w:rsidRDefault="00F74AFA" w:rsidP="001336CD">
            <w:pPr>
              <w:rPr>
                <w:rFonts w:cs="FrankRuehl"/>
                <w:sz w:val="28"/>
                <w:szCs w:val="28"/>
                <w:rtl/>
              </w:rPr>
            </w:pPr>
            <w:r w:rsidRPr="005746B6">
              <w:rPr>
                <w:rFonts w:cs="FrankRuehl"/>
                <w:sz w:val="28"/>
                <w:szCs w:val="28"/>
                <w:rtl/>
              </w:rPr>
              <w:t>תפ"ק</w:t>
            </w:r>
            <w:r w:rsidRPr="005746B6">
              <w:rPr>
                <w:rFonts w:cs="FrankRuehl" w:hint="cs"/>
                <w:sz w:val="28"/>
                <w:szCs w:val="28"/>
                <w:rtl/>
              </w:rPr>
              <w:t xml:space="preserve"> </w:t>
            </w:r>
            <w:r w:rsidRPr="005746B6">
              <w:rPr>
                <w:rFonts w:cs="FrankRuehl"/>
                <w:sz w:val="28"/>
                <w:szCs w:val="28"/>
                <w:rtl/>
              </w:rPr>
              <w:t>57417-11-18</w:t>
            </w:r>
            <w:r w:rsidRPr="005746B6">
              <w:rPr>
                <w:rFonts w:cs="FrankRuehl" w:hint="cs"/>
                <w:sz w:val="28"/>
                <w:szCs w:val="28"/>
                <w:rtl/>
              </w:rPr>
              <w:t xml:space="preserve"> </w:t>
            </w:r>
            <w:r w:rsidRPr="005746B6">
              <w:rPr>
                <w:rFonts w:cs="FrankRuehl"/>
                <w:sz w:val="28"/>
                <w:szCs w:val="28"/>
                <w:rtl/>
              </w:rPr>
              <w:t>מדינת ישראל נ' בוקובזה</w:t>
            </w:r>
          </w:p>
          <w:p w14:paraId="19084450" w14:textId="77777777" w:rsidR="00F74AFA" w:rsidRPr="005746B6" w:rsidRDefault="00F74AFA" w:rsidP="001336CD">
            <w:pPr>
              <w:pStyle w:val="a3"/>
              <w:rPr>
                <w:rFonts w:cs="FrankRuehl"/>
                <w:sz w:val="28"/>
                <w:szCs w:val="28"/>
                <w:rtl/>
              </w:rPr>
            </w:pPr>
          </w:p>
        </w:tc>
        <w:tc>
          <w:tcPr>
            <w:tcW w:w="3666" w:type="dxa"/>
          </w:tcPr>
          <w:p w14:paraId="6D316330" w14:textId="77777777" w:rsidR="00F74AFA" w:rsidRPr="005746B6" w:rsidRDefault="00F74AFA" w:rsidP="001336CD">
            <w:pPr>
              <w:pStyle w:val="a3"/>
              <w:jc w:val="right"/>
              <w:rPr>
                <w:rFonts w:cs="FrankRuehl"/>
                <w:sz w:val="28"/>
                <w:szCs w:val="28"/>
                <w:rtl/>
              </w:rPr>
            </w:pPr>
          </w:p>
        </w:tc>
      </w:tr>
    </w:tbl>
    <w:p w14:paraId="7CD8ED31" w14:textId="77777777" w:rsidR="00F74AFA" w:rsidRPr="005746B6" w:rsidRDefault="00F74AFA" w:rsidP="00F74AFA">
      <w:pPr>
        <w:pStyle w:val="a3"/>
        <w:rPr>
          <w:rtl/>
        </w:rPr>
      </w:pPr>
      <w:r w:rsidRPr="005746B6">
        <w:rPr>
          <w:rFonts w:hint="cs"/>
          <w:rtl/>
        </w:rPr>
        <w:t xml:space="preserve"> </w:t>
      </w:r>
    </w:p>
    <w:p w14:paraId="29105EA6" w14:textId="77777777" w:rsidR="00F74AFA" w:rsidRPr="005746B6" w:rsidRDefault="00F74AFA" w:rsidP="00F74AFA">
      <w:pPr>
        <w:rPr>
          <w:rtl/>
        </w:rPr>
      </w:pPr>
    </w:p>
    <w:p w14:paraId="740BC4DE" w14:textId="77777777" w:rsidR="00F74AFA" w:rsidRPr="005746B6" w:rsidRDefault="00F74AFA" w:rsidP="00F74AF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74AFA" w:rsidRPr="005746B6" w14:paraId="5BBF9A04" w14:textId="77777777" w:rsidTr="00F74AFA">
        <w:trPr>
          <w:trHeight w:val="295"/>
          <w:jc w:val="center"/>
        </w:trPr>
        <w:tc>
          <w:tcPr>
            <w:tcW w:w="923" w:type="dxa"/>
            <w:tcBorders>
              <w:top w:val="nil"/>
              <w:left w:val="nil"/>
              <w:bottom w:val="nil"/>
              <w:right w:val="nil"/>
            </w:tcBorders>
            <w:shd w:val="clear" w:color="auto" w:fill="auto"/>
          </w:tcPr>
          <w:p w14:paraId="028C6C31" w14:textId="77777777" w:rsidR="00F74AFA" w:rsidRPr="005746B6" w:rsidRDefault="00F74AFA" w:rsidP="00F74AFA">
            <w:pPr>
              <w:jc w:val="both"/>
              <w:rPr>
                <w:rFonts w:ascii="Arial" w:hAnsi="Arial" w:cs="FrankRuehl"/>
                <w:sz w:val="28"/>
                <w:szCs w:val="28"/>
              </w:rPr>
            </w:pPr>
            <w:r w:rsidRPr="005746B6">
              <w:rPr>
                <w:rFonts w:ascii="Arial" w:hAnsi="Arial" w:cs="FrankRuehl" w:hint="cs"/>
                <w:sz w:val="28"/>
                <w:szCs w:val="28"/>
                <w:rtl/>
              </w:rPr>
              <w:t>ב</w:t>
            </w:r>
            <w:r w:rsidRPr="005746B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01F4ADF" w14:textId="77777777" w:rsidR="00F74AFA" w:rsidRPr="005746B6" w:rsidRDefault="00F74AFA" w:rsidP="001336CD">
            <w:pPr>
              <w:rPr>
                <w:rFonts w:ascii="Arial" w:hAnsi="Arial"/>
                <w:b/>
                <w:bCs/>
                <w:rtl/>
              </w:rPr>
            </w:pPr>
            <w:r w:rsidRPr="005746B6">
              <w:rPr>
                <w:rFonts w:ascii="Arial" w:hAnsi="Arial" w:hint="cs"/>
                <w:b/>
                <w:bCs/>
                <w:rtl/>
              </w:rPr>
              <w:t>כבוד ה</w:t>
            </w:r>
            <w:r w:rsidRPr="005746B6">
              <w:rPr>
                <w:rFonts w:ascii="Arial" w:hAnsi="Arial"/>
                <w:b/>
                <w:bCs/>
                <w:rtl/>
              </w:rPr>
              <w:t>שופטת בכירה</w:t>
            </w:r>
            <w:r w:rsidRPr="005746B6">
              <w:rPr>
                <w:rFonts w:ascii="Arial" w:hAnsi="Arial" w:hint="cs"/>
                <w:b/>
                <w:bCs/>
                <w:rtl/>
              </w:rPr>
              <w:t xml:space="preserve">  </w:t>
            </w:r>
            <w:r w:rsidRPr="005746B6">
              <w:rPr>
                <w:rFonts w:ascii="Arial" w:hAnsi="Arial"/>
                <w:b/>
                <w:bCs/>
                <w:rtl/>
              </w:rPr>
              <w:t>אבירה אשקלוני</w:t>
            </w:r>
          </w:p>
          <w:p w14:paraId="2B883A43" w14:textId="77777777" w:rsidR="00F74AFA" w:rsidRPr="005746B6" w:rsidRDefault="00F74AFA" w:rsidP="001336CD">
            <w:pPr>
              <w:rPr>
                <w:rtl/>
              </w:rPr>
            </w:pPr>
          </w:p>
          <w:p w14:paraId="242FE060" w14:textId="77777777" w:rsidR="00F74AFA" w:rsidRPr="005746B6" w:rsidRDefault="00F74AFA" w:rsidP="00F74AFA">
            <w:pPr>
              <w:jc w:val="both"/>
              <w:rPr>
                <w:rFonts w:ascii="Arial" w:hAnsi="Arial" w:cs="FrankRuehl"/>
                <w:sz w:val="28"/>
                <w:szCs w:val="28"/>
              </w:rPr>
            </w:pPr>
          </w:p>
        </w:tc>
      </w:tr>
      <w:tr w:rsidR="00F74AFA" w:rsidRPr="005746B6" w14:paraId="4B9297D1" w14:textId="77777777" w:rsidTr="00F74AFA">
        <w:trPr>
          <w:trHeight w:val="355"/>
          <w:jc w:val="center"/>
        </w:trPr>
        <w:tc>
          <w:tcPr>
            <w:tcW w:w="923" w:type="dxa"/>
            <w:tcBorders>
              <w:top w:val="nil"/>
              <w:left w:val="nil"/>
              <w:bottom w:val="nil"/>
              <w:right w:val="nil"/>
            </w:tcBorders>
            <w:shd w:val="clear" w:color="auto" w:fill="auto"/>
          </w:tcPr>
          <w:p w14:paraId="60846ECE" w14:textId="77777777" w:rsidR="00F74AFA" w:rsidRPr="005746B6" w:rsidRDefault="00F74AFA" w:rsidP="00F74AFA">
            <w:pPr>
              <w:jc w:val="both"/>
              <w:rPr>
                <w:rFonts w:ascii="Arial" w:hAnsi="Arial" w:cs="FrankRuehl"/>
                <w:sz w:val="28"/>
                <w:szCs w:val="28"/>
              </w:rPr>
            </w:pPr>
            <w:bookmarkStart w:id="1" w:name="FirstAppellant"/>
            <w:r w:rsidRPr="005746B6">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39BCF7E" w14:textId="77777777" w:rsidR="00F74AFA" w:rsidRPr="005746B6" w:rsidRDefault="00F74AFA" w:rsidP="001336CD">
            <w:r w:rsidRPr="005746B6">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1B73FBE1" w14:textId="77777777" w:rsidR="00F74AFA" w:rsidRPr="005746B6" w:rsidRDefault="00F74AFA" w:rsidP="00F74AFA">
            <w:pPr>
              <w:jc w:val="both"/>
              <w:rPr>
                <w:rFonts w:ascii="Arial" w:hAnsi="Arial" w:cs="FrankRuehl"/>
                <w:sz w:val="28"/>
                <w:szCs w:val="28"/>
              </w:rPr>
            </w:pPr>
          </w:p>
        </w:tc>
      </w:tr>
      <w:bookmarkEnd w:id="1"/>
      <w:tr w:rsidR="00F74AFA" w:rsidRPr="005746B6" w14:paraId="05556ACC" w14:textId="77777777" w:rsidTr="00F74AFA">
        <w:trPr>
          <w:trHeight w:val="355"/>
          <w:jc w:val="center"/>
        </w:trPr>
        <w:tc>
          <w:tcPr>
            <w:tcW w:w="923" w:type="dxa"/>
            <w:tcBorders>
              <w:top w:val="nil"/>
              <w:left w:val="nil"/>
              <w:bottom w:val="nil"/>
              <w:right w:val="nil"/>
            </w:tcBorders>
            <w:shd w:val="clear" w:color="auto" w:fill="auto"/>
          </w:tcPr>
          <w:p w14:paraId="51D705CA" w14:textId="77777777" w:rsidR="00F74AFA" w:rsidRPr="005746B6" w:rsidRDefault="00F74AFA" w:rsidP="00F74AF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106008E" w14:textId="77777777" w:rsidR="00F74AFA" w:rsidRPr="005746B6" w:rsidRDefault="00F74AFA" w:rsidP="00F74AFA">
            <w:pPr>
              <w:jc w:val="both"/>
              <w:rPr>
                <w:rtl/>
              </w:rPr>
            </w:pPr>
          </w:p>
        </w:tc>
        <w:tc>
          <w:tcPr>
            <w:tcW w:w="3771" w:type="dxa"/>
            <w:tcBorders>
              <w:top w:val="nil"/>
              <w:left w:val="nil"/>
              <w:bottom w:val="nil"/>
              <w:right w:val="nil"/>
            </w:tcBorders>
            <w:shd w:val="clear" w:color="auto" w:fill="auto"/>
          </w:tcPr>
          <w:p w14:paraId="1E503030" w14:textId="77777777" w:rsidR="00F74AFA" w:rsidRPr="005746B6" w:rsidRDefault="00F74AFA" w:rsidP="00F74AFA">
            <w:pPr>
              <w:jc w:val="right"/>
              <w:rPr>
                <w:rFonts w:ascii="Arial" w:hAnsi="Arial" w:cs="FrankRuehl"/>
                <w:sz w:val="28"/>
                <w:szCs w:val="28"/>
                <w:rtl/>
              </w:rPr>
            </w:pPr>
            <w:r w:rsidRPr="005746B6">
              <w:rPr>
                <w:rFonts w:ascii="Arial" w:hAnsi="Arial" w:cs="FrankRuehl" w:hint="cs"/>
                <w:sz w:val="28"/>
                <w:szCs w:val="28"/>
                <w:rtl/>
              </w:rPr>
              <w:t>ה</w:t>
            </w:r>
            <w:r w:rsidRPr="005746B6">
              <w:rPr>
                <w:rFonts w:ascii="Arial" w:hAnsi="Arial" w:cs="FrankRuehl"/>
                <w:sz w:val="28"/>
                <w:szCs w:val="28"/>
                <w:rtl/>
              </w:rPr>
              <w:t>מאשימה</w:t>
            </w:r>
          </w:p>
        </w:tc>
      </w:tr>
      <w:tr w:rsidR="00F74AFA" w:rsidRPr="005746B6" w14:paraId="2D67BA52" w14:textId="77777777" w:rsidTr="00F74AFA">
        <w:trPr>
          <w:trHeight w:val="355"/>
          <w:jc w:val="center"/>
        </w:trPr>
        <w:tc>
          <w:tcPr>
            <w:tcW w:w="923" w:type="dxa"/>
            <w:tcBorders>
              <w:top w:val="nil"/>
              <w:left w:val="nil"/>
              <w:bottom w:val="nil"/>
              <w:right w:val="nil"/>
            </w:tcBorders>
            <w:shd w:val="clear" w:color="auto" w:fill="auto"/>
          </w:tcPr>
          <w:p w14:paraId="38EEC0EB" w14:textId="77777777" w:rsidR="00F74AFA" w:rsidRPr="005746B6" w:rsidRDefault="00F74AFA" w:rsidP="00F74AF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A6BC2AD" w14:textId="77777777" w:rsidR="00F74AFA" w:rsidRPr="005746B6" w:rsidRDefault="00F74AFA" w:rsidP="00F74AFA">
            <w:pPr>
              <w:jc w:val="center"/>
              <w:rPr>
                <w:rFonts w:ascii="Arial" w:hAnsi="Arial" w:cs="FrankRuehl"/>
                <w:b/>
                <w:bCs/>
                <w:sz w:val="28"/>
                <w:szCs w:val="28"/>
                <w:rtl/>
              </w:rPr>
            </w:pPr>
          </w:p>
          <w:p w14:paraId="53182F61" w14:textId="77777777" w:rsidR="00F74AFA" w:rsidRPr="005746B6" w:rsidRDefault="00F74AFA" w:rsidP="00F74AFA">
            <w:pPr>
              <w:jc w:val="center"/>
              <w:rPr>
                <w:rFonts w:ascii="Arial" w:hAnsi="Arial" w:cs="FrankRuehl"/>
                <w:b/>
                <w:bCs/>
                <w:sz w:val="28"/>
                <w:szCs w:val="28"/>
                <w:rtl/>
              </w:rPr>
            </w:pPr>
            <w:r w:rsidRPr="005746B6">
              <w:rPr>
                <w:rFonts w:ascii="Arial" w:hAnsi="Arial" w:cs="FrankRuehl"/>
                <w:b/>
                <w:bCs/>
                <w:sz w:val="28"/>
                <w:szCs w:val="28"/>
                <w:rtl/>
              </w:rPr>
              <w:t>נגד</w:t>
            </w:r>
          </w:p>
          <w:p w14:paraId="61DE6F7B" w14:textId="77777777" w:rsidR="00F74AFA" w:rsidRPr="005746B6" w:rsidRDefault="00F74AFA" w:rsidP="00F74AFA">
            <w:pPr>
              <w:jc w:val="both"/>
              <w:rPr>
                <w:rFonts w:ascii="Arial" w:hAnsi="Arial" w:cs="FrankRuehl"/>
                <w:sz w:val="28"/>
                <w:szCs w:val="28"/>
              </w:rPr>
            </w:pPr>
          </w:p>
        </w:tc>
      </w:tr>
      <w:tr w:rsidR="00F74AFA" w:rsidRPr="005746B6" w14:paraId="4976F5C1" w14:textId="77777777" w:rsidTr="00F74AFA">
        <w:trPr>
          <w:trHeight w:val="355"/>
          <w:jc w:val="center"/>
        </w:trPr>
        <w:tc>
          <w:tcPr>
            <w:tcW w:w="923" w:type="dxa"/>
            <w:tcBorders>
              <w:top w:val="nil"/>
              <w:left w:val="nil"/>
              <w:bottom w:val="nil"/>
              <w:right w:val="nil"/>
            </w:tcBorders>
            <w:shd w:val="clear" w:color="auto" w:fill="auto"/>
          </w:tcPr>
          <w:p w14:paraId="7F63A032" w14:textId="77777777" w:rsidR="00F74AFA" w:rsidRPr="005746B6" w:rsidRDefault="00F74AFA" w:rsidP="001336CD">
            <w:pPr>
              <w:rPr>
                <w:rFonts w:ascii="Arial" w:hAnsi="Arial" w:cs="FrankRuehl"/>
                <w:sz w:val="28"/>
                <w:szCs w:val="28"/>
                <w:rtl/>
              </w:rPr>
            </w:pPr>
          </w:p>
        </w:tc>
        <w:tc>
          <w:tcPr>
            <w:tcW w:w="4126" w:type="dxa"/>
            <w:tcBorders>
              <w:top w:val="nil"/>
              <w:left w:val="nil"/>
              <w:bottom w:val="nil"/>
              <w:right w:val="nil"/>
            </w:tcBorders>
            <w:shd w:val="clear" w:color="auto" w:fill="auto"/>
          </w:tcPr>
          <w:p w14:paraId="2C059826" w14:textId="77777777" w:rsidR="00F74AFA" w:rsidRPr="005746B6" w:rsidRDefault="00F74AFA" w:rsidP="001336CD">
            <w:pPr>
              <w:rPr>
                <w:rtl/>
              </w:rPr>
            </w:pPr>
            <w:r w:rsidRPr="005746B6">
              <w:rPr>
                <w:rFonts w:ascii="Arial" w:hAnsi="Arial" w:cs="FrankRuehl"/>
                <w:sz w:val="28"/>
                <w:szCs w:val="28"/>
                <w:rtl/>
              </w:rPr>
              <w:t>מתן בוקובזה</w:t>
            </w:r>
          </w:p>
        </w:tc>
        <w:tc>
          <w:tcPr>
            <w:tcW w:w="3771" w:type="dxa"/>
            <w:tcBorders>
              <w:top w:val="nil"/>
              <w:left w:val="nil"/>
              <w:bottom w:val="nil"/>
              <w:right w:val="nil"/>
            </w:tcBorders>
            <w:shd w:val="clear" w:color="auto" w:fill="auto"/>
          </w:tcPr>
          <w:p w14:paraId="6DAAB88D" w14:textId="77777777" w:rsidR="00F74AFA" w:rsidRPr="005746B6" w:rsidRDefault="00F74AFA" w:rsidP="00F74AFA">
            <w:pPr>
              <w:jc w:val="right"/>
              <w:rPr>
                <w:rFonts w:ascii="Arial" w:hAnsi="Arial" w:cs="FrankRuehl"/>
                <w:sz w:val="28"/>
                <w:szCs w:val="28"/>
              </w:rPr>
            </w:pPr>
          </w:p>
        </w:tc>
      </w:tr>
      <w:tr w:rsidR="00F74AFA" w:rsidRPr="005746B6" w14:paraId="56C5F2D3" w14:textId="77777777" w:rsidTr="00F74AFA">
        <w:trPr>
          <w:trHeight w:val="355"/>
          <w:jc w:val="center"/>
        </w:trPr>
        <w:tc>
          <w:tcPr>
            <w:tcW w:w="923" w:type="dxa"/>
            <w:tcBorders>
              <w:top w:val="nil"/>
              <w:left w:val="nil"/>
              <w:bottom w:val="nil"/>
              <w:right w:val="nil"/>
            </w:tcBorders>
            <w:shd w:val="clear" w:color="auto" w:fill="auto"/>
          </w:tcPr>
          <w:p w14:paraId="73BEC2C1" w14:textId="77777777" w:rsidR="00F74AFA" w:rsidRPr="005746B6" w:rsidRDefault="00F74AFA" w:rsidP="00F74AF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842578D" w14:textId="77777777" w:rsidR="00F74AFA" w:rsidRPr="005746B6" w:rsidRDefault="00F74AFA" w:rsidP="00F74AFA">
            <w:pPr>
              <w:jc w:val="both"/>
              <w:rPr>
                <w:rtl/>
              </w:rPr>
            </w:pPr>
          </w:p>
        </w:tc>
        <w:tc>
          <w:tcPr>
            <w:tcW w:w="3771" w:type="dxa"/>
            <w:tcBorders>
              <w:top w:val="nil"/>
              <w:left w:val="nil"/>
              <w:bottom w:val="nil"/>
              <w:right w:val="nil"/>
            </w:tcBorders>
            <w:shd w:val="clear" w:color="auto" w:fill="auto"/>
          </w:tcPr>
          <w:p w14:paraId="2425BCBA" w14:textId="77777777" w:rsidR="00F74AFA" w:rsidRPr="005746B6" w:rsidRDefault="00F74AFA" w:rsidP="00F74AFA">
            <w:pPr>
              <w:jc w:val="right"/>
              <w:rPr>
                <w:rFonts w:ascii="Arial" w:hAnsi="Arial" w:cs="FrankRuehl"/>
                <w:sz w:val="28"/>
                <w:szCs w:val="28"/>
              </w:rPr>
            </w:pPr>
            <w:r w:rsidRPr="005746B6">
              <w:rPr>
                <w:rFonts w:ascii="Arial" w:hAnsi="Arial" w:cs="FrankRuehl" w:hint="cs"/>
                <w:sz w:val="28"/>
                <w:szCs w:val="28"/>
                <w:rtl/>
              </w:rPr>
              <w:t>ה</w:t>
            </w:r>
            <w:r w:rsidRPr="005746B6">
              <w:rPr>
                <w:rFonts w:ascii="Arial" w:hAnsi="Arial" w:cs="FrankRuehl"/>
                <w:sz w:val="28"/>
                <w:szCs w:val="28"/>
                <w:rtl/>
              </w:rPr>
              <w:t>נאשמים</w:t>
            </w:r>
          </w:p>
        </w:tc>
      </w:tr>
    </w:tbl>
    <w:p w14:paraId="03017EE5" w14:textId="77777777" w:rsidR="00080B15" w:rsidRDefault="00080B15" w:rsidP="005746B6">
      <w:pPr>
        <w:rPr>
          <w:rtl/>
        </w:rPr>
      </w:pPr>
    </w:p>
    <w:p w14:paraId="6B6DBC6E" w14:textId="77777777" w:rsidR="00080B15" w:rsidRPr="00080B15" w:rsidRDefault="00080B15" w:rsidP="00080B15">
      <w:pPr>
        <w:spacing w:after="120" w:line="240" w:lineRule="exact"/>
        <w:ind w:left="283" w:hanging="283"/>
        <w:jc w:val="both"/>
        <w:rPr>
          <w:rFonts w:ascii="FrankRuehl" w:hAnsi="FrankRuehl" w:cs="FrankRuehl"/>
          <w:rtl/>
        </w:rPr>
      </w:pPr>
    </w:p>
    <w:p w14:paraId="6BE2AC5D" w14:textId="77777777" w:rsidR="00D17644" w:rsidRDefault="00D17644" w:rsidP="00D17644">
      <w:pPr>
        <w:rPr>
          <w:rtl/>
        </w:rPr>
      </w:pPr>
    </w:p>
    <w:p w14:paraId="71FB6BFC" w14:textId="77777777" w:rsidR="00D17644" w:rsidRPr="00D17644" w:rsidRDefault="00D17644" w:rsidP="00D17644">
      <w:pPr>
        <w:spacing w:before="120" w:after="120" w:line="240" w:lineRule="exact"/>
        <w:ind w:left="283" w:hanging="283"/>
        <w:jc w:val="both"/>
        <w:rPr>
          <w:rFonts w:ascii="FrankRuehl" w:hAnsi="FrankRuehl" w:cs="FrankRuehl"/>
          <w:rtl/>
        </w:rPr>
      </w:pPr>
    </w:p>
    <w:p w14:paraId="556A9AA8" w14:textId="77777777" w:rsidR="00D17644" w:rsidRPr="00D17644" w:rsidRDefault="00D17644" w:rsidP="00D17644">
      <w:pPr>
        <w:spacing w:before="120" w:after="120" w:line="240" w:lineRule="exact"/>
        <w:ind w:left="283" w:hanging="283"/>
        <w:jc w:val="both"/>
        <w:rPr>
          <w:rFonts w:ascii="FrankRuehl" w:hAnsi="FrankRuehl" w:cs="FrankRuehl"/>
          <w:rtl/>
        </w:rPr>
      </w:pPr>
    </w:p>
    <w:p w14:paraId="75BBFF76" w14:textId="77777777" w:rsidR="00E87833" w:rsidRDefault="00E87833" w:rsidP="00E87833">
      <w:pPr>
        <w:rPr>
          <w:rtl/>
        </w:rPr>
      </w:pPr>
      <w:bookmarkStart w:id="2" w:name="LawTable"/>
      <w:bookmarkEnd w:id="2"/>
    </w:p>
    <w:p w14:paraId="4844494D" w14:textId="77777777" w:rsidR="00E87833" w:rsidRPr="00E87833" w:rsidRDefault="00E87833" w:rsidP="00E87833">
      <w:pPr>
        <w:spacing w:before="120" w:after="120" w:line="240" w:lineRule="exact"/>
        <w:ind w:left="283" w:hanging="283"/>
        <w:jc w:val="both"/>
        <w:rPr>
          <w:rFonts w:ascii="FrankRuehl" w:hAnsi="FrankRuehl" w:cs="FrankRuehl"/>
          <w:rtl/>
        </w:rPr>
      </w:pPr>
    </w:p>
    <w:p w14:paraId="7EBCFD7D" w14:textId="77777777" w:rsidR="00E87833" w:rsidRPr="00E87833" w:rsidRDefault="00E87833" w:rsidP="00E87833">
      <w:pPr>
        <w:spacing w:before="120" w:after="120" w:line="240" w:lineRule="exact"/>
        <w:ind w:left="283" w:hanging="283"/>
        <w:jc w:val="both"/>
        <w:rPr>
          <w:rFonts w:ascii="FrankRuehl" w:hAnsi="FrankRuehl" w:cs="FrankRuehl"/>
          <w:rtl/>
        </w:rPr>
      </w:pPr>
    </w:p>
    <w:p w14:paraId="3355A18B" w14:textId="77777777" w:rsidR="00E87833" w:rsidRPr="00E87833" w:rsidRDefault="00E87833" w:rsidP="00E87833">
      <w:pPr>
        <w:spacing w:before="120" w:after="120" w:line="240" w:lineRule="exact"/>
        <w:ind w:left="283" w:hanging="283"/>
        <w:jc w:val="both"/>
        <w:rPr>
          <w:rFonts w:ascii="FrankRuehl" w:hAnsi="FrankRuehl" w:cs="FrankRuehl"/>
          <w:rtl/>
        </w:rPr>
      </w:pPr>
      <w:r w:rsidRPr="00E87833">
        <w:rPr>
          <w:rFonts w:ascii="FrankRuehl" w:hAnsi="FrankRuehl" w:cs="FrankRuehl"/>
          <w:rtl/>
        </w:rPr>
        <w:t xml:space="preserve">חקיקה שאוזכרה: </w:t>
      </w:r>
    </w:p>
    <w:p w14:paraId="77231228" w14:textId="77777777" w:rsidR="00E87833" w:rsidRPr="00E87833" w:rsidRDefault="00E87833" w:rsidP="00E87833">
      <w:pPr>
        <w:spacing w:before="120" w:after="120" w:line="240" w:lineRule="exact"/>
        <w:ind w:left="283" w:hanging="283"/>
        <w:jc w:val="both"/>
        <w:rPr>
          <w:rFonts w:ascii="FrankRuehl" w:hAnsi="FrankRuehl" w:cs="FrankRuehl"/>
          <w:rtl/>
        </w:rPr>
      </w:pPr>
      <w:hyperlink r:id="rId7" w:history="1">
        <w:r w:rsidRPr="00E87833">
          <w:rPr>
            <w:rFonts w:ascii="FrankRuehl" w:hAnsi="FrankRuehl" w:cs="FrankRuehl"/>
            <w:color w:val="0000FF"/>
            <w:rtl/>
          </w:rPr>
          <w:t>פקודת הסמים המסוכנים [נוסח חדש], תשל"ג-1973</w:t>
        </w:r>
      </w:hyperlink>
      <w:r w:rsidRPr="00E87833">
        <w:rPr>
          <w:rFonts w:ascii="FrankRuehl" w:hAnsi="FrankRuehl" w:cs="FrankRuehl"/>
          <w:rtl/>
        </w:rPr>
        <w:t xml:space="preserve">: סע'  </w:t>
      </w:r>
      <w:hyperlink r:id="rId8" w:history="1">
        <w:r w:rsidRPr="00E87833">
          <w:rPr>
            <w:rFonts w:ascii="FrankRuehl" w:hAnsi="FrankRuehl" w:cs="FrankRuehl"/>
            <w:color w:val="0000FF"/>
            <w:rtl/>
          </w:rPr>
          <w:t>7.א.</w:t>
        </w:r>
      </w:hyperlink>
      <w:r w:rsidRPr="00E87833">
        <w:rPr>
          <w:rFonts w:ascii="FrankRuehl" w:hAnsi="FrankRuehl" w:cs="FrankRuehl"/>
          <w:rtl/>
        </w:rPr>
        <w:t xml:space="preserve">, </w:t>
      </w:r>
      <w:hyperlink r:id="rId9" w:history="1">
        <w:r w:rsidRPr="00E87833">
          <w:rPr>
            <w:rFonts w:ascii="FrankRuehl" w:hAnsi="FrankRuehl" w:cs="FrankRuehl"/>
            <w:color w:val="0000FF"/>
            <w:rtl/>
          </w:rPr>
          <w:t>7.ג</w:t>
        </w:r>
      </w:hyperlink>
    </w:p>
    <w:p w14:paraId="177C7F5F" w14:textId="77777777" w:rsidR="00E87833" w:rsidRPr="00E87833" w:rsidRDefault="00E87833" w:rsidP="00E87833">
      <w:pPr>
        <w:spacing w:before="120" w:after="120" w:line="240" w:lineRule="exact"/>
        <w:ind w:left="283" w:hanging="283"/>
        <w:jc w:val="both"/>
        <w:rPr>
          <w:rFonts w:ascii="FrankRuehl" w:hAnsi="FrankRuehl" w:cs="FrankRuehl"/>
          <w:rtl/>
        </w:rPr>
      </w:pPr>
      <w:hyperlink r:id="rId10" w:history="1">
        <w:r w:rsidRPr="00E87833">
          <w:rPr>
            <w:rFonts w:ascii="FrankRuehl" w:hAnsi="FrankRuehl" w:cs="FrankRuehl"/>
            <w:color w:val="0000FF"/>
            <w:rtl/>
          </w:rPr>
          <w:t>פקודת התעבורה [נוסח חדש]</w:t>
        </w:r>
      </w:hyperlink>
      <w:r w:rsidRPr="00E87833">
        <w:rPr>
          <w:rFonts w:ascii="FrankRuehl" w:hAnsi="FrankRuehl" w:cs="FrankRuehl"/>
          <w:rtl/>
        </w:rPr>
        <w:t xml:space="preserve">: סע'  </w:t>
      </w:r>
      <w:hyperlink r:id="rId11" w:history="1">
        <w:r w:rsidRPr="00E87833">
          <w:rPr>
            <w:rFonts w:ascii="FrankRuehl" w:hAnsi="FrankRuehl" w:cs="FrankRuehl"/>
            <w:color w:val="0000FF"/>
            <w:rtl/>
          </w:rPr>
          <w:t>13.א.</w:t>
        </w:r>
      </w:hyperlink>
      <w:r w:rsidRPr="00E87833">
        <w:rPr>
          <w:rFonts w:ascii="FrankRuehl" w:hAnsi="FrankRuehl" w:cs="FrankRuehl"/>
          <w:rtl/>
        </w:rPr>
        <w:t xml:space="preserve">, </w:t>
      </w:r>
      <w:hyperlink r:id="rId12" w:history="1">
        <w:r w:rsidRPr="00E87833">
          <w:rPr>
            <w:rFonts w:ascii="FrankRuehl" w:hAnsi="FrankRuehl" w:cs="FrankRuehl"/>
            <w:color w:val="0000FF"/>
            <w:rtl/>
          </w:rPr>
          <w:t>14.2</w:t>
        </w:r>
      </w:hyperlink>
    </w:p>
    <w:p w14:paraId="1E2F1649" w14:textId="77777777" w:rsidR="00E87833" w:rsidRPr="00E87833" w:rsidRDefault="00E87833" w:rsidP="00E87833">
      <w:pPr>
        <w:spacing w:before="120" w:after="120" w:line="240" w:lineRule="exact"/>
        <w:ind w:left="283" w:hanging="283"/>
        <w:jc w:val="both"/>
        <w:rPr>
          <w:rFonts w:ascii="FrankRuehl" w:hAnsi="FrankRuehl" w:cs="FrankRuehl"/>
          <w:rtl/>
        </w:rPr>
      </w:pPr>
      <w:hyperlink r:id="rId13" w:history="1">
        <w:r w:rsidRPr="00E87833">
          <w:rPr>
            <w:rFonts w:ascii="FrankRuehl" w:hAnsi="FrankRuehl" w:cs="FrankRuehl"/>
            <w:color w:val="0000FF"/>
            <w:rtl/>
          </w:rPr>
          <w:t>חוק סדר הדין הפלילי [נוסח משולב], תשמ"ב-1982</w:t>
        </w:r>
      </w:hyperlink>
      <w:r w:rsidRPr="00E87833">
        <w:rPr>
          <w:rFonts w:ascii="FrankRuehl" w:hAnsi="FrankRuehl" w:cs="FrankRuehl"/>
          <w:rtl/>
        </w:rPr>
        <w:t xml:space="preserve">: סע'  </w:t>
      </w:r>
      <w:hyperlink r:id="rId14" w:history="1">
        <w:r w:rsidRPr="00E87833">
          <w:rPr>
            <w:rFonts w:ascii="FrankRuehl" w:hAnsi="FrankRuehl" w:cs="FrankRuehl"/>
            <w:color w:val="0000FF"/>
            <w:rtl/>
          </w:rPr>
          <w:t>192א</w:t>
        </w:r>
      </w:hyperlink>
    </w:p>
    <w:p w14:paraId="0F76BFE5" w14:textId="77777777" w:rsidR="00E87833" w:rsidRPr="00E87833" w:rsidRDefault="00E87833" w:rsidP="00E87833">
      <w:pPr>
        <w:rPr>
          <w:rtl/>
        </w:rPr>
      </w:pPr>
      <w:bookmarkStart w:id="3" w:name="LawTable_End"/>
      <w:bookmarkEnd w:id="3"/>
    </w:p>
    <w:p w14:paraId="59AC71B5" w14:textId="77777777" w:rsidR="00F74AFA" w:rsidRPr="005746B6" w:rsidRDefault="00F74AFA" w:rsidP="00F74AF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74AFA" w14:paraId="776BD51C" w14:textId="77777777" w:rsidTr="00F74AFA">
        <w:trPr>
          <w:trHeight w:val="355"/>
          <w:jc w:val="center"/>
        </w:trPr>
        <w:tc>
          <w:tcPr>
            <w:tcW w:w="8820" w:type="dxa"/>
            <w:tcBorders>
              <w:top w:val="nil"/>
              <w:left w:val="nil"/>
              <w:bottom w:val="nil"/>
              <w:right w:val="nil"/>
            </w:tcBorders>
            <w:shd w:val="clear" w:color="auto" w:fill="auto"/>
          </w:tcPr>
          <w:p w14:paraId="47930B77" w14:textId="77777777" w:rsidR="005746B6" w:rsidRPr="005746B6" w:rsidRDefault="005746B6" w:rsidP="005746B6">
            <w:pPr>
              <w:jc w:val="center"/>
              <w:rPr>
                <w:rFonts w:ascii="Arial" w:hAnsi="Arial" w:cs="FrankRuehl"/>
                <w:b/>
                <w:bCs/>
                <w:sz w:val="32"/>
                <w:szCs w:val="32"/>
                <w:u w:val="single"/>
                <w:rtl/>
              </w:rPr>
            </w:pPr>
            <w:bookmarkStart w:id="4" w:name="PsakDin" w:colFirst="0" w:colLast="0"/>
            <w:bookmarkEnd w:id="0"/>
            <w:r w:rsidRPr="005746B6">
              <w:rPr>
                <w:rFonts w:ascii="Arial" w:hAnsi="Arial" w:cs="FrankRuehl"/>
                <w:b/>
                <w:bCs/>
                <w:sz w:val="32"/>
                <w:szCs w:val="32"/>
                <w:u w:val="single"/>
                <w:rtl/>
              </w:rPr>
              <w:t>גזר דין</w:t>
            </w:r>
          </w:p>
          <w:p w14:paraId="6F2B9E7B" w14:textId="77777777" w:rsidR="00F74AFA" w:rsidRPr="005746B6" w:rsidRDefault="00F74AFA" w:rsidP="005746B6">
            <w:pPr>
              <w:jc w:val="center"/>
              <w:rPr>
                <w:rFonts w:ascii="Arial" w:hAnsi="Arial" w:cs="FrankRuehl"/>
                <w:bCs/>
                <w:sz w:val="32"/>
                <w:szCs w:val="32"/>
                <w:u w:val="single"/>
                <w:rtl/>
              </w:rPr>
            </w:pPr>
          </w:p>
        </w:tc>
      </w:tr>
      <w:bookmarkEnd w:id="4"/>
    </w:tbl>
    <w:p w14:paraId="7EDB79E5" w14:textId="77777777" w:rsidR="00F74AFA" w:rsidRPr="00B05847" w:rsidRDefault="00F74AFA" w:rsidP="00F74AFA">
      <w:pPr>
        <w:rPr>
          <w:rFonts w:ascii="Arial" w:hAnsi="Arial"/>
          <w:rtl/>
        </w:rPr>
      </w:pPr>
    </w:p>
    <w:p w14:paraId="44E04798" w14:textId="77777777" w:rsidR="00F74AFA" w:rsidRPr="00B05847" w:rsidRDefault="00F74AFA" w:rsidP="00F74AFA">
      <w:pPr>
        <w:rPr>
          <w:rFonts w:ascii="Arial" w:hAnsi="Arial"/>
          <w:rtl/>
        </w:rPr>
      </w:pPr>
    </w:p>
    <w:p w14:paraId="6B27605E" w14:textId="77777777" w:rsidR="00F74AFA" w:rsidRPr="00B05847" w:rsidRDefault="00F74AFA" w:rsidP="00F74AFA">
      <w:pPr>
        <w:rPr>
          <w:rtl/>
        </w:rPr>
      </w:pPr>
    </w:p>
    <w:p w14:paraId="60A8E14B" w14:textId="77777777" w:rsidR="00F74AFA" w:rsidRPr="00AC4C75" w:rsidRDefault="00F74AFA" w:rsidP="00F74AFA">
      <w:pPr>
        <w:jc w:val="both"/>
        <w:rPr>
          <w:rFonts w:ascii="David" w:hAnsi="David"/>
          <w:b/>
          <w:bCs/>
        </w:rPr>
      </w:pPr>
      <w:r w:rsidRPr="00AC4C75">
        <w:rPr>
          <w:rFonts w:ascii="David" w:hAnsi="David"/>
          <w:b/>
          <w:bCs/>
          <w:rtl/>
        </w:rPr>
        <w:t>הערת בית המשפט: גזר הדין הוקרא על ידי כב' השופטת רבקה שוורץ.</w:t>
      </w:r>
    </w:p>
    <w:p w14:paraId="49D7F0DB" w14:textId="77777777" w:rsidR="00F74AFA" w:rsidRPr="00AC4C75" w:rsidRDefault="00F74AFA" w:rsidP="00F74AFA">
      <w:pPr>
        <w:jc w:val="both"/>
        <w:rPr>
          <w:rFonts w:ascii="David" w:hAnsi="David"/>
          <w:u w:val="single"/>
        </w:rPr>
      </w:pPr>
    </w:p>
    <w:p w14:paraId="7C3FF000" w14:textId="77777777" w:rsidR="00F74AFA" w:rsidRPr="00AC4C75" w:rsidRDefault="00F74AFA" w:rsidP="00F74AFA">
      <w:pPr>
        <w:jc w:val="both"/>
        <w:rPr>
          <w:rFonts w:ascii="David" w:hAnsi="David"/>
          <w:u w:val="single"/>
          <w:rtl/>
        </w:rPr>
      </w:pPr>
      <w:bookmarkStart w:id="5" w:name="ABSTRACT_START"/>
      <w:bookmarkEnd w:id="5"/>
      <w:r w:rsidRPr="00AC4C75">
        <w:rPr>
          <w:rFonts w:ascii="David" w:hAnsi="David"/>
          <w:u w:val="single"/>
          <w:rtl/>
        </w:rPr>
        <w:t xml:space="preserve">האישום וההרשעה </w:t>
      </w:r>
    </w:p>
    <w:p w14:paraId="3BE7262A" w14:textId="77777777" w:rsidR="00F74AFA" w:rsidRPr="00AC4C75" w:rsidRDefault="00F74AFA" w:rsidP="00F74AFA">
      <w:pPr>
        <w:numPr>
          <w:ilvl w:val="0"/>
          <w:numId w:val="1"/>
        </w:numPr>
        <w:spacing w:after="160" w:line="360" w:lineRule="auto"/>
        <w:contextualSpacing/>
        <w:jc w:val="both"/>
        <w:rPr>
          <w:rFonts w:ascii="David" w:eastAsia="Calibri" w:hAnsi="David"/>
          <w:rtl/>
        </w:rPr>
      </w:pPr>
      <w:r w:rsidRPr="00AC4C75">
        <w:rPr>
          <w:rFonts w:ascii="David" w:eastAsia="Calibri" w:hAnsi="David"/>
          <w:rtl/>
        </w:rPr>
        <w:t xml:space="preserve">הנאשם הודה במיוחס לו והורשע במסגרת הסדר טיעון בעבירות של החזקה/שימוש בסמים לצריכה עצמית לפי </w:t>
      </w:r>
      <w:hyperlink r:id="rId15" w:history="1">
        <w:r w:rsidR="00080B15" w:rsidRPr="00080B15">
          <w:rPr>
            <w:rStyle w:val="Hyperlink"/>
            <w:rFonts w:ascii="David" w:eastAsia="Calibri" w:hAnsi="David"/>
            <w:rtl/>
          </w:rPr>
          <w:t>סעיפים 7(א)+7(ג)</w:t>
        </w:r>
      </w:hyperlink>
      <w:r w:rsidRPr="00AC4C75">
        <w:rPr>
          <w:rFonts w:ascii="David" w:eastAsia="Calibri" w:hAnsi="David"/>
          <w:rtl/>
        </w:rPr>
        <w:t xml:space="preserve"> סיפא ל</w:t>
      </w:r>
      <w:hyperlink r:id="rId16" w:history="1">
        <w:r w:rsidR="005746B6" w:rsidRPr="005746B6">
          <w:rPr>
            <w:rFonts w:ascii="David" w:eastAsia="Calibri" w:hAnsi="David"/>
            <w:color w:val="0000FF"/>
            <w:u w:val="single"/>
            <w:rtl/>
          </w:rPr>
          <w:t>פקודת הסמים המסוכנים</w:t>
        </w:r>
      </w:hyperlink>
      <w:r w:rsidRPr="00AC4C75">
        <w:rPr>
          <w:rFonts w:ascii="David" w:eastAsia="Calibri" w:hAnsi="David"/>
          <w:rtl/>
        </w:rPr>
        <w:t xml:space="preserve"> (נוסח חדש), תשל"ג-1973 (להלן: "</w:t>
      </w:r>
      <w:r w:rsidRPr="00AC4C75">
        <w:rPr>
          <w:rFonts w:ascii="David" w:eastAsia="Calibri" w:hAnsi="David"/>
          <w:b/>
          <w:bCs/>
          <w:rtl/>
        </w:rPr>
        <w:t>הפקודה</w:t>
      </w:r>
      <w:r w:rsidRPr="00AC4C75">
        <w:rPr>
          <w:rFonts w:ascii="David" w:eastAsia="Calibri" w:hAnsi="David"/>
          <w:rtl/>
        </w:rPr>
        <w:t>") בכתבי האישום הבאים שצורפו יחדיו:</w:t>
      </w:r>
    </w:p>
    <w:p w14:paraId="2DAFDDF8" w14:textId="77777777" w:rsidR="00F74AFA" w:rsidRPr="00AC4C75" w:rsidRDefault="005746B6" w:rsidP="00F74AFA">
      <w:pPr>
        <w:numPr>
          <w:ilvl w:val="0"/>
          <w:numId w:val="2"/>
        </w:numPr>
        <w:spacing w:after="160" w:line="360" w:lineRule="auto"/>
        <w:contextualSpacing/>
        <w:jc w:val="both"/>
        <w:rPr>
          <w:rFonts w:ascii="David" w:eastAsia="Calibri" w:hAnsi="David"/>
          <w:rtl/>
        </w:rPr>
      </w:pPr>
      <w:hyperlink r:id="rId17" w:history="1">
        <w:r w:rsidRPr="005746B6">
          <w:rPr>
            <w:rFonts w:ascii="David" w:eastAsia="Calibri" w:hAnsi="David"/>
            <w:color w:val="0000FF"/>
            <w:u w:val="single"/>
            <w:rtl/>
          </w:rPr>
          <w:t>ת"פ 57417-11-18</w:t>
        </w:r>
      </w:hyperlink>
      <w:r w:rsidR="00F74AFA" w:rsidRPr="00AC4C75">
        <w:rPr>
          <w:rFonts w:ascii="David" w:eastAsia="Calibri" w:hAnsi="David"/>
          <w:rtl/>
        </w:rPr>
        <w:t xml:space="preserve">: ביום 26.9.15 בוצע חיפוש כדין ביחידת דיור שבה התגורר הנאשם באותה העת ברחוב אלמוגים 215 באילת. באותו מעמד, החזיק הנאשם סם מסוכן מסוג חשיש במשקל 1.8925 גרם נטו, לצריכתו העצמית, ללא היתר כדין או ברישיון מאת מנהל. </w:t>
      </w:r>
    </w:p>
    <w:bookmarkStart w:id="6" w:name="ABSTRACT_END"/>
    <w:bookmarkEnd w:id="6"/>
    <w:p w14:paraId="4EE33C39" w14:textId="77777777" w:rsidR="00F74AFA" w:rsidRPr="00AC4C75" w:rsidRDefault="005746B6" w:rsidP="00F74AFA">
      <w:pPr>
        <w:numPr>
          <w:ilvl w:val="0"/>
          <w:numId w:val="2"/>
        </w:numPr>
        <w:spacing w:after="160" w:line="360" w:lineRule="auto"/>
        <w:contextualSpacing/>
        <w:jc w:val="both"/>
        <w:rPr>
          <w:rFonts w:ascii="David" w:eastAsia="Calibri" w:hAnsi="David"/>
          <w:rtl/>
        </w:rPr>
      </w:pPr>
      <w:r w:rsidRPr="005746B6">
        <w:rPr>
          <w:rFonts w:ascii="David" w:eastAsia="Calibri" w:hAnsi="David"/>
          <w:color w:val="0000FF"/>
          <w:u w:val="single"/>
          <w:rtl/>
        </w:rPr>
        <w:fldChar w:fldCharType="begin"/>
      </w:r>
      <w:r w:rsidRPr="005746B6">
        <w:rPr>
          <w:rFonts w:ascii="David" w:eastAsia="Calibri" w:hAnsi="David"/>
          <w:color w:val="0000FF"/>
          <w:u w:val="single"/>
          <w:rtl/>
        </w:rPr>
        <w:instrText xml:space="preserve"> </w:instrText>
      </w:r>
      <w:r w:rsidRPr="005746B6">
        <w:rPr>
          <w:rFonts w:ascii="David" w:eastAsia="Calibri" w:hAnsi="David"/>
          <w:color w:val="0000FF"/>
          <w:u w:val="single"/>
        </w:rPr>
        <w:instrText xml:space="preserve">HYPERLINK </w:instrText>
      </w:r>
      <w:r w:rsidRPr="005746B6">
        <w:rPr>
          <w:rFonts w:ascii="David" w:eastAsia="Calibri" w:hAnsi="David"/>
          <w:color w:val="0000FF"/>
          <w:u w:val="single"/>
          <w:rtl/>
        </w:rPr>
        <w:instrText>"</w:instrText>
      </w:r>
      <w:r w:rsidRPr="005746B6">
        <w:rPr>
          <w:rFonts w:ascii="David" w:eastAsia="Calibri" w:hAnsi="David"/>
          <w:color w:val="0000FF"/>
          <w:u w:val="single"/>
        </w:rPr>
        <w:instrText>http://www.nevo.co.il/case/21992126"</w:instrText>
      </w:r>
      <w:r w:rsidRPr="005746B6">
        <w:rPr>
          <w:rFonts w:ascii="David" w:eastAsia="Calibri" w:hAnsi="David"/>
          <w:color w:val="0000FF"/>
          <w:u w:val="single"/>
          <w:rtl/>
        </w:rPr>
        <w:instrText xml:space="preserve"> </w:instrText>
      </w:r>
      <w:r w:rsidRPr="005746B6">
        <w:rPr>
          <w:rFonts w:ascii="David" w:eastAsia="Calibri" w:hAnsi="David"/>
          <w:color w:val="0000FF"/>
          <w:u w:val="single"/>
          <w:rtl/>
        </w:rPr>
      </w:r>
      <w:r w:rsidRPr="005746B6">
        <w:rPr>
          <w:rFonts w:ascii="David" w:eastAsia="Calibri" w:hAnsi="David"/>
          <w:color w:val="0000FF"/>
          <w:u w:val="single"/>
          <w:rtl/>
        </w:rPr>
        <w:fldChar w:fldCharType="separate"/>
      </w:r>
      <w:r w:rsidRPr="005746B6">
        <w:rPr>
          <w:rFonts w:ascii="David" w:eastAsia="Calibri" w:hAnsi="David"/>
          <w:color w:val="0000FF"/>
          <w:u w:val="single"/>
          <w:rtl/>
        </w:rPr>
        <w:t>ת"פ 28838-07-16</w:t>
      </w:r>
      <w:r w:rsidRPr="005746B6">
        <w:rPr>
          <w:rFonts w:ascii="David" w:eastAsia="Calibri" w:hAnsi="David"/>
          <w:color w:val="0000FF"/>
          <w:u w:val="single"/>
          <w:rtl/>
        </w:rPr>
        <w:fldChar w:fldCharType="end"/>
      </w:r>
      <w:r w:rsidR="00F74AFA" w:rsidRPr="00AC4C75">
        <w:rPr>
          <w:rFonts w:ascii="David" w:eastAsia="Calibri" w:hAnsi="David"/>
          <w:rtl/>
        </w:rPr>
        <w:t xml:space="preserve">: ביום 29.12.15 נערך חיפוש כדין בדירת הנאשם באילת. באותו מעמד, החזיק הנאשם, בתוך צנצנת בתיקו, סם מסוכן מסוג חשיש במשקל 2.672 גרם נטו לצריכתו העצמית ללא היתר כדין או ברישיון מאת מנהל. עוד החזיק בסם מסוכן מסוג קנבוס במשקל 0.367 גרם נטו לצריכתו העצמית ללא היתר כדין או ברישיון מאת מנהל. </w:t>
      </w:r>
    </w:p>
    <w:p w14:paraId="7E8A3B55" w14:textId="77777777" w:rsidR="00F74AFA" w:rsidRPr="00AC4C75" w:rsidRDefault="00F74AFA" w:rsidP="00F74AFA">
      <w:pPr>
        <w:jc w:val="both"/>
        <w:rPr>
          <w:rFonts w:ascii="David" w:hAnsi="David"/>
          <w:u w:val="single"/>
        </w:rPr>
      </w:pPr>
    </w:p>
    <w:p w14:paraId="181329E9" w14:textId="77777777" w:rsidR="00F74AFA" w:rsidRPr="00AC4C75" w:rsidRDefault="00F74AFA" w:rsidP="00F74AFA">
      <w:pPr>
        <w:jc w:val="both"/>
        <w:rPr>
          <w:rFonts w:ascii="David" w:hAnsi="David"/>
          <w:u w:val="single"/>
        </w:rPr>
      </w:pPr>
      <w:r w:rsidRPr="00AC4C75">
        <w:rPr>
          <w:rFonts w:ascii="David" w:hAnsi="David"/>
          <w:u w:val="single"/>
          <w:rtl/>
        </w:rPr>
        <w:t>הסדר הטיעון</w:t>
      </w:r>
    </w:p>
    <w:p w14:paraId="323B9734" w14:textId="77777777" w:rsidR="00F74AFA" w:rsidRPr="00AC4C75" w:rsidRDefault="00F74AFA" w:rsidP="00F74AFA">
      <w:pPr>
        <w:numPr>
          <w:ilvl w:val="0"/>
          <w:numId w:val="1"/>
        </w:numPr>
        <w:spacing w:after="160" w:line="360" w:lineRule="auto"/>
        <w:contextualSpacing/>
        <w:jc w:val="both"/>
        <w:rPr>
          <w:rFonts w:ascii="David" w:eastAsia="Calibri" w:hAnsi="David"/>
          <w:rtl/>
        </w:rPr>
      </w:pPr>
      <w:r w:rsidRPr="00AC4C75">
        <w:rPr>
          <w:rFonts w:ascii="David" w:eastAsia="Calibri" w:hAnsi="David"/>
          <w:rtl/>
        </w:rPr>
        <w:t xml:space="preserve">בדיון שהתקיים ביום 10.11.19 הוצג לבית המשפט הסדר טיעון לפיו הנאשם יודה בעובדות כתב האישום בת"פ 53729-11-18 ובכתב אישום נוסף שצורף: </w:t>
      </w:r>
      <w:hyperlink r:id="rId18" w:history="1">
        <w:r w:rsidR="005746B6" w:rsidRPr="005746B6">
          <w:rPr>
            <w:rFonts w:ascii="David" w:eastAsia="Calibri" w:hAnsi="David"/>
            <w:color w:val="0000FF"/>
            <w:u w:val="single"/>
            <w:rtl/>
          </w:rPr>
          <w:t>ת"פ 57417-11-18</w:t>
        </w:r>
      </w:hyperlink>
      <w:r w:rsidRPr="00AC4C75">
        <w:rPr>
          <w:rFonts w:ascii="David" w:eastAsia="Calibri" w:hAnsi="David"/>
          <w:rtl/>
        </w:rPr>
        <w:t xml:space="preserve"> ויורשע בהם. כמו כן, צורפו שני כתבי אישום נוספים: </w:t>
      </w:r>
      <w:hyperlink r:id="rId19" w:history="1">
        <w:r w:rsidR="005746B6" w:rsidRPr="005746B6">
          <w:rPr>
            <w:rFonts w:ascii="David" w:eastAsia="Calibri" w:hAnsi="David"/>
            <w:color w:val="0000FF"/>
            <w:u w:val="single"/>
            <w:rtl/>
          </w:rPr>
          <w:t>ת"פ 28838-07-16</w:t>
        </w:r>
      </w:hyperlink>
      <w:r w:rsidRPr="00AC4C75">
        <w:rPr>
          <w:rFonts w:ascii="David" w:eastAsia="Calibri" w:hAnsi="David"/>
          <w:rtl/>
        </w:rPr>
        <w:t xml:space="preserve"> ו</w:t>
      </w:r>
      <w:hyperlink r:id="rId20" w:history="1">
        <w:r w:rsidR="005746B6" w:rsidRPr="005746B6">
          <w:rPr>
            <w:rFonts w:ascii="David" w:eastAsia="Calibri" w:hAnsi="David"/>
            <w:color w:val="0000FF"/>
            <w:u w:val="single"/>
            <w:rtl/>
          </w:rPr>
          <w:t>ת"פ 25000-11-16</w:t>
        </w:r>
      </w:hyperlink>
      <w:r w:rsidRPr="00AC4C75">
        <w:rPr>
          <w:rFonts w:ascii="David" w:eastAsia="Calibri" w:hAnsi="David"/>
          <w:rtl/>
        </w:rPr>
        <w:t xml:space="preserve"> (מתוקן) בהן הנאשם הודה וניתנה הכרעת דין ביום 18.1.17 בבית משפט השלום באילת. הוסכם כי בכפוף להצלחה בתהליך בית המשפט הקהילתי – קרי, אי פתיחת תיקים חדשים, שיתוף פעולה מלא עם גורמי הטיפול, הגעה רציפה לשירות המבחן ולדיונים, וכן עמידה בתנאי תכנית השיקום – הצדדים יעתרו במשותף לחזרה מאישום בהסכמה בכתבי האישום הבאים: תפ"ק 53729-11-18 ו</w:t>
      </w:r>
      <w:hyperlink r:id="rId21" w:history="1">
        <w:r w:rsidR="005746B6" w:rsidRPr="005746B6">
          <w:rPr>
            <w:rFonts w:ascii="David" w:eastAsia="Calibri" w:hAnsi="David"/>
            <w:color w:val="0000FF"/>
            <w:u w:val="single"/>
            <w:rtl/>
          </w:rPr>
          <w:t>ת"פ 25000-11-16</w:t>
        </w:r>
      </w:hyperlink>
      <w:r w:rsidRPr="00AC4C75">
        <w:rPr>
          <w:rFonts w:ascii="David" w:eastAsia="Calibri" w:hAnsi="David"/>
          <w:rtl/>
        </w:rPr>
        <w:t>. במידה והתהליך לא יסתיים בהצלחה, הוסכם כי הצדדים יטענו באופן פתוח לעונש. בדיון מיום 4.11.20 שהתקיים בפני כב' השופטת שוורץ רבקה עולה כי, על יסוד בקשת הנאשם והסכמת הצדדים, בית המשפט אפשר חזרה מהודיה של הנאשם בכתב האישום תפ"ק 53729-11-18 ובוטלה הכרעת הדין שניתנה ביום 10.11.19. עוד עולה כי בית המשפט השלום באילת אפשר חזרה מהודיה של הנאשם מ</w:t>
      </w:r>
      <w:hyperlink r:id="rId22" w:history="1">
        <w:r w:rsidR="005746B6" w:rsidRPr="005746B6">
          <w:rPr>
            <w:rFonts w:ascii="David" w:eastAsia="Calibri" w:hAnsi="David"/>
            <w:color w:val="0000FF"/>
            <w:u w:val="single"/>
            <w:rtl/>
          </w:rPr>
          <w:t>ת"פ 25000-11-16</w:t>
        </w:r>
      </w:hyperlink>
      <w:r w:rsidRPr="00AC4C75">
        <w:rPr>
          <w:rFonts w:ascii="David" w:eastAsia="Calibri" w:hAnsi="David"/>
          <w:rtl/>
        </w:rPr>
        <w:t>. באותו דיון מיום 4.11.20, בית המשפט הורה על ביטול כתב האישום בתפ"ק 53729-11-18 בהסכמה ועל ביטול כתב האישום בתפ"ק 25000-11-16 בהסכמה. נקבע כי המזכירות תסב את התיק 57417-11-18 לתיק תפ"ק כאשר תיק תפ"ק 28838-</w:t>
      </w:r>
      <w:r>
        <w:rPr>
          <w:rFonts w:ascii="David" w:eastAsia="Calibri" w:hAnsi="David" w:hint="cs"/>
          <w:rtl/>
        </w:rPr>
        <w:t>07-</w:t>
      </w:r>
      <w:r w:rsidRPr="00AC4C75">
        <w:rPr>
          <w:rFonts w:ascii="David" w:eastAsia="Calibri" w:hAnsi="David"/>
          <w:rtl/>
        </w:rPr>
        <w:t>16 יצורף לתיק שיוסב לתפ"ק ותתבצע קשירת תיקים. עוד נקבע כי יש לקשור גם את תפ"ק 53729-11-18 לתיק כדי שניתן יהיה לעקוב אחר השתלשלות ההליכים.</w:t>
      </w:r>
      <w:r>
        <w:rPr>
          <w:rFonts w:ascii="David" w:eastAsia="Calibri" w:hAnsi="David" w:hint="cs"/>
          <w:rtl/>
        </w:rPr>
        <w:t xml:space="preserve"> על רקע השתלשלות ההליכים שתוארה לעיל, בדיון מיום 9.11.20 שהתקיים בפני כב' השופטת שוורץ, בוטלה בהסכמה הכרעת הדין מיום 10.11.19, ועל כן, במעמד הדיון הנאשם חזר על ההודיה בעובדות כתב האישום בתפ"ק 57417-11-18 וב</w:t>
      </w:r>
      <w:hyperlink r:id="rId23" w:history="1">
        <w:r w:rsidR="005746B6" w:rsidRPr="005746B6">
          <w:rPr>
            <w:rFonts w:ascii="David" w:eastAsia="Calibri" w:hAnsi="David"/>
            <w:color w:val="0000FF"/>
            <w:u w:val="single"/>
            <w:rtl/>
          </w:rPr>
          <w:t>ת"פ 28838-07-16</w:t>
        </w:r>
      </w:hyperlink>
      <w:r>
        <w:rPr>
          <w:rFonts w:ascii="David" w:eastAsia="Calibri" w:hAnsi="David" w:hint="cs"/>
          <w:rtl/>
        </w:rPr>
        <w:t xml:space="preserve"> ובית המשפט הורה על הרשעתו בתיקים אלו.</w:t>
      </w:r>
    </w:p>
    <w:p w14:paraId="33246B46" w14:textId="77777777" w:rsidR="00F74AFA" w:rsidRPr="00AC4C75" w:rsidRDefault="00F74AFA" w:rsidP="00F74AFA">
      <w:pPr>
        <w:jc w:val="both"/>
        <w:rPr>
          <w:rFonts w:ascii="David" w:hAnsi="David"/>
          <w:u w:val="single"/>
        </w:rPr>
      </w:pPr>
    </w:p>
    <w:p w14:paraId="17343DEA" w14:textId="77777777" w:rsidR="00F74AFA" w:rsidRPr="00AC4C75" w:rsidRDefault="00F74AFA" w:rsidP="00F74AFA">
      <w:pPr>
        <w:jc w:val="both"/>
        <w:rPr>
          <w:rFonts w:ascii="David" w:hAnsi="David"/>
          <w:u w:val="single"/>
        </w:rPr>
      </w:pPr>
      <w:r w:rsidRPr="00AC4C75">
        <w:rPr>
          <w:rFonts w:ascii="David" w:hAnsi="David"/>
          <w:u w:val="single"/>
          <w:rtl/>
        </w:rPr>
        <w:t>תסקירי שירות המבחן</w:t>
      </w:r>
    </w:p>
    <w:p w14:paraId="4A37F98C" w14:textId="77777777" w:rsidR="00F74AFA" w:rsidRPr="00AC4C75" w:rsidRDefault="00F74AFA" w:rsidP="00F74AFA">
      <w:pPr>
        <w:numPr>
          <w:ilvl w:val="0"/>
          <w:numId w:val="1"/>
        </w:numPr>
        <w:spacing w:after="160" w:line="360" w:lineRule="auto"/>
        <w:contextualSpacing/>
        <w:jc w:val="both"/>
        <w:rPr>
          <w:rFonts w:ascii="David" w:eastAsia="Calibri" w:hAnsi="David"/>
          <w:rtl/>
        </w:rPr>
      </w:pPr>
      <w:r w:rsidRPr="00AC4C75">
        <w:rPr>
          <w:rFonts w:ascii="David" w:eastAsia="Calibri" w:hAnsi="David"/>
          <w:rtl/>
        </w:rPr>
        <w:t xml:space="preserve">שירות המבחן הגיש מספר תסקירים בעניינו של הנאשם. </w:t>
      </w:r>
    </w:p>
    <w:p w14:paraId="606D4AE5" w14:textId="77777777" w:rsidR="00F74AFA" w:rsidRPr="00AC4C75" w:rsidRDefault="00F74AFA" w:rsidP="00F74AFA">
      <w:pPr>
        <w:numPr>
          <w:ilvl w:val="0"/>
          <w:numId w:val="1"/>
        </w:numPr>
        <w:spacing w:after="160" w:line="360" w:lineRule="auto"/>
        <w:contextualSpacing/>
        <w:jc w:val="both"/>
        <w:rPr>
          <w:rFonts w:ascii="David" w:eastAsia="Calibri" w:hAnsi="David"/>
          <w:rtl/>
        </w:rPr>
      </w:pPr>
      <w:r w:rsidRPr="00AC4C75">
        <w:rPr>
          <w:rFonts w:ascii="David" w:eastAsia="Calibri" w:hAnsi="David"/>
          <w:rtl/>
        </w:rPr>
        <w:t xml:space="preserve">תסקיר עומק מיום 24.3.19 בו נסקרו קורות חייו והרקע המשפחתי של הנאשם, בשל צנעת הפרט אמנע לפרט מעבר לנדרש. שירות המבחן התרשם כי מדובר בצעיר בעל יכולות </w:t>
      </w:r>
      <w:r w:rsidRPr="00AC4C75">
        <w:rPr>
          <w:rFonts w:ascii="David" w:eastAsia="Calibri" w:hAnsi="David"/>
          <w:rtl/>
        </w:rPr>
        <w:lastRenderedPageBreak/>
        <w:t>וורבליות תקינות אשר גדל בסביבה משפחתית בלתי יציבה, ובכלל זה נחשף לשימוש בסמים ולאורח חיים עובר חוק של הוריו. עוד עלה הרושם כי לנאשם כוחות שבאו לידי ביטוי במאמצים שהשקיע במסגרות החינוך והצבא כאשר השלים 11 שנות לימוד והתגייס לצבא, אך ללא גורמי תמיכה לא עלה בידו להתמיד במסגרות אלו ולסיימן בהצלחה. שירות המבחן מנה את הבעיות המרכזיות עמן התמודד הנאשם בעת עריכת התסקיר, ביניהן, רקע של שימוש בסמים, חובות, בעיות בריאותיות והיעדר תעסוקה/עיסוק מיטיב. בהתאם לבעיות ולקשיים אשר זוהו, גובשה תכנית שיקום בעניינו של הנאשם.</w:t>
      </w:r>
    </w:p>
    <w:p w14:paraId="5BDF27A1" w14:textId="77777777" w:rsidR="00F74AFA" w:rsidRPr="00AC4C75" w:rsidRDefault="00F74AFA" w:rsidP="00F74AFA">
      <w:pPr>
        <w:spacing w:after="160" w:line="254" w:lineRule="auto"/>
        <w:ind w:left="720"/>
        <w:contextualSpacing/>
        <w:jc w:val="both"/>
        <w:rPr>
          <w:rFonts w:ascii="David" w:eastAsia="Calibri" w:hAnsi="David"/>
          <w:rtl/>
        </w:rPr>
      </w:pPr>
    </w:p>
    <w:p w14:paraId="1B002FAC" w14:textId="77777777" w:rsidR="00F74AFA" w:rsidRPr="00AC4C75" w:rsidRDefault="00F74AFA" w:rsidP="00F74AFA">
      <w:pPr>
        <w:numPr>
          <w:ilvl w:val="0"/>
          <w:numId w:val="1"/>
        </w:numPr>
        <w:spacing w:after="160" w:line="360" w:lineRule="auto"/>
        <w:contextualSpacing/>
        <w:jc w:val="both"/>
        <w:rPr>
          <w:rFonts w:ascii="David" w:eastAsia="Calibri" w:hAnsi="David"/>
          <w:rtl/>
        </w:rPr>
      </w:pPr>
      <w:r w:rsidRPr="00AC4C75">
        <w:rPr>
          <w:rFonts w:ascii="David" w:eastAsia="Calibri" w:hAnsi="David"/>
          <w:rtl/>
        </w:rPr>
        <w:t xml:space="preserve">בתסקיר סיום ההליך מיום 6.8.20 ציין שירות המבחן את השינויים והתהליכים אשר התרחשו במהלך השתתפותו של הנאשם בתוכנית בית המשפט הקהילתי לצד המטרות שהושגו. </w:t>
      </w:r>
    </w:p>
    <w:p w14:paraId="71318756" w14:textId="77777777" w:rsidR="00F74AFA" w:rsidRPr="00AC4C75" w:rsidRDefault="00F74AFA" w:rsidP="00F74AFA">
      <w:pPr>
        <w:spacing w:after="160" w:line="254" w:lineRule="auto"/>
        <w:ind w:left="720"/>
        <w:contextualSpacing/>
        <w:rPr>
          <w:rFonts w:ascii="David" w:eastAsia="Calibri" w:hAnsi="David"/>
          <w:rtl/>
        </w:rPr>
      </w:pPr>
    </w:p>
    <w:p w14:paraId="1421F4BE" w14:textId="77777777" w:rsidR="00F74AFA" w:rsidRPr="00AC4C75" w:rsidRDefault="00F74AFA" w:rsidP="00F74AFA">
      <w:pPr>
        <w:spacing w:after="160" w:line="360" w:lineRule="auto"/>
        <w:ind w:left="720"/>
        <w:contextualSpacing/>
        <w:jc w:val="both"/>
        <w:rPr>
          <w:rFonts w:ascii="David" w:eastAsia="Calibri" w:hAnsi="David"/>
        </w:rPr>
      </w:pPr>
      <w:r w:rsidRPr="00AC4C75">
        <w:rPr>
          <w:rFonts w:ascii="David" w:eastAsia="Calibri" w:hAnsi="David"/>
          <w:u w:val="single"/>
          <w:rtl/>
        </w:rPr>
        <w:t>קשר עם שירות המבחן</w:t>
      </w:r>
      <w:r w:rsidRPr="00AC4C75">
        <w:rPr>
          <w:rFonts w:ascii="David" w:eastAsia="Calibri" w:hAnsi="David"/>
          <w:rtl/>
        </w:rPr>
        <w:t>: הנאשם הגיע בקביעות לפגישות בשירות המבחן למעט פגישות בודדות אליהן לא הגיע מסיבות שונות. הקפיד להגיע בזמן ולדווח על שינויים בהגעתו. במהלך השיחות השתדל לשתף ברגשותיו ותחושותיו הפנימיות.</w:t>
      </w:r>
    </w:p>
    <w:p w14:paraId="75B6D24B" w14:textId="77777777" w:rsidR="00F74AFA" w:rsidRPr="00AC4C75" w:rsidRDefault="00F74AFA" w:rsidP="00F74AFA">
      <w:pPr>
        <w:spacing w:after="160" w:line="360" w:lineRule="auto"/>
        <w:ind w:left="720"/>
        <w:contextualSpacing/>
        <w:jc w:val="both"/>
        <w:rPr>
          <w:rFonts w:ascii="David" w:eastAsia="Calibri" w:hAnsi="David"/>
          <w:rtl/>
        </w:rPr>
      </w:pPr>
      <w:r w:rsidRPr="00AC4C75">
        <w:rPr>
          <w:rFonts w:ascii="David" w:eastAsia="Calibri" w:hAnsi="David"/>
          <w:u w:val="single"/>
          <w:rtl/>
        </w:rPr>
        <w:t>סמים</w:t>
      </w:r>
      <w:r w:rsidRPr="00AC4C75">
        <w:rPr>
          <w:rFonts w:ascii="David" w:eastAsia="Calibri" w:hAnsi="David"/>
          <w:rtl/>
        </w:rPr>
        <w:t xml:space="preserve">: הנאשם, בעל רקע של שימוש בסמים מסוג קנביס, עבר בכוחות עצמו תהליך גמילה שלאחריו הפסיק באופן מוחלט את השימוש בסמים. הבדיקות שנערכו במהלך שילובו בבית המשפט הקהילתי נמצאו ללא שרידי סם ועלה הרושם כי הנאשם לאורך השתתפותו בתכנית נמנע משימוש בסמים. </w:t>
      </w:r>
    </w:p>
    <w:p w14:paraId="01AE8D12" w14:textId="77777777" w:rsidR="00F74AFA" w:rsidRPr="00AC4C75" w:rsidRDefault="00F74AFA" w:rsidP="00F74AFA">
      <w:pPr>
        <w:spacing w:after="160" w:line="360" w:lineRule="auto"/>
        <w:ind w:left="720"/>
        <w:contextualSpacing/>
        <w:jc w:val="both"/>
        <w:rPr>
          <w:rFonts w:ascii="David" w:eastAsia="Calibri" w:hAnsi="David"/>
          <w:rtl/>
        </w:rPr>
      </w:pPr>
      <w:r w:rsidRPr="00AC4C75">
        <w:rPr>
          <w:rFonts w:ascii="David" w:eastAsia="Calibri" w:hAnsi="David"/>
          <w:u w:val="single"/>
          <w:rtl/>
        </w:rPr>
        <w:t>חובות</w:t>
      </w:r>
      <w:r w:rsidRPr="00AC4C75">
        <w:rPr>
          <w:rFonts w:ascii="David" w:eastAsia="Calibri" w:hAnsi="David"/>
          <w:rtl/>
        </w:rPr>
        <w:t>: הנאשם צבר חובות למחלקת הגבייה בביטוח הלאומי. במהלך התכנית, שירות המבחן סייע לנאשם בהסדרת חובותיו באמצעות מספר פניות שנערכו לביטוח הלאומי, כאשר בעת עריכת התסקיר, נותר לנאשם לשלם סכום של כ-5,500 ₪ והוא התחייב כי ימשיך לשלם את החוב.</w:t>
      </w:r>
    </w:p>
    <w:p w14:paraId="2066AEE7" w14:textId="77777777" w:rsidR="00F74AFA" w:rsidRPr="00AC4C75" w:rsidRDefault="00F74AFA" w:rsidP="00F74AFA">
      <w:pPr>
        <w:spacing w:after="160" w:line="360" w:lineRule="auto"/>
        <w:ind w:left="720"/>
        <w:contextualSpacing/>
        <w:jc w:val="both"/>
        <w:rPr>
          <w:rFonts w:ascii="David" w:eastAsia="Calibri" w:hAnsi="David"/>
          <w:rtl/>
        </w:rPr>
      </w:pPr>
      <w:r w:rsidRPr="00AC4C75">
        <w:rPr>
          <w:rFonts w:ascii="David" w:eastAsia="Calibri" w:hAnsi="David"/>
          <w:u w:val="single"/>
          <w:rtl/>
        </w:rPr>
        <w:t>בריאות</w:t>
      </w:r>
      <w:r w:rsidRPr="00AC4C75">
        <w:rPr>
          <w:rFonts w:ascii="David" w:eastAsia="Calibri" w:hAnsi="David"/>
          <w:rtl/>
        </w:rPr>
        <w:t xml:space="preserve">: לאור תלונות הנאשם על כאבי שיניים, הנאשם ביצע בדיקות רפואיות אשר לא העלו כל ממצא חריג ולא הצריכו מעקב רפואי נוסף. הוצע לנאשם לעבור טיפולי שיניים במחיר מסובסד דרך הרווחה אולם הנאשם מסר כי מעדיף לעשות זאת כשישתלב בתעסוקה. </w:t>
      </w:r>
    </w:p>
    <w:p w14:paraId="1E5092B6" w14:textId="77777777" w:rsidR="00F74AFA" w:rsidRPr="00AC4C75" w:rsidRDefault="00F74AFA" w:rsidP="00F74AFA">
      <w:pPr>
        <w:spacing w:after="160" w:line="360" w:lineRule="auto"/>
        <w:ind w:left="720"/>
        <w:contextualSpacing/>
        <w:jc w:val="both"/>
        <w:rPr>
          <w:rFonts w:ascii="David" w:eastAsia="Calibri" w:hAnsi="David"/>
          <w:rtl/>
        </w:rPr>
      </w:pPr>
      <w:r w:rsidRPr="00AC4C75">
        <w:rPr>
          <w:rFonts w:ascii="David" w:eastAsia="Calibri" w:hAnsi="David"/>
          <w:u w:val="single"/>
          <w:rtl/>
        </w:rPr>
        <w:t>התנדבות</w:t>
      </w:r>
      <w:r w:rsidRPr="00AC4C75">
        <w:rPr>
          <w:rFonts w:ascii="David" w:eastAsia="Calibri" w:hAnsi="David"/>
          <w:rtl/>
        </w:rPr>
        <w:t xml:space="preserve">: לאור בקשתו של הנאשם להשתלב במסגרת התנדבותית, נעשו מספר ניסיונות לשלבו במסגרות אלו אך ללא הועיל. לאחר תהליך של חשיבה שערך הנאשם, החליט להתנדב במסגרת "ביגודית" בויצ"ו, ומשולב בה מדי שבוע החל מחודש יוני 2020. </w:t>
      </w:r>
    </w:p>
    <w:p w14:paraId="141922D7" w14:textId="77777777" w:rsidR="00F74AFA" w:rsidRPr="00AC4C75" w:rsidRDefault="00F74AFA" w:rsidP="00F74AFA">
      <w:pPr>
        <w:spacing w:after="160" w:line="360" w:lineRule="auto"/>
        <w:ind w:left="720"/>
        <w:contextualSpacing/>
        <w:jc w:val="both"/>
        <w:rPr>
          <w:rFonts w:ascii="David" w:eastAsia="Calibri" w:hAnsi="David"/>
          <w:rtl/>
        </w:rPr>
      </w:pPr>
      <w:r w:rsidRPr="00AC4C75">
        <w:rPr>
          <w:rFonts w:ascii="David" w:eastAsia="Calibri" w:hAnsi="David"/>
          <w:u w:val="single"/>
          <w:rtl/>
        </w:rPr>
        <w:t>שילוב בעיסוק מיטיב</w:t>
      </w:r>
      <w:r w:rsidRPr="00AC4C75">
        <w:rPr>
          <w:rFonts w:ascii="David" w:eastAsia="Calibri" w:hAnsi="David"/>
          <w:rtl/>
        </w:rPr>
        <w:t xml:space="preserve">: הנאשם מסר כי אינו מעוניין לקחת חלק בעולם התעסוקה, בין היתר לאור רצונו לעבוד בחו"ל עם דודו עם סיום התכנית ובהמשך להוציא רישיון נהיגה למונית. עם זאת, לאורך ההליך הנאשם בחן אפשרות להשתלב בקורס מקצועי של מנעולן שלא יצאה לפועל כיוון שהעדיף להמתין לסיום ההליך המשפטי כדי להוציא רישיון על מונית ולעבוד בעתיד כנהג מונית. </w:t>
      </w:r>
    </w:p>
    <w:p w14:paraId="235A59F7" w14:textId="77777777" w:rsidR="00F74AFA" w:rsidRPr="00AC4C75" w:rsidRDefault="00F74AFA" w:rsidP="00F74AFA">
      <w:pPr>
        <w:spacing w:after="160" w:line="360" w:lineRule="auto"/>
        <w:ind w:left="720"/>
        <w:contextualSpacing/>
        <w:jc w:val="both"/>
        <w:rPr>
          <w:rFonts w:ascii="David" w:eastAsia="Calibri" w:hAnsi="David"/>
          <w:rtl/>
        </w:rPr>
      </w:pPr>
      <w:r w:rsidRPr="00AC4C75">
        <w:rPr>
          <w:rFonts w:ascii="David" w:eastAsia="Calibri" w:hAnsi="David"/>
          <w:u w:val="single"/>
          <w:rtl/>
        </w:rPr>
        <w:t>השבה לקהילה</w:t>
      </w:r>
      <w:r w:rsidRPr="00AC4C75">
        <w:rPr>
          <w:rFonts w:ascii="David" w:eastAsia="Calibri" w:hAnsi="David"/>
          <w:rtl/>
        </w:rPr>
        <w:t>: הנאשם ביצע 8 שעות השבה לקהילה בעמותת סל"ק באריזה וחלוקה של סלי מזון, והביע סיפוק רב מהאפשרות להחזיר לקהילה.</w:t>
      </w:r>
    </w:p>
    <w:p w14:paraId="5C3A139F" w14:textId="77777777" w:rsidR="00F74AFA" w:rsidRPr="00AC4C75" w:rsidRDefault="00F74AFA" w:rsidP="00F74AFA">
      <w:pPr>
        <w:spacing w:after="160" w:line="360" w:lineRule="auto"/>
        <w:ind w:left="720"/>
        <w:contextualSpacing/>
        <w:jc w:val="both"/>
        <w:rPr>
          <w:rFonts w:ascii="David" w:eastAsia="Calibri" w:hAnsi="David"/>
          <w:rtl/>
        </w:rPr>
      </w:pPr>
      <w:r w:rsidRPr="00AC4C75">
        <w:rPr>
          <w:rFonts w:ascii="David" w:eastAsia="Calibri" w:hAnsi="David"/>
          <w:u w:val="single"/>
          <w:rtl/>
        </w:rPr>
        <w:t>יחסו לעבירות</w:t>
      </w:r>
      <w:r w:rsidRPr="00AC4C75">
        <w:rPr>
          <w:rFonts w:ascii="David" w:eastAsia="Calibri" w:hAnsi="David"/>
          <w:rtl/>
        </w:rPr>
        <w:t xml:space="preserve">: הנאשם מסר כי העבירות בוצעו בתקופה בה התרועע עם חברה שולית ופעל בהיעדר חשיבה מעמיקה על עתידו והשלכות מעשיו. הנאשם הביע צער וחרטה על מעשיו והדגיש כי ניתק את קשריו השוליים ועבר תהליך של שינוי והתבגרות פנימית. </w:t>
      </w:r>
    </w:p>
    <w:p w14:paraId="3B0FB220" w14:textId="77777777" w:rsidR="00F74AFA" w:rsidRPr="00AC4C75" w:rsidRDefault="00F74AFA" w:rsidP="00F74AFA">
      <w:pPr>
        <w:spacing w:after="160" w:line="360" w:lineRule="auto"/>
        <w:ind w:left="720"/>
        <w:contextualSpacing/>
        <w:jc w:val="both"/>
        <w:rPr>
          <w:rFonts w:ascii="David" w:eastAsia="Calibri" w:hAnsi="David"/>
          <w:rtl/>
        </w:rPr>
      </w:pPr>
    </w:p>
    <w:p w14:paraId="643136A9" w14:textId="77777777" w:rsidR="00F74AFA" w:rsidRPr="00AC4C75" w:rsidRDefault="00F74AFA" w:rsidP="00F74AFA">
      <w:pPr>
        <w:spacing w:after="160" w:line="360" w:lineRule="auto"/>
        <w:ind w:left="720"/>
        <w:contextualSpacing/>
        <w:jc w:val="both"/>
        <w:rPr>
          <w:rFonts w:ascii="David" w:eastAsia="Calibri" w:hAnsi="David"/>
          <w:rtl/>
        </w:rPr>
      </w:pPr>
      <w:r w:rsidRPr="00AC4C75">
        <w:rPr>
          <w:rFonts w:ascii="David" w:eastAsia="Calibri" w:hAnsi="David"/>
          <w:rtl/>
        </w:rPr>
        <w:t xml:space="preserve">שירות המבחן התרשם כי מדובר בצעיר בעל היסטוריה אישית ומשפחתית מורכבת. לאורך התכנית הנאשם שיתף פעולה באופן מלא עם גורמי הטיפול, הקפיד בהגעה לפגישות בשירות המבחן, נמנע משימוש בסמים והשלים את המשימות שהוטלו עליו. עוד עלה הרושם כי הנאשם הפגין אחריות ורצינות לתהליך השיקום תוך עריכת מאמצים מצדו לעמוד במטרות השיקום שהותוו לו. בנוסף, רמת הסיכון להישנות התנהגות עוברת חוק צומצם באופן משמעותי. נוכח כל המפורט, הומלץ על סיום ההליך בית המשפט הקהילתי בהצלחה. </w:t>
      </w:r>
    </w:p>
    <w:p w14:paraId="4F0AE4B5" w14:textId="77777777" w:rsidR="00F74AFA" w:rsidRPr="00AC4C75" w:rsidRDefault="00F74AFA" w:rsidP="00F74AFA">
      <w:pPr>
        <w:spacing w:after="160" w:line="360" w:lineRule="auto"/>
        <w:ind w:left="720"/>
        <w:contextualSpacing/>
        <w:jc w:val="both"/>
        <w:rPr>
          <w:rFonts w:ascii="David" w:eastAsia="Calibri" w:hAnsi="David"/>
          <w:rtl/>
        </w:rPr>
      </w:pPr>
    </w:p>
    <w:p w14:paraId="6FF4E27F" w14:textId="77777777" w:rsidR="00F74AFA" w:rsidRPr="00AC4C75" w:rsidRDefault="00F74AFA" w:rsidP="00F74AFA">
      <w:pPr>
        <w:spacing w:after="160" w:line="360" w:lineRule="auto"/>
        <w:ind w:left="720"/>
        <w:contextualSpacing/>
        <w:jc w:val="both"/>
        <w:rPr>
          <w:rFonts w:ascii="David" w:eastAsia="Calibri" w:hAnsi="David"/>
          <w:rtl/>
        </w:rPr>
      </w:pPr>
      <w:r w:rsidRPr="00AC4C75">
        <w:rPr>
          <w:rFonts w:ascii="David" w:eastAsia="Calibri" w:hAnsi="David"/>
          <w:rtl/>
        </w:rPr>
        <w:t xml:space="preserve">בבואו לגבש את המלצתו לעניין הענישה, שירות המבחן לקח בחשבון את התובנות אליהן הגיע הנאשם באשר למניעים שהובילו אותו למעורבות בפלילים ולחומרת מעשיו, שאיפותיו לבנות את חייו באפיק נורמטיבי, כוחותיו ויכולותיו החיוביות למימוש תוכניותיו העתידיות. עוד לקח בחשבון את העובדה שלא נפתחו לנאשם תיקים פליליים חדשים מאז שנת 2016 ובמהלך השתתפותו בתכנית, וכי הליך זה היווה עבורו גורם מרתיע להתנהגותו בעתיד. שירות המבחן אף נתן את הדעת לכך שהנאשם עצמו מסר כי מיצה את הקשר הטיפולי עמם וברצונו להתפנות לשגרת חיים ללא מעורבות של גורם טיפולי בחייו. לאור זאת, לא הומלץ על צו מבחן. </w:t>
      </w:r>
    </w:p>
    <w:p w14:paraId="20A20DD0" w14:textId="77777777" w:rsidR="00F74AFA" w:rsidRPr="00AC4C75" w:rsidRDefault="00F74AFA" w:rsidP="00F74AFA">
      <w:pPr>
        <w:spacing w:after="160" w:line="360" w:lineRule="auto"/>
        <w:ind w:left="720"/>
        <w:contextualSpacing/>
        <w:jc w:val="both"/>
        <w:rPr>
          <w:rFonts w:ascii="David" w:eastAsia="Calibri" w:hAnsi="David"/>
          <w:rtl/>
        </w:rPr>
      </w:pPr>
    </w:p>
    <w:p w14:paraId="03F898CB" w14:textId="77777777" w:rsidR="00F74AFA" w:rsidRPr="00AC4C75" w:rsidRDefault="00F74AFA" w:rsidP="00F74AFA">
      <w:pPr>
        <w:spacing w:after="160" w:line="360" w:lineRule="auto"/>
        <w:ind w:left="720"/>
        <w:contextualSpacing/>
        <w:jc w:val="both"/>
        <w:rPr>
          <w:rFonts w:ascii="David" w:eastAsia="Calibri" w:hAnsi="David"/>
          <w:rtl/>
        </w:rPr>
      </w:pPr>
      <w:r w:rsidRPr="00AC4C75">
        <w:rPr>
          <w:rFonts w:ascii="David" w:eastAsia="Calibri" w:hAnsi="David"/>
          <w:rtl/>
        </w:rPr>
        <w:t>לעניין העונש, שירות המבחן המליץ על הטלת צו של"צ בהיקף של 100 שעות בהתאם לתכנית שנבנתה עבורו, לפיה, יבצע את השעות במסגרת ויצ"ו בביגודית בבאר שבע. להערכתם, עונש זה עשוי לסייע לנאשם לרכוש מיומנויות של סדר וארגון שיסייעו לו בעתיד בהשתלבותו בעולם התעסוקה.</w:t>
      </w:r>
    </w:p>
    <w:p w14:paraId="730A4802" w14:textId="77777777" w:rsidR="00F74AFA" w:rsidRPr="00AC4C75" w:rsidRDefault="00F74AFA" w:rsidP="00F74AFA">
      <w:pPr>
        <w:spacing w:after="160" w:line="360" w:lineRule="auto"/>
        <w:ind w:left="720"/>
        <w:contextualSpacing/>
        <w:jc w:val="both"/>
        <w:rPr>
          <w:rFonts w:ascii="David" w:eastAsia="Calibri" w:hAnsi="David"/>
          <w:rtl/>
        </w:rPr>
      </w:pPr>
    </w:p>
    <w:p w14:paraId="6C7971A1" w14:textId="77777777" w:rsidR="00F74AFA" w:rsidRPr="00AC4C75" w:rsidRDefault="00F74AFA" w:rsidP="00F74AFA">
      <w:pPr>
        <w:spacing w:after="160" w:line="360" w:lineRule="auto"/>
        <w:ind w:left="720"/>
        <w:contextualSpacing/>
        <w:jc w:val="both"/>
        <w:rPr>
          <w:rFonts w:ascii="David" w:eastAsia="Calibri" w:hAnsi="David"/>
          <w:rtl/>
        </w:rPr>
      </w:pPr>
      <w:r w:rsidRPr="00AC4C75">
        <w:rPr>
          <w:rFonts w:ascii="David" w:eastAsia="Calibri" w:hAnsi="David"/>
          <w:rtl/>
        </w:rPr>
        <w:t xml:space="preserve">לעניין הרשעתו בדין, הנאשם מסר לשירות המבחן כי מאחר ומתכנן להוציא רישיון נהיגה על מונית הרשעתו בדין עלולה לחסום בפניו אפשרות לעסוק בעתיד כנהג מונית. לאור זאת ולאור מעורבותו הראשונית בפלילים, לעובדה כי משנת 2016 לא נפתחו כנגדו תיקים פליליים חדשים, שאיפותיו הנורמטיביות לעתיד ועל מנת שלא לחסום בפניו אפשרויות של קידום תעסוקתי, הומלץ להימנע מהרשעתו בדין. </w:t>
      </w:r>
    </w:p>
    <w:p w14:paraId="0A0925E7" w14:textId="77777777" w:rsidR="00F74AFA" w:rsidRPr="00AC4C75" w:rsidRDefault="00F74AFA" w:rsidP="00F74AFA">
      <w:pPr>
        <w:spacing w:after="160" w:line="360" w:lineRule="auto"/>
        <w:ind w:left="720"/>
        <w:contextualSpacing/>
        <w:jc w:val="both"/>
        <w:rPr>
          <w:rFonts w:ascii="David" w:eastAsia="Calibri" w:hAnsi="David"/>
          <w:rtl/>
        </w:rPr>
      </w:pPr>
    </w:p>
    <w:p w14:paraId="1BFFBE80" w14:textId="77777777" w:rsidR="00F74AFA" w:rsidRPr="00AC4C75" w:rsidRDefault="00F74AFA" w:rsidP="00F74AFA">
      <w:pPr>
        <w:jc w:val="both"/>
        <w:rPr>
          <w:rFonts w:ascii="David" w:hAnsi="David"/>
          <w:u w:val="single"/>
          <w:rtl/>
        </w:rPr>
      </w:pPr>
      <w:r w:rsidRPr="00AC4C75">
        <w:rPr>
          <w:rFonts w:ascii="David" w:hAnsi="David"/>
          <w:u w:val="single"/>
          <w:rtl/>
        </w:rPr>
        <w:t xml:space="preserve">טיעוני הצדדים לעונש </w:t>
      </w:r>
    </w:p>
    <w:p w14:paraId="3D3BF517" w14:textId="77777777" w:rsidR="00F74AFA" w:rsidRPr="00AC4C75" w:rsidRDefault="00F74AFA" w:rsidP="00F74AFA">
      <w:pPr>
        <w:numPr>
          <w:ilvl w:val="0"/>
          <w:numId w:val="1"/>
        </w:numPr>
        <w:spacing w:after="160" w:line="360" w:lineRule="auto"/>
        <w:contextualSpacing/>
        <w:jc w:val="both"/>
        <w:rPr>
          <w:rFonts w:ascii="David" w:eastAsia="Calibri" w:hAnsi="David"/>
          <w:rtl/>
        </w:rPr>
      </w:pPr>
      <w:r w:rsidRPr="00AC4C75">
        <w:rPr>
          <w:rFonts w:ascii="David" w:eastAsia="Calibri" w:hAnsi="David"/>
          <w:rtl/>
        </w:rPr>
        <w:t>בתחילת דבריה, הבהירה ב"כ המאשימה כי בהתאם להסדר הטיעון שהוצג, ולאור סיום ההליך בהצלחה, הצדדים עותרים לחזרה מאישום בהסכמה בכתבי האישום הבאים: ת"פ 53729-11-18 ו</w:t>
      </w:r>
      <w:hyperlink r:id="rId24" w:history="1">
        <w:r w:rsidR="005746B6" w:rsidRPr="005746B6">
          <w:rPr>
            <w:rFonts w:ascii="David" w:eastAsia="Calibri" w:hAnsi="David"/>
            <w:color w:val="0000FF"/>
            <w:u w:val="single"/>
            <w:rtl/>
          </w:rPr>
          <w:t>ת"פ 25000-11-16</w:t>
        </w:r>
      </w:hyperlink>
      <w:r w:rsidRPr="00AC4C75">
        <w:rPr>
          <w:rFonts w:ascii="David" w:eastAsia="Calibri" w:hAnsi="David"/>
          <w:rtl/>
        </w:rPr>
        <w:t xml:space="preserve">. על כן, נדרשת חזרה מכפירה של הנאשם ובקשה מוסכמת שתוגש לכב' השופט שהכריע את דינו בבית משפט השלום באילת. בהמשך דבריה, סקרה את כתבי האישום בעניינו של הנאשם, העבירות בהן הורשע והליך שילובו בבית המשפט הקהילתי. מעיקרי תסקיר הסיום עולה כי הנאשם נמנע משימוש בסמים, הגיע להסדר תשלומים ביחס לחובותיו לביטוח הלאומי, התנדב באופן שבועי במסגרת "ביגודית" בויצ"ו וסיים את שעות ההשבה במלואן. כמו כן, שיתף פעולה באופן מלא עם שירות המבחן, לקח אחריות על העבירות שביצע והביע צער וחרטה. ב"כ המאשימה ציינה כי עסקינן בנאשם, נעדר הרשעות קודמות, אשר לא הוגשו כנגדו כתבי אישום נוספים מאז חודש 1/2016. להתרשמות שירות המבחן, רמת הסיכום להישנות התנהגות עוברת חוק צומצם משמעותית והומלץ על סיום ההליך בהצלחה. נוכח האמור, ולאור ההסדר, ב"כ המאשימה עתרה לאמץ את המלצות שירות המבחן, לפיהן, יש לבטל את הרשעת הנאשם ולהטיל עליו 100 שעות של"צ. </w:t>
      </w:r>
    </w:p>
    <w:p w14:paraId="40363CDC" w14:textId="77777777" w:rsidR="00F74AFA" w:rsidRPr="00AC4C75" w:rsidRDefault="00F74AFA" w:rsidP="00F74AFA">
      <w:pPr>
        <w:spacing w:after="160" w:line="360" w:lineRule="auto"/>
        <w:ind w:left="720"/>
        <w:contextualSpacing/>
        <w:jc w:val="both"/>
        <w:rPr>
          <w:rFonts w:ascii="David" w:eastAsia="Calibri" w:hAnsi="David"/>
          <w:rtl/>
        </w:rPr>
      </w:pPr>
    </w:p>
    <w:p w14:paraId="7BC9A507" w14:textId="77777777" w:rsidR="00F74AFA" w:rsidRPr="00AC4C75" w:rsidRDefault="00F74AFA" w:rsidP="00F74AFA">
      <w:pPr>
        <w:numPr>
          <w:ilvl w:val="0"/>
          <w:numId w:val="1"/>
        </w:numPr>
        <w:spacing w:after="160" w:line="360" w:lineRule="auto"/>
        <w:contextualSpacing/>
        <w:jc w:val="both"/>
        <w:rPr>
          <w:rFonts w:ascii="David" w:eastAsia="Calibri" w:hAnsi="David"/>
        </w:rPr>
      </w:pPr>
      <w:r w:rsidRPr="00AC4C75">
        <w:rPr>
          <w:rFonts w:ascii="David" w:eastAsia="Calibri" w:hAnsi="David"/>
          <w:rtl/>
        </w:rPr>
        <w:t>לטענת ב"כ הנאשם, עסקינן בצעיר אשר קיבל החלטה לחלץ עצמו ממעגל השימוש בסמים ולהשתלב בעולם הנורמטיבי, כאשר מועד ביצוע העבירות בכתבי האישום השונים הינו משנים 2015,2016. לטענתה, אומנם בתחילת שילובו בבית המשפט הקהילתי שירות המבחן התרשם ממספר קשיים ביחס לדימויו העצמי ולכוחותיו, אולם, בהמשך התברר כי הנאשם משתף פעולה ומבצע את המוטל אליו. במסגרת התסקיר, שירות המבחן התייחס לכוחות שגילה הנאשם, הימנעותו משימוש בסמים, משאביו הפנימיים ומשמעות ההליך הפלילי כגורם מרתיע עבורו. ב"כ הנאשם עתרה אף היא לאי הרשעת הנאשם ואימוץ המלצות שירות המבחן.</w:t>
      </w:r>
    </w:p>
    <w:p w14:paraId="01CCE6F9" w14:textId="77777777" w:rsidR="00F74AFA" w:rsidRPr="00AC4C75" w:rsidRDefault="00F74AFA" w:rsidP="00F74AFA">
      <w:pPr>
        <w:spacing w:after="160" w:line="360" w:lineRule="auto"/>
        <w:ind w:left="720"/>
        <w:contextualSpacing/>
        <w:jc w:val="both"/>
        <w:rPr>
          <w:rFonts w:ascii="David" w:eastAsia="Calibri" w:hAnsi="David"/>
        </w:rPr>
      </w:pPr>
    </w:p>
    <w:p w14:paraId="2CC58173" w14:textId="77777777" w:rsidR="00F74AFA" w:rsidRPr="00AC4C75" w:rsidRDefault="00F74AFA" w:rsidP="00F74AFA">
      <w:pPr>
        <w:numPr>
          <w:ilvl w:val="0"/>
          <w:numId w:val="1"/>
        </w:numPr>
        <w:spacing w:after="160" w:line="360" w:lineRule="auto"/>
        <w:contextualSpacing/>
        <w:jc w:val="both"/>
        <w:rPr>
          <w:rFonts w:ascii="David" w:eastAsia="Calibri" w:hAnsi="David"/>
          <w:rtl/>
        </w:rPr>
      </w:pPr>
      <w:r w:rsidRPr="00AC4C75">
        <w:rPr>
          <w:rFonts w:ascii="David" w:eastAsia="Calibri" w:hAnsi="David"/>
          <w:rtl/>
        </w:rPr>
        <w:t>קצינת המבחן שנכחה בדיון הקריאה את דברי קצינת המבחן המטפלת וחיזקה אותו על הדרך שעבר. בנוסף, חזרה על המלצות התסקיר בדמות אי הרשעה בדין והטלת 100 שעות של"צ.</w:t>
      </w:r>
    </w:p>
    <w:p w14:paraId="3003EBF4" w14:textId="77777777" w:rsidR="00F74AFA" w:rsidRPr="00AC4C75" w:rsidRDefault="00F74AFA" w:rsidP="00F74AFA">
      <w:pPr>
        <w:spacing w:after="160" w:line="360" w:lineRule="auto"/>
        <w:ind w:left="720"/>
        <w:contextualSpacing/>
        <w:jc w:val="both"/>
        <w:rPr>
          <w:rFonts w:ascii="David" w:eastAsia="Calibri" w:hAnsi="David"/>
        </w:rPr>
      </w:pPr>
    </w:p>
    <w:p w14:paraId="217FAB96" w14:textId="77777777" w:rsidR="00F74AFA" w:rsidRPr="00AC4C75" w:rsidRDefault="00F74AFA" w:rsidP="00F74AFA">
      <w:pPr>
        <w:numPr>
          <w:ilvl w:val="0"/>
          <w:numId w:val="1"/>
        </w:numPr>
        <w:spacing w:after="160" w:line="360" w:lineRule="auto"/>
        <w:contextualSpacing/>
        <w:jc w:val="both"/>
        <w:rPr>
          <w:rFonts w:ascii="David" w:eastAsia="Calibri" w:hAnsi="David"/>
          <w:rtl/>
        </w:rPr>
      </w:pPr>
      <w:r w:rsidRPr="00AC4C75">
        <w:rPr>
          <w:rFonts w:ascii="David" w:eastAsia="Calibri" w:hAnsi="David"/>
          <w:rtl/>
        </w:rPr>
        <w:t xml:space="preserve">לדברי הנאשם, אומנם היו רגעים של ויתור וייאוש מצדו, אך הודות לסיוע שקיבל הצליח להגיע לסיום ההליך. </w:t>
      </w:r>
    </w:p>
    <w:p w14:paraId="39E658F5" w14:textId="77777777" w:rsidR="00F74AFA" w:rsidRPr="00AC4C75" w:rsidRDefault="00F74AFA" w:rsidP="00F74AFA">
      <w:pPr>
        <w:spacing w:line="360" w:lineRule="auto"/>
        <w:jc w:val="both"/>
        <w:rPr>
          <w:rFonts w:ascii="David" w:hAnsi="David"/>
          <w:u w:val="single"/>
        </w:rPr>
      </w:pPr>
      <w:r w:rsidRPr="00AC4C75">
        <w:rPr>
          <w:rFonts w:ascii="David" w:hAnsi="David"/>
          <w:u w:val="single"/>
          <w:rtl/>
        </w:rPr>
        <w:t>דיון ומסקנות</w:t>
      </w:r>
    </w:p>
    <w:p w14:paraId="54EF8313" w14:textId="77777777" w:rsidR="00F74AFA" w:rsidRPr="00AC4C75" w:rsidRDefault="00F74AFA" w:rsidP="00F74AFA">
      <w:pPr>
        <w:spacing w:line="360" w:lineRule="auto"/>
        <w:jc w:val="both"/>
        <w:rPr>
          <w:rFonts w:ascii="David" w:hAnsi="David"/>
          <w:b/>
          <w:bCs/>
        </w:rPr>
      </w:pPr>
      <w:r w:rsidRPr="00AC4C75">
        <w:rPr>
          <w:rFonts w:ascii="David" w:hAnsi="David"/>
          <w:b/>
          <w:bCs/>
          <w:rtl/>
        </w:rPr>
        <w:t>האם יש מקום לבטל את הרשעת הנאשם?</w:t>
      </w:r>
    </w:p>
    <w:p w14:paraId="0384421A" w14:textId="77777777" w:rsidR="00F74AFA" w:rsidRPr="00AC4C75" w:rsidRDefault="00F74AFA" w:rsidP="00F74AFA">
      <w:pPr>
        <w:numPr>
          <w:ilvl w:val="0"/>
          <w:numId w:val="1"/>
        </w:numPr>
        <w:spacing w:after="160" w:line="360" w:lineRule="auto"/>
        <w:contextualSpacing/>
        <w:jc w:val="both"/>
        <w:rPr>
          <w:rFonts w:ascii="David" w:eastAsia="Calibri" w:hAnsi="David"/>
          <w:rtl/>
        </w:rPr>
      </w:pPr>
      <w:r w:rsidRPr="00AC4C75">
        <w:rPr>
          <w:rFonts w:ascii="David" w:eastAsia="Calibri" w:hAnsi="David"/>
          <w:rtl/>
        </w:rPr>
        <w:t>ככלל, נאשם שהודה במיוחס לו, מורה האינטרס הציבורי כי הוא יורשע וייענש. ההרשעה היא תוצאה מתחייבת ממהות ההליך הפלילי, באמצעותה מביעה החברה את סלידתה ממעשה העבירה שביצע הנאשם במגמה להביא להרתעה אישית וכללית. בית המשפט משתמש בסמכותו שלא להרשיע נאשם, בנסיבות יוצאות דופן בהן אין יחס סביר בין הנזק הצפוי לנאשם מההרשעה, לבין חומרתה של העבירה (ר' ב</w:t>
      </w:r>
      <w:hyperlink r:id="rId25" w:history="1">
        <w:r w:rsidR="005746B6" w:rsidRPr="005746B6">
          <w:rPr>
            <w:rFonts w:ascii="David" w:eastAsia="Calibri" w:hAnsi="David"/>
            <w:color w:val="0000FF"/>
            <w:u w:val="single"/>
            <w:rtl/>
          </w:rPr>
          <w:t>ע"פ 2513/96 מדינת ישראל נ' ויקטור שמש, פ"ד נ</w:t>
        </w:r>
      </w:hyperlink>
      <w:r w:rsidRPr="00AC4C75">
        <w:rPr>
          <w:rFonts w:ascii="David" w:eastAsia="Calibri" w:hAnsi="David"/>
          <w:rtl/>
        </w:rPr>
        <w:t xml:space="preserve">(3) 682; </w:t>
      </w:r>
      <w:hyperlink r:id="rId26" w:history="1">
        <w:r w:rsidR="005746B6" w:rsidRPr="005746B6">
          <w:rPr>
            <w:rFonts w:ascii="David" w:eastAsia="Calibri" w:hAnsi="David"/>
            <w:color w:val="0000FF"/>
            <w:u w:val="single"/>
            <w:rtl/>
          </w:rPr>
          <w:t>ע"פ 2083/96</w:t>
        </w:r>
      </w:hyperlink>
      <w:r w:rsidRPr="00AC4C75">
        <w:rPr>
          <w:rFonts w:ascii="David" w:eastAsia="Calibri" w:hAnsi="David"/>
          <w:rtl/>
        </w:rPr>
        <w:t xml:space="preserve"> </w:t>
      </w:r>
      <w:r w:rsidRPr="00AC4C75">
        <w:rPr>
          <w:rFonts w:ascii="David" w:eastAsia="Calibri" w:hAnsi="David"/>
          <w:b/>
          <w:bCs/>
          <w:rtl/>
        </w:rPr>
        <w:t>תמר כתב נ' מדינת ישראל</w:t>
      </w:r>
      <w:r w:rsidRPr="00AC4C75">
        <w:rPr>
          <w:rFonts w:ascii="David" w:eastAsia="Calibri" w:hAnsi="David"/>
          <w:rtl/>
        </w:rPr>
        <w:t xml:space="preserve">; </w:t>
      </w:r>
      <w:hyperlink r:id="rId27" w:history="1">
        <w:r w:rsidR="008D3DDC" w:rsidRPr="008D3DDC">
          <w:rPr>
            <w:rFonts w:ascii="David" w:eastAsia="Calibri" w:hAnsi="David"/>
            <w:color w:val="0000FF"/>
            <w:u w:val="single"/>
            <w:rtl/>
          </w:rPr>
          <w:t xml:space="preserve">רע"פ 432/85 </w:t>
        </w:r>
      </w:hyperlink>
      <w:r w:rsidRPr="00AC4C75">
        <w:rPr>
          <w:rFonts w:ascii="David" w:eastAsia="Calibri" w:hAnsi="David"/>
          <w:rtl/>
        </w:rPr>
        <w:t xml:space="preserve"> </w:t>
      </w:r>
      <w:r w:rsidRPr="00AC4C75">
        <w:rPr>
          <w:rFonts w:ascii="David" w:eastAsia="Calibri" w:hAnsi="David"/>
          <w:b/>
          <w:bCs/>
          <w:rtl/>
        </w:rPr>
        <w:t>רומנו נ' מדינת ישראל</w:t>
      </w:r>
      <w:r w:rsidRPr="00AC4C75">
        <w:rPr>
          <w:rFonts w:ascii="David" w:eastAsia="Calibri" w:hAnsi="David"/>
          <w:rtl/>
        </w:rPr>
        <w:t xml:space="preserve"> (ניתן ביום 21.8.1985)).</w:t>
      </w:r>
    </w:p>
    <w:p w14:paraId="03E89CE4" w14:textId="77777777" w:rsidR="00F74AFA" w:rsidRPr="00AC4C75" w:rsidRDefault="00F74AFA" w:rsidP="00F74AFA">
      <w:pPr>
        <w:spacing w:after="160" w:line="360" w:lineRule="auto"/>
        <w:ind w:left="720"/>
        <w:contextualSpacing/>
        <w:jc w:val="both"/>
        <w:rPr>
          <w:rFonts w:ascii="David" w:eastAsia="Calibri" w:hAnsi="David"/>
          <w:rtl/>
        </w:rPr>
      </w:pPr>
    </w:p>
    <w:p w14:paraId="0DD78836" w14:textId="77777777" w:rsidR="00F74AFA" w:rsidRPr="00AC4C75" w:rsidRDefault="00F74AFA" w:rsidP="00F74AFA">
      <w:pPr>
        <w:numPr>
          <w:ilvl w:val="0"/>
          <w:numId w:val="1"/>
        </w:numPr>
        <w:spacing w:after="160" w:line="360" w:lineRule="auto"/>
        <w:contextualSpacing/>
        <w:jc w:val="both"/>
        <w:rPr>
          <w:rFonts w:ascii="David" w:eastAsia="Calibri" w:hAnsi="David"/>
        </w:rPr>
      </w:pPr>
      <w:r w:rsidRPr="00AC4C75">
        <w:rPr>
          <w:rFonts w:ascii="David" w:eastAsia="Calibri" w:hAnsi="David"/>
          <w:rtl/>
        </w:rPr>
        <w:t xml:space="preserve">הכללים להימנעות מהרשעה או ביטולה נוסחו על ידי בית המשפט העליון </w:t>
      </w:r>
      <w:r w:rsidRPr="00AC4C75">
        <w:rPr>
          <w:rFonts w:ascii="David" w:eastAsia="Calibri" w:hAnsi="David"/>
          <w:b/>
          <w:bCs/>
          <w:rtl/>
        </w:rPr>
        <w:t>בהלכת כתב:</w:t>
      </w:r>
    </w:p>
    <w:p w14:paraId="209127A2" w14:textId="77777777" w:rsidR="00F74AFA" w:rsidRPr="00AC4C75" w:rsidRDefault="00F74AFA" w:rsidP="00F74AFA">
      <w:pPr>
        <w:spacing w:before="240" w:line="360" w:lineRule="auto"/>
        <w:ind w:left="1134" w:right="1134"/>
        <w:jc w:val="both"/>
        <w:rPr>
          <w:rFonts w:ascii="David" w:hAnsi="David"/>
          <w:b/>
          <w:bCs/>
          <w:i/>
          <w:iCs/>
        </w:rPr>
      </w:pPr>
      <w:r w:rsidRPr="00AC4C75">
        <w:rPr>
          <w:rFonts w:ascii="David" w:hAnsi="David"/>
          <w:rtl/>
        </w:rPr>
        <w:t>"</w:t>
      </w:r>
      <w:r w:rsidRPr="00AC4C75">
        <w:rPr>
          <w:rFonts w:ascii="David" w:hAnsi="David"/>
          <w:b/>
          <w:bCs/>
          <w:rtl/>
        </w:rPr>
        <w:t>הימנעות מהרשעה אפשרית אפוא בהצטבר שני גורמים: ראשית, על ההרשעה לפגוע פגיעה חמורה בשיקום הנאשם, ושנית, סוג העבירה מאפשר לוותר בנסיבות המקרה המסוים על ההרשעה בלי לפגוע באופן מהותי בשיקולי הענישה האחרים".</w:t>
      </w:r>
    </w:p>
    <w:p w14:paraId="7BAA252D" w14:textId="77777777" w:rsidR="00F74AFA" w:rsidRPr="00AC4C75" w:rsidRDefault="00F74AFA" w:rsidP="00F74AFA">
      <w:pPr>
        <w:spacing w:after="160" w:line="360" w:lineRule="auto"/>
        <w:ind w:left="720"/>
        <w:contextualSpacing/>
        <w:jc w:val="both"/>
        <w:rPr>
          <w:rFonts w:ascii="David" w:eastAsia="Calibri" w:hAnsi="David"/>
        </w:rPr>
      </w:pPr>
    </w:p>
    <w:p w14:paraId="49611972" w14:textId="77777777" w:rsidR="00F74AFA" w:rsidRPr="00AC4C75" w:rsidRDefault="00F74AFA" w:rsidP="00F74AFA">
      <w:pPr>
        <w:numPr>
          <w:ilvl w:val="0"/>
          <w:numId w:val="1"/>
        </w:numPr>
        <w:spacing w:after="160" w:line="360" w:lineRule="auto"/>
        <w:contextualSpacing/>
        <w:jc w:val="both"/>
        <w:rPr>
          <w:rFonts w:ascii="David" w:eastAsia="Calibri" w:hAnsi="David"/>
          <w:rtl/>
        </w:rPr>
      </w:pPr>
      <w:r w:rsidRPr="00AC4C75">
        <w:rPr>
          <w:rFonts w:ascii="David" w:eastAsia="Calibri" w:hAnsi="David"/>
          <w:rtl/>
        </w:rPr>
        <w:t>לצורך הכרעה בשאלת ביטול ההרשעה יש לשקול את עברו של הנאשם, חומרת העבירה ונסיבות ביצועה, מידת הפגיעה שהסב לאחר, דפוס התנהגותו של הנאשם ויחסו לעבירה: נטילת אחריות, הבעת חרטה, השיקום אותו עבר וכן השפעת ההרשעה על דימויו העצמי.  כמו כן, נלקחת בחשבון שאלת שיקום הנאשם במסגרת שיקולי הענישה ואינטרס שיקומו, אשר יכול לא אחת להטות את הכף מול האינטרס הציבורי (</w:t>
      </w:r>
      <w:hyperlink r:id="rId28" w:history="1">
        <w:r w:rsidR="005746B6" w:rsidRPr="005746B6">
          <w:rPr>
            <w:rFonts w:ascii="David" w:eastAsia="Calibri" w:hAnsi="David"/>
            <w:color w:val="0000FF"/>
            <w:u w:val="single"/>
            <w:rtl/>
          </w:rPr>
          <w:t>ע"פ 9090/00</w:t>
        </w:r>
      </w:hyperlink>
      <w:r w:rsidRPr="00AC4C75">
        <w:rPr>
          <w:rFonts w:ascii="David" w:eastAsia="Calibri" w:hAnsi="David"/>
          <w:rtl/>
        </w:rPr>
        <w:t xml:space="preserve"> </w:t>
      </w:r>
      <w:r w:rsidRPr="00AC4C75">
        <w:rPr>
          <w:rFonts w:ascii="David" w:eastAsia="Calibri" w:hAnsi="David"/>
          <w:b/>
          <w:bCs/>
          <w:rtl/>
        </w:rPr>
        <w:t>בועז שניידרמן נ' מדינת ישראל</w:t>
      </w:r>
      <w:r w:rsidRPr="00AC4C75">
        <w:rPr>
          <w:rFonts w:ascii="David" w:eastAsia="Calibri" w:hAnsi="David"/>
          <w:rtl/>
        </w:rPr>
        <w:t xml:space="preserve"> (ניתן ביום 22.1.01). </w:t>
      </w:r>
    </w:p>
    <w:p w14:paraId="2D1A0C0C" w14:textId="77777777" w:rsidR="00F74AFA" w:rsidRPr="00AC4C75" w:rsidRDefault="00F74AFA" w:rsidP="00F74AFA">
      <w:pPr>
        <w:spacing w:after="160" w:line="360" w:lineRule="auto"/>
        <w:ind w:left="720"/>
        <w:contextualSpacing/>
        <w:jc w:val="both"/>
        <w:rPr>
          <w:rFonts w:ascii="David" w:eastAsia="Calibri" w:hAnsi="David"/>
          <w:rtl/>
        </w:rPr>
      </w:pPr>
    </w:p>
    <w:p w14:paraId="5B4CF5D5" w14:textId="77777777" w:rsidR="00F74AFA" w:rsidRPr="00AC4C75" w:rsidRDefault="00F74AFA" w:rsidP="00F74AFA">
      <w:pPr>
        <w:numPr>
          <w:ilvl w:val="0"/>
          <w:numId w:val="1"/>
        </w:numPr>
        <w:spacing w:after="160" w:line="360" w:lineRule="auto"/>
        <w:contextualSpacing/>
        <w:jc w:val="both"/>
        <w:rPr>
          <w:rFonts w:ascii="David" w:eastAsia="Calibri" w:hAnsi="David"/>
        </w:rPr>
      </w:pPr>
      <w:r w:rsidRPr="00AC4C75">
        <w:rPr>
          <w:rFonts w:ascii="David" w:eastAsia="Calibri" w:hAnsi="David"/>
          <w:rtl/>
        </w:rPr>
        <w:t>לאחר שבחנתי את כלל הנסיבות, לרבות העבירות, חומרתן, נסיבות ביצוען ונסיבותיו האישיות של הנאשם ושקלתי את טיעוני הצדדים, הגעתי לכלל מסקנה כי מקרה זה נופל בגדר החריגים אשר יצדיקו את ביטול הרשעתו של הנאשם ולהלן טעמיי.</w:t>
      </w:r>
    </w:p>
    <w:p w14:paraId="327FE58A" w14:textId="77777777" w:rsidR="00F74AFA" w:rsidRPr="00AC4C75" w:rsidRDefault="00F74AFA" w:rsidP="00F74AFA">
      <w:pPr>
        <w:spacing w:after="160" w:line="254" w:lineRule="auto"/>
        <w:ind w:left="720"/>
        <w:contextualSpacing/>
        <w:rPr>
          <w:rFonts w:ascii="David" w:eastAsia="Calibri" w:hAnsi="David"/>
        </w:rPr>
      </w:pPr>
    </w:p>
    <w:p w14:paraId="6F95ADF4" w14:textId="77777777" w:rsidR="00F74AFA" w:rsidRPr="00AC4C75" w:rsidRDefault="00F74AFA" w:rsidP="00F74AFA">
      <w:pPr>
        <w:numPr>
          <w:ilvl w:val="0"/>
          <w:numId w:val="1"/>
        </w:numPr>
        <w:spacing w:after="160" w:line="360" w:lineRule="auto"/>
        <w:contextualSpacing/>
        <w:jc w:val="both"/>
        <w:rPr>
          <w:rFonts w:ascii="David" w:eastAsia="Calibri" w:hAnsi="David"/>
        </w:rPr>
      </w:pPr>
      <w:r w:rsidRPr="00AC4C75">
        <w:rPr>
          <w:rFonts w:ascii="David" w:eastAsia="Calibri" w:hAnsi="David"/>
          <w:rtl/>
        </w:rPr>
        <w:t xml:space="preserve">אכן, אין להקל ראש בחומרת העבירות שביצע הנאשם: החזקת סמים לצריכה עצמית לפי </w:t>
      </w:r>
      <w:hyperlink r:id="rId29" w:history="1">
        <w:r w:rsidR="00080B15" w:rsidRPr="00080B15">
          <w:rPr>
            <w:rStyle w:val="Hyperlink"/>
            <w:rFonts w:ascii="David" w:eastAsia="Calibri" w:hAnsi="David"/>
            <w:rtl/>
          </w:rPr>
          <w:t>סעיפים 7(א)+7(ג)</w:t>
        </w:r>
      </w:hyperlink>
      <w:r w:rsidRPr="00AC4C75">
        <w:rPr>
          <w:rFonts w:ascii="David" w:eastAsia="Calibri" w:hAnsi="David"/>
          <w:rtl/>
        </w:rPr>
        <w:t xml:space="preserve"> סיפא לפקודה. לא אחת התייחסו בתי המשפט לנזקים הישירים והעקיפים הנגרמים במישרין ובעקיפין משימוש בסמים. החזקת סמים אף לצריכה עצמית פוגעת בבריאות הציבור וחושפת אותו לנזקים הנלווים משימוש בסמים ולעבירות נוספות המבוצעות לצורך השגת הסם.</w:t>
      </w:r>
    </w:p>
    <w:p w14:paraId="5C3F6D23" w14:textId="77777777" w:rsidR="00F74AFA" w:rsidRPr="00AC4C75" w:rsidRDefault="00F74AFA" w:rsidP="00F74AFA">
      <w:pPr>
        <w:spacing w:after="160" w:line="254" w:lineRule="auto"/>
        <w:ind w:left="720"/>
        <w:contextualSpacing/>
        <w:rPr>
          <w:rFonts w:ascii="David" w:eastAsia="Calibri" w:hAnsi="David"/>
          <w:rtl/>
        </w:rPr>
      </w:pPr>
    </w:p>
    <w:p w14:paraId="084ACF87" w14:textId="77777777" w:rsidR="00F74AFA" w:rsidRPr="00AC4C75" w:rsidRDefault="00F74AFA" w:rsidP="00F74AFA">
      <w:pPr>
        <w:numPr>
          <w:ilvl w:val="0"/>
          <w:numId w:val="1"/>
        </w:numPr>
        <w:spacing w:after="160" w:line="360" w:lineRule="auto"/>
        <w:contextualSpacing/>
        <w:jc w:val="both"/>
        <w:rPr>
          <w:rFonts w:ascii="David" w:eastAsia="Calibri" w:hAnsi="David"/>
          <w:color w:val="FF0000"/>
        </w:rPr>
      </w:pPr>
      <w:r w:rsidRPr="00AC4C75">
        <w:rPr>
          <w:rFonts w:ascii="David" w:eastAsia="Calibri" w:hAnsi="David"/>
          <w:rtl/>
        </w:rPr>
        <w:t xml:space="preserve">אולם, בבחינת נסיבותיו האישיות של הנאשם, עולה כי הנאשם, בן 25, רווק, נעדר עבר פלילי, ובמהלך שנת 2016 ובתקופת השתתפותו בהליך לא נפתחו לו תיקים פליליים חדשים. הנאשם הביע חרטה כנה ולקח אחריות על ביצועי העבירות, כאשר שירות המבחן דיווח כי רמת הסיכון להישנות התנהגות עוברת חוק צומצם באופן משמעותי. בהתאם לכך, התרשמתי כי לא יהא בביטול הרשעת הנאשם כדי להקל ראש מצדו ביחס לחומרת מעשיו וכי היה בהליך המשפטי והטיפולי, כדי להמחיש עבורו חומרה זו ואף להרתיעו מלחזור ולבצע עבירות נוספות בעתיד. </w:t>
      </w:r>
    </w:p>
    <w:p w14:paraId="39083287" w14:textId="77777777" w:rsidR="00F74AFA" w:rsidRPr="00AC4C75" w:rsidRDefault="00F74AFA" w:rsidP="00F74AFA">
      <w:pPr>
        <w:spacing w:after="160" w:line="254" w:lineRule="auto"/>
        <w:ind w:left="720"/>
        <w:contextualSpacing/>
        <w:rPr>
          <w:rFonts w:ascii="David" w:eastAsia="Calibri" w:hAnsi="David"/>
          <w:rtl/>
        </w:rPr>
      </w:pPr>
    </w:p>
    <w:p w14:paraId="0A873FA3" w14:textId="77777777" w:rsidR="00F74AFA" w:rsidRPr="00AC4C75" w:rsidRDefault="00F74AFA" w:rsidP="00F74AFA">
      <w:pPr>
        <w:numPr>
          <w:ilvl w:val="0"/>
          <w:numId w:val="1"/>
        </w:numPr>
        <w:spacing w:after="160" w:line="360" w:lineRule="auto"/>
        <w:contextualSpacing/>
        <w:jc w:val="both"/>
        <w:rPr>
          <w:rFonts w:ascii="David" w:eastAsia="Calibri" w:hAnsi="David"/>
        </w:rPr>
      </w:pPr>
      <w:r w:rsidRPr="00AC4C75">
        <w:rPr>
          <w:rFonts w:ascii="David" w:eastAsia="Calibri" w:hAnsi="David"/>
          <w:rtl/>
        </w:rPr>
        <w:t xml:space="preserve">מלבד זאת, הנאשם עבר הליך שיקום, במסגרתו שיתף פעולה באופן מלא עם גורמי הטיפול, וטיפל בבעיות המרכזיות כפי שהוגדרה בתסקיר העומק של שירות המבחן.  </w:t>
      </w:r>
    </w:p>
    <w:p w14:paraId="01A0F47C" w14:textId="77777777" w:rsidR="00F74AFA" w:rsidRPr="00AC4C75" w:rsidRDefault="00F74AFA" w:rsidP="00F74AFA">
      <w:pPr>
        <w:spacing w:after="160" w:line="254" w:lineRule="auto"/>
        <w:ind w:left="720"/>
        <w:contextualSpacing/>
        <w:rPr>
          <w:rFonts w:ascii="David" w:eastAsia="Calibri" w:hAnsi="David"/>
          <w:rtl/>
        </w:rPr>
      </w:pPr>
    </w:p>
    <w:p w14:paraId="16CFE93B" w14:textId="77777777" w:rsidR="00F74AFA" w:rsidRPr="00AC4C75" w:rsidRDefault="00F74AFA" w:rsidP="00F74AFA">
      <w:pPr>
        <w:numPr>
          <w:ilvl w:val="0"/>
          <w:numId w:val="1"/>
        </w:numPr>
        <w:spacing w:after="160" w:line="360" w:lineRule="auto"/>
        <w:contextualSpacing/>
        <w:jc w:val="both"/>
        <w:rPr>
          <w:rFonts w:ascii="David" w:eastAsia="Calibri" w:hAnsi="David"/>
        </w:rPr>
      </w:pPr>
      <w:r w:rsidRPr="00AC4C75">
        <w:rPr>
          <w:rFonts w:ascii="David" w:eastAsia="Calibri" w:hAnsi="David"/>
          <w:rtl/>
        </w:rPr>
        <w:t xml:space="preserve">אומנם, הנאשם לא הוכיח ברמת ההוכחה הנדרשת קיומו של נזק קונקרטי שעלול להיגרם לו אם יורשע בדין. עם זאת, ניתן למצוא גם מקרים שבהם נקבע כי יש מקום לסטות </w:t>
      </w:r>
      <w:r w:rsidR="00080B15" w:rsidRPr="00080B15">
        <w:rPr>
          <w:rFonts w:ascii="David" w:eastAsia="Calibri" w:hAnsi="David"/>
          <w:rtl/>
        </w:rPr>
        <w:t>מהכלל ולהימנע מהרשעתו</w:t>
      </w:r>
      <w:r w:rsidRPr="00AC4C75">
        <w:rPr>
          <w:rFonts w:ascii="David" w:eastAsia="Calibri" w:hAnsi="David"/>
          <w:rtl/>
        </w:rPr>
        <w:t xml:space="preserve"> של נאשם, אף שלא הוכחה פגיעה קונקרטית בעתידו את בתעסוקתו, בין היתר בשל גילו הצעיר של הנאשם בעת ביצוע העבירה (</w:t>
      </w:r>
      <w:hyperlink r:id="rId30" w:history="1">
        <w:r w:rsidR="005746B6" w:rsidRPr="005746B6">
          <w:rPr>
            <w:rFonts w:ascii="David" w:eastAsia="Calibri" w:hAnsi="David"/>
            <w:color w:val="0000FF"/>
            <w:u w:val="single"/>
            <w:rtl/>
          </w:rPr>
          <w:t>ע"פ 111/14</w:t>
        </w:r>
      </w:hyperlink>
      <w:r w:rsidRPr="00AC4C75">
        <w:rPr>
          <w:rFonts w:ascii="David" w:eastAsia="Calibri" w:hAnsi="David"/>
          <w:rtl/>
        </w:rPr>
        <w:t xml:space="preserve"> </w:t>
      </w:r>
      <w:r w:rsidRPr="00AC4C75">
        <w:rPr>
          <w:rFonts w:ascii="David" w:eastAsia="Calibri" w:hAnsi="David"/>
          <w:b/>
          <w:bCs/>
          <w:rtl/>
        </w:rPr>
        <w:t>פלוני נ' מדינת ישראל</w:t>
      </w:r>
      <w:r w:rsidRPr="00AC4C75">
        <w:rPr>
          <w:rFonts w:ascii="David" w:eastAsia="Calibri" w:hAnsi="David"/>
          <w:rtl/>
        </w:rPr>
        <w:t xml:space="preserve"> (ניתן ביום 1.4.2014); </w:t>
      </w:r>
      <w:hyperlink r:id="rId31" w:history="1">
        <w:r w:rsidR="005746B6" w:rsidRPr="005746B6">
          <w:rPr>
            <w:rFonts w:ascii="David" w:eastAsia="Calibri" w:hAnsi="David"/>
            <w:color w:val="0000FF"/>
            <w:u w:val="single"/>
            <w:rtl/>
          </w:rPr>
          <w:t>ע"פ 4466/13</w:t>
        </w:r>
      </w:hyperlink>
      <w:r w:rsidRPr="00AC4C75">
        <w:rPr>
          <w:rFonts w:ascii="David" w:eastAsia="Calibri" w:hAnsi="David"/>
          <w:rtl/>
        </w:rPr>
        <w:t xml:space="preserve"> </w:t>
      </w:r>
      <w:r w:rsidRPr="00AC4C75">
        <w:rPr>
          <w:rFonts w:ascii="David" w:eastAsia="Calibri" w:hAnsi="David"/>
          <w:b/>
          <w:bCs/>
          <w:rtl/>
        </w:rPr>
        <w:t xml:space="preserve">נתנאל אסולין פורטל נ' מדינת ישראל </w:t>
      </w:r>
      <w:r w:rsidRPr="00AC4C75">
        <w:rPr>
          <w:rFonts w:ascii="David" w:eastAsia="Calibri" w:hAnsi="David"/>
          <w:rtl/>
        </w:rPr>
        <w:t xml:space="preserve">(ניתן ביום 22.5.14). </w:t>
      </w:r>
    </w:p>
    <w:p w14:paraId="4133280B" w14:textId="77777777" w:rsidR="00F74AFA" w:rsidRPr="00AC4C75" w:rsidRDefault="00F74AFA" w:rsidP="00F74AFA">
      <w:pPr>
        <w:rPr>
          <w:rFonts w:ascii="David" w:hAnsi="David"/>
          <w:color w:val="FF0000"/>
          <w:rtl/>
        </w:rPr>
      </w:pPr>
    </w:p>
    <w:p w14:paraId="62940865" w14:textId="77777777" w:rsidR="00F74AFA" w:rsidRPr="00AC4C75" w:rsidRDefault="00F74AFA" w:rsidP="00F74AFA">
      <w:pPr>
        <w:numPr>
          <w:ilvl w:val="0"/>
          <w:numId w:val="1"/>
        </w:numPr>
        <w:spacing w:after="160" w:line="360" w:lineRule="auto"/>
        <w:contextualSpacing/>
        <w:jc w:val="both"/>
        <w:rPr>
          <w:rFonts w:ascii="David" w:eastAsia="Calibri" w:hAnsi="David"/>
        </w:rPr>
      </w:pPr>
      <w:r w:rsidRPr="00AC4C75">
        <w:rPr>
          <w:rFonts w:ascii="David" w:eastAsia="Calibri" w:hAnsi="David"/>
          <w:rtl/>
        </w:rPr>
        <w:t xml:space="preserve">בענייננו, שוכנעתי כי בשל גילו הצעיר בעת ביצוע העבירות, אז טרם מלאו לו 21 שנים, הרשעתו בדין עלולה לפגוע באופן ממשי בהשתלבותו במקומות תעסוקה בעתיד ולחסום את התפתחותו והתקדמותו במישור זה. זאת ועוד, בהינתן כי הנאשם מעוניין לדבריו להוציא רישיון נהיגה על מונית ולעסוק בעתיד כנהג מונית, נוכח הוראות סעיפים </w:t>
      </w:r>
      <w:hyperlink r:id="rId32" w:history="1">
        <w:r w:rsidR="00080B15" w:rsidRPr="00080B15">
          <w:rPr>
            <w:rStyle w:val="Hyperlink"/>
            <w:rFonts w:ascii="David" w:eastAsia="Calibri" w:hAnsi="David"/>
            <w:rtl/>
          </w:rPr>
          <w:t>13א ו-14(2)</w:t>
        </w:r>
      </w:hyperlink>
      <w:r w:rsidRPr="00AC4C75">
        <w:rPr>
          <w:rFonts w:ascii="David" w:eastAsia="Calibri" w:hAnsi="David"/>
          <w:rtl/>
        </w:rPr>
        <w:t xml:space="preserve"> ל</w:t>
      </w:r>
      <w:hyperlink r:id="rId33" w:history="1">
        <w:r w:rsidR="005746B6" w:rsidRPr="005746B6">
          <w:rPr>
            <w:rFonts w:ascii="David" w:eastAsia="Calibri" w:hAnsi="David"/>
            <w:color w:val="0000FF"/>
            <w:u w:val="single"/>
            <w:rtl/>
          </w:rPr>
          <w:t>פקודת התעבורה</w:t>
        </w:r>
      </w:hyperlink>
      <w:r w:rsidRPr="00AC4C75">
        <w:rPr>
          <w:rFonts w:ascii="David" w:eastAsia="Calibri" w:hAnsi="David"/>
          <w:rtl/>
        </w:rPr>
        <w:t xml:space="preserve"> [נוסח חדש], שוכנעתי כי הרשעתו בדין עלולה לפגוע בתכניותיו לעתיד לרכוש רישיון להפעלת מונית ולעסוק כנהג מונית.</w:t>
      </w:r>
    </w:p>
    <w:p w14:paraId="6412FD7B" w14:textId="77777777" w:rsidR="00F74AFA" w:rsidRPr="00AC4C75" w:rsidRDefault="00F74AFA" w:rsidP="00F74AFA">
      <w:pPr>
        <w:spacing w:after="160" w:line="360" w:lineRule="auto"/>
        <w:ind w:left="720"/>
        <w:contextualSpacing/>
        <w:jc w:val="both"/>
        <w:rPr>
          <w:rFonts w:ascii="David" w:eastAsia="Calibri" w:hAnsi="David"/>
          <w:rtl/>
        </w:rPr>
      </w:pPr>
    </w:p>
    <w:p w14:paraId="47933C03" w14:textId="77777777" w:rsidR="00F74AFA" w:rsidRPr="00AC4C75" w:rsidRDefault="00F74AFA" w:rsidP="00F74AFA">
      <w:pPr>
        <w:numPr>
          <w:ilvl w:val="0"/>
          <w:numId w:val="1"/>
        </w:numPr>
        <w:spacing w:after="160" w:line="360" w:lineRule="auto"/>
        <w:contextualSpacing/>
        <w:jc w:val="both"/>
        <w:rPr>
          <w:rFonts w:ascii="David" w:eastAsia="Calibri" w:hAnsi="David"/>
        </w:rPr>
      </w:pPr>
      <w:r w:rsidRPr="00AC4C75">
        <w:rPr>
          <w:rFonts w:ascii="David" w:eastAsia="Calibri" w:hAnsi="David"/>
          <w:rtl/>
        </w:rPr>
        <w:t>מן המקובץ, הגעתי לכלל מסקנה כי אין יחס סביר בין חשיבות ההרשעה בהינתן האינטרס הציבורי הכללי, לבין עוצמת הפגיעה בנאשם הצפויה מההרשעה. יודגש כי אין בכך כדי להקל ראש בחומרת העבירות אותן ביצע הנאשם, אך נוכח גילו, עברו, נסיבותיו האישיות, הפגיעה העתידית בתעסוקתו ותהליך השיקום שעבר, מצאתי לכבד את הסכמות הצדדים ולבטל את הרשעתו.</w:t>
      </w:r>
    </w:p>
    <w:p w14:paraId="7672213E" w14:textId="77777777" w:rsidR="00F74AFA" w:rsidRPr="00AC4C75" w:rsidRDefault="00F74AFA" w:rsidP="00F74AFA">
      <w:pPr>
        <w:spacing w:after="160" w:line="254" w:lineRule="auto"/>
        <w:ind w:left="720"/>
        <w:contextualSpacing/>
        <w:rPr>
          <w:rFonts w:ascii="David" w:eastAsia="Calibri" w:hAnsi="David"/>
        </w:rPr>
      </w:pPr>
    </w:p>
    <w:p w14:paraId="137245C8" w14:textId="77777777" w:rsidR="00F74AFA" w:rsidRPr="00AC4C75" w:rsidRDefault="00F74AFA" w:rsidP="00F74AFA">
      <w:pPr>
        <w:numPr>
          <w:ilvl w:val="0"/>
          <w:numId w:val="1"/>
        </w:numPr>
        <w:spacing w:after="160" w:line="360" w:lineRule="auto"/>
        <w:contextualSpacing/>
        <w:jc w:val="both"/>
        <w:rPr>
          <w:rFonts w:ascii="David" w:eastAsia="Calibri" w:hAnsi="David"/>
        </w:rPr>
      </w:pPr>
      <w:r w:rsidRPr="00AC4C75">
        <w:rPr>
          <w:rFonts w:ascii="David" w:eastAsia="Calibri" w:hAnsi="David"/>
          <w:rtl/>
        </w:rPr>
        <w:t>יפים לעניין זה דבריו של השופט ג'ובראן ב</w:t>
      </w:r>
      <w:hyperlink r:id="rId34" w:history="1">
        <w:r w:rsidR="005746B6" w:rsidRPr="005746B6">
          <w:rPr>
            <w:rFonts w:ascii="David" w:eastAsia="Calibri" w:hAnsi="David"/>
            <w:color w:val="0000FF"/>
            <w:u w:val="single"/>
            <w:rtl/>
          </w:rPr>
          <w:t>ע"פ 5291/12</w:t>
        </w:r>
      </w:hyperlink>
      <w:r w:rsidRPr="00AC4C75">
        <w:rPr>
          <w:rFonts w:ascii="David" w:eastAsia="Calibri" w:hAnsi="David"/>
          <w:rtl/>
        </w:rPr>
        <w:t xml:space="preserve"> </w:t>
      </w:r>
      <w:r w:rsidRPr="00AC4C75">
        <w:rPr>
          <w:rFonts w:ascii="David" w:eastAsia="Calibri" w:hAnsi="David"/>
          <w:b/>
          <w:bCs/>
          <w:rtl/>
        </w:rPr>
        <w:t>מוחמד אבו האני נ' מדינת ישראל</w:t>
      </w:r>
      <w:r w:rsidRPr="00AC4C75">
        <w:rPr>
          <w:rFonts w:ascii="David" w:eastAsia="Calibri" w:hAnsi="David"/>
          <w:rtl/>
        </w:rPr>
        <w:t xml:space="preserve"> (ניתן ביום 12.11.2012):</w:t>
      </w:r>
    </w:p>
    <w:p w14:paraId="21EBBFAF" w14:textId="77777777" w:rsidR="00F74AFA" w:rsidRPr="00AC4C75" w:rsidRDefault="00F74AFA" w:rsidP="00F74AFA">
      <w:pPr>
        <w:spacing w:after="160" w:line="254" w:lineRule="auto"/>
        <w:ind w:left="720"/>
        <w:contextualSpacing/>
        <w:rPr>
          <w:rFonts w:ascii="David" w:eastAsia="Calibri" w:hAnsi="David"/>
          <w:rtl/>
        </w:rPr>
      </w:pPr>
    </w:p>
    <w:p w14:paraId="6C254EA0" w14:textId="77777777" w:rsidR="00F74AFA" w:rsidRPr="00AC4C75" w:rsidRDefault="00F74AFA" w:rsidP="00F74AFA">
      <w:pPr>
        <w:spacing w:before="240" w:line="360" w:lineRule="auto"/>
        <w:ind w:left="1134" w:right="1134"/>
        <w:jc w:val="both"/>
        <w:rPr>
          <w:rFonts w:ascii="David" w:hAnsi="David"/>
          <w:i/>
          <w:iCs/>
        </w:rPr>
      </w:pPr>
      <w:r w:rsidRPr="00AC4C75">
        <w:rPr>
          <w:rFonts w:ascii="David" w:hAnsi="David"/>
          <w:rtl/>
        </w:rPr>
        <w:t>"</w:t>
      </w:r>
      <w:r w:rsidRPr="00AC4C75">
        <w:rPr>
          <w:rFonts w:ascii="David" w:hAnsi="David"/>
          <w:b/>
          <w:bCs/>
          <w:rtl/>
        </w:rPr>
        <w:t>אכן, אסור לו לאדם לפגוע בערכים המוגנים שזכו להגנה מיוחדת בחסות המשפט הפלילי. אדם החוטא לערכים אלה, מצופה לשלם את חובו לחברה ולשאת בעונש שקבעה החברה בגין מעשיו. יחד עם זאת, איננו חיים בחברה נקמנית שכל חפצה הוא להעניש את חבריה אשר סטו מדרך הישר אך לשם הענישה. אנו חיים בחברה שפועלת לקדם את ביטחונם האישי של חבריה, בין היתר, באמצעות המשפט הפלילי תוך שימוש במנגנון הענישה ככלי להרתעה אינדיבידואלית וקולקטיבית, ולצד זאת אנו פועלים לשיקום החוטאים כדי לשלבם בחזרה בחיי החברה כחברים תורמים שמסייעים לקידומה".</w:t>
      </w:r>
    </w:p>
    <w:p w14:paraId="6E4636D9" w14:textId="77777777" w:rsidR="00F74AFA" w:rsidRPr="00AC4C75" w:rsidRDefault="00F74AFA" w:rsidP="00F74AFA">
      <w:pPr>
        <w:rPr>
          <w:rFonts w:ascii="David" w:eastAsia="Calibri" w:hAnsi="David"/>
          <w:rtl/>
        </w:rPr>
      </w:pPr>
    </w:p>
    <w:p w14:paraId="16B3243C" w14:textId="77777777" w:rsidR="00F74AFA" w:rsidRPr="00AC4C75" w:rsidRDefault="00F74AFA" w:rsidP="00F74AFA">
      <w:pPr>
        <w:numPr>
          <w:ilvl w:val="0"/>
          <w:numId w:val="1"/>
        </w:numPr>
        <w:spacing w:after="160" w:line="360" w:lineRule="auto"/>
        <w:contextualSpacing/>
        <w:jc w:val="both"/>
        <w:rPr>
          <w:rFonts w:ascii="David" w:eastAsia="Calibri" w:hAnsi="David"/>
          <w:rtl/>
        </w:rPr>
      </w:pPr>
      <w:r w:rsidRPr="00AC4C75">
        <w:rPr>
          <w:rFonts w:ascii="David" w:eastAsia="Calibri" w:hAnsi="David"/>
          <w:rtl/>
        </w:rPr>
        <w:t xml:space="preserve">לאור האמור ומכוח הוראת </w:t>
      </w:r>
      <w:hyperlink r:id="rId35" w:history="1">
        <w:r w:rsidR="00080B15" w:rsidRPr="00080B15">
          <w:rPr>
            <w:rStyle w:val="Hyperlink"/>
            <w:rFonts w:ascii="David" w:eastAsia="Calibri" w:hAnsi="David"/>
            <w:rtl/>
          </w:rPr>
          <w:t>סעיף 192א</w:t>
        </w:r>
      </w:hyperlink>
      <w:r w:rsidRPr="00AC4C75">
        <w:rPr>
          <w:rFonts w:ascii="David" w:eastAsia="Calibri" w:hAnsi="David"/>
          <w:rtl/>
        </w:rPr>
        <w:t xml:space="preserve"> ל</w:t>
      </w:r>
      <w:hyperlink r:id="rId36" w:history="1">
        <w:r w:rsidR="005746B6" w:rsidRPr="005746B6">
          <w:rPr>
            <w:rFonts w:ascii="David" w:eastAsia="Calibri" w:hAnsi="David"/>
            <w:color w:val="0000FF"/>
            <w:u w:val="single"/>
            <w:rtl/>
          </w:rPr>
          <w:t>חוק סדר הדין הפלילי</w:t>
        </w:r>
      </w:hyperlink>
      <w:r w:rsidRPr="00AC4C75">
        <w:rPr>
          <w:rFonts w:ascii="David" w:eastAsia="Calibri" w:hAnsi="David"/>
          <w:rtl/>
        </w:rPr>
        <w:t xml:space="preserve"> (נוסח משולב), התשמ"ב-1982, תבוטל הרשעת הנאשם והכרעת הדין מיום </w:t>
      </w:r>
      <w:r>
        <w:rPr>
          <w:rFonts w:ascii="David" w:eastAsia="Calibri" w:hAnsi="David" w:hint="cs"/>
          <w:rtl/>
        </w:rPr>
        <w:t>9.11.20</w:t>
      </w:r>
      <w:r>
        <w:rPr>
          <w:rFonts w:ascii="David" w:eastAsia="Calibri" w:hAnsi="David"/>
          <w:rtl/>
        </w:rPr>
        <w:t xml:space="preserve"> ביחס לת</w:t>
      </w:r>
      <w:r w:rsidRPr="00AC4C75">
        <w:rPr>
          <w:rFonts w:ascii="David" w:eastAsia="Calibri" w:hAnsi="David"/>
          <w:rtl/>
        </w:rPr>
        <w:t>פ</w:t>
      </w:r>
      <w:r>
        <w:rPr>
          <w:rFonts w:ascii="David" w:eastAsia="Calibri" w:hAnsi="David" w:hint="cs"/>
          <w:rtl/>
        </w:rPr>
        <w:t>"ק</w:t>
      </w:r>
      <w:r>
        <w:rPr>
          <w:rFonts w:ascii="David" w:eastAsia="Calibri" w:hAnsi="David"/>
          <w:rtl/>
        </w:rPr>
        <w:t xml:space="preserve"> 57417-11-18</w:t>
      </w:r>
      <w:r>
        <w:rPr>
          <w:rFonts w:ascii="David" w:eastAsia="Calibri" w:hAnsi="David" w:hint="cs"/>
          <w:rtl/>
        </w:rPr>
        <w:t xml:space="preserve"> ו</w:t>
      </w:r>
      <w:hyperlink r:id="rId37" w:history="1">
        <w:r w:rsidR="005746B6" w:rsidRPr="005746B6">
          <w:rPr>
            <w:rFonts w:ascii="David" w:eastAsia="Calibri" w:hAnsi="David"/>
            <w:color w:val="0000FF"/>
            <w:u w:val="single"/>
            <w:rtl/>
          </w:rPr>
          <w:t>ת"פ 28838-07-16</w:t>
        </w:r>
      </w:hyperlink>
      <w:r>
        <w:rPr>
          <w:rFonts w:ascii="David" w:eastAsia="Calibri" w:hAnsi="David" w:hint="cs"/>
          <w:rtl/>
        </w:rPr>
        <w:t>,</w:t>
      </w:r>
      <w:r w:rsidRPr="00AC4C75">
        <w:rPr>
          <w:rFonts w:ascii="David" w:eastAsia="Calibri" w:hAnsi="David"/>
          <w:rtl/>
        </w:rPr>
        <w:t xml:space="preserve"> על יסוד הודאת הנאשם אני קובעת כי הוא ביצע את העבירות המיוחסות לו בכתב האישום, אך נמנעת מהרשעתו מהנימוקים שפורטו.</w:t>
      </w:r>
    </w:p>
    <w:p w14:paraId="7181DFF2" w14:textId="77777777" w:rsidR="00F74AFA" w:rsidRPr="00AC4C75" w:rsidRDefault="00F74AFA" w:rsidP="00F74AFA">
      <w:pPr>
        <w:spacing w:after="160" w:line="360" w:lineRule="auto"/>
        <w:ind w:left="720"/>
        <w:contextualSpacing/>
        <w:jc w:val="both"/>
        <w:rPr>
          <w:rFonts w:ascii="David" w:eastAsia="Calibri" w:hAnsi="David"/>
          <w:rtl/>
        </w:rPr>
      </w:pPr>
    </w:p>
    <w:p w14:paraId="1E793210" w14:textId="77777777" w:rsidR="00F74AFA" w:rsidRPr="00AC4C75" w:rsidRDefault="00F74AFA" w:rsidP="00F74AFA">
      <w:pPr>
        <w:numPr>
          <w:ilvl w:val="0"/>
          <w:numId w:val="1"/>
        </w:numPr>
        <w:spacing w:after="160" w:line="360" w:lineRule="auto"/>
        <w:contextualSpacing/>
        <w:jc w:val="both"/>
        <w:rPr>
          <w:rFonts w:ascii="David" w:eastAsia="Calibri" w:hAnsi="David"/>
        </w:rPr>
      </w:pPr>
      <w:r w:rsidRPr="00AC4C75">
        <w:rPr>
          <w:rFonts w:ascii="David" w:eastAsia="Calibri" w:hAnsi="David"/>
          <w:rtl/>
        </w:rPr>
        <w:t>בנסיבות אלה, שוכנעתי כי ראוי להעדיף בעניינו של הנאשם ענישה צופה פני שיקום ולאמץ את המלצות שירות המבחן באופן שיוטל על הנאשם 100 שעות של"צ. המדובר ברכיב ענישה מידתי ויש בו כדי להועיל לשיקום הנאשם.</w:t>
      </w:r>
    </w:p>
    <w:p w14:paraId="2A826010" w14:textId="77777777" w:rsidR="00F74AFA" w:rsidRPr="00AC4C75" w:rsidRDefault="00F74AFA" w:rsidP="00F74AFA">
      <w:pPr>
        <w:spacing w:after="160" w:line="360" w:lineRule="auto"/>
        <w:ind w:left="720"/>
        <w:contextualSpacing/>
        <w:jc w:val="both"/>
        <w:rPr>
          <w:rFonts w:ascii="David" w:eastAsia="Calibri" w:hAnsi="David"/>
        </w:rPr>
      </w:pPr>
    </w:p>
    <w:p w14:paraId="66AC0DE4" w14:textId="77777777" w:rsidR="00F74AFA" w:rsidRPr="00AC4C75" w:rsidRDefault="00F74AFA" w:rsidP="00F74AFA">
      <w:pPr>
        <w:numPr>
          <w:ilvl w:val="0"/>
          <w:numId w:val="1"/>
        </w:numPr>
        <w:spacing w:after="160" w:line="360" w:lineRule="auto"/>
        <w:contextualSpacing/>
        <w:jc w:val="both"/>
        <w:rPr>
          <w:rFonts w:ascii="David" w:eastAsia="Calibri" w:hAnsi="David"/>
        </w:rPr>
      </w:pPr>
      <w:r w:rsidRPr="00AC4C75">
        <w:rPr>
          <w:rFonts w:ascii="David" w:eastAsia="Calibri" w:hAnsi="David"/>
          <w:rtl/>
        </w:rPr>
        <w:t>אבקש לחזק את ידי הנאשם ולשבחו על סיום ההליך בהצלחה, על השיקום המשמעותי שעבר ועל  העמידה ביעדים שהוצבו לו. אני מוצאת כי העונש שיוטל על הנאשם יהווה עבורו תמריץ חיובי להתמיד בדרך חיים נורמטיבית ולהמשיך לצעוד בדרך המיטיבה בה בחר וכן להוות דוגמא חיובית לשיקום ושינוי מיטבי.</w:t>
      </w:r>
    </w:p>
    <w:p w14:paraId="719DD9FD" w14:textId="77777777" w:rsidR="00F74AFA" w:rsidRPr="00AC4C75" w:rsidRDefault="00F74AFA" w:rsidP="00F74AFA">
      <w:pPr>
        <w:rPr>
          <w:rFonts w:ascii="David" w:hAnsi="David"/>
          <w:u w:val="single"/>
        </w:rPr>
      </w:pPr>
      <w:r w:rsidRPr="00AC4C75">
        <w:rPr>
          <w:rFonts w:ascii="David" w:hAnsi="David"/>
          <w:u w:val="single"/>
          <w:rtl/>
        </w:rPr>
        <w:t>סוף דבר</w:t>
      </w:r>
    </w:p>
    <w:p w14:paraId="4FC0A9E8" w14:textId="77777777" w:rsidR="00F74AFA" w:rsidRPr="00AC4C75" w:rsidRDefault="00F74AFA" w:rsidP="00F74AFA">
      <w:pPr>
        <w:numPr>
          <w:ilvl w:val="0"/>
          <w:numId w:val="1"/>
        </w:numPr>
        <w:spacing w:after="160" w:line="360" w:lineRule="auto"/>
        <w:contextualSpacing/>
        <w:jc w:val="both"/>
        <w:rPr>
          <w:rFonts w:ascii="David" w:eastAsia="Calibri" w:hAnsi="David"/>
          <w:rtl/>
        </w:rPr>
      </w:pPr>
      <w:r w:rsidRPr="00AC4C75">
        <w:rPr>
          <w:rFonts w:ascii="David" w:eastAsia="Calibri" w:hAnsi="David"/>
          <w:rtl/>
        </w:rPr>
        <w:t>מכל הנתונים והשיקולים שפירטתי לעיל, הנני מטילה על הנאשם כדלקמן:</w:t>
      </w:r>
    </w:p>
    <w:p w14:paraId="2D4311CF" w14:textId="77777777" w:rsidR="00F74AFA" w:rsidRPr="00AC4C75" w:rsidRDefault="00F74AFA" w:rsidP="00F74AFA">
      <w:pPr>
        <w:numPr>
          <w:ilvl w:val="0"/>
          <w:numId w:val="3"/>
        </w:numPr>
        <w:spacing w:after="160" w:line="360" w:lineRule="auto"/>
        <w:contextualSpacing/>
        <w:jc w:val="both"/>
        <w:rPr>
          <w:rFonts w:ascii="David" w:eastAsia="Calibri" w:hAnsi="David"/>
          <w:rtl/>
        </w:rPr>
      </w:pPr>
      <w:r w:rsidRPr="00AC4C75">
        <w:rPr>
          <w:rFonts w:ascii="David" w:eastAsia="Calibri" w:hAnsi="David"/>
          <w:u w:val="single"/>
          <w:rtl/>
        </w:rPr>
        <w:t>צו שירות לתועלת הציבור בהיקף של  100 שעות</w:t>
      </w:r>
      <w:r w:rsidRPr="00AC4C75">
        <w:rPr>
          <w:rFonts w:ascii="David" w:eastAsia="Calibri" w:hAnsi="David"/>
          <w:rtl/>
        </w:rPr>
        <w:t>, אותו יבצע הנאשם לפי תכנית שגיבש עבורו שירות המבחן במסגרת "ביגודית" בויצ"ו בבאר שבע. התכנית תבוצע בפיקוח שירות המבחן. אם יתעורר צורך בשינוי מקום ההשמה, שירות המבחן יעשה כן וידווח לבית המשפט. הנאשם מוזהר, כי אי התייצבות לעבודות השל"צ, או אי שיתוף פעולה בנוגע לריצוין עלול להביא להפקעת צו השל"צ ולדיון מחדש בשאלת העונש.</w:t>
      </w:r>
    </w:p>
    <w:p w14:paraId="010EF497" w14:textId="77777777" w:rsidR="00F74AFA" w:rsidRPr="00AC4C75" w:rsidRDefault="00F74AFA" w:rsidP="00F74AFA">
      <w:pPr>
        <w:spacing w:after="160" w:line="360" w:lineRule="auto"/>
        <w:ind w:left="1080"/>
        <w:contextualSpacing/>
        <w:jc w:val="both"/>
        <w:rPr>
          <w:rFonts w:ascii="David" w:eastAsia="Calibri" w:hAnsi="David"/>
        </w:rPr>
      </w:pPr>
    </w:p>
    <w:p w14:paraId="35C9F5C9" w14:textId="77777777" w:rsidR="00F74AFA" w:rsidRPr="00AC4C75" w:rsidRDefault="00F74AFA" w:rsidP="00F74AFA">
      <w:pPr>
        <w:numPr>
          <w:ilvl w:val="0"/>
          <w:numId w:val="1"/>
        </w:numPr>
        <w:spacing w:after="160" w:line="360" w:lineRule="auto"/>
        <w:contextualSpacing/>
        <w:jc w:val="both"/>
        <w:rPr>
          <w:rFonts w:ascii="David" w:eastAsia="Calibri" w:hAnsi="David"/>
        </w:rPr>
      </w:pPr>
      <w:r w:rsidRPr="00AC4C75">
        <w:rPr>
          <w:rFonts w:ascii="David" w:eastAsia="Calibri" w:hAnsi="David"/>
          <w:rtl/>
        </w:rPr>
        <w:t>ניתן בזאת צו להשמדה/חילוט/השבה של מוצגים, לפי שיקול דעת המאשימה.</w:t>
      </w:r>
    </w:p>
    <w:p w14:paraId="1FE6EAF4" w14:textId="77777777" w:rsidR="00F74AFA" w:rsidRPr="00AC4C75" w:rsidRDefault="00F74AFA" w:rsidP="00F74AFA">
      <w:pPr>
        <w:spacing w:after="160" w:line="254" w:lineRule="auto"/>
        <w:ind w:left="720"/>
        <w:contextualSpacing/>
        <w:jc w:val="both"/>
        <w:rPr>
          <w:rFonts w:ascii="David" w:eastAsia="Calibri" w:hAnsi="David"/>
          <w:color w:val="FF0000"/>
          <w:rtl/>
        </w:rPr>
      </w:pPr>
    </w:p>
    <w:p w14:paraId="78D043CA" w14:textId="77777777" w:rsidR="00F74AFA" w:rsidRPr="00AC4C75" w:rsidRDefault="00F74AFA" w:rsidP="00F74AFA">
      <w:pPr>
        <w:numPr>
          <w:ilvl w:val="0"/>
          <w:numId w:val="1"/>
        </w:numPr>
        <w:spacing w:after="160" w:line="254" w:lineRule="auto"/>
        <w:contextualSpacing/>
        <w:jc w:val="both"/>
        <w:rPr>
          <w:rFonts w:ascii="David" w:eastAsia="Calibri" w:hAnsi="David"/>
          <w:color w:val="FF0000"/>
        </w:rPr>
      </w:pPr>
      <w:r w:rsidRPr="00AC4C75">
        <w:rPr>
          <w:rFonts w:ascii="David" w:eastAsia="Calibri" w:hAnsi="David"/>
          <w:rtl/>
        </w:rPr>
        <w:t>זכות ערעור לבית המשפט המחוזי בתוך 45 יום מהיום.</w:t>
      </w:r>
    </w:p>
    <w:p w14:paraId="68C5A294" w14:textId="77777777" w:rsidR="00F74AFA" w:rsidRPr="00AC4C75" w:rsidRDefault="00F74AFA" w:rsidP="00F74AFA">
      <w:pPr>
        <w:rPr>
          <w:rFonts w:ascii="David" w:hAnsi="David"/>
        </w:rPr>
      </w:pPr>
    </w:p>
    <w:p w14:paraId="00FAEDE6" w14:textId="77777777" w:rsidR="00F74AFA" w:rsidRPr="00AC4C75" w:rsidRDefault="00F74AFA" w:rsidP="00F74AFA">
      <w:pPr>
        <w:rPr>
          <w:rFonts w:ascii="David" w:hAnsi="David"/>
          <w:rtl/>
        </w:rPr>
      </w:pPr>
    </w:p>
    <w:p w14:paraId="358533C6" w14:textId="77777777" w:rsidR="00F74AFA" w:rsidRPr="00AC4C75" w:rsidRDefault="00F74AFA" w:rsidP="00F74AFA">
      <w:pPr>
        <w:rPr>
          <w:rFonts w:ascii="David" w:hAnsi="David"/>
          <w:rtl/>
        </w:rPr>
      </w:pPr>
    </w:p>
    <w:p w14:paraId="521FF4A4" w14:textId="77777777" w:rsidR="00F74AFA" w:rsidRPr="00AC4C75" w:rsidRDefault="00F74AFA" w:rsidP="00F74AFA">
      <w:pPr>
        <w:spacing w:line="360" w:lineRule="auto"/>
        <w:jc w:val="both"/>
        <w:rPr>
          <w:rFonts w:ascii="David" w:hAnsi="David"/>
          <w:rtl/>
        </w:rPr>
      </w:pPr>
      <w:r w:rsidRPr="00AC4C75">
        <w:rPr>
          <w:rFonts w:ascii="David" w:hAnsi="David"/>
          <w:rtl/>
        </w:rPr>
        <w:t xml:space="preserve">ניתן היום,  </w:t>
      </w:r>
      <w:r>
        <w:rPr>
          <w:rFonts w:ascii="David" w:hAnsi="David"/>
          <w:rtl/>
        </w:rPr>
        <w:t>כ"ג חשוון תשפ"א</w:t>
      </w:r>
      <w:r w:rsidRPr="00AC4C75">
        <w:rPr>
          <w:rFonts w:ascii="David" w:hAnsi="David"/>
          <w:rtl/>
        </w:rPr>
        <w:t xml:space="preserve">, </w:t>
      </w:r>
      <w:r>
        <w:rPr>
          <w:rFonts w:ascii="David" w:hAnsi="David"/>
          <w:rtl/>
        </w:rPr>
        <w:t>10 נובמבר 2020</w:t>
      </w:r>
      <w:r w:rsidRPr="00AC4C75">
        <w:rPr>
          <w:rFonts w:ascii="David" w:hAnsi="David"/>
          <w:rtl/>
        </w:rPr>
        <w:t xml:space="preserve">, ויימסר לצדדים.  </w:t>
      </w:r>
      <w:r w:rsidRPr="00AC4C75">
        <w:rPr>
          <w:rFonts w:ascii="David" w:hAnsi="David"/>
          <w:rtl/>
        </w:rPr>
        <w:tab/>
      </w:r>
      <w:r w:rsidRPr="00AC4C75">
        <w:rPr>
          <w:rFonts w:ascii="David" w:hAnsi="David"/>
          <w:rtl/>
        </w:rPr>
        <w:tab/>
      </w:r>
      <w:r w:rsidRPr="00AC4C75">
        <w:rPr>
          <w:rFonts w:ascii="David" w:hAnsi="David"/>
          <w:rtl/>
        </w:rPr>
        <w:tab/>
      </w:r>
      <w:r w:rsidRPr="00AC4C75">
        <w:rPr>
          <w:rFonts w:ascii="David" w:hAnsi="David"/>
          <w:rtl/>
        </w:rPr>
        <w:tab/>
      </w:r>
    </w:p>
    <w:p w14:paraId="2EF92859" w14:textId="77777777" w:rsidR="00F74AFA" w:rsidRPr="00AC4C75" w:rsidRDefault="00F74AFA" w:rsidP="00F74AFA">
      <w:pPr>
        <w:spacing w:after="160" w:line="256" w:lineRule="auto"/>
        <w:jc w:val="both"/>
        <w:rPr>
          <w:rFonts w:ascii="Arial" w:hAnsi="Arial"/>
          <w:rtl/>
        </w:rPr>
      </w:pPr>
    </w:p>
    <w:p w14:paraId="278D9FF9" w14:textId="77777777" w:rsidR="00F74AFA" w:rsidRPr="00B05847" w:rsidRDefault="00F74AFA" w:rsidP="00F74AFA">
      <w:pPr>
        <w:rPr>
          <w:rtl/>
        </w:rPr>
      </w:pPr>
    </w:p>
    <w:p w14:paraId="7F3ECB6D" w14:textId="77777777" w:rsidR="00F74AFA" w:rsidRPr="00B05847" w:rsidRDefault="00F74AFA" w:rsidP="00F74AFA">
      <w:pPr>
        <w:rPr>
          <w:rtl/>
        </w:rPr>
      </w:pPr>
    </w:p>
    <w:p w14:paraId="270F08BD" w14:textId="77777777" w:rsidR="00F74AFA" w:rsidRPr="00B05847" w:rsidRDefault="00F74AFA" w:rsidP="00F74AFA">
      <w:pPr>
        <w:rPr>
          <w:rtl/>
        </w:rPr>
      </w:pPr>
    </w:p>
    <w:p w14:paraId="06CF031F" w14:textId="77777777" w:rsidR="00F74AFA" w:rsidRPr="00B05847" w:rsidRDefault="00F74AFA" w:rsidP="00F74AFA">
      <w:pPr>
        <w:rPr>
          <w:rtl/>
        </w:rPr>
      </w:pPr>
    </w:p>
    <w:p w14:paraId="4EB7622D" w14:textId="77777777" w:rsidR="00F74AFA" w:rsidRPr="00B05847" w:rsidRDefault="00F74AFA" w:rsidP="00F74AFA">
      <w:pPr>
        <w:rPr>
          <w:rtl/>
        </w:rPr>
      </w:pPr>
    </w:p>
    <w:p w14:paraId="6C3E2EBD" w14:textId="77777777" w:rsidR="00F74AFA" w:rsidRPr="00B05847" w:rsidRDefault="00F74AFA" w:rsidP="00F74AFA">
      <w:pPr>
        <w:rPr>
          <w:rtl/>
        </w:rPr>
      </w:pPr>
    </w:p>
    <w:p w14:paraId="2893F30F" w14:textId="77777777" w:rsidR="00F74AFA" w:rsidRPr="005746B6" w:rsidRDefault="005746B6" w:rsidP="00F74AFA">
      <w:pPr>
        <w:rPr>
          <w:color w:val="FFFFFF"/>
          <w:sz w:val="2"/>
          <w:szCs w:val="2"/>
          <w:rtl/>
        </w:rPr>
      </w:pPr>
      <w:r w:rsidRPr="005746B6">
        <w:rPr>
          <w:color w:val="FFFFFF"/>
          <w:sz w:val="2"/>
          <w:szCs w:val="2"/>
          <w:rtl/>
        </w:rPr>
        <w:t>5129371</w:t>
      </w:r>
    </w:p>
    <w:p w14:paraId="4EE05D97" w14:textId="77777777" w:rsidR="00F74AFA" w:rsidRDefault="005746B6" w:rsidP="00F74AFA">
      <w:pPr>
        <w:rPr>
          <w:rFonts w:cs="FrankRuehl"/>
          <w:sz w:val="28"/>
          <w:szCs w:val="28"/>
          <w:rtl/>
        </w:rPr>
      </w:pPr>
      <w:bookmarkStart w:id="7" w:name="Nitan"/>
      <w:r w:rsidRPr="005746B6">
        <w:rPr>
          <w:rFonts w:ascii="Arial" w:hAnsi="Arial"/>
          <w:color w:val="FFFFFF"/>
          <w:sz w:val="2"/>
          <w:szCs w:val="2"/>
          <w:rtl/>
        </w:rPr>
        <w:t>54678313</w:t>
      </w:r>
      <w:r>
        <w:rPr>
          <w:rFonts w:ascii="Arial" w:hAnsi="Arial"/>
          <w:rtl/>
        </w:rPr>
        <w:t xml:space="preserve">ניתן היום,  כ"ג חשוון תשפ"א, 10 נובמבר 2020, בהעדר הצדדים. </w:t>
      </w:r>
      <w:bookmarkEnd w:id="7"/>
    </w:p>
    <w:p w14:paraId="10734D37" w14:textId="77777777" w:rsidR="00F74AFA" w:rsidRDefault="00F74AFA" w:rsidP="005746B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265E4EA" w14:textId="77777777" w:rsidR="00F74AFA" w:rsidRDefault="00F74AFA" w:rsidP="00F74AFA">
      <w:pPr>
        <w:jc w:val="center"/>
        <w:rPr>
          <w:rFonts w:ascii="Arial" w:hAnsi="Arial" w:cs="FrankRuehl"/>
          <w:sz w:val="28"/>
          <w:szCs w:val="28"/>
          <w:rtl/>
        </w:rPr>
      </w:pPr>
    </w:p>
    <w:p w14:paraId="0A0BA5C0" w14:textId="77777777" w:rsidR="00F74AFA" w:rsidRDefault="00F74AFA" w:rsidP="00F74AFA">
      <w:pPr>
        <w:rPr>
          <w:rFonts w:cs="FrankRuehl"/>
          <w:sz w:val="28"/>
          <w:szCs w:val="28"/>
          <w:rtl/>
        </w:rPr>
      </w:pPr>
    </w:p>
    <w:p w14:paraId="7BE267D3" w14:textId="77777777" w:rsidR="00F74AFA" w:rsidRPr="00080B15" w:rsidRDefault="00080B15" w:rsidP="00F74AFA">
      <w:pPr>
        <w:pStyle w:val="a3"/>
        <w:jc w:val="center"/>
        <w:rPr>
          <w:color w:val="FFFFFF"/>
          <w:sz w:val="2"/>
          <w:szCs w:val="2"/>
          <w:rtl/>
        </w:rPr>
      </w:pPr>
      <w:r w:rsidRPr="00080B15">
        <w:rPr>
          <w:color w:val="FFFFFF"/>
          <w:sz w:val="2"/>
          <w:szCs w:val="2"/>
          <w:rtl/>
        </w:rPr>
        <w:t>5129371</w:t>
      </w:r>
    </w:p>
    <w:p w14:paraId="37B608E2" w14:textId="77777777" w:rsidR="008F1B3E" w:rsidRPr="00080B15" w:rsidRDefault="00080B15" w:rsidP="005746B6">
      <w:pPr>
        <w:keepNext/>
        <w:rPr>
          <w:rFonts w:ascii="David" w:hAnsi="David"/>
          <w:color w:val="FFFFFF"/>
          <w:sz w:val="2"/>
          <w:szCs w:val="2"/>
          <w:rtl/>
        </w:rPr>
      </w:pPr>
      <w:r w:rsidRPr="00080B15">
        <w:rPr>
          <w:rFonts w:ascii="David" w:hAnsi="David"/>
          <w:color w:val="FFFFFF"/>
          <w:sz w:val="2"/>
          <w:szCs w:val="2"/>
          <w:rtl/>
        </w:rPr>
        <w:t>54678313</w:t>
      </w:r>
    </w:p>
    <w:p w14:paraId="5D7F8A0F" w14:textId="77777777" w:rsidR="005746B6" w:rsidRDefault="005746B6" w:rsidP="005746B6">
      <w:pPr>
        <w:rPr>
          <w:rtl/>
        </w:rPr>
      </w:pPr>
    </w:p>
    <w:p w14:paraId="00E057FD" w14:textId="77777777" w:rsidR="005746B6" w:rsidRDefault="005746B6" w:rsidP="005746B6">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399C4606" w14:textId="77777777" w:rsidR="00080B15" w:rsidRPr="00080B15" w:rsidRDefault="00080B15" w:rsidP="00080B15">
      <w:pPr>
        <w:keepNext/>
        <w:rPr>
          <w:rFonts w:ascii="David" w:hAnsi="David"/>
          <w:color w:val="000000"/>
          <w:sz w:val="22"/>
          <w:szCs w:val="22"/>
          <w:rtl/>
        </w:rPr>
      </w:pPr>
    </w:p>
    <w:p w14:paraId="3B37281A" w14:textId="77777777" w:rsidR="00080B15" w:rsidRPr="00080B15" w:rsidRDefault="00080B15" w:rsidP="00080B15">
      <w:pPr>
        <w:keepNext/>
        <w:rPr>
          <w:rFonts w:ascii="David" w:hAnsi="David"/>
          <w:color w:val="000000"/>
          <w:sz w:val="22"/>
          <w:szCs w:val="22"/>
          <w:rtl/>
        </w:rPr>
      </w:pPr>
      <w:r w:rsidRPr="00080B15">
        <w:rPr>
          <w:rFonts w:ascii="David" w:hAnsi="David"/>
          <w:color w:val="000000"/>
          <w:sz w:val="22"/>
          <w:szCs w:val="22"/>
          <w:rtl/>
        </w:rPr>
        <w:t>אבירה אשקלוני 54678313-/</w:t>
      </w:r>
    </w:p>
    <w:p w14:paraId="4E0A3D2B" w14:textId="77777777" w:rsidR="005746B6" w:rsidRPr="005746B6" w:rsidRDefault="00080B15" w:rsidP="00080B15">
      <w:pPr>
        <w:rPr>
          <w:rFonts w:hint="cs"/>
          <w:color w:val="0000FF"/>
          <w:u w:val="single"/>
        </w:rPr>
      </w:pPr>
      <w:r w:rsidRPr="00080B15">
        <w:rPr>
          <w:color w:val="000000"/>
          <w:u w:val="single"/>
          <w:rtl/>
        </w:rPr>
        <w:t>נוסח מסמך זה כפוף לשינויי ניסוח ועריכה</w:t>
      </w:r>
      <w:r w:rsidR="008D3DDC">
        <w:rPr>
          <w:rFonts w:hint="cs"/>
          <w:color w:val="0000FF"/>
          <w:u w:val="single"/>
          <w:rtl/>
        </w:rPr>
        <w:t xml:space="preserve"> </w:t>
      </w:r>
    </w:p>
    <w:sectPr w:rsidR="005746B6" w:rsidRPr="005746B6" w:rsidSect="00080B15">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399ED" w14:textId="77777777" w:rsidR="00A87704" w:rsidRDefault="00A87704" w:rsidP="008B6134">
      <w:r>
        <w:separator/>
      </w:r>
    </w:p>
  </w:endnote>
  <w:endnote w:type="continuationSeparator" w:id="0">
    <w:p w14:paraId="05D78885" w14:textId="77777777" w:rsidR="00A87704" w:rsidRDefault="00A87704" w:rsidP="008B6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A7A06" w14:textId="77777777" w:rsidR="00080B15" w:rsidRDefault="00080B15" w:rsidP="00080B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7E827F9" w14:textId="77777777" w:rsidR="001336CD" w:rsidRPr="00080B15" w:rsidRDefault="00080B15" w:rsidP="00080B15">
    <w:pPr>
      <w:pStyle w:val="a5"/>
      <w:pBdr>
        <w:top w:val="single" w:sz="4" w:space="1" w:color="auto"/>
        <w:between w:val="single" w:sz="4" w:space="0" w:color="auto"/>
      </w:pBdr>
      <w:spacing w:after="60"/>
      <w:jc w:val="center"/>
      <w:rPr>
        <w:rFonts w:ascii="FrankRuehl" w:hAnsi="FrankRuehl" w:cs="FrankRuehl"/>
        <w:color w:val="000000"/>
      </w:rPr>
    </w:pPr>
    <w:r w:rsidRPr="00080B1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A95C3" w14:textId="77777777" w:rsidR="00080B15" w:rsidRDefault="00080B15" w:rsidP="00080B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22038">
      <w:rPr>
        <w:rFonts w:ascii="FrankRuehl" w:hAnsi="FrankRuehl" w:cs="FrankRuehl"/>
        <w:noProof/>
        <w:rtl/>
      </w:rPr>
      <w:t>1</w:t>
    </w:r>
    <w:r>
      <w:rPr>
        <w:rFonts w:ascii="FrankRuehl" w:hAnsi="FrankRuehl" w:cs="FrankRuehl"/>
        <w:rtl/>
      </w:rPr>
      <w:fldChar w:fldCharType="end"/>
    </w:r>
  </w:p>
  <w:p w14:paraId="6840491B" w14:textId="77777777" w:rsidR="001336CD" w:rsidRPr="00080B15" w:rsidRDefault="00080B15" w:rsidP="00080B15">
    <w:pPr>
      <w:pStyle w:val="a5"/>
      <w:pBdr>
        <w:top w:val="single" w:sz="4" w:space="1" w:color="auto"/>
        <w:between w:val="single" w:sz="4" w:space="0" w:color="auto"/>
      </w:pBdr>
      <w:spacing w:after="60"/>
      <w:jc w:val="center"/>
      <w:rPr>
        <w:rFonts w:ascii="FrankRuehl" w:hAnsi="FrankRuehl" w:cs="FrankRuehl"/>
        <w:color w:val="000000"/>
      </w:rPr>
    </w:pPr>
    <w:r w:rsidRPr="00080B15">
      <w:rPr>
        <w:rFonts w:ascii="FrankRuehl" w:hAnsi="FrankRuehl" w:cs="FrankRuehl"/>
        <w:color w:val="000000"/>
      </w:rPr>
      <w:pict w14:anchorId="7779C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C92F4" w14:textId="77777777" w:rsidR="00A87704" w:rsidRDefault="00A87704" w:rsidP="008B6134">
      <w:r>
        <w:separator/>
      </w:r>
    </w:p>
  </w:footnote>
  <w:footnote w:type="continuationSeparator" w:id="0">
    <w:p w14:paraId="603B0D39" w14:textId="77777777" w:rsidR="00A87704" w:rsidRDefault="00A87704" w:rsidP="008B6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EA6AF" w14:textId="77777777" w:rsidR="005746B6" w:rsidRPr="00080B15" w:rsidRDefault="00080B15" w:rsidP="00080B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תפק (ב"ש) 57417-11-18</w:t>
    </w:r>
    <w:r>
      <w:rPr>
        <w:rFonts w:ascii="David" w:hAnsi="David"/>
        <w:color w:val="000000"/>
        <w:sz w:val="22"/>
        <w:szCs w:val="22"/>
        <w:rtl/>
      </w:rPr>
      <w:tab/>
      <w:t xml:space="preserve"> מדינת ישראל נ' מתן בוקובזה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FADE0" w14:textId="77777777" w:rsidR="005746B6" w:rsidRPr="00080B15" w:rsidRDefault="00080B15" w:rsidP="00080B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תפק (ב"ש) 57417-11-18</w:t>
    </w:r>
    <w:r>
      <w:rPr>
        <w:rFonts w:ascii="David" w:hAnsi="David"/>
        <w:color w:val="000000"/>
        <w:sz w:val="22"/>
        <w:szCs w:val="22"/>
        <w:rtl/>
      </w:rPr>
      <w:tab/>
      <w:t xml:space="preserve"> מדינת ישראל נ' מתן בוקובזה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25EB"/>
    <w:multiLevelType w:val="hybridMultilevel"/>
    <w:tmpl w:val="09EA9148"/>
    <w:lvl w:ilvl="0" w:tplc="98CAF6AC">
      <w:start w:val="1"/>
      <w:numFmt w:val="hebrew1"/>
      <w:lvlText w:val="%1."/>
      <w:lvlJc w:val="left"/>
      <w:pPr>
        <w:ind w:left="1080" w:hanging="360"/>
      </w:pPr>
    </w:lvl>
    <w:lvl w:ilvl="1" w:tplc="DC4E1FEC">
      <w:start w:val="1"/>
      <w:numFmt w:val="lowerLetter"/>
      <w:lvlText w:val="%2."/>
      <w:lvlJc w:val="left"/>
      <w:pPr>
        <w:ind w:left="1800" w:hanging="360"/>
      </w:pPr>
    </w:lvl>
    <w:lvl w:ilvl="2" w:tplc="F8E07336">
      <w:start w:val="1"/>
      <w:numFmt w:val="lowerRoman"/>
      <w:lvlText w:val="%3."/>
      <w:lvlJc w:val="right"/>
      <w:pPr>
        <w:ind w:left="2520" w:hanging="180"/>
      </w:pPr>
    </w:lvl>
    <w:lvl w:ilvl="3" w:tplc="6B3E96E6">
      <w:start w:val="1"/>
      <w:numFmt w:val="decimal"/>
      <w:lvlText w:val="%4."/>
      <w:lvlJc w:val="left"/>
      <w:pPr>
        <w:ind w:left="3240" w:hanging="360"/>
      </w:pPr>
    </w:lvl>
    <w:lvl w:ilvl="4" w:tplc="9C8632C4">
      <w:start w:val="1"/>
      <w:numFmt w:val="lowerLetter"/>
      <w:lvlText w:val="%5."/>
      <w:lvlJc w:val="left"/>
      <w:pPr>
        <w:ind w:left="3960" w:hanging="360"/>
      </w:pPr>
    </w:lvl>
    <w:lvl w:ilvl="5" w:tplc="108E7198">
      <w:start w:val="1"/>
      <w:numFmt w:val="lowerRoman"/>
      <w:lvlText w:val="%6."/>
      <w:lvlJc w:val="right"/>
      <w:pPr>
        <w:ind w:left="4680" w:hanging="180"/>
      </w:pPr>
    </w:lvl>
    <w:lvl w:ilvl="6" w:tplc="2D22E34E">
      <w:start w:val="1"/>
      <w:numFmt w:val="decimal"/>
      <w:lvlText w:val="%7."/>
      <w:lvlJc w:val="left"/>
      <w:pPr>
        <w:ind w:left="5400" w:hanging="360"/>
      </w:pPr>
    </w:lvl>
    <w:lvl w:ilvl="7" w:tplc="A8B6F304">
      <w:start w:val="1"/>
      <w:numFmt w:val="lowerLetter"/>
      <w:lvlText w:val="%8."/>
      <w:lvlJc w:val="left"/>
      <w:pPr>
        <w:ind w:left="6120" w:hanging="360"/>
      </w:pPr>
    </w:lvl>
    <w:lvl w:ilvl="8" w:tplc="9594B9C8">
      <w:start w:val="1"/>
      <w:numFmt w:val="lowerRoman"/>
      <w:lvlText w:val="%9."/>
      <w:lvlJc w:val="right"/>
      <w:pPr>
        <w:ind w:left="6840" w:hanging="180"/>
      </w:pPr>
    </w:lvl>
  </w:abstractNum>
  <w:abstractNum w:abstractNumId="1" w15:restartNumberingAfterBreak="0">
    <w:nsid w:val="2E2C78A9"/>
    <w:multiLevelType w:val="hybridMultilevel"/>
    <w:tmpl w:val="639EFE06"/>
    <w:lvl w:ilvl="0" w:tplc="42787F6C">
      <w:start w:val="1"/>
      <w:numFmt w:val="hebrew1"/>
      <w:lvlText w:val="%1."/>
      <w:lvlJc w:val="left"/>
      <w:pPr>
        <w:ind w:left="1080" w:hanging="360"/>
      </w:pPr>
      <w:rPr>
        <w:color w:val="auto"/>
        <w:u w:val="single"/>
      </w:rPr>
    </w:lvl>
    <w:lvl w:ilvl="1" w:tplc="C9B6096A">
      <w:start w:val="1"/>
      <w:numFmt w:val="lowerLetter"/>
      <w:lvlText w:val="%2."/>
      <w:lvlJc w:val="left"/>
      <w:pPr>
        <w:ind w:left="1800" w:hanging="360"/>
      </w:pPr>
    </w:lvl>
    <w:lvl w:ilvl="2" w:tplc="91061A34">
      <w:start w:val="1"/>
      <w:numFmt w:val="lowerRoman"/>
      <w:lvlText w:val="%3."/>
      <w:lvlJc w:val="right"/>
      <w:pPr>
        <w:ind w:left="2520" w:hanging="180"/>
      </w:pPr>
    </w:lvl>
    <w:lvl w:ilvl="3" w:tplc="C106B5C8">
      <w:start w:val="1"/>
      <w:numFmt w:val="decimal"/>
      <w:lvlText w:val="%4."/>
      <w:lvlJc w:val="left"/>
      <w:pPr>
        <w:ind w:left="3240" w:hanging="360"/>
      </w:pPr>
    </w:lvl>
    <w:lvl w:ilvl="4" w:tplc="5516C2C2">
      <w:start w:val="1"/>
      <w:numFmt w:val="lowerLetter"/>
      <w:lvlText w:val="%5."/>
      <w:lvlJc w:val="left"/>
      <w:pPr>
        <w:ind w:left="3960" w:hanging="360"/>
      </w:pPr>
    </w:lvl>
    <w:lvl w:ilvl="5" w:tplc="00121236">
      <w:start w:val="1"/>
      <w:numFmt w:val="lowerRoman"/>
      <w:lvlText w:val="%6."/>
      <w:lvlJc w:val="right"/>
      <w:pPr>
        <w:ind w:left="4680" w:hanging="180"/>
      </w:pPr>
    </w:lvl>
    <w:lvl w:ilvl="6" w:tplc="072C77B6">
      <w:start w:val="1"/>
      <w:numFmt w:val="decimal"/>
      <w:lvlText w:val="%7."/>
      <w:lvlJc w:val="left"/>
      <w:pPr>
        <w:ind w:left="5400" w:hanging="360"/>
      </w:pPr>
    </w:lvl>
    <w:lvl w:ilvl="7" w:tplc="198A4D18">
      <w:start w:val="1"/>
      <w:numFmt w:val="lowerLetter"/>
      <w:lvlText w:val="%8."/>
      <w:lvlJc w:val="left"/>
      <w:pPr>
        <w:ind w:left="6120" w:hanging="360"/>
      </w:pPr>
    </w:lvl>
    <w:lvl w:ilvl="8" w:tplc="0E52C178">
      <w:start w:val="1"/>
      <w:numFmt w:val="lowerRoman"/>
      <w:lvlText w:val="%9."/>
      <w:lvlJc w:val="right"/>
      <w:pPr>
        <w:ind w:left="6840" w:hanging="180"/>
      </w:pPr>
    </w:lvl>
  </w:abstractNum>
  <w:abstractNum w:abstractNumId="2" w15:restartNumberingAfterBreak="0">
    <w:nsid w:val="7ED03E9D"/>
    <w:multiLevelType w:val="hybridMultilevel"/>
    <w:tmpl w:val="0944CF56"/>
    <w:lvl w:ilvl="0" w:tplc="B5AACA60">
      <w:start w:val="1"/>
      <w:numFmt w:val="decimal"/>
      <w:lvlText w:val="%1."/>
      <w:lvlJc w:val="left"/>
      <w:pPr>
        <w:ind w:left="720" w:hanging="360"/>
      </w:pPr>
      <w:rPr>
        <w:b w:val="0"/>
        <w:bCs w:val="0"/>
        <w:color w:val="auto"/>
        <w:sz w:val="24"/>
        <w:szCs w:val="24"/>
        <w:lang w:val="en-US"/>
      </w:rPr>
    </w:lvl>
    <w:lvl w:ilvl="1" w:tplc="2B2A4566">
      <w:start w:val="1"/>
      <w:numFmt w:val="lowerLetter"/>
      <w:lvlText w:val="%2."/>
      <w:lvlJc w:val="left"/>
      <w:pPr>
        <w:ind w:left="1440" w:hanging="360"/>
      </w:pPr>
    </w:lvl>
    <w:lvl w:ilvl="2" w:tplc="F0FEC25E">
      <w:start w:val="1"/>
      <w:numFmt w:val="lowerRoman"/>
      <w:lvlText w:val="%3."/>
      <w:lvlJc w:val="right"/>
      <w:pPr>
        <w:ind w:left="2160" w:hanging="180"/>
      </w:pPr>
    </w:lvl>
    <w:lvl w:ilvl="3" w:tplc="2B3C12F4">
      <w:start w:val="1"/>
      <w:numFmt w:val="decimal"/>
      <w:lvlText w:val="%4."/>
      <w:lvlJc w:val="left"/>
      <w:pPr>
        <w:ind w:left="2880" w:hanging="360"/>
      </w:pPr>
    </w:lvl>
    <w:lvl w:ilvl="4" w:tplc="86EEF4D6">
      <w:start w:val="1"/>
      <w:numFmt w:val="lowerLetter"/>
      <w:lvlText w:val="%5."/>
      <w:lvlJc w:val="left"/>
      <w:pPr>
        <w:ind w:left="3600" w:hanging="360"/>
      </w:pPr>
    </w:lvl>
    <w:lvl w:ilvl="5" w:tplc="503C6852">
      <w:start w:val="1"/>
      <w:numFmt w:val="lowerRoman"/>
      <w:lvlText w:val="%6."/>
      <w:lvlJc w:val="right"/>
      <w:pPr>
        <w:ind w:left="4320" w:hanging="180"/>
      </w:pPr>
    </w:lvl>
    <w:lvl w:ilvl="6" w:tplc="94E80E2E">
      <w:start w:val="1"/>
      <w:numFmt w:val="decimal"/>
      <w:lvlText w:val="%7."/>
      <w:lvlJc w:val="left"/>
      <w:pPr>
        <w:ind w:left="5040" w:hanging="360"/>
      </w:pPr>
    </w:lvl>
    <w:lvl w:ilvl="7" w:tplc="4A32F448">
      <w:start w:val="1"/>
      <w:numFmt w:val="lowerLetter"/>
      <w:lvlText w:val="%8."/>
      <w:lvlJc w:val="left"/>
      <w:pPr>
        <w:ind w:left="5760" w:hanging="360"/>
      </w:pPr>
    </w:lvl>
    <w:lvl w:ilvl="8" w:tplc="3342EF32">
      <w:start w:val="1"/>
      <w:numFmt w:val="lowerRoman"/>
      <w:lvlText w:val="%9."/>
      <w:lvlJc w:val="right"/>
      <w:pPr>
        <w:ind w:left="6480" w:hanging="180"/>
      </w:pPr>
    </w:lvl>
  </w:abstractNum>
  <w:num w:numId="1" w16cid:durableId="1927416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39879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577636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74AFA"/>
    <w:rsid w:val="00080B15"/>
    <w:rsid w:val="000C6957"/>
    <w:rsid w:val="001336CD"/>
    <w:rsid w:val="002161FC"/>
    <w:rsid w:val="003A33AF"/>
    <w:rsid w:val="004E66F7"/>
    <w:rsid w:val="005746B6"/>
    <w:rsid w:val="00822038"/>
    <w:rsid w:val="008762A4"/>
    <w:rsid w:val="008B6134"/>
    <w:rsid w:val="008D3DDC"/>
    <w:rsid w:val="008F1B3E"/>
    <w:rsid w:val="009A5426"/>
    <w:rsid w:val="00A87704"/>
    <w:rsid w:val="00B24FE2"/>
    <w:rsid w:val="00BD72C9"/>
    <w:rsid w:val="00BE13A8"/>
    <w:rsid w:val="00D17644"/>
    <w:rsid w:val="00E458F6"/>
    <w:rsid w:val="00E87833"/>
    <w:rsid w:val="00F72FD6"/>
    <w:rsid w:val="00F74A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425469"/>
  <w15:chartTrackingRefBased/>
  <w15:docId w15:val="{3BB99135-3229-40BD-84F1-64A578FB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4AF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74AFA"/>
    <w:pPr>
      <w:tabs>
        <w:tab w:val="center" w:pos="4153"/>
        <w:tab w:val="right" w:pos="8306"/>
      </w:tabs>
    </w:pPr>
  </w:style>
  <w:style w:type="character" w:customStyle="1" w:styleId="a4">
    <w:name w:val="כותרת עליונה תו"/>
    <w:link w:val="a3"/>
    <w:rsid w:val="00F74AFA"/>
    <w:rPr>
      <w:rFonts w:ascii="Times New Roman" w:eastAsia="Times New Roman" w:hAnsi="Times New Roman" w:cs="David"/>
      <w:sz w:val="24"/>
      <w:szCs w:val="24"/>
    </w:rPr>
  </w:style>
  <w:style w:type="paragraph" w:styleId="a5">
    <w:name w:val="footer"/>
    <w:basedOn w:val="a"/>
    <w:link w:val="a6"/>
    <w:rsid w:val="00F74AFA"/>
    <w:pPr>
      <w:tabs>
        <w:tab w:val="center" w:pos="4153"/>
        <w:tab w:val="right" w:pos="8306"/>
      </w:tabs>
    </w:pPr>
  </w:style>
  <w:style w:type="character" w:customStyle="1" w:styleId="a6">
    <w:name w:val="כותרת תחתונה תו"/>
    <w:link w:val="a5"/>
    <w:rsid w:val="00F74AFA"/>
    <w:rPr>
      <w:rFonts w:ascii="Times New Roman" w:eastAsia="Times New Roman" w:hAnsi="Times New Roman" w:cs="David"/>
      <w:sz w:val="24"/>
      <w:szCs w:val="24"/>
    </w:rPr>
  </w:style>
  <w:style w:type="table" w:styleId="a7">
    <w:name w:val="Table Grid"/>
    <w:basedOn w:val="a1"/>
    <w:rsid w:val="00F74AF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74AFA"/>
  </w:style>
  <w:style w:type="character" w:styleId="Hyperlink">
    <w:name w:val="Hyperlink"/>
    <w:rsid w:val="005746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03" TargetMode="External"/><Relationship Id="rId18" Type="http://schemas.openxmlformats.org/officeDocument/2006/relationships/hyperlink" Target="http://www.nevo.co.il/case/25174800" TargetMode="External"/><Relationship Id="rId26" Type="http://schemas.openxmlformats.org/officeDocument/2006/relationships/hyperlink" Target="http://www.nevo.co.il/case/5810781" TargetMode="External"/><Relationship Id="rId39" Type="http://schemas.openxmlformats.org/officeDocument/2006/relationships/header" Target="header1.xml"/><Relationship Id="rId21" Type="http://schemas.openxmlformats.org/officeDocument/2006/relationships/hyperlink" Target="http://www.nevo.co.il/case/21605968" TargetMode="External"/><Relationship Id="rId34" Type="http://schemas.openxmlformats.org/officeDocument/2006/relationships/hyperlink" Target="http://www.nevo.co.il/case/5589993"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1605968" TargetMode="External"/><Relationship Id="rId29" Type="http://schemas.openxmlformats.org/officeDocument/2006/relationships/hyperlink" Target="http://www.nevo.co.il/law/4216/7.a.;7.c"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13.a." TargetMode="External"/><Relationship Id="rId24" Type="http://schemas.openxmlformats.org/officeDocument/2006/relationships/hyperlink" Target="http://www.nevo.co.il/case/21605968" TargetMode="External"/><Relationship Id="rId32" Type="http://schemas.openxmlformats.org/officeDocument/2006/relationships/hyperlink" Target="http://www.nevo.co.il/law/5227/13.a.;14.2" TargetMode="External"/><Relationship Id="rId37" Type="http://schemas.openxmlformats.org/officeDocument/2006/relationships/hyperlink" Target="http://www.nevo.co.il/case/2199212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21992126" TargetMode="External"/><Relationship Id="rId28" Type="http://schemas.openxmlformats.org/officeDocument/2006/relationships/hyperlink" Target="http://www.nevo.co.il/case/6144854" TargetMode="External"/><Relationship Id="rId36" Type="http://schemas.openxmlformats.org/officeDocument/2006/relationships/hyperlink" Target="http://www.nevo.co.il/law/74903" TargetMode="External"/><Relationship Id="rId10" Type="http://schemas.openxmlformats.org/officeDocument/2006/relationships/hyperlink" Target="http://www.nevo.co.il/law/5227" TargetMode="External"/><Relationship Id="rId19" Type="http://schemas.openxmlformats.org/officeDocument/2006/relationships/hyperlink" Target="http://www.nevo.co.il/case/21992126" TargetMode="External"/><Relationship Id="rId31" Type="http://schemas.openxmlformats.org/officeDocument/2006/relationships/hyperlink" Target="http://www.nevo.co.il/case/768811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4903/192a" TargetMode="External"/><Relationship Id="rId22" Type="http://schemas.openxmlformats.org/officeDocument/2006/relationships/hyperlink" Target="http://www.nevo.co.il/case/21605968" TargetMode="External"/><Relationship Id="rId27" Type="http://schemas.openxmlformats.org/officeDocument/2006/relationships/hyperlink" Target="http://www.nevo.co.il/case/17943750" TargetMode="External"/><Relationship Id="rId30" Type="http://schemas.openxmlformats.org/officeDocument/2006/relationships/hyperlink" Target="http://www.nevo.co.il/case/11269559" TargetMode="External"/><Relationship Id="rId35" Type="http://schemas.openxmlformats.org/officeDocument/2006/relationships/hyperlink" Target="http://www.nevo.co.il/law/74903/192a"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5227/14.2" TargetMode="External"/><Relationship Id="rId17" Type="http://schemas.openxmlformats.org/officeDocument/2006/relationships/hyperlink" Target="http://www.nevo.co.il/case/25174800" TargetMode="External"/><Relationship Id="rId25" Type="http://schemas.openxmlformats.org/officeDocument/2006/relationships/hyperlink" Target="http://www.nevo.co.il/case/17916229" TargetMode="External"/><Relationship Id="rId33" Type="http://schemas.openxmlformats.org/officeDocument/2006/relationships/hyperlink" Target="http://www.nevo.co.il/law/5227"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2719</Words>
  <Characters>13598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16285</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3866749</vt:i4>
      </vt:variant>
      <vt:variant>
        <vt:i4>93</vt:i4>
      </vt:variant>
      <vt:variant>
        <vt:i4>0</vt:i4>
      </vt:variant>
      <vt:variant>
        <vt:i4>5</vt:i4>
      </vt:variant>
      <vt:variant>
        <vt:lpwstr>http://www.nevo.co.il/case/21992126</vt:lpwstr>
      </vt:variant>
      <vt:variant>
        <vt:lpwstr/>
      </vt:variant>
      <vt:variant>
        <vt:i4>8257646</vt:i4>
      </vt:variant>
      <vt:variant>
        <vt:i4>90</vt:i4>
      </vt:variant>
      <vt:variant>
        <vt:i4>0</vt:i4>
      </vt:variant>
      <vt:variant>
        <vt:i4>5</vt:i4>
      </vt:variant>
      <vt:variant>
        <vt:lpwstr>http://www.nevo.co.il/law/74903</vt:lpwstr>
      </vt:variant>
      <vt:variant>
        <vt:lpwstr/>
      </vt:variant>
      <vt:variant>
        <vt:i4>589918</vt:i4>
      </vt:variant>
      <vt:variant>
        <vt:i4>87</vt:i4>
      </vt:variant>
      <vt:variant>
        <vt:i4>0</vt:i4>
      </vt:variant>
      <vt:variant>
        <vt:i4>5</vt:i4>
      </vt:variant>
      <vt:variant>
        <vt:lpwstr>http://www.nevo.co.il/law/74903/192a</vt:lpwstr>
      </vt:variant>
      <vt:variant>
        <vt:lpwstr/>
      </vt:variant>
      <vt:variant>
        <vt:i4>3604593</vt:i4>
      </vt:variant>
      <vt:variant>
        <vt:i4>84</vt:i4>
      </vt:variant>
      <vt:variant>
        <vt:i4>0</vt:i4>
      </vt:variant>
      <vt:variant>
        <vt:i4>5</vt:i4>
      </vt:variant>
      <vt:variant>
        <vt:lpwstr>http://www.nevo.co.il/case/5589993</vt:lpwstr>
      </vt:variant>
      <vt:variant>
        <vt:lpwstr/>
      </vt:variant>
      <vt:variant>
        <vt:i4>8323175</vt:i4>
      </vt:variant>
      <vt:variant>
        <vt:i4>81</vt:i4>
      </vt:variant>
      <vt:variant>
        <vt:i4>0</vt:i4>
      </vt:variant>
      <vt:variant>
        <vt:i4>5</vt:i4>
      </vt:variant>
      <vt:variant>
        <vt:lpwstr>http://www.nevo.co.il/law/5227</vt:lpwstr>
      </vt:variant>
      <vt:variant>
        <vt:lpwstr/>
      </vt:variant>
      <vt:variant>
        <vt:i4>5308437</vt:i4>
      </vt:variant>
      <vt:variant>
        <vt:i4>78</vt:i4>
      </vt:variant>
      <vt:variant>
        <vt:i4>0</vt:i4>
      </vt:variant>
      <vt:variant>
        <vt:i4>5</vt:i4>
      </vt:variant>
      <vt:variant>
        <vt:lpwstr>http://www.nevo.co.il/law/5227/13.a.;14.2</vt:lpwstr>
      </vt:variant>
      <vt:variant>
        <vt:lpwstr/>
      </vt:variant>
      <vt:variant>
        <vt:i4>3997819</vt:i4>
      </vt:variant>
      <vt:variant>
        <vt:i4>75</vt:i4>
      </vt:variant>
      <vt:variant>
        <vt:i4>0</vt:i4>
      </vt:variant>
      <vt:variant>
        <vt:i4>5</vt:i4>
      </vt:variant>
      <vt:variant>
        <vt:lpwstr>http://www.nevo.co.il/case/7688113</vt:lpwstr>
      </vt:variant>
      <vt:variant>
        <vt:lpwstr/>
      </vt:variant>
      <vt:variant>
        <vt:i4>4128886</vt:i4>
      </vt:variant>
      <vt:variant>
        <vt:i4>72</vt:i4>
      </vt:variant>
      <vt:variant>
        <vt:i4>0</vt:i4>
      </vt:variant>
      <vt:variant>
        <vt:i4>5</vt:i4>
      </vt:variant>
      <vt:variant>
        <vt:lpwstr>http://www.nevo.co.il/case/11269559</vt:lpwstr>
      </vt:variant>
      <vt:variant>
        <vt:lpwstr/>
      </vt:variant>
      <vt:variant>
        <vt:i4>3997821</vt:i4>
      </vt:variant>
      <vt:variant>
        <vt:i4>69</vt:i4>
      </vt:variant>
      <vt:variant>
        <vt:i4>0</vt:i4>
      </vt:variant>
      <vt:variant>
        <vt:i4>5</vt:i4>
      </vt:variant>
      <vt:variant>
        <vt:lpwstr>http://www.nevo.co.il/law/4216/7.a.;7.c</vt:lpwstr>
      </vt:variant>
      <vt:variant>
        <vt:lpwstr/>
      </vt:variant>
      <vt:variant>
        <vt:i4>4063348</vt:i4>
      </vt:variant>
      <vt:variant>
        <vt:i4>66</vt:i4>
      </vt:variant>
      <vt:variant>
        <vt:i4>0</vt:i4>
      </vt:variant>
      <vt:variant>
        <vt:i4>5</vt:i4>
      </vt:variant>
      <vt:variant>
        <vt:lpwstr>http://www.nevo.co.il/case/6144854</vt:lpwstr>
      </vt:variant>
      <vt:variant>
        <vt:lpwstr/>
      </vt:variant>
      <vt:variant>
        <vt:i4>4063344</vt:i4>
      </vt:variant>
      <vt:variant>
        <vt:i4>63</vt:i4>
      </vt:variant>
      <vt:variant>
        <vt:i4>0</vt:i4>
      </vt:variant>
      <vt:variant>
        <vt:i4>5</vt:i4>
      </vt:variant>
      <vt:variant>
        <vt:lpwstr>http://www.nevo.co.il/case/17943750</vt:lpwstr>
      </vt:variant>
      <vt:variant>
        <vt:lpwstr/>
      </vt:variant>
      <vt:variant>
        <vt:i4>3276916</vt:i4>
      </vt:variant>
      <vt:variant>
        <vt:i4>60</vt:i4>
      </vt:variant>
      <vt:variant>
        <vt:i4>0</vt:i4>
      </vt:variant>
      <vt:variant>
        <vt:i4>5</vt:i4>
      </vt:variant>
      <vt:variant>
        <vt:lpwstr>http://www.nevo.co.il/case/5810781</vt:lpwstr>
      </vt:variant>
      <vt:variant>
        <vt:lpwstr/>
      </vt:variant>
      <vt:variant>
        <vt:i4>3932272</vt:i4>
      </vt:variant>
      <vt:variant>
        <vt:i4>57</vt:i4>
      </vt:variant>
      <vt:variant>
        <vt:i4>0</vt:i4>
      </vt:variant>
      <vt:variant>
        <vt:i4>5</vt:i4>
      </vt:variant>
      <vt:variant>
        <vt:lpwstr>http://www.nevo.co.il/case/17916229</vt:lpwstr>
      </vt:variant>
      <vt:variant>
        <vt:lpwstr/>
      </vt:variant>
      <vt:variant>
        <vt:i4>3604604</vt:i4>
      </vt:variant>
      <vt:variant>
        <vt:i4>54</vt:i4>
      </vt:variant>
      <vt:variant>
        <vt:i4>0</vt:i4>
      </vt:variant>
      <vt:variant>
        <vt:i4>5</vt:i4>
      </vt:variant>
      <vt:variant>
        <vt:lpwstr>http://www.nevo.co.il/case/21605968</vt:lpwstr>
      </vt:variant>
      <vt:variant>
        <vt:lpwstr/>
      </vt:variant>
      <vt:variant>
        <vt:i4>3866749</vt:i4>
      </vt:variant>
      <vt:variant>
        <vt:i4>51</vt:i4>
      </vt:variant>
      <vt:variant>
        <vt:i4>0</vt:i4>
      </vt:variant>
      <vt:variant>
        <vt:i4>5</vt:i4>
      </vt:variant>
      <vt:variant>
        <vt:lpwstr>http://www.nevo.co.il/case/21992126</vt:lpwstr>
      </vt:variant>
      <vt:variant>
        <vt:lpwstr/>
      </vt:variant>
      <vt:variant>
        <vt:i4>3604604</vt:i4>
      </vt:variant>
      <vt:variant>
        <vt:i4>48</vt:i4>
      </vt:variant>
      <vt:variant>
        <vt:i4>0</vt:i4>
      </vt:variant>
      <vt:variant>
        <vt:i4>5</vt:i4>
      </vt:variant>
      <vt:variant>
        <vt:lpwstr>http://www.nevo.co.il/case/21605968</vt:lpwstr>
      </vt:variant>
      <vt:variant>
        <vt:lpwstr/>
      </vt:variant>
      <vt:variant>
        <vt:i4>3604604</vt:i4>
      </vt:variant>
      <vt:variant>
        <vt:i4>45</vt:i4>
      </vt:variant>
      <vt:variant>
        <vt:i4>0</vt:i4>
      </vt:variant>
      <vt:variant>
        <vt:i4>5</vt:i4>
      </vt:variant>
      <vt:variant>
        <vt:lpwstr>http://www.nevo.co.il/case/21605968</vt:lpwstr>
      </vt:variant>
      <vt:variant>
        <vt:lpwstr/>
      </vt:variant>
      <vt:variant>
        <vt:i4>3604604</vt:i4>
      </vt:variant>
      <vt:variant>
        <vt:i4>42</vt:i4>
      </vt:variant>
      <vt:variant>
        <vt:i4>0</vt:i4>
      </vt:variant>
      <vt:variant>
        <vt:i4>5</vt:i4>
      </vt:variant>
      <vt:variant>
        <vt:lpwstr>http://www.nevo.co.il/case/21605968</vt:lpwstr>
      </vt:variant>
      <vt:variant>
        <vt:lpwstr/>
      </vt:variant>
      <vt:variant>
        <vt:i4>3866749</vt:i4>
      </vt:variant>
      <vt:variant>
        <vt:i4>39</vt:i4>
      </vt:variant>
      <vt:variant>
        <vt:i4>0</vt:i4>
      </vt:variant>
      <vt:variant>
        <vt:i4>5</vt:i4>
      </vt:variant>
      <vt:variant>
        <vt:lpwstr>http://www.nevo.co.il/case/21992126</vt:lpwstr>
      </vt:variant>
      <vt:variant>
        <vt:lpwstr/>
      </vt:variant>
      <vt:variant>
        <vt:i4>3604606</vt:i4>
      </vt:variant>
      <vt:variant>
        <vt:i4>36</vt:i4>
      </vt:variant>
      <vt:variant>
        <vt:i4>0</vt:i4>
      </vt:variant>
      <vt:variant>
        <vt:i4>5</vt:i4>
      </vt:variant>
      <vt:variant>
        <vt:lpwstr>http://www.nevo.co.il/case/25174800</vt:lpwstr>
      </vt:variant>
      <vt:variant>
        <vt:lpwstr/>
      </vt:variant>
      <vt:variant>
        <vt:i4>3866749</vt:i4>
      </vt:variant>
      <vt:variant>
        <vt:i4>33</vt:i4>
      </vt:variant>
      <vt:variant>
        <vt:i4>0</vt:i4>
      </vt:variant>
      <vt:variant>
        <vt:i4>5</vt:i4>
      </vt:variant>
      <vt:variant>
        <vt:lpwstr>http://www.nevo.co.il/case/21992126</vt:lpwstr>
      </vt:variant>
      <vt:variant>
        <vt:lpwstr/>
      </vt:variant>
      <vt:variant>
        <vt:i4>3604606</vt:i4>
      </vt:variant>
      <vt:variant>
        <vt:i4>30</vt:i4>
      </vt:variant>
      <vt:variant>
        <vt:i4>0</vt:i4>
      </vt:variant>
      <vt:variant>
        <vt:i4>5</vt:i4>
      </vt:variant>
      <vt:variant>
        <vt:lpwstr>http://www.nevo.co.il/case/25174800</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589918</vt:i4>
      </vt:variant>
      <vt:variant>
        <vt:i4>21</vt:i4>
      </vt:variant>
      <vt:variant>
        <vt:i4>0</vt:i4>
      </vt:variant>
      <vt:variant>
        <vt:i4>5</vt:i4>
      </vt:variant>
      <vt:variant>
        <vt:lpwstr>http://www.nevo.co.il/law/74903/192a</vt:lpwstr>
      </vt:variant>
      <vt:variant>
        <vt:lpwstr/>
      </vt:variant>
      <vt:variant>
        <vt:i4>8257646</vt:i4>
      </vt:variant>
      <vt:variant>
        <vt:i4>18</vt:i4>
      </vt:variant>
      <vt:variant>
        <vt:i4>0</vt:i4>
      </vt:variant>
      <vt:variant>
        <vt:i4>5</vt:i4>
      </vt:variant>
      <vt:variant>
        <vt:lpwstr>http://www.nevo.co.il/law/74903</vt:lpwstr>
      </vt:variant>
      <vt:variant>
        <vt:lpwstr/>
      </vt:variant>
      <vt:variant>
        <vt:i4>6291580</vt:i4>
      </vt:variant>
      <vt:variant>
        <vt:i4>15</vt:i4>
      </vt:variant>
      <vt:variant>
        <vt:i4>0</vt:i4>
      </vt:variant>
      <vt:variant>
        <vt:i4>5</vt:i4>
      </vt:variant>
      <vt:variant>
        <vt:lpwstr>http://www.nevo.co.il/law/5227/14.2</vt:lpwstr>
      </vt:variant>
      <vt:variant>
        <vt:lpwstr/>
      </vt:variant>
      <vt:variant>
        <vt:i4>5111834</vt:i4>
      </vt:variant>
      <vt:variant>
        <vt:i4>12</vt:i4>
      </vt:variant>
      <vt:variant>
        <vt:i4>0</vt:i4>
      </vt:variant>
      <vt:variant>
        <vt:i4>5</vt:i4>
      </vt:variant>
      <vt:variant>
        <vt:lpwstr>http://www.nevo.co.il/law/5227/13.a.</vt:lpwstr>
      </vt:variant>
      <vt:variant>
        <vt:lpwstr/>
      </vt:variant>
      <vt:variant>
        <vt:i4>8323175</vt:i4>
      </vt:variant>
      <vt:variant>
        <vt:i4>9</vt:i4>
      </vt:variant>
      <vt:variant>
        <vt:i4>0</vt:i4>
      </vt:variant>
      <vt:variant>
        <vt:i4>5</vt:i4>
      </vt:variant>
      <vt:variant>
        <vt:lpwstr>http://www.nevo.co.il/law/5227</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2025-04-22T23:58:00Z</dcterms:created>
  <dcterms:modified xsi:type="dcterms:W3CDTF">2025-04-22T23:58:00Z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תפק</vt:lpwstr>
  </property>
  <property fmtid="{D5CDD505-2E9C-101B-9397-08002B2CF9AE}" pid="5" name="NEWPARTA">
    <vt:lpwstr>57417</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מתן בוקובזה</vt:lpwstr>
  </property>
  <property fmtid="{D5CDD505-2E9C-101B-9397-08002B2CF9AE}" pid="10" name="JUDGE">
    <vt:lpwstr>אבירה אשקלוני</vt:lpwstr>
  </property>
  <property fmtid="{D5CDD505-2E9C-101B-9397-08002B2CF9AE}" pid="11" name="CITY">
    <vt:lpwstr>ב"ש</vt:lpwstr>
  </property>
  <property fmtid="{D5CDD505-2E9C-101B-9397-08002B2CF9AE}" pid="12" name="DATE">
    <vt:lpwstr>20201110</vt:lpwstr>
  </property>
  <property fmtid="{D5CDD505-2E9C-101B-9397-08002B2CF9AE}" pid="13" name="TYPE_N_DATE">
    <vt:lpwstr>38020201110</vt:lpwstr>
  </property>
  <property fmtid="{D5CDD505-2E9C-101B-9397-08002B2CF9AE}" pid="14" name="WORDNUMPAGES">
    <vt:lpwstr>8</vt:lpwstr>
  </property>
  <property fmtid="{D5CDD505-2E9C-101B-9397-08002B2CF9AE}" pid="15" name="TYPE_ABS_DATE">
    <vt:lpwstr>380020201110</vt:lpwstr>
  </property>
  <property fmtid="{D5CDD505-2E9C-101B-9397-08002B2CF9AE}" pid="16" name="ISABSTRACT">
    <vt:lpwstr>Y</vt:lpwstr>
  </property>
  <property fmtid="{D5CDD505-2E9C-101B-9397-08002B2CF9AE}" pid="17" name="CASESLISTTMP1">
    <vt:lpwstr>25174800:2;21992126:4;21605968:4;17916229;5810781;17943750;6144854;11269559;7688113;5589993</vt:lpwstr>
  </property>
  <property fmtid="{D5CDD505-2E9C-101B-9397-08002B2CF9AE}" pid="18" name="LAWLISTTMP1">
    <vt:lpwstr>4216/007.a:2;007.c:2</vt:lpwstr>
  </property>
  <property fmtid="{D5CDD505-2E9C-101B-9397-08002B2CF9AE}" pid="19" name="LAWLISTTMP2">
    <vt:lpwstr>5227/013.a;014.2</vt:lpwstr>
  </property>
  <property fmtid="{D5CDD505-2E9C-101B-9397-08002B2CF9AE}" pid="20" name="LAWLISTTMP3">
    <vt:lpwstr>74903/192a</vt:lpwstr>
  </property>
</Properties>
</file>