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A739E" w:rsidRPr="009C7416" w14:paraId="40128DAF" w14:textId="77777777" w:rsidTr="00E32D6C">
        <w:trPr>
          <w:trHeight w:hRule="exact" w:val="418"/>
          <w:jc w:val="center"/>
        </w:trPr>
        <w:tc>
          <w:tcPr>
            <w:tcW w:w="8721" w:type="dxa"/>
            <w:gridSpan w:val="2"/>
          </w:tcPr>
          <w:p w14:paraId="37151D51" w14:textId="77777777" w:rsidR="00BA739E" w:rsidRPr="009C7416" w:rsidRDefault="00BA739E" w:rsidP="00304D54">
            <w:pPr>
              <w:pStyle w:val="a3"/>
              <w:jc w:val="center"/>
              <w:rPr>
                <w:rFonts w:ascii="Tahoma" w:hAnsi="Tahoma" w:cs="Tahoma"/>
                <w:color w:val="000080"/>
                <w:rtl/>
              </w:rPr>
            </w:pPr>
            <w:bookmarkStart w:id="0" w:name="LastJudge"/>
            <w:r w:rsidRPr="009C7416">
              <w:rPr>
                <w:rFonts w:ascii="Tahoma" w:hAnsi="Tahoma" w:cs="Tahoma"/>
                <w:b/>
                <w:bCs/>
                <w:color w:val="000080"/>
                <w:rtl/>
              </w:rPr>
              <w:t>בית משפט השלום ברחובות</w:t>
            </w:r>
          </w:p>
        </w:tc>
      </w:tr>
      <w:tr w:rsidR="00BA739E" w:rsidRPr="009C7416" w14:paraId="3E2C91D2" w14:textId="77777777" w:rsidTr="00E32D6C">
        <w:trPr>
          <w:trHeight w:val="337"/>
          <w:jc w:val="center"/>
        </w:trPr>
        <w:tc>
          <w:tcPr>
            <w:tcW w:w="5054" w:type="dxa"/>
          </w:tcPr>
          <w:p w14:paraId="22D24393" w14:textId="77777777" w:rsidR="00BA739E" w:rsidRPr="009C7416" w:rsidRDefault="00BA739E" w:rsidP="00304D54">
            <w:pPr>
              <w:rPr>
                <w:rFonts w:cs="FrankRuehl"/>
                <w:sz w:val="28"/>
                <w:szCs w:val="28"/>
                <w:rtl/>
              </w:rPr>
            </w:pPr>
            <w:r w:rsidRPr="009C7416">
              <w:rPr>
                <w:rFonts w:cs="FrankRuehl"/>
                <w:sz w:val="28"/>
                <w:szCs w:val="28"/>
                <w:rtl/>
              </w:rPr>
              <w:t>ת"פ</w:t>
            </w:r>
            <w:r w:rsidRPr="009C7416">
              <w:rPr>
                <w:rFonts w:cs="FrankRuehl" w:hint="cs"/>
                <w:sz w:val="28"/>
                <w:szCs w:val="28"/>
                <w:rtl/>
              </w:rPr>
              <w:t xml:space="preserve"> </w:t>
            </w:r>
            <w:r w:rsidRPr="009C7416">
              <w:rPr>
                <w:rFonts w:cs="FrankRuehl"/>
                <w:sz w:val="28"/>
                <w:szCs w:val="28"/>
                <w:rtl/>
              </w:rPr>
              <w:t>6336-11-18</w:t>
            </w:r>
            <w:r w:rsidRPr="009C7416">
              <w:rPr>
                <w:rFonts w:cs="FrankRuehl" w:hint="cs"/>
                <w:sz w:val="28"/>
                <w:szCs w:val="28"/>
                <w:rtl/>
              </w:rPr>
              <w:t xml:space="preserve"> </w:t>
            </w:r>
            <w:r w:rsidRPr="009C7416">
              <w:rPr>
                <w:rFonts w:cs="FrankRuehl"/>
                <w:sz w:val="28"/>
                <w:szCs w:val="28"/>
                <w:rtl/>
              </w:rPr>
              <w:t>מדינת ישראל נ' אזל</w:t>
            </w:r>
          </w:p>
          <w:p w14:paraId="77771F70" w14:textId="77777777" w:rsidR="00BA739E" w:rsidRPr="009C7416" w:rsidRDefault="00BA739E" w:rsidP="00304D54">
            <w:pPr>
              <w:pStyle w:val="a3"/>
              <w:rPr>
                <w:rFonts w:cs="FrankRuehl"/>
                <w:sz w:val="28"/>
                <w:szCs w:val="28"/>
                <w:rtl/>
              </w:rPr>
            </w:pPr>
          </w:p>
        </w:tc>
        <w:tc>
          <w:tcPr>
            <w:tcW w:w="3667" w:type="dxa"/>
          </w:tcPr>
          <w:p w14:paraId="2FFDFF01" w14:textId="77777777" w:rsidR="00BA739E" w:rsidRPr="009C7416" w:rsidRDefault="00BA739E" w:rsidP="00304D54">
            <w:pPr>
              <w:pStyle w:val="a3"/>
              <w:jc w:val="right"/>
              <w:rPr>
                <w:rFonts w:cs="FrankRuehl"/>
                <w:sz w:val="28"/>
                <w:szCs w:val="28"/>
                <w:rtl/>
              </w:rPr>
            </w:pPr>
          </w:p>
        </w:tc>
      </w:tr>
    </w:tbl>
    <w:p w14:paraId="4EE2F191" w14:textId="77777777" w:rsidR="00BA739E" w:rsidRPr="009C7416" w:rsidRDefault="00BA739E" w:rsidP="00BA739E">
      <w:pPr>
        <w:pStyle w:val="a3"/>
        <w:rPr>
          <w:rtl/>
        </w:rPr>
      </w:pPr>
      <w:r w:rsidRPr="009C7416">
        <w:rPr>
          <w:rFonts w:hint="cs"/>
          <w:rtl/>
        </w:rPr>
        <w:t xml:space="preserve"> </w:t>
      </w:r>
    </w:p>
    <w:p w14:paraId="735A1E11" w14:textId="77777777" w:rsidR="00BA739E" w:rsidRPr="009C7416" w:rsidRDefault="00BA739E" w:rsidP="00BA739E">
      <w:pPr>
        <w:rPr>
          <w:rtl/>
        </w:rPr>
      </w:pPr>
    </w:p>
    <w:p w14:paraId="63405C92" w14:textId="77777777" w:rsidR="00BA739E" w:rsidRPr="009C7416" w:rsidRDefault="00BA739E" w:rsidP="00BA739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4"/>
        <w:gridCol w:w="4114"/>
        <w:gridCol w:w="3762"/>
      </w:tblGrid>
      <w:tr w:rsidR="00BA739E" w:rsidRPr="009C7416" w14:paraId="26B50708" w14:textId="77777777" w:rsidTr="00BA739E">
        <w:trPr>
          <w:trHeight w:val="295"/>
          <w:jc w:val="center"/>
        </w:trPr>
        <w:tc>
          <w:tcPr>
            <w:tcW w:w="923" w:type="dxa"/>
            <w:tcBorders>
              <w:top w:val="nil"/>
              <w:left w:val="nil"/>
              <w:bottom w:val="nil"/>
              <w:right w:val="nil"/>
            </w:tcBorders>
            <w:shd w:val="clear" w:color="auto" w:fill="auto"/>
          </w:tcPr>
          <w:p w14:paraId="372C4A8B" w14:textId="77777777" w:rsidR="00BA739E" w:rsidRPr="009C7416" w:rsidRDefault="00BA739E" w:rsidP="00BA739E">
            <w:pPr>
              <w:jc w:val="both"/>
              <w:rPr>
                <w:rFonts w:ascii="Arial" w:hAnsi="Arial" w:cs="FrankRuehl"/>
                <w:sz w:val="28"/>
                <w:szCs w:val="28"/>
              </w:rPr>
            </w:pPr>
            <w:r w:rsidRPr="009C7416">
              <w:rPr>
                <w:rFonts w:ascii="Arial" w:hAnsi="Arial" w:cs="FrankRuehl" w:hint="cs"/>
                <w:sz w:val="28"/>
                <w:szCs w:val="28"/>
                <w:rtl/>
              </w:rPr>
              <w:t>ב</w:t>
            </w:r>
            <w:r w:rsidRPr="009C741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93499DA" w14:textId="77777777" w:rsidR="00BA739E" w:rsidRPr="009C7416" w:rsidRDefault="00BA739E" w:rsidP="00304D54">
            <w:pPr>
              <w:rPr>
                <w:rFonts w:ascii="Arial" w:hAnsi="Arial"/>
                <w:b/>
                <w:bCs/>
                <w:rtl/>
              </w:rPr>
            </w:pPr>
            <w:r w:rsidRPr="009C7416">
              <w:rPr>
                <w:rFonts w:ascii="Arial" w:hAnsi="Arial" w:hint="cs"/>
                <w:b/>
                <w:bCs/>
                <w:rtl/>
              </w:rPr>
              <w:t>כבוד ה</w:t>
            </w:r>
            <w:r w:rsidRPr="009C7416">
              <w:rPr>
                <w:rFonts w:ascii="Arial" w:hAnsi="Arial"/>
                <w:b/>
                <w:bCs/>
                <w:rtl/>
              </w:rPr>
              <w:t>שופטת</w:t>
            </w:r>
            <w:r w:rsidRPr="009C7416">
              <w:rPr>
                <w:rFonts w:ascii="Arial" w:hAnsi="Arial" w:hint="cs"/>
                <w:b/>
                <w:bCs/>
                <w:rtl/>
              </w:rPr>
              <w:t xml:space="preserve">  </w:t>
            </w:r>
            <w:r w:rsidRPr="009C7416">
              <w:rPr>
                <w:rFonts w:ascii="Arial" w:hAnsi="Arial"/>
                <w:b/>
                <w:bCs/>
                <w:rtl/>
              </w:rPr>
              <w:t>אושרית הובר היימן</w:t>
            </w:r>
          </w:p>
          <w:p w14:paraId="31FF147E" w14:textId="77777777" w:rsidR="00BA739E" w:rsidRPr="009C7416" w:rsidRDefault="00BA739E" w:rsidP="00304D54">
            <w:pPr>
              <w:rPr>
                <w:rtl/>
              </w:rPr>
            </w:pPr>
          </w:p>
          <w:p w14:paraId="21C1E683" w14:textId="77777777" w:rsidR="00BA739E" w:rsidRPr="009C7416" w:rsidRDefault="00BA739E" w:rsidP="00BA739E">
            <w:pPr>
              <w:jc w:val="both"/>
              <w:rPr>
                <w:rFonts w:ascii="Arial" w:hAnsi="Arial" w:cs="FrankRuehl"/>
                <w:sz w:val="28"/>
                <w:szCs w:val="28"/>
              </w:rPr>
            </w:pPr>
          </w:p>
        </w:tc>
      </w:tr>
      <w:tr w:rsidR="00BA739E" w:rsidRPr="009C7416" w14:paraId="719157B1" w14:textId="77777777" w:rsidTr="00BA739E">
        <w:trPr>
          <w:trHeight w:val="355"/>
          <w:jc w:val="center"/>
        </w:trPr>
        <w:tc>
          <w:tcPr>
            <w:tcW w:w="923" w:type="dxa"/>
            <w:tcBorders>
              <w:top w:val="nil"/>
              <w:left w:val="nil"/>
              <w:bottom w:val="nil"/>
              <w:right w:val="nil"/>
            </w:tcBorders>
            <w:shd w:val="clear" w:color="auto" w:fill="auto"/>
          </w:tcPr>
          <w:p w14:paraId="09DB96C6" w14:textId="77777777" w:rsidR="00BA739E" w:rsidRPr="009C7416" w:rsidRDefault="00BA739E" w:rsidP="00BA739E">
            <w:pPr>
              <w:jc w:val="both"/>
              <w:rPr>
                <w:rFonts w:ascii="Arial" w:hAnsi="Arial" w:cs="FrankRuehl"/>
                <w:b/>
                <w:bCs/>
                <w:sz w:val="32"/>
                <w:szCs w:val="32"/>
              </w:rPr>
            </w:pPr>
            <w:bookmarkStart w:id="1" w:name="FirstAppellant"/>
            <w:r w:rsidRPr="009C7416">
              <w:rPr>
                <w:rFonts w:ascii="Arial" w:hAnsi="Arial" w:cs="FrankRuehl" w:hint="cs"/>
                <w:b/>
                <w:bCs/>
                <w:sz w:val="32"/>
                <w:szCs w:val="32"/>
                <w:rtl/>
              </w:rPr>
              <w:t>בעניין:</w:t>
            </w:r>
          </w:p>
        </w:tc>
        <w:tc>
          <w:tcPr>
            <w:tcW w:w="4126" w:type="dxa"/>
            <w:tcBorders>
              <w:top w:val="nil"/>
              <w:left w:val="nil"/>
              <w:bottom w:val="nil"/>
              <w:right w:val="nil"/>
            </w:tcBorders>
            <w:shd w:val="clear" w:color="auto" w:fill="auto"/>
          </w:tcPr>
          <w:p w14:paraId="4833EDBD" w14:textId="77777777" w:rsidR="00BA739E" w:rsidRPr="009C7416" w:rsidRDefault="00BA739E" w:rsidP="00304D54">
            <w:pPr>
              <w:rPr>
                <w:b/>
                <w:bCs/>
                <w:sz w:val="32"/>
                <w:szCs w:val="32"/>
              </w:rPr>
            </w:pPr>
            <w:r w:rsidRPr="009C7416">
              <w:rPr>
                <w:rFonts w:ascii="Arial" w:hAnsi="Arial" w:cs="FrankRuehl"/>
                <w:b/>
                <w:bCs/>
                <w:sz w:val="32"/>
                <w:szCs w:val="32"/>
                <w:rtl/>
              </w:rPr>
              <w:t>מדינת ישראל</w:t>
            </w:r>
          </w:p>
        </w:tc>
        <w:tc>
          <w:tcPr>
            <w:tcW w:w="3771" w:type="dxa"/>
            <w:tcBorders>
              <w:top w:val="nil"/>
              <w:left w:val="nil"/>
              <w:bottom w:val="nil"/>
              <w:right w:val="nil"/>
            </w:tcBorders>
            <w:shd w:val="clear" w:color="auto" w:fill="auto"/>
          </w:tcPr>
          <w:p w14:paraId="0B345443" w14:textId="77777777" w:rsidR="00BA739E" w:rsidRPr="009C7416" w:rsidRDefault="00BA739E" w:rsidP="00BA739E">
            <w:pPr>
              <w:jc w:val="both"/>
              <w:rPr>
                <w:rFonts w:ascii="Arial" w:hAnsi="Arial" w:cs="FrankRuehl"/>
                <w:b/>
                <w:bCs/>
                <w:sz w:val="32"/>
                <w:szCs w:val="32"/>
              </w:rPr>
            </w:pPr>
          </w:p>
        </w:tc>
      </w:tr>
      <w:bookmarkEnd w:id="1"/>
      <w:tr w:rsidR="00BA739E" w:rsidRPr="009C7416" w14:paraId="700B7CB9" w14:textId="77777777" w:rsidTr="00BA739E">
        <w:trPr>
          <w:trHeight w:val="355"/>
          <w:jc w:val="center"/>
        </w:trPr>
        <w:tc>
          <w:tcPr>
            <w:tcW w:w="923" w:type="dxa"/>
            <w:tcBorders>
              <w:top w:val="nil"/>
              <w:left w:val="nil"/>
              <w:bottom w:val="nil"/>
              <w:right w:val="nil"/>
            </w:tcBorders>
            <w:shd w:val="clear" w:color="auto" w:fill="auto"/>
          </w:tcPr>
          <w:p w14:paraId="6FDE1AD5" w14:textId="77777777" w:rsidR="00BA739E" w:rsidRPr="009C7416" w:rsidRDefault="00BA739E" w:rsidP="00BA739E">
            <w:pPr>
              <w:jc w:val="both"/>
              <w:rPr>
                <w:rFonts w:ascii="Arial" w:hAnsi="Arial" w:cs="FrankRuehl"/>
                <w:b/>
                <w:bCs/>
                <w:sz w:val="32"/>
                <w:szCs w:val="32"/>
                <w:rtl/>
              </w:rPr>
            </w:pPr>
          </w:p>
        </w:tc>
        <w:tc>
          <w:tcPr>
            <w:tcW w:w="4126" w:type="dxa"/>
            <w:tcBorders>
              <w:top w:val="nil"/>
              <w:left w:val="nil"/>
              <w:bottom w:val="nil"/>
              <w:right w:val="nil"/>
            </w:tcBorders>
            <w:shd w:val="clear" w:color="auto" w:fill="auto"/>
          </w:tcPr>
          <w:p w14:paraId="36B84F32" w14:textId="77777777" w:rsidR="00BA739E" w:rsidRPr="009C7416" w:rsidRDefault="00BA739E" w:rsidP="00BA739E">
            <w:pPr>
              <w:jc w:val="both"/>
              <w:rPr>
                <w:b/>
                <w:bCs/>
                <w:sz w:val="32"/>
                <w:szCs w:val="32"/>
                <w:rtl/>
              </w:rPr>
            </w:pPr>
          </w:p>
        </w:tc>
        <w:tc>
          <w:tcPr>
            <w:tcW w:w="3771" w:type="dxa"/>
            <w:tcBorders>
              <w:top w:val="nil"/>
              <w:left w:val="nil"/>
              <w:bottom w:val="nil"/>
              <w:right w:val="nil"/>
            </w:tcBorders>
            <w:shd w:val="clear" w:color="auto" w:fill="auto"/>
          </w:tcPr>
          <w:p w14:paraId="57C307B5" w14:textId="77777777" w:rsidR="00BA739E" w:rsidRPr="009C7416" w:rsidRDefault="00BA739E" w:rsidP="00BA739E">
            <w:pPr>
              <w:jc w:val="center"/>
              <w:rPr>
                <w:rFonts w:ascii="Arial" w:hAnsi="Arial" w:cs="FrankRuehl"/>
                <w:b/>
                <w:bCs/>
                <w:sz w:val="32"/>
                <w:szCs w:val="32"/>
                <w:rtl/>
              </w:rPr>
            </w:pPr>
            <w:r w:rsidRPr="009C7416">
              <w:rPr>
                <w:rFonts w:ascii="Arial" w:hAnsi="Arial" w:cs="FrankRuehl" w:hint="cs"/>
                <w:b/>
                <w:bCs/>
                <w:sz w:val="32"/>
                <w:szCs w:val="32"/>
                <w:rtl/>
              </w:rPr>
              <w:t>ה</w:t>
            </w:r>
            <w:r w:rsidRPr="009C7416">
              <w:rPr>
                <w:rFonts w:ascii="Arial" w:hAnsi="Arial" w:cs="FrankRuehl"/>
                <w:b/>
                <w:bCs/>
                <w:sz w:val="32"/>
                <w:szCs w:val="32"/>
                <w:rtl/>
              </w:rPr>
              <w:t>מאשימה</w:t>
            </w:r>
          </w:p>
        </w:tc>
      </w:tr>
      <w:tr w:rsidR="00BA739E" w:rsidRPr="009C7416" w14:paraId="161034C1" w14:textId="77777777" w:rsidTr="00BA739E">
        <w:trPr>
          <w:trHeight w:val="355"/>
          <w:jc w:val="center"/>
        </w:trPr>
        <w:tc>
          <w:tcPr>
            <w:tcW w:w="923" w:type="dxa"/>
            <w:tcBorders>
              <w:top w:val="nil"/>
              <w:left w:val="nil"/>
              <w:bottom w:val="nil"/>
              <w:right w:val="nil"/>
            </w:tcBorders>
            <w:shd w:val="clear" w:color="auto" w:fill="auto"/>
          </w:tcPr>
          <w:p w14:paraId="03BCBA79" w14:textId="77777777" w:rsidR="00BA739E" w:rsidRPr="009C7416" w:rsidRDefault="00BA739E" w:rsidP="00BA739E">
            <w:pPr>
              <w:jc w:val="both"/>
              <w:rPr>
                <w:rFonts w:ascii="Arial" w:hAnsi="Arial" w:cs="FrankRuehl"/>
                <w:b/>
                <w:bCs/>
                <w:sz w:val="32"/>
                <w:szCs w:val="32"/>
                <w:rtl/>
              </w:rPr>
            </w:pPr>
          </w:p>
        </w:tc>
        <w:tc>
          <w:tcPr>
            <w:tcW w:w="7897" w:type="dxa"/>
            <w:gridSpan w:val="2"/>
            <w:tcBorders>
              <w:top w:val="nil"/>
              <w:left w:val="nil"/>
              <w:bottom w:val="nil"/>
              <w:right w:val="nil"/>
            </w:tcBorders>
            <w:shd w:val="clear" w:color="auto" w:fill="auto"/>
          </w:tcPr>
          <w:p w14:paraId="7A4A71C5" w14:textId="77777777" w:rsidR="00BA739E" w:rsidRPr="009C7416" w:rsidRDefault="00BA739E" w:rsidP="00BA739E">
            <w:pPr>
              <w:jc w:val="center"/>
              <w:rPr>
                <w:rFonts w:ascii="Arial" w:hAnsi="Arial" w:cs="FrankRuehl"/>
                <w:b/>
                <w:bCs/>
                <w:sz w:val="32"/>
                <w:szCs w:val="32"/>
                <w:rtl/>
              </w:rPr>
            </w:pPr>
          </w:p>
          <w:p w14:paraId="14FB8D27" w14:textId="77777777" w:rsidR="00BA739E" w:rsidRPr="009C7416" w:rsidRDefault="00BA739E" w:rsidP="00BA739E">
            <w:pPr>
              <w:jc w:val="center"/>
              <w:rPr>
                <w:rFonts w:ascii="Arial" w:hAnsi="Arial" w:cs="FrankRuehl"/>
                <w:b/>
                <w:bCs/>
                <w:sz w:val="32"/>
                <w:szCs w:val="32"/>
                <w:rtl/>
              </w:rPr>
            </w:pPr>
            <w:r w:rsidRPr="009C7416">
              <w:rPr>
                <w:rFonts w:ascii="Arial" w:hAnsi="Arial" w:cs="FrankRuehl"/>
                <w:b/>
                <w:bCs/>
                <w:sz w:val="32"/>
                <w:szCs w:val="32"/>
                <w:rtl/>
              </w:rPr>
              <w:t>נגד</w:t>
            </w:r>
          </w:p>
          <w:p w14:paraId="1162CAF1" w14:textId="77777777" w:rsidR="00BA739E" w:rsidRPr="009C7416" w:rsidRDefault="00BA739E" w:rsidP="00BA739E">
            <w:pPr>
              <w:jc w:val="both"/>
              <w:rPr>
                <w:rFonts w:ascii="Arial" w:hAnsi="Arial" w:cs="FrankRuehl"/>
                <w:b/>
                <w:bCs/>
                <w:sz w:val="32"/>
                <w:szCs w:val="32"/>
              </w:rPr>
            </w:pPr>
          </w:p>
        </w:tc>
      </w:tr>
      <w:tr w:rsidR="00BA739E" w:rsidRPr="009C7416" w14:paraId="4CE921E6" w14:textId="77777777" w:rsidTr="00BA739E">
        <w:trPr>
          <w:trHeight w:val="355"/>
          <w:jc w:val="center"/>
        </w:trPr>
        <w:tc>
          <w:tcPr>
            <w:tcW w:w="923" w:type="dxa"/>
            <w:tcBorders>
              <w:top w:val="nil"/>
              <w:left w:val="nil"/>
              <w:bottom w:val="nil"/>
              <w:right w:val="nil"/>
            </w:tcBorders>
            <w:shd w:val="clear" w:color="auto" w:fill="auto"/>
          </w:tcPr>
          <w:p w14:paraId="06C4823E" w14:textId="77777777" w:rsidR="00BA739E" w:rsidRPr="009C7416" w:rsidRDefault="00BA739E" w:rsidP="00304D54">
            <w:pPr>
              <w:rPr>
                <w:rFonts w:ascii="Arial" w:hAnsi="Arial" w:cs="FrankRuehl"/>
                <w:b/>
                <w:bCs/>
                <w:sz w:val="32"/>
                <w:szCs w:val="32"/>
                <w:rtl/>
              </w:rPr>
            </w:pPr>
          </w:p>
        </w:tc>
        <w:tc>
          <w:tcPr>
            <w:tcW w:w="4126" w:type="dxa"/>
            <w:tcBorders>
              <w:top w:val="nil"/>
              <w:left w:val="nil"/>
              <w:bottom w:val="nil"/>
              <w:right w:val="nil"/>
            </w:tcBorders>
            <w:shd w:val="clear" w:color="auto" w:fill="auto"/>
          </w:tcPr>
          <w:p w14:paraId="3BC54BDB" w14:textId="77777777" w:rsidR="00BA739E" w:rsidRPr="009C7416" w:rsidRDefault="00BA739E" w:rsidP="00304D54">
            <w:pPr>
              <w:rPr>
                <w:b/>
                <w:bCs/>
                <w:sz w:val="32"/>
                <w:szCs w:val="32"/>
                <w:rtl/>
              </w:rPr>
            </w:pPr>
            <w:r w:rsidRPr="009C7416">
              <w:rPr>
                <w:rFonts w:ascii="Arial" w:hAnsi="Arial" w:cs="FrankRuehl"/>
                <w:b/>
                <w:bCs/>
                <w:sz w:val="32"/>
                <w:szCs w:val="32"/>
                <w:rtl/>
              </w:rPr>
              <w:t>אור אזל</w:t>
            </w:r>
          </w:p>
        </w:tc>
        <w:tc>
          <w:tcPr>
            <w:tcW w:w="3771" w:type="dxa"/>
            <w:tcBorders>
              <w:top w:val="nil"/>
              <w:left w:val="nil"/>
              <w:bottom w:val="nil"/>
              <w:right w:val="nil"/>
            </w:tcBorders>
            <w:shd w:val="clear" w:color="auto" w:fill="auto"/>
          </w:tcPr>
          <w:p w14:paraId="1AFBE767" w14:textId="77777777" w:rsidR="00BA739E" w:rsidRPr="009C7416" w:rsidRDefault="00BA739E" w:rsidP="00BA739E">
            <w:pPr>
              <w:jc w:val="right"/>
              <w:rPr>
                <w:rFonts w:ascii="Arial" w:hAnsi="Arial" w:cs="FrankRuehl"/>
                <w:b/>
                <w:bCs/>
                <w:sz w:val="32"/>
                <w:szCs w:val="32"/>
              </w:rPr>
            </w:pPr>
          </w:p>
        </w:tc>
      </w:tr>
      <w:tr w:rsidR="00BA739E" w:rsidRPr="009C7416" w14:paraId="4010692D" w14:textId="77777777" w:rsidTr="00BA739E">
        <w:trPr>
          <w:trHeight w:val="355"/>
          <w:jc w:val="center"/>
        </w:trPr>
        <w:tc>
          <w:tcPr>
            <w:tcW w:w="923" w:type="dxa"/>
            <w:tcBorders>
              <w:top w:val="nil"/>
              <w:left w:val="nil"/>
              <w:bottom w:val="nil"/>
              <w:right w:val="nil"/>
            </w:tcBorders>
            <w:shd w:val="clear" w:color="auto" w:fill="auto"/>
          </w:tcPr>
          <w:p w14:paraId="26C65956" w14:textId="77777777" w:rsidR="00BA739E" w:rsidRPr="009C7416" w:rsidRDefault="00BA739E" w:rsidP="00BA739E">
            <w:pPr>
              <w:jc w:val="both"/>
              <w:rPr>
                <w:rFonts w:ascii="Arial" w:hAnsi="Arial" w:cs="FrankRuehl"/>
                <w:b/>
                <w:bCs/>
                <w:sz w:val="32"/>
                <w:szCs w:val="32"/>
                <w:rtl/>
              </w:rPr>
            </w:pPr>
          </w:p>
        </w:tc>
        <w:tc>
          <w:tcPr>
            <w:tcW w:w="4126" w:type="dxa"/>
            <w:tcBorders>
              <w:top w:val="nil"/>
              <w:left w:val="nil"/>
              <w:bottom w:val="nil"/>
              <w:right w:val="nil"/>
            </w:tcBorders>
            <w:shd w:val="clear" w:color="auto" w:fill="auto"/>
          </w:tcPr>
          <w:p w14:paraId="225DF77C" w14:textId="77777777" w:rsidR="00BA739E" w:rsidRPr="009C7416" w:rsidRDefault="00BA739E" w:rsidP="00BA739E">
            <w:pPr>
              <w:jc w:val="both"/>
              <w:rPr>
                <w:b/>
                <w:bCs/>
                <w:sz w:val="32"/>
                <w:szCs w:val="32"/>
                <w:rtl/>
              </w:rPr>
            </w:pPr>
          </w:p>
        </w:tc>
        <w:tc>
          <w:tcPr>
            <w:tcW w:w="3771" w:type="dxa"/>
            <w:tcBorders>
              <w:top w:val="nil"/>
              <w:left w:val="nil"/>
              <w:bottom w:val="nil"/>
              <w:right w:val="nil"/>
            </w:tcBorders>
            <w:shd w:val="clear" w:color="auto" w:fill="auto"/>
          </w:tcPr>
          <w:p w14:paraId="09EC0F37" w14:textId="77777777" w:rsidR="00BA739E" w:rsidRPr="009C7416" w:rsidRDefault="00BA739E" w:rsidP="00BA739E">
            <w:pPr>
              <w:jc w:val="center"/>
              <w:rPr>
                <w:rFonts w:ascii="Arial" w:hAnsi="Arial" w:cs="FrankRuehl"/>
                <w:b/>
                <w:bCs/>
                <w:sz w:val="32"/>
                <w:szCs w:val="32"/>
              </w:rPr>
            </w:pPr>
            <w:r w:rsidRPr="009C7416">
              <w:rPr>
                <w:rFonts w:ascii="Arial" w:hAnsi="Arial" w:cs="FrankRuehl" w:hint="cs"/>
                <w:b/>
                <w:bCs/>
                <w:sz w:val="32"/>
                <w:szCs w:val="32"/>
                <w:rtl/>
              </w:rPr>
              <w:t>ה</w:t>
            </w:r>
            <w:r w:rsidRPr="009C7416">
              <w:rPr>
                <w:rFonts w:ascii="Arial" w:hAnsi="Arial" w:cs="FrankRuehl"/>
                <w:b/>
                <w:bCs/>
                <w:sz w:val="32"/>
                <w:szCs w:val="32"/>
                <w:rtl/>
              </w:rPr>
              <w:t>נאשמים</w:t>
            </w:r>
          </w:p>
        </w:tc>
      </w:tr>
    </w:tbl>
    <w:p w14:paraId="509FC607" w14:textId="77777777" w:rsidR="009C7416" w:rsidRPr="009C7416" w:rsidRDefault="009C7416" w:rsidP="009C7416">
      <w:pPr>
        <w:rPr>
          <w:rtl/>
        </w:rPr>
      </w:pPr>
    </w:p>
    <w:p w14:paraId="1C7CDCDA" w14:textId="77777777" w:rsidR="00E32D6C" w:rsidRPr="00E32D6C" w:rsidRDefault="00E32D6C" w:rsidP="00E32D6C">
      <w:pPr>
        <w:spacing w:before="120" w:after="120" w:line="240" w:lineRule="exact"/>
        <w:ind w:left="283" w:hanging="283"/>
        <w:jc w:val="both"/>
        <w:rPr>
          <w:rFonts w:ascii="FrankRuehl" w:hAnsi="FrankRuehl" w:cs="FrankRuehl"/>
          <w:rtl/>
        </w:rPr>
      </w:pPr>
      <w:bookmarkStart w:id="2" w:name="LawTable"/>
      <w:bookmarkEnd w:id="2"/>
    </w:p>
    <w:p w14:paraId="7D3156A8" w14:textId="77777777" w:rsidR="00E32D6C" w:rsidRPr="00E32D6C" w:rsidRDefault="00E32D6C" w:rsidP="00E32D6C">
      <w:pPr>
        <w:spacing w:before="120" w:after="120" w:line="240" w:lineRule="exact"/>
        <w:ind w:left="283" w:hanging="283"/>
        <w:jc w:val="both"/>
        <w:rPr>
          <w:rFonts w:ascii="FrankRuehl" w:hAnsi="FrankRuehl" w:cs="FrankRuehl"/>
          <w:rtl/>
        </w:rPr>
      </w:pPr>
      <w:r w:rsidRPr="00E32D6C">
        <w:rPr>
          <w:rFonts w:ascii="FrankRuehl" w:hAnsi="FrankRuehl" w:cs="FrankRuehl"/>
          <w:rtl/>
        </w:rPr>
        <w:t xml:space="preserve">חקיקה שאוזכרה: </w:t>
      </w:r>
    </w:p>
    <w:p w14:paraId="68D66576" w14:textId="77777777" w:rsidR="00E32D6C" w:rsidRPr="00E32D6C" w:rsidRDefault="00E32D6C" w:rsidP="00E32D6C">
      <w:pPr>
        <w:spacing w:before="120" w:after="120" w:line="240" w:lineRule="exact"/>
        <w:ind w:left="283" w:hanging="283"/>
        <w:jc w:val="both"/>
        <w:rPr>
          <w:rFonts w:ascii="FrankRuehl" w:hAnsi="FrankRuehl" w:cs="FrankRuehl"/>
          <w:color w:val="0000FF"/>
          <w:rtl/>
        </w:rPr>
      </w:pPr>
      <w:hyperlink r:id="rId7" w:history="1">
        <w:r w:rsidRPr="00E32D6C">
          <w:rPr>
            <w:rStyle w:val="Hyperlink"/>
            <w:rFonts w:ascii="FrankRuehl" w:hAnsi="FrankRuehl" w:cs="FrankRuehl"/>
            <w:rtl/>
          </w:rPr>
          <w:t>פקודת הסמים המסוכנים [נוסח חדש], תשל"ג-1973</w:t>
        </w:r>
      </w:hyperlink>
      <w:r w:rsidRPr="00E32D6C">
        <w:rPr>
          <w:rFonts w:ascii="FrankRuehl" w:hAnsi="FrankRuehl" w:cs="FrankRuehl"/>
          <w:color w:val="0000FF"/>
          <w:u w:val="single"/>
          <w:rtl/>
        </w:rPr>
        <w:t xml:space="preserve">: סע'  </w:t>
      </w:r>
      <w:hyperlink r:id="rId8" w:history="1">
        <w:r w:rsidRPr="00E32D6C">
          <w:rPr>
            <w:rStyle w:val="Hyperlink"/>
            <w:rFonts w:ascii="FrankRuehl" w:hAnsi="FrankRuehl" w:cs="FrankRuehl"/>
          </w:rPr>
          <w:t>7</w:t>
        </w:r>
      </w:hyperlink>
      <w:r w:rsidRPr="00E32D6C">
        <w:rPr>
          <w:rFonts w:ascii="FrankRuehl" w:hAnsi="FrankRuehl" w:cs="FrankRuehl"/>
          <w:color w:val="0000FF"/>
          <w:rtl/>
        </w:rPr>
        <w:t xml:space="preserve">(א), </w:t>
      </w:r>
      <w:hyperlink r:id="rId9" w:history="1">
        <w:r w:rsidRPr="00E32D6C">
          <w:rPr>
            <w:rStyle w:val="Hyperlink"/>
            <w:rFonts w:ascii="FrankRuehl" w:hAnsi="FrankRuehl" w:cs="FrankRuehl"/>
          </w:rPr>
          <w:t>7</w:t>
        </w:r>
      </w:hyperlink>
      <w:r w:rsidRPr="00E32D6C">
        <w:rPr>
          <w:rFonts w:ascii="FrankRuehl" w:hAnsi="FrankRuehl" w:cs="FrankRuehl"/>
          <w:color w:val="0000FF"/>
          <w:rtl/>
        </w:rPr>
        <w:t>(ג)</w:t>
      </w:r>
    </w:p>
    <w:p w14:paraId="03FF5895" w14:textId="77777777" w:rsidR="00BA739E" w:rsidRDefault="00BA739E" w:rsidP="00E32D6C">
      <w:pPr>
        <w:rPr>
          <w:rFonts w:hint="cs"/>
          <w:rtl/>
        </w:rPr>
      </w:pPr>
      <w:bookmarkStart w:id="3" w:name="LawTable_End"/>
      <w:bookmarkEnd w:id="3"/>
    </w:p>
    <w:p w14:paraId="75F5F124" w14:textId="77777777" w:rsidR="00E32D6C" w:rsidRPr="00E32D6C" w:rsidRDefault="00E32D6C" w:rsidP="00E32D6C">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739E" w:rsidRPr="00BB3CEA" w14:paraId="47E7BA70" w14:textId="77777777" w:rsidTr="00BA739E">
        <w:trPr>
          <w:trHeight w:val="355"/>
          <w:jc w:val="center"/>
        </w:trPr>
        <w:tc>
          <w:tcPr>
            <w:tcW w:w="8820" w:type="dxa"/>
            <w:tcBorders>
              <w:top w:val="nil"/>
              <w:left w:val="nil"/>
              <w:bottom w:val="nil"/>
              <w:right w:val="nil"/>
            </w:tcBorders>
            <w:shd w:val="clear" w:color="auto" w:fill="auto"/>
          </w:tcPr>
          <w:p w14:paraId="7730E7F0" w14:textId="77777777" w:rsidR="009C7416" w:rsidRPr="009C7416" w:rsidRDefault="009C7416" w:rsidP="009C7416">
            <w:pPr>
              <w:jc w:val="center"/>
              <w:rPr>
                <w:rFonts w:ascii="Arial" w:hAnsi="Arial" w:cs="FrankRuehl"/>
                <w:b/>
                <w:bCs/>
                <w:sz w:val="34"/>
                <w:szCs w:val="34"/>
                <w:u w:val="single"/>
                <w:rtl/>
              </w:rPr>
            </w:pPr>
            <w:bookmarkStart w:id="4" w:name="PsakDin" w:colFirst="0" w:colLast="0"/>
            <w:bookmarkEnd w:id="0"/>
            <w:r w:rsidRPr="009C7416">
              <w:rPr>
                <w:rFonts w:ascii="Arial" w:hAnsi="Arial" w:cs="FrankRuehl"/>
                <w:b/>
                <w:bCs/>
                <w:sz w:val="34"/>
                <w:szCs w:val="34"/>
                <w:u w:val="single"/>
                <w:rtl/>
              </w:rPr>
              <w:t>גזר דין</w:t>
            </w:r>
          </w:p>
          <w:p w14:paraId="2A3ED7C0" w14:textId="77777777" w:rsidR="00BA739E" w:rsidRPr="009C7416" w:rsidRDefault="00BA739E" w:rsidP="009C7416">
            <w:pPr>
              <w:jc w:val="center"/>
              <w:rPr>
                <w:rFonts w:ascii="Arial" w:hAnsi="Arial" w:cs="FrankRuehl"/>
                <w:bCs/>
                <w:sz w:val="34"/>
                <w:szCs w:val="34"/>
                <w:u w:val="single"/>
                <w:rtl/>
              </w:rPr>
            </w:pPr>
          </w:p>
        </w:tc>
      </w:tr>
      <w:bookmarkEnd w:id="4"/>
    </w:tbl>
    <w:p w14:paraId="1FE844CA" w14:textId="77777777" w:rsidR="00BA739E" w:rsidRPr="00BB3CEA" w:rsidRDefault="00BA739E" w:rsidP="00BA739E">
      <w:pPr>
        <w:spacing w:line="360" w:lineRule="auto"/>
        <w:jc w:val="both"/>
        <w:rPr>
          <w:rFonts w:ascii="Arial" w:hAnsi="Arial"/>
          <w:sz w:val="26"/>
          <w:szCs w:val="26"/>
          <w:rtl/>
        </w:rPr>
      </w:pPr>
    </w:p>
    <w:p w14:paraId="2CA3B4A7" w14:textId="77777777" w:rsidR="00BA739E" w:rsidRDefault="00BA739E" w:rsidP="00BA739E">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עפ"י הודאתו ובמסגרת הסדר טיעון, בכתב אישום מתקן, בביצוע עבירה של החזקת סמים שלא לצריכה עצמית, לפי </w:t>
      </w:r>
      <w:hyperlink r:id="rId10" w:history="1">
        <w:r w:rsidR="00E32D6C" w:rsidRPr="00E32D6C">
          <w:rPr>
            <w:rStyle w:val="Hyperlink"/>
            <w:rFonts w:ascii="Arial" w:hAnsi="Arial" w:hint="eastAsia"/>
            <w:color w:val="0000FF"/>
            <w:rtl/>
          </w:rPr>
          <w:t>סעיף</w:t>
        </w:r>
        <w:r w:rsidR="00E32D6C" w:rsidRPr="00E32D6C">
          <w:rPr>
            <w:rStyle w:val="Hyperlink"/>
            <w:rFonts w:ascii="Arial" w:hAnsi="Arial"/>
            <w:color w:val="0000FF"/>
            <w:rtl/>
          </w:rPr>
          <w:t xml:space="preserve"> 7(א)</w:t>
        </w:r>
      </w:hyperlink>
      <w:r>
        <w:rPr>
          <w:rFonts w:ascii="Arial" w:hAnsi="Arial" w:hint="cs"/>
          <w:rtl/>
        </w:rPr>
        <w:t xml:space="preserve"> +</w:t>
      </w:r>
      <w:hyperlink r:id="rId11" w:history="1">
        <w:r w:rsidR="00E32D6C" w:rsidRPr="00E32D6C">
          <w:rPr>
            <w:rStyle w:val="Hyperlink"/>
            <w:rFonts w:ascii="Arial" w:hAnsi="Arial"/>
            <w:color w:val="0000FF"/>
            <w:rtl/>
          </w:rPr>
          <w:t>7(ג)</w:t>
        </w:r>
      </w:hyperlink>
      <w:r>
        <w:rPr>
          <w:rFonts w:ascii="Arial" w:hAnsi="Arial" w:hint="cs"/>
          <w:rtl/>
        </w:rPr>
        <w:t xml:space="preserve"> רישא ל</w:t>
      </w:r>
      <w:hyperlink r:id="rId12" w:history="1">
        <w:r w:rsidR="009C7416" w:rsidRPr="009C7416">
          <w:rPr>
            <w:rFonts w:ascii="Arial" w:hAnsi="Arial"/>
            <w:color w:val="0000FF"/>
            <w:u w:val="single"/>
            <w:rtl/>
          </w:rPr>
          <w:t>פקודת הסמים המסוכנים</w:t>
        </w:r>
      </w:hyperlink>
      <w:r>
        <w:rPr>
          <w:rFonts w:ascii="Arial" w:hAnsi="Arial" w:hint="cs"/>
          <w:rtl/>
        </w:rPr>
        <w:t xml:space="preserve"> (נוסח חדש) תשל"ג 1973.</w:t>
      </w:r>
    </w:p>
    <w:p w14:paraId="1F563825" w14:textId="77777777" w:rsidR="00BA739E" w:rsidRDefault="00BA739E" w:rsidP="00BA739E">
      <w:pPr>
        <w:pStyle w:val="a9"/>
        <w:spacing w:line="360" w:lineRule="auto"/>
        <w:jc w:val="both"/>
        <w:rPr>
          <w:rFonts w:ascii="Arial" w:hAnsi="Arial"/>
        </w:rPr>
      </w:pPr>
      <w:bookmarkStart w:id="6" w:name="ABSTRACT_END"/>
      <w:bookmarkEnd w:id="6"/>
    </w:p>
    <w:p w14:paraId="49B4B63D" w14:textId="77777777" w:rsidR="00BA739E" w:rsidRDefault="00BA739E" w:rsidP="00BA739E">
      <w:pPr>
        <w:pStyle w:val="a9"/>
        <w:numPr>
          <w:ilvl w:val="0"/>
          <w:numId w:val="1"/>
        </w:numPr>
        <w:spacing w:line="360" w:lineRule="auto"/>
        <w:jc w:val="both"/>
        <w:rPr>
          <w:rFonts w:ascii="Arial" w:hAnsi="Arial"/>
        </w:rPr>
      </w:pPr>
      <w:r>
        <w:rPr>
          <w:rFonts w:ascii="Arial" w:hAnsi="Arial" w:hint="cs"/>
          <w:rtl/>
        </w:rPr>
        <w:t xml:space="preserve">עפ"י כתב האישום המתוקן, ביום 02.04.18, החזיק הנאשם בחדרו שבביתו סם מסוכן מסוג קנבוס, במשקל 105.61 ג', מחולק ל </w:t>
      </w:r>
      <w:r>
        <w:rPr>
          <w:rFonts w:ascii="Arial" w:hAnsi="Arial"/>
          <w:rtl/>
        </w:rPr>
        <w:t>–</w:t>
      </w:r>
      <w:r>
        <w:rPr>
          <w:rFonts w:ascii="Arial" w:hAnsi="Arial" w:hint="cs"/>
          <w:rtl/>
        </w:rPr>
        <w:t xml:space="preserve"> 4 צנצנות. בנוסף, החזיק הנאשם בחדרו בשני שתילים שגידל באדנית שבחלון, בחומרי דישון מחולקים ל </w:t>
      </w:r>
      <w:r>
        <w:rPr>
          <w:rFonts w:ascii="Arial" w:hAnsi="Arial"/>
          <w:rtl/>
        </w:rPr>
        <w:t>–</w:t>
      </w:r>
      <w:r>
        <w:rPr>
          <w:rFonts w:ascii="Arial" w:hAnsi="Arial" w:hint="cs"/>
          <w:rtl/>
        </w:rPr>
        <w:t xml:space="preserve"> 16 בקבוקונים ו </w:t>
      </w:r>
      <w:r>
        <w:rPr>
          <w:rFonts w:ascii="Arial" w:hAnsi="Arial"/>
          <w:rtl/>
        </w:rPr>
        <w:t>–</w:t>
      </w:r>
      <w:r>
        <w:rPr>
          <w:rFonts w:ascii="Arial" w:hAnsi="Arial" w:hint="cs"/>
          <w:rtl/>
        </w:rPr>
        <w:t xml:space="preserve"> 2 שקיות, 3 מזרקים, מדחום, משקל דיגיטלי, מנורת לד, פילטר, מזמרה וספר הדרכה לגידול קנבוס.</w:t>
      </w:r>
    </w:p>
    <w:p w14:paraId="34C010FC" w14:textId="77777777" w:rsidR="00BA739E" w:rsidRPr="00297335" w:rsidRDefault="00BA739E" w:rsidP="00BA739E">
      <w:pPr>
        <w:pStyle w:val="a9"/>
        <w:rPr>
          <w:rFonts w:ascii="Arial" w:hAnsi="Arial"/>
          <w:rtl/>
        </w:rPr>
      </w:pPr>
    </w:p>
    <w:p w14:paraId="475870AF" w14:textId="77777777" w:rsidR="00BA739E" w:rsidRDefault="00BA739E" w:rsidP="00BA739E">
      <w:pPr>
        <w:pStyle w:val="a9"/>
        <w:numPr>
          <w:ilvl w:val="0"/>
          <w:numId w:val="1"/>
        </w:numPr>
        <w:spacing w:line="360" w:lineRule="auto"/>
        <w:jc w:val="both"/>
        <w:rPr>
          <w:rFonts w:ascii="Arial" w:hAnsi="Arial"/>
        </w:rPr>
      </w:pPr>
      <w:r>
        <w:rPr>
          <w:rFonts w:ascii="Arial" w:hAnsi="Arial" w:hint="cs"/>
          <w:rtl/>
        </w:rPr>
        <w:t xml:space="preserve">עפ"י הסדר הטיעון, בין הצדדים, תוקן כתב האישום וצומצם, כך שנמחקה ממנו הוראת החיקוק של החזקת כלים שלא לצריכה עצמית. הנאשם הודה, כאמור, בכתב האישום המתוקן והצדדים עתרו כי ישלח לתסקיר שירות המבחן. הוסכם, כי במידה והתסקיר יהיה חיובי, תעתור המאשימה לעונש של חודש מאסר על דרך עבודות שירות, ואילו ההגנה תטען </w:t>
      </w:r>
      <w:r>
        <w:rPr>
          <w:rFonts w:ascii="Arial" w:hAnsi="Arial" w:hint="cs"/>
          <w:rtl/>
        </w:rPr>
        <w:lastRenderedPageBreak/>
        <w:t>בטיעון פתוח. כן, הוסכם כי המאשימה לא תדרוש פסילת רישיון בפועל, והוסכמו רכיבים של מאסר על תנאי, וקנס כספי.</w:t>
      </w:r>
    </w:p>
    <w:p w14:paraId="26E7BAF3" w14:textId="77777777" w:rsidR="00BA739E" w:rsidRPr="002E6F36" w:rsidRDefault="00BA739E" w:rsidP="00BA739E">
      <w:pPr>
        <w:pStyle w:val="a9"/>
        <w:rPr>
          <w:rFonts w:ascii="Arial" w:hAnsi="Arial"/>
          <w:rtl/>
        </w:rPr>
      </w:pPr>
    </w:p>
    <w:p w14:paraId="22FBB9CC" w14:textId="77777777" w:rsidR="00BA739E" w:rsidRDefault="00BA739E" w:rsidP="00BA739E">
      <w:pPr>
        <w:pStyle w:val="a9"/>
        <w:numPr>
          <w:ilvl w:val="0"/>
          <w:numId w:val="1"/>
        </w:numPr>
        <w:spacing w:line="360" w:lineRule="auto"/>
        <w:jc w:val="both"/>
        <w:rPr>
          <w:rFonts w:ascii="Arial" w:hAnsi="Arial"/>
        </w:rPr>
      </w:pPr>
      <w:r>
        <w:rPr>
          <w:rFonts w:ascii="Arial" w:hAnsi="Arial" w:hint="cs"/>
          <w:rtl/>
        </w:rPr>
        <w:t>בהמשך להסכמה, הודה נאשם בכתב האישום המתוקן, הורשע ונשלח למתן תסקיר שירות המבחן. כמו כן, הורה בית המשפט על מתן חוות דעת הממונה על עבודות שירות בעניינו של הנאשם.</w:t>
      </w:r>
    </w:p>
    <w:p w14:paraId="2E137F75" w14:textId="77777777" w:rsidR="00BA739E" w:rsidRPr="00665699" w:rsidRDefault="00BA739E" w:rsidP="00BA739E">
      <w:pPr>
        <w:pStyle w:val="a9"/>
        <w:rPr>
          <w:rFonts w:ascii="Arial" w:hAnsi="Arial"/>
          <w:rtl/>
        </w:rPr>
      </w:pPr>
    </w:p>
    <w:p w14:paraId="3D0D75C2" w14:textId="77777777" w:rsidR="00BA739E" w:rsidRDefault="00BA739E" w:rsidP="00BA739E">
      <w:pPr>
        <w:spacing w:line="360" w:lineRule="auto"/>
        <w:jc w:val="both"/>
        <w:rPr>
          <w:rFonts w:ascii="Arial" w:hAnsi="Arial"/>
          <w:rtl/>
        </w:rPr>
      </w:pPr>
    </w:p>
    <w:p w14:paraId="486B6D8A" w14:textId="77777777" w:rsidR="00BA739E" w:rsidRPr="009E6A4F" w:rsidRDefault="00BA739E" w:rsidP="00BA739E">
      <w:pPr>
        <w:spacing w:line="360" w:lineRule="auto"/>
        <w:jc w:val="both"/>
        <w:rPr>
          <w:rFonts w:ascii="Arial" w:hAnsi="Arial"/>
        </w:rPr>
      </w:pPr>
    </w:p>
    <w:p w14:paraId="5C562DB5" w14:textId="77777777" w:rsidR="00BA739E" w:rsidRDefault="00BA739E" w:rsidP="00BA739E">
      <w:pPr>
        <w:ind w:left="360"/>
        <w:rPr>
          <w:rFonts w:ascii="Arial" w:hAnsi="Arial"/>
          <w:rtl/>
        </w:rPr>
      </w:pPr>
    </w:p>
    <w:p w14:paraId="71246C24" w14:textId="77777777" w:rsidR="00BA739E" w:rsidRDefault="00BA739E" w:rsidP="00BA739E">
      <w:pPr>
        <w:ind w:left="360"/>
        <w:rPr>
          <w:rFonts w:ascii="Arial" w:hAnsi="Arial"/>
          <w:b/>
          <w:bCs/>
          <w:u w:val="single"/>
          <w:rtl/>
        </w:rPr>
      </w:pPr>
      <w:r>
        <w:rPr>
          <w:rFonts w:ascii="Arial" w:hAnsi="Arial" w:hint="cs"/>
          <w:b/>
          <w:bCs/>
          <w:u w:val="single"/>
          <w:rtl/>
        </w:rPr>
        <w:t>תסקירי שירות המבחן:</w:t>
      </w:r>
    </w:p>
    <w:p w14:paraId="1D5596CB" w14:textId="77777777" w:rsidR="00BA739E" w:rsidRPr="002E6F36" w:rsidRDefault="00BA739E" w:rsidP="00BA739E">
      <w:pPr>
        <w:ind w:left="360"/>
        <w:rPr>
          <w:rFonts w:ascii="Arial" w:hAnsi="Arial"/>
          <w:b/>
          <w:bCs/>
          <w:u w:val="single"/>
          <w:rtl/>
        </w:rPr>
      </w:pPr>
    </w:p>
    <w:p w14:paraId="7786AB01" w14:textId="77777777" w:rsidR="00BA739E" w:rsidRDefault="00BA739E" w:rsidP="00BA739E">
      <w:pPr>
        <w:pStyle w:val="a9"/>
        <w:numPr>
          <w:ilvl w:val="0"/>
          <w:numId w:val="1"/>
        </w:numPr>
        <w:spacing w:line="360" w:lineRule="auto"/>
        <w:jc w:val="both"/>
        <w:rPr>
          <w:rFonts w:ascii="Arial" w:hAnsi="Arial"/>
        </w:rPr>
      </w:pPr>
      <w:r>
        <w:rPr>
          <w:rFonts w:ascii="Arial" w:hAnsi="Arial" w:hint="cs"/>
          <w:rtl/>
        </w:rPr>
        <w:t>עפ"י תסקיר שירות המבחן שניתן בעניינו של הנאשם, ביום 10.09.19, הנאשם הינו רווק בין 25, המתגורר בבית אימו ועובד במהלך השנה האחרונה בחנות חיות ובעל עסק עצמאי כספר כלבים. הנאשם סיים 12 שנות לימוד וכן שירות צבאי מלא. לאחר השירות הצבאי, שהה בארה"ב תקופה קצרה ומאז שובו ארצה, הוא שומר על רצף תעסוקתי. הנאשם תיאר שביעות רצון ועניין במסגרות התעסוקתיות וכן תחושת גאווה בהישגיו ורצון להתפתח ולהתקדם.</w:t>
      </w:r>
    </w:p>
    <w:p w14:paraId="045B4D96" w14:textId="77777777" w:rsidR="00BA739E" w:rsidRDefault="00BA739E" w:rsidP="00BA739E">
      <w:pPr>
        <w:pStyle w:val="a9"/>
        <w:spacing w:line="360" w:lineRule="auto"/>
        <w:jc w:val="both"/>
        <w:rPr>
          <w:rFonts w:ascii="Arial" w:hAnsi="Arial"/>
        </w:rPr>
      </w:pPr>
    </w:p>
    <w:p w14:paraId="3DBC2FA9" w14:textId="77777777" w:rsidR="00BA739E" w:rsidRDefault="00BA739E" w:rsidP="00BA739E">
      <w:pPr>
        <w:pStyle w:val="a9"/>
        <w:numPr>
          <w:ilvl w:val="0"/>
          <w:numId w:val="1"/>
        </w:numPr>
        <w:spacing w:line="360" w:lineRule="auto"/>
        <w:jc w:val="both"/>
        <w:rPr>
          <w:rFonts w:ascii="Arial" w:hAnsi="Arial"/>
        </w:rPr>
      </w:pPr>
      <w:r>
        <w:rPr>
          <w:rFonts w:ascii="Arial" w:hAnsi="Arial" w:hint="cs"/>
          <w:rtl/>
        </w:rPr>
        <w:t xml:space="preserve"> הנאשם הוא הצעיר מבין 3, לו שתי אחיות. תיאר מערכת יחסים טובה עימן, וכן קשר קרוב במיוחד עם אימו. </w:t>
      </w:r>
    </w:p>
    <w:p w14:paraId="777D3AC3" w14:textId="77777777" w:rsidR="00BA739E" w:rsidRPr="009E6A4F" w:rsidRDefault="00BA739E" w:rsidP="00BA739E">
      <w:pPr>
        <w:pStyle w:val="a9"/>
        <w:rPr>
          <w:rFonts w:ascii="Arial" w:hAnsi="Arial"/>
          <w:rtl/>
        </w:rPr>
      </w:pPr>
    </w:p>
    <w:p w14:paraId="1A4438EA" w14:textId="77777777" w:rsidR="00BA739E" w:rsidRDefault="00BA739E" w:rsidP="00BA739E">
      <w:pPr>
        <w:pStyle w:val="a9"/>
        <w:spacing w:line="360" w:lineRule="auto"/>
        <w:jc w:val="both"/>
        <w:rPr>
          <w:rFonts w:ascii="Arial" w:hAnsi="Arial"/>
        </w:rPr>
      </w:pPr>
    </w:p>
    <w:p w14:paraId="4648160A" w14:textId="77777777" w:rsidR="00BA739E" w:rsidRDefault="00BA739E" w:rsidP="00BA739E">
      <w:pPr>
        <w:pStyle w:val="a9"/>
        <w:numPr>
          <w:ilvl w:val="0"/>
          <w:numId w:val="1"/>
        </w:numPr>
        <w:spacing w:line="360" w:lineRule="auto"/>
        <w:jc w:val="both"/>
        <w:rPr>
          <w:rFonts w:ascii="Arial" w:hAnsi="Arial"/>
        </w:rPr>
      </w:pPr>
      <w:r w:rsidRPr="009E6A4F">
        <w:rPr>
          <w:rFonts w:ascii="Arial" w:hAnsi="Arial" w:hint="cs"/>
          <w:rtl/>
        </w:rPr>
        <w:t>עפ"י גיליון הר.פ של נאשם, יש לו רישום משנת 2014, של התחייבות ללא הרשעה, בגין עבירה של החזקת סם לצריכה עצמית. הנאשם תיאר, כי החל להשתמש בסמים מסוג קנאבוס בגין 18, ולאחר תקופה, הפך השימוש לאינטנסיבי ויום יומי. הנאשם ביטא עמדות מקלות ביחס לשימוש בסמים מסוג קנאביס ושלל שפיתח סביב השימוש תלות או התמכרות.</w:t>
      </w:r>
    </w:p>
    <w:p w14:paraId="56825DD7" w14:textId="77777777" w:rsidR="00BA739E" w:rsidRPr="009E6A4F" w:rsidRDefault="00BA739E" w:rsidP="00BA739E">
      <w:pPr>
        <w:pStyle w:val="a9"/>
        <w:spacing w:line="360" w:lineRule="auto"/>
        <w:jc w:val="both"/>
        <w:rPr>
          <w:rFonts w:ascii="Arial" w:hAnsi="Arial"/>
        </w:rPr>
      </w:pPr>
    </w:p>
    <w:p w14:paraId="6256E3A2" w14:textId="77777777" w:rsidR="00BA739E" w:rsidRDefault="00BA739E" w:rsidP="00BA739E">
      <w:pPr>
        <w:pStyle w:val="a9"/>
        <w:numPr>
          <w:ilvl w:val="0"/>
          <w:numId w:val="1"/>
        </w:numPr>
        <w:spacing w:line="360" w:lineRule="auto"/>
        <w:jc w:val="both"/>
      </w:pPr>
      <w:r w:rsidRPr="00732630">
        <w:rPr>
          <w:rFonts w:ascii="Arial" w:hAnsi="Arial" w:hint="cs"/>
          <w:rtl/>
        </w:rPr>
        <w:t xml:space="preserve">ביחס </w:t>
      </w:r>
      <w:r>
        <w:rPr>
          <w:rFonts w:ascii="Arial" w:hAnsi="Arial" w:hint="cs"/>
          <w:rtl/>
        </w:rPr>
        <w:t>לעבירה נשוא כתב האישום, הנאשם תיאר כי בתקופה הרלוונטית גידל בעצמו את הסם</w:t>
      </w:r>
      <w:r>
        <w:rPr>
          <w:rFonts w:hint="cs"/>
          <w:rtl/>
        </w:rPr>
        <w:t>, על מנת להימנע ממגע עם גורמים שוליים הסוחרים בסמים. הנאשם תיאר באותה העת צריכה, אשר מקורה ברובה סביב החברה במחיצתה שהה. לדבריו, קודם לביצוע העבירה חש קושי מסוים להיגמל בכוחות עצמו ובמידה מסוימת חש הקלה סביב מעצרו, שסייע לו לבחור להיגמל. כיום לדבריו, נמנע מצריכת סמים ואינו מרגיש נזקקות טיפולית בתחום.</w:t>
      </w:r>
    </w:p>
    <w:p w14:paraId="3A67B896" w14:textId="77777777" w:rsidR="00BA739E" w:rsidRDefault="00BA739E" w:rsidP="00BA739E">
      <w:pPr>
        <w:pStyle w:val="a9"/>
        <w:rPr>
          <w:rtl/>
        </w:rPr>
      </w:pPr>
    </w:p>
    <w:p w14:paraId="38211A33" w14:textId="77777777" w:rsidR="00BA739E" w:rsidRDefault="00BA739E" w:rsidP="00BA739E">
      <w:pPr>
        <w:pStyle w:val="a9"/>
        <w:numPr>
          <w:ilvl w:val="0"/>
          <w:numId w:val="1"/>
        </w:numPr>
        <w:spacing w:line="360" w:lineRule="auto"/>
        <w:jc w:val="both"/>
      </w:pPr>
      <w:r>
        <w:rPr>
          <w:rFonts w:hint="cs"/>
          <w:rtl/>
        </w:rPr>
        <w:lastRenderedPageBreak/>
        <w:t xml:space="preserve">בדיקת שתן שמסר הנאשם ביום 02.07.19, נמצאה נקיה משרידי סם. </w:t>
      </w:r>
    </w:p>
    <w:p w14:paraId="68F6E9D8" w14:textId="77777777" w:rsidR="00BA739E" w:rsidRDefault="00BA739E" w:rsidP="00BA739E">
      <w:pPr>
        <w:pStyle w:val="a9"/>
        <w:rPr>
          <w:rtl/>
        </w:rPr>
      </w:pPr>
    </w:p>
    <w:p w14:paraId="63760312" w14:textId="77777777" w:rsidR="00BA739E" w:rsidRDefault="00BA739E" w:rsidP="00BA739E">
      <w:pPr>
        <w:pStyle w:val="a9"/>
        <w:numPr>
          <w:ilvl w:val="0"/>
          <w:numId w:val="1"/>
        </w:numPr>
        <w:spacing w:line="360" w:lineRule="auto"/>
        <w:jc w:val="both"/>
      </w:pPr>
      <w:r>
        <w:rPr>
          <w:rFonts w:hint="cs"/>
          <w:rtl/>
        </w:rPr>
        <w:t xml:space="preserve">עפ"י התסקיר, גורמי הסיכון הם היותו של הנאשם בעל רקע התמכרותי, ביצע בעבר עבירה דומה, העובדה שביטא עמדות מקלות ביחס לצריכת סמים, התנהל בשיחה באופן המלמד על חוסר גבולות וילדותיות, וכן מקלה קשיים מסוימים בהסתגלות למסגרות וקבלת סמכות. מאידך, גורמי הסיכוי הם ההתרשמות כי הנאשם מנהל אורך חיים ושומר על יציבות, בעל מעגלי תמיכה חברתיים ומשפחתיים ומגלה רצון לפתח את עצמו מבחינה תעסוקתית. ניכר כי הנאשם חש סיפוק מעבודתו, רואה רווחים מגמילתו מהשימוש בסם, הינו בעל תחביבים, כישורי חיים ויכולות לימודיות. </w:t>
      </w:r>
    </w:p>
    <w:p w14:paraId="4160B031" w14:textId="77777777" w:rsidR="00BA739E" w:rsidRDefault="00BA739E" w:rsidP="00BA739E">
      <w:pPr>
        <w:pStyle w:val="a9"/>
        <w:rPr>
          <w:rtl/>
        </w:rPr>
      </w:pPr>
    </w:p>
    <w:p w14:paraId="35541BCC" w14:textId="77777777" w:rsidR="00BA739E" w:rsidRDefault="00BA739E" w:rsidP="00BA739E">
      <w:pPr>
        <w:pStyle w:val="a9"/>
        <w:spacing w:line="360" w:lineRule="auto"/>
        <w:jc w:val="both"/>
      </w:pPr>
    </w:p>
    <w:p w14:paraId="76BB2C56" w14:textId="77777777" w:rsidR="00BA739E" w:rsidRDefault="00BA739E" w:rsidP="00BA739E">
      <w:pPr>
        <w:pStyle w:val="a9"/>
        <w:numPr>
          <w:ilvl w:val="0"/>
          <w:numId w:val="1"/>
        </w:numPr>
        <w:spacing w:line="360" w:lineRule="auto"/>
        <w:jc w:val="both"/>
      </w:pPr>
      <w:r>
        <w:rPr>
          <w:rFonts w:hint="cs"/>
          <w:rtl/>
        </w:rPr>
        <w:t>לאור האמור, המליץ שירות המבחן, להטיל עליו צו מבחן למשך שנה, כך שבמהלך תקופת המבחן ימשיך שירות המבחן ללוות את הנאשם, כגורם תומך ומפקח. בנוסף, כענישה מרתיעה, מציבת גבול וחינוכית, המליץ שירות המבחן, להטיל עליו צו של"צ בהיקף של 140 שעות.</w:t>
      </w:r>
    </w:p>
    <w:p w14:paraId="05A0C72C" w14:textId="77777777" w:rsidR="00BA739E" w:rsidRDefault="00BA739E" w:rsidP="00BA739E">
      <w:pPr>
        <w:pStyle w:val="a9"/>
        <w:spacing w:line="360" w:lineRule="auto"/>
        <w:jc w:val="both"/>
      </w:pPr>
    </w:p>
    <w:p w14:paraId="04059411" w14:textId="77777777" w:rsidR="00BA739E" w:rsidRDefault="00BA739E" w:rsidP="00BA739E">
      <w:pPr>
        <w:pStyle w:val="a9"/>
        <w:numPr>
          <w:ilvl w:val="0"/>
          <w:numId w:val="1"/>
        </w:numPr>
        <w:spacing w:line="360" w:lineRule="auto"/>
        <w:jc w:val="both"/>
      </w:pPr>
      <w:r>
        <w:rPr>
          <w:rFonts w:hint="cs"/>
          <w:rtl/>
        </w:rPr>
        <w:t>בדיון שהתקיים ביום 23.10.20, הוסכם בין הצדדים על דחיית מועד הטיעונים לעונש, על מנת שיתקבל בעניינו של הנאשם תסקיר משלים, לאחר שהנאשם  ישוב וישקול עמדתו ביחס לנזקקותו הטיפולית, ימשיך ליתן דגימות שתן וייפגש שוב עם גורמי המבחן. בית המשפט הורה על דחיית הדיון לצורך מתן תסקיר משלים כפי שהתבקש.</w:t>
      </w:r>
    </w:p>
    <w:p w14:paraId="650E02AD" w14:textId="77777777" w:rsidR="00BA739E" w:rsidRDefault="00BA739E" w:rsidP="00BA739E">
      <w:pPr>
        <w:pStyle w:val="a9"/>
        <w:rPr>
          <w:rtl/>
        </w:rPr>
      </w:pPr>
    </w:p>
    <w:p w14:paraId="65899105" w14:textId="77777777" w:rsidR="00BA739E" w:rsidRDefault="00BA739E" w:rsidP="00BA739E">
      <w:pPr>
        <w:pStyle w:val="a9"/>
        <w:numPr>
          <w:ilvl w:val="0"/>
          <w:numId w:val="1"/>
        </w:numPr>
        <w:spacing w:line="360" w:lineRule="auto"/>
        <w:jc w:val="both"/>
      </w:pPr>
      <w:r>
        <w:rPr>
          <w:rFonts w:hint="cs"/>
          <w:rtl/>
        </w:rPr>
        <w:t>בהמשך לאמור, ניתן תסקיר שירות המבחן, ביום 21.01.20. לפי התסקיר, במהלך תקופת הדחייה, אכן נפגש הנאשם עם שירות המבחן ומסר בדיקות שתן. הנאשם שיתף את קצינת המבחן בהתלבטותו, אשר מחד הבין את דברי בית המשפט בדבר הצורך שישקול את עמדתו ביחס לנזקקותו הטיפולי ומאידך תחושתו כי אינו זקוק לסיוע כיוון שלא פיתח תלות או התמכרות לסם. לדברי הנאשם, הוא ממשיך לשמור על אורח חיים נורמטיבי ולתפקד במסגרותיו המקצועיות. הנאשם מסר שתי בדיקות שתן נוספות, שנמצאו ללא שרידי סם ומגיליון הרישום הפלילי עולה, כי במהלך תקופת הדחייה לא נפתחו כנגדו תיקים פליליים נוספים.</w:t>
      </w:r>
    </w:p>
    <w:p w14:paraId="698D556A" w14:textId="77777777" w:rsidR="00BA739E" w:rsidRDefault="00BA739E" w:rsidP="00BA739E">
      <w:pPr>
        <w:pStyle w:val="a9"/>
        <w:rPr>
          <w:rtl/>
        </w:rPr>
      </w:pPr>
    </w:p>
    <w:p w14:paraId="6E12B339" w14:textId="77777777" w:rsidR="00BA739E" w:rsidRDefault="00BA739E" w:rsidP="00BA739E">
      <w:pPr>
        <w:pStyle w:val="a9"/>
        <w:numPr>
          <w:ilvl w:val="0"/>
          <w:numId w:val="1"/>
        </w:numPr>
        <w:spacing w:line="360" w:lineRule="auto"/>
        <w:jc w:val="both"/>
      </w:pPr>
      <w:r>
        <w:rPr>
          <w:rFonts w:hint="cs"/>
          <w:rtl/>
        </w:rPr>
        <w:t>לאור האמור, התרשם שירות המבחן כי הנאשם אינו בעל קווים שוליים או עבריינים. תפקודו לאורך השנים חיובי ומלמד על כוחות וכישורים. לאורך תקופת הדחייה הנאשם שיתף פעולה, הגיע למפגשים ומסר בדיקות שתן נקיות מסם. כמו כן, ביטא עצמו, באופן גלוי ואותנטי, כאשר לתפיסתו אינו סובל מבעיה בתחום הסמים המצריכה סיוע. בתקופת הדחייה, הנאשם המשיך לשמור על אורח חיים חיובי, ללא שימוש בסמים, ועל תפקוד תעסוקתי. עם זאת, עמדותיו המקלות ביחס לשימוש בסם מעלות סימני שאלה, ועל כן שב שירות המבחן על המלצתו לפיה הנאשם זקוק לליווי ופיקוח, בדמות צו מבחן למשך שנה, במהלכה הנאשם ימשיך להיפגש עם גורמי המבחן, לבחון מצבו מבחינה התמכרותית וליטול ממנו בדיקות שתן. בנוסף, חוזר השירות על המלצתו בדבר עונש מציב גבול ומרתיע של צו של"צ, בהיקף של 140 שעות, אשר עשוי לחזק את החלקים הנורמטיביים והמתפקדים בחייו של הנאשם.</w:t>
      </w:r>
    </w:p>
    <w:p w14:paraId="5E728B3D" w14:textId="77777777" w:rsidR="00BA739E" w:rsidRDefault="00BA739E" w:rsidP="00BA739E">
      <w:pPr>
        <w:ind w:left="360"/>
        <w:rPr>
          <w:rtl/>
        </w:rPr>
      </w:pPr>
    </w:p>
    <w:p w14:paraId="6B5494F9" w14:textId="77777777" w:rsidR="00BA739E" w:rsidRDefault="00BA739E" w:rsidP="00BA739E">
      <w:pPr>
        <w:ind w:left="360"/>
        <w:rPr>
          <w:b/>
          <w:bCs/>
          <w:u w:val="single"/>
          <w:rtl/>
        </w:rPr>
      </w:pPr>
      <w:r>
        <w:rPr>
          <w:rFonts w:hint="cs"/>
          <w:b/>
          <w:bCs/>
          <w:u w:val="single"/>
          <w:rtl/>
        </w:rPr>
        <w:t>חוות דעת הממונה על עבודות שירות:</w:t>
      </w:r>
    </w:p>
    <w:p w14:paraId="26E4114A" w14:textId="77777777" w:rsidR="00BA739E" w:rsidRPr="007655ED" w:rsidRDefault="00BA739E" w:rsidP="00BA739E">
      <w:pPr>
        <w:ind w:left="360"/>
        <w:rPr>
          <w:b/>
          <w:bCs/>
          <w:u w:val="single"/>
          <w:rtl/>
        </w:rPr>
      </w:pPr>
    </w:p>
    <w:p w14:paraId="16780F0A" w14:textId="77777777" w:rsidR="00BA739E" w:rsidRDefault="00BA739E" w:rsidP="00BA739E">
      <w:pPr>
        <w:pStyle w:val="a9"/>
        <w:numPr>
          <w:ilvl w:val="0"/>
          <w:numId w:val="1"/>
        </w:numPr>
        <w:spacing w:line="360" w:lineRule="auto"/>
        <w:jc w:val="both"/>
      </w:pPr>
      <w:r>
        <w:rPr>
          <w:rFonts w:hint="cs"/>
          <w:rtl/>
        </w:rPr>
        <w:t>עפ"י חוות דעת הממונה על עבודות שירות, נמצא הנאשם כשיר לביצוע עבודות שירות.</w:t>
      </w:r>
    </w:p>
    <w:p w14:paraId="16E5AD3B" w14:textId="77777777" w:rsidR="00BA739E" w:rsidRDefault="00BA739E" w:rsidP="00BA739E">
      <w:pPr>
        <w:pStyle w:val="a9"/>
        <w:spacing w:line="360" w:lineRule="auto"/>
        <w:jc w:val="both"/>
      </w:pPr>
    </w:p>
    <w:p w14:paraId="04336590" w14:textId="77777777" w:rsidR="00BA739E" w:rsidRDefault="00BA739E" w:rsidP="00BA739E">
      <w:pPr>
        <w:spacing w:line="360" w:lineRule="auto"/>
        <w:ind w:left="360"/>
        <w:jc w:val="both"/>
        <w:rPr>
          <w:b/>
          <w:bCs/>
          <w:u w:val="single"/>
          <w:rtl/>
        </w:rPr>
      </w:pPr>
    </w:p>
    <w:p w14:paraId="42CBF079" w14:textId="77777777" w:rsidR="00BA739E" w:rsidRPr="00665699" w:rsidRDefault="00BA739E" w:rsidP="00BA739E">
      <w:pPr>
        <w:spacing w:line="360" w:lineRule="auto"/>
        <w:ind w:left="360"/>
        <w:jc w:val="both"/>
        <w:rPr>
          <w:b/>
          <w:bCs/>
          <w:u w:val="single"/>
        </w:rPr>
      </w:pPr>
      <w:r>
        <w:rPr>
          <w:rFonts w:hint="cs"/>
          <w:b/>
          <w:bCs/>
          <w:u w:val="single"/>
          <w:rtl/>
        </w:rPr>
        <w:t>טיעוני הצדדים לעונש:</w:t>
      </w:r>
    </w:p>
    <w:p w14:paraId="24D51D69" w14:textId="77777777" w:rsidR="00BA739E" w:rsidRDefault="00BA739E" w:rsidP="00BA739E">
      <w:pPr>
        <w:pStyle w:val="a9"/>
        <w:numPr>
          <w:ilvl w:val="0"/>
          <w:numId w:val="1"/>
        </w:numPr>
        <w:spacing w:line="360" w:lineRule="auto"/>
        <w:jc w:val="both"/>
      </w:pPr>
      <w:r>
        <w:rPr>
          <w:rFonts w:hint="cs"/>
          <w:rtl/>
        </w:rPr>
        <w:t xml:space="preserve">ב"כ המאשימה טענה, כי במעשיו פגע הנאשם בערכים המוגנים של שמירה על הציבור מפני נגע הסמים. נטען, כי עבירות הסמים פוגעות בערכים מוגנים רבים נוספים נוכח השפעה ישירה לתחומי עבירות נוספים כגון עבירות רכוש, אלימות, תעבורה וכן הלאה. לטענת ה מאשימה, נסיבות ההחזקה מלמדות על היות הנאשם חוליה בשרשרת הפצת הסמים ואינו מהווה רק "משתמש קצה". עוד נטען, כי מידת הפגיעה בערכים המוגנים הינה בינונית. באשר למדיניות הענישה נטען כי בעבירות מסוג זה הינה מגוונת ומותאמת לחומרת העבירה. מתחם הענישה לטענת המאשימה הוא ממאסר קצר שיכול וירוצה בעבודות שירות ועד 8 חודשי מאסר בפועל לצד ענישה נלווית. </w:t>
      </w:r>
    </w:p>
    <w:p w14:paraId="1ED61B9D" w14:textId="77777777" w:rsidR="00BA739E" w:rsidRDefault="00BA739E" w:rsidP="00BA739E">
      <w:pPr>
        <w:pStyle w:val="a9"/>
        <w:spacing w:line="360" w:lineRule="auto"/>
        <w:jc w:val="both"/>
        <w:rPr>
          <w:rtl/>
        </w:rPr>
      </w:pPr>
    </w:p>
    <w:p w14:paraId="16EE210B" w14:textId="77777777" w:rsidR="00BA739E" w:rsidRDefault="00BA739E" w:rsidP="00BA739E">
      <w:pPr>
        <w:pStyle w:val="a9"/>
        <w:numPr>
          <w:ilvl w:val="0"/>
          <w:numId w:val="1"/>
        </w:numPr>
        <w:spacing w:line="360" w:lineRule="auto"/>
        <w:jc w:val="both"/>
      </w:pPr>
      <w:r>
        <w:rPr>
          <w:rFonts w:hint="cs"/>
          <w:rtl/>
        </w:rPr>
        <w:t xml:space="preserve">לעניין נסיבות שאינן קשורות לביצוע העבירה, הוזכר כי הנאשם בן 25 ולחובתו רישום אחד ללא הרשעה, בעבירה מתחום הסמים. הנאשם הודה במיוחס לו וחסך זמן שיפוטי, הוגשו בעניינו שני תסקירים, מהתסקיר הראשון עלה כי הנאשם החל להשתמש בקנביס מגיל 18. לטענת המאשימה, התסקיר הראשון שניתן בעניינו של הנאשם, הינו שלילי בשים לב למודעות הנמוכה של הנאשם לפסול בהתנהגותו, עמדותיו המקלות ביחס לשימוש בסמים והעובדה שהינו שולל נזקקות טיפולית. </w:t>
      </w:r>
    </w:p>
    <w:p w14:paraId="48764FA7" w14:textId="77777777" w:rsidR="00BA739E" w:rsidRDefault="00BA739E" w:rsidP="00BA739E">
      <w:pPr>
        <w:pStyle w:val="a9"/>
        <w:rPr>
          <w:rtl/>
        </w:rPr>
      </w:pPr>
    </w:p>
    <w:p w14:paraId="7DDA9D65" w14:textId="77777777" w:rsidR="00BA739E" w:rsidRDefault="00BA739E" w:rsidP="00BA739E">
      <w:pPr>
        <w:pStyle w:val="a9"/>
        <w:numPr>
          <w:ilvl w:val="0"/>
          <w:numId w:val="1"/>
        </w:numPr>
        <w:spacing w:line="360" w:lineRule="auto"/>
        <w:jc w:val="both"/>
      </w:pPr>
      <w:r>
        <w:rPr>
          <w:rFonts w:hint="cs"/>
          <w:rtl/>
        </w:rPr>
        <w:t>מן התסקיר המשלים שהוגש עולה, כי הנאשם חזר הנאשם על עמדתו כי אינו זקוק לטיפול. עם זאת, הנאשם שומר על יציבות תעסוקתית, מסר בדיקות שתן נוספות נקיות מסמים, שיתף פעולה עם שירות המבחן והגיע לכל המפגשים, שירות המבחן אומר שאינו סובל מבעיית התמכרות לסמים שמצריכה סיוע, מדובר בנאשם שאינו בעל קווים שוליים או עברייניים. שירות המבחן סבר שלאור עמדותיו המקלות ביחס לשימושו בסמים בעבר, עדיין יש נזקקות טיפולית והמענה לדעתם יינתן בדמות צו מבחן שאז יימשך הקשר  עם שירות המבחן והם יטפלו בכל מה שעולה ממצבו של הנאשם. המאשימה מסכימה, כי לא ניתן להתייחס לתסקיר משלים כתסקיר שלילי. לפיכך עמדתה העונשית של המאשימה, היא כפי שהוצגה במסגרת הסדר הטיעון. בהתאם לכך, עתרה המאשימה לעונש של חודש מאסר שיכול וירוצה בדרך של עבודות שירות, מאסרים על תנאי על עבירות סמים במדרג עוון ופשע, קנס, פסילה על תנאי וצו מבחן כפי שהומלץ על ידי שירות המבחן.</w:t>
      </w:r>
    </w:p>
    <w:p w14:paraId="46D522D4" w14:textId="77777777" w:rsidR="00BA739E" w:rsidRPr="00614F43" w:rsidRDefault="00BA739E" w:rsidP="00BA739E">
      <w:pPr>
        <w:pStyle w:val="a9"/>
        <w:spacing w:line="360" w:lineRule="auto"/>
        <w:jc w:val="both"/>
      </w:pPr>
    </w:p>
    <w:p w14:paraId="79A5F1A9" w14:textId="77777777" w:rsidR="00BA739E" w:rsidRDefault="00BA739E" w:rsidP="00BA739E">
      <w:pPr>
        <w:pStyle w:val="a9"/>
        <w:numPr>
          <w:ilvl w:val="0"/>
          <w:numId w:val="1"/>
        </w:numPr>
        <w:spacing w:line="360" w:lineRule="auto"/>
        <w:jc w:val="both"/>
      </w:pPr>
      <w:r>
        <w:rPr>
          <w:rFonts w:hint="cs"/>
          <w:rtl/>
        </w:rPr>
        <w:t xml:space="preserve">מנגד, עתר ב"כ הנאשם כי בית המשפט יאמץ את המלצות שירות המבחן כלשונן, וישית עליו צו של"צ בהיקף של 140 ₪ או בהיקף אחר, כפי שיקול דעת ביהמ"ש. </w:t>
      </w:r>
    </w:p>
    <w:p w14:paraId="6E34C7A5" w14:textId="77777777" w:rsidR="00BA739E" w:rsidRDefault="00BA739E" w:rsidP="00BA739E">
      <w:pPr>
        <w:pStyle w:val="a9"/>
        <w:rPr>
          <w:rtl/>
        </w:rPr>
      </w:pPr>
    </w:p>
    <w:p w14:paraId="79DBEA77" w14:textId="77777777" w:rsidR="00BA739E" w:rsidRDefault="00BA739E" w:rsidP="00BA739E">
      <w:pPr>
        <w:pStyle w:val="a9"/>
        <w:numPr>
          <w:ilvl w:val="0"/>
          <w:numId w:val="1"/>
        </w:numPr>
        <w:spacing w:line="360" w:lineRule="auto"/>
        <w:jc w:val="both"/>
      </w:pPr>
      <w:r>
        <w:rPr>
          <w:rFonts w:hint="cs"/>
          <w:rtl/>
        </w:rPr>
        <w:t xml:space="preserve">נטען, כי הגם שאין חולק שהחזקת סם בכמות שנתפסה בידי הנאשם הינה שלא לצריכה עצמית עפ"י הקבוע בפקודת הסמים, הרי שיש להתחשב בשינוי התפיסתי ביחס לסם הקנבוס, ועל כן אין לזקוף לחובתו של הנאשם את העמדה המקילה שהביע ביחס להחזקת הסם והשימוש בו, בפרט שבפועל אינו משתמש ומסר בדיקות שתן נקיות. הנאשם מסר לשירות המבחן, כי אינו זקוק לסיוע כמו מרכז יום או טיפול התמכרותי, כי הוא יכול בעצמו להיגמל מהסם, כפי שהוכיח. </w:t>
      </w:r>
    </w:p>
    <w:p w14:paraId="04BEDC3B" w14:textId="77777777" w:rsidR="00BA739E" w:rsidRDefault="00BA739E" w:rsidP="00BA739E">
      <w:pPr>
        <w:pStyle w:val="a9"/>
        <w:rPr>
          <w:rtl/>
        </w:rPr>
      </w:pPr>
    </w:p>
    <w:p w14:paraId="291386CC" w14:textId="77777777" w:rsidR="00BA739E" w:rsidRDefault="00BA739E" w:rsidP="00BA739E">
      <w:pPr>
        <w:pStyle w:val="a9"/>
        <w:numPr>
          <w:ilvl w:val="0"/>
          <w:numId w:val="1"/>
        </w:numPr>
        <w:spacing w:line="360" w:lineRule="auto"/>
        <w:jc w:val="both"/>
      </w:pPr>
      <w:r>
        <w:rPr>
          <w:rFonts w:hint="cs"/>
          <w:rtl/>
        </w:rPr>
        <w:t>עוד נטען, כי בשים לב בסוג הסם והכמות שנתפסה, חומרת העבירה הינה ברף נמוך.  הנאשם טען במשטרה כי ניסה לגדל בעצמו, יחד עם זאת מדובר בעבירה של החזקת סם שלא לצריכה עצמית והנאשם לוקח אחריות על כך.</w:t>
      </w:r>
    </w:p>
    <w:p w14:paraId="6D26FEE6" w14:textId="77777777" w:rsidR="00BA739E" w:rsidRDefault="00BA739E" w:rsidP="00BA739E">
      <w:pPr>
        <w:pStyle w:val="a9"/>
        <w:rPr>
          <w:rtl/>
        </w:rPr>
      </w:pPr>
    </w:p>
    <w:p w14:paraId="0C0D9FA4" w14:textId="77777777" w:rsidR="00BA739E" w:rsidRDefault="00BA739E" w:rsidP="00BA739E">
      <w:pPr>
        <w:pStyle w:val="a9"/>
        <w:numPr>
          <w:ilvl w:val="0"/>
          <w:numId w:val="1"/>
        </w:numPr>
        <w:spacing w:line="360" w:lineRule="auto"/>
        <w:jc w:val="both"/>
      </w:pPr>
      <w:r>
        <w:rPr>
          <w:rFonts w:hint="cs"/>
          <w:rtl/>
        </w:rPr>
        <w:t xml:space="preserve">ביחס למתחם הענישה, נטען כי הוא יכול להתחיל ממאסר על תנאי לצד של"צ ועד למספר חודשי מאסר שיכול וירוצו בדרך של עבודות שירות. </w:t>
      </w:r>
    </w:p>
    <w:p w14:paraId="01B20137" w14:textId="77777777" w:rsidR="00BA739E" w:rsidRDefault="00BA739E" w:rsidP="00BA739E">
      <w:pPr>
        <w:pStyle w:val="a9"/>
        <w:rPr>
          <w:rtl/>
        </w:rPr>
      </w:pPr>
    </w:p>
    <w:p w14:paraId="24E55C05" w14:textId="77777777" w:rsidR="00BA739E" w:rsidRDefault="00BA739E" w:rsidP="00BA739E">
      <w:pPr>
        <w:pStyle w:val="a9"/>
        <w:numPr>
          <w:ilvl w:val="0"/>
          <w:numId w:val="1"/>
        </w:numPr>
        <w:spacing w:line="360" w:lineRule="auto"/>
        <w:jc w:val="both"/>
      </w:pPr>
      <w:r>
        <w:rPr>
          <w:rFonts w:hint="cs"/>
          <w:rtl/>
        </w:rPr>
        <w:t>מהתסקיר עולה, שהנאשם סועד ומסייע לאמו שחולה במחלה קשה. התסקיר קובע, כי הנאשם אינו בעל קווים שוליים עברייניים, אלא אדם צעיר שמתפקד לאורך שנים באופן חיובי, מראה על כוחות וכישורים עובד בצורה מסודרת, יציב, ובהחלט לא אדם בעל דפוס התמכרותי.</w:t>
      </w:r>
    </w:p>
    <w:p w14:paraId="0E07F8C6" w14:textId="77777777" w:rsidR="00BA739E" w:rsidRDefault="00BA739E" w:rsidP="00BA739E">
      <w:pPr>
        <w:pStyle w:val="a9"/>
        <w:rPr>
          <w:rtl/>
        </w:rPr>
      </w:pPr>
    </w:p>
    <w:p w14:paraId="62DF7CF3" w14:textId="77777777" w:rsidR="00BA739E" w:rsidRDefault="00BA739E" w:rsidP="00BA739E">
      <w:pPr>
        <w:pStyle w:val="a9"/>
        <w:numPr>
          <w:ilvl w:val="0"/>
          <w:numId w:val="1"/>
        </w:numPr>
        <w:spacing w:line="360" w:lineRule="auto"/>
        <w:jc w:val="both"/>
      </w:pPr>
      <w:r>
        <w:rPr>
          <w:rFonts w:hint="cs"/>
          <w:rtl/>
        </w:rPr>
        <w:t xml:space="preserve"> נטען, כי צו המבחן יסייע לנאשם ויפקח עליו שהוא נותן בדיקות שתן נקיות ולא חוזר לשימוש בהם,  וכן ישמש חרב מעל ראשו של הנאשם שבמידה ולא  יעמוד בצו המבחן שירות המבחן יוכל בית המשפט לגזור את דינו מחדש, לרבות לתקופת מאסר.</w:t>
      </w:r>
    </w:p>
    <w:p w14:paraId="32C958E2" w14:textId="77777777" w:rsidR="00BA739E" w:rsidRDefault="00BA739E" w:rsidP="00BA739E">
      <w:pPr>
        <w:pStyle w:val="a9"/>
        <w:rPr>
          <w:rtl/>
        </w:rPr>
      </w:pPr>
    </w:p>
    <w:p w14:paraId="7163B170" w14:textId="77777777" w:rsidR="00BA739E" w:rsidRDefault="00BA739E" w:rsidP="00BA739E">
      <w:pPr>
        <w:pStyle w:val="a9"/>
        <w:numPr>
          <w:ilvl w:val="0"/>
          <w:numId w:val="1"/>
        </w:numPr>
        <w:spacing w:line="360" w:lineRule="auto"/>
        <w:jc w:val="both"/>
        <w:rPr>
          <w:rtl/>
        </w:rPr>
      </w:pPr>
      <w:r>
        <w:rPr>
          <w:rFonts w:hint="cs"/>
          <w:rtl/>
        </w:rPr>
        <w:t xml:space="preserve">לאור נסיבות ביצוע העבירות, כמות הסם שאינה גדולה, לאמור בתסקירים, העדר עבר או עבר מינורי, עתר הסניגור כי בית המשפט יאמץ את המלצת שירות המבחן במלואה,  ויגזור על הנאשם צו של"צ ויתר הרכיבים עפ"י הסדר הטיעון -  קנס ופסילה על תנאי. ב"כ הנאשם עתר, כי הקנס יהיה מידתי  וכן נטען כי גם חודש בודד בעבודות שירות, עלול להביא לפליטתו ממעגל העבודה ולפגוע בתפקודו. </w:t>
      </w:r>
    </w:p>
    <w:p w14:paraId="189AFFA4" w14:textId="77777777" w:rsidR="00BA739E" w:rsidRDefault="00BA739E" w:rsidP="00BA739E">
      <w:pPr>
        <w:spacing w:line="360" w:lineRule="auto"/>
        <w:ind w:left="360"/>
        <w:jc w:val="both"/>
        <w:rPr>
          <w:rtl/>
        </w:rPr>
      </w:pPr>
      <w:r>
        <w:rPr>
          <w:b/>
          <w:bCs/>
          <w:u w:val="single"/>
          <w:rtl/>
        </w:rPr>
        <w:br/>
      </w:r>
      <w:r>
        <w:rPr>
          <w:rFonts w:hint="cs"/>
          <w:b/>
          <w:bCs/>
          <w:u w:val="single"/>
          <w:rtl/>
        </w:rPr>
        <w:t>הנאשם בדברו האחרון:</w:t>
      </w:r>
    </w:p>
    <w:p w14:paraId="0D4DE410" w14:textId="77777777" w:rsidR="00BA739E" w:rsidRDefault="00BA739E" w:rsidP="00BA739E">
      <w:pPr>
        <w:pStyle w:val="a9"/>
        <w:numPr>
          <w:ilvl w:val="0"/>
          <w:numId w:val="1"/>
        </w:numPr>
        <w:spacing w:line="360" w:lineRule="auto"/>
        <w:jc w:val="both"/>
      </w:pPr>
      <w:r>
        <w:rPr>
          <w:rFonts w:hint="cs"/>
          <w:rtl/>
        </w:rPr>
        <w:t>הנאשם התייחס לכך שחלפו כשנתיים מאז המקרה נשוא כתב האישום.  הנאשם מסר, כי בדיעבד, ניהול ההליך הפלילי היה לטובה, שכן הוא היווה עבורו תמריץ להפסיק את השימוש בסם, וכיום לדבריו הוא נמצא במקום אחר בחייו, מנהל עסק עצמאי ועובד. לדבריו "כל זה מאחורי, ואני במקום אחר לגמרי".  הנאשם מסר כי הוא מבין את משמעות צו השל"צ וכי הוא מסכים לו.</w:t>
      </w:r>
    </w:p>
    <w:p w14:paraId="0032F71C" w14:textId="77777777" w:rsidR="00BA739E" w:rsidRDefault="00BA739E" w:rsidP="00BA739E">
      <w:pPr>
        <w:pStyle w:val="a9"/>
        <w:spacing w:line="360" w:lineRule="auto"/>
        <w:jc w:val="both"/>
        <w:rPr>
          <w:rtl/>
        </w:rPr>
      </w:pPr>
    </w:p>
    <w:p w14:paraId="3E3E909D" w14:textId="77777777" w:rsidR="00BA739E" w:rsidRDefault="00BA739E" w:rsidP="00BA739E">
      <w:pPr>
        <w:pStyle w:val="a9"/>
        <w:spacing w:line="360" w:lineRule="auto"/>
        <w:jc w:val="both"/>
        <w:rPr>
          <w:rtl/>
        </w:rPr>
      </w:pPr>
    </w:p>
    <w:p w14:paraId="013EADA8" w14:textId="77777777" w:rsidR="00BA739E" w:rsidRDefault="00BA739E" w:rsidP="00BA739E">
      <w:pPr>
        <w:spacing w:line="360" w:lineRule="auto"/>
        <w:jc w:val="both"/>
        <w:rPr>
          <w:b/>
          <w:bCs/>
          <w:u w:val="single"/>
          <w:rtl/>
        </w:rPr>
      </w:pPr>
      <w:r w:rsidRPr="000C51F8">
        <w:rPr>
          <w:rFonts w:hint="cs"/>
          <w:b/>
          <w:bCs/>
          <w:u w:val="single"/>
          <w:rtl/>
        </w:rPr>
        <w:t>דיון והכרעה:</w:t>
      </w:r>
    </w:p>
    <w:p w14:paraId="5C98C6FE" w14:textId="77777777" w:rsidR="00BA739E" w:rsidRDefault="00BA739E" w:rsidP="00BA739E">
      <w:pPr>
        <w:pStyle w:val="a9"/>
        <w:numPr>
          <w:ilvl w:val="0"/>
          <w:numId w:val="1"/>
        </w:numPr>
        <w:spacing w:line="360" w:lineRule="auto"/>
        <w:jc w:val="both"/>
      </w:pPr>
      <w:r>
        <w:rPr>
          <w:rFonts w:hint="cs"/>
          <w:rtl/>
        </w:rPr>
        <w:t xml:space="preserve">הנאשם הורשע בעבירה של החזקת סם שלא לצריכה עצמי מסוג קנבוס, במשקל של 105.61 ג' קנבוס. בנוסף, עפ"י עובדות כתב האישום, החזיק הנאשם </w:t>
      </w:r>
      <w:r>
        <w:rPr>
          <w:rFonts w:ascii="Arial" w:hAnsi="Arial" w:hint="cs"/>
          <w:rtl/>
        </w:rPr>
        <w:t xml:space="preserve">בשני שתילים שגידל באדנית שבחלון, בחומרי דישון מחולקים ל </w:t>
      </w:r>
      <w:r>
        <w:rPr>
          <w:rFonts w:ascii="Arial" w:hAnsi="Arial"/>
          <w:rtl/>
        </w:rPr>
        <w:t>–</w:t>
      </w:r>
      <w:r>
        <w:rPr>
          <w:rFonts w:ascii="Arial" w:hAnsi="Arial" w:hint="cs"/>
          <w:rtl/>
        </w:rPr>
        <w:t xml:space="preserve"> 16 בקבוקונים ו </w:t>
      </w:r>
      <w:r>
        <w:rPr>
          <w:rFonts w:ascii="Arial" w:hAnsi="Arial"/>
          <w:rtl/>
        </w:rPr>
        <w:t>–</w:t>
      </w:r>
      <w:r>
        <w:rPr>
          <w:rFonts w:ascii="Arial" w:hAnsi="Arial" w:hint="cs"/>
          <w:rtl/>
        </w:rPr>
        <w:t xml:space="preserve"> 2 שקיות, 3 מזרקים, מדחום, משקל דיגיטלי, מנורת לד, פילטר, מזמרה וספר הדרכה לגידול קנבוס.</w:t>
      </w:r>
    </w:p>
    <w:p w14:paraId="6C16EA9E" w14:textId="77777777" w:rsidR="00BA739E" w:rsidRPr="00DC2880" w:rsidRDefault="00BA739E" w:rsidP="00BA739E">
      <w:pPr>
        <w:pStyle w:val="a9"/>
        <w:spacing w:line="360" w:lineRule="auto"/>
        <w:jc w:val="both"/>
      </w:pPr>
    </w:p>
    <w:p w14:paraId="4633ADBA" w14:textId="77777777" w:rsidR="00BA739E" w:rsidRDefault="00BA739E" w:rsidP="00BA739E">
      <w:pPr>
        <w:pStyle w:val="a9"/>
        <w:numPr>
          <w:ilvl w:val="0"/>
          <w:numId w:val="1"/>
        </w:numPr>
        <w:spacing w:line="360" w:lineRule="auto"/>
        <w:jc w:val="both"/>
      </w:pPr>
      <w:r>
        <w:rPr>
          <w:rtl/>
        </w:rPr>
        <w:t>פקודת הסמים נועדה, בכללותה, להגן על ערכים חברתיים של שמירה על בריאותו, 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3" w:history="1">
        <w:r w:rsidR="009C7416" w:rsidRPr="009C7416">
          <w:rPr>
            <w:color w:val="0000FF"/>
            <w:u w:val="single"/>
            <w:rtl/>
          </w:rPr>
          <w:t>ע"פ 972/11</w:t>
        </w:r>
      </w:hyperlink>
      <w:r>
        <w:rPr>
          <w:rtl/>
        </w:rPr>
        <w:t xml:space="preserve"> </w:t>
      </w:r>
      <w:r w:rsidRPr="00E349A9">
        <w:rPr>
          <w:b/>
          <w:bCs/>
          <w:rtl/>
        </w:rPr>
        <w:t>מדינת ישראל נ' יונה</w:t>
      </w:r>
      <w:r>
        <w:rPr>
          <w:rtl/>
        </w:rPr>
        <w:t xml:space="preserve"> (4.7.12); </w:t>
      </w:r>
      <w:hyperlink r:id="rId14" w:history="1">
        <w:r w:rsidR="009C7416" w:rsidRPr="009C7416">
          <w:rPr>
            <w:color w:val="0000FF"/>
            <w:u w:val="single"/>
            <w:rtl/>
          </w:rPr>
          <w:t>ע"פ 6029/03 מדינת ישראל נ' שמאי, פ"ד נח</w:t>
        </w:r>
      </w:hyperlink>
      <w:r>
        <w:rPr>
          <w:rtl/>
        </w:rPr>
        <w:t xml:space="preserve"> (2) 734 (9.2.04); </w:t>
      </w:r>
      <w:hyperlink r:id="rId15" w:history="1">
        <w:r w:rsidR="009C7416" w:rsidRPr="009C7416">
          <w:rPr>
            <w:color w:val="0000FF"/>
            <w:u w:val="single"/>
            <w:rtl/>
          </w:rPr>
          <w:t>ע"פ 6021/95</w:t>
        </w:r>
      </w:hyperlink>
      <w:r>
        <w:rPr>
          <w:rtl/>
        </w:rPr>
        <w:t xml:space="preserve">, 4998/95, 5267/95, 5313/95 </w:t>
      </w:r>
      <w:r w:rsidRPr="00E349A9">
        <w:rPr>
          <w:b/>
          <w:bCs/>
          <w:rtl/>
        </w:rPr>
        <w:t xml:space="preserve">מדינת ישראל נ' גומז </w:t>
      </w:r>
      <w:r>
        <w:rPr>
          <w:rtl/>
        </w:rPr>
        <w:t xml:space="preserve">(31.7.97); </w:t>
      </w:r>
      <w:hyperlink r:id="rId16" w:history="1">
        <w:r w:rsidR="009C7416" w:rsidRPr="009C7416">
          <w:rPr>
            <w:color w:val="0000FF"/>
            <w:u w:val="single"/>
            <w:rtl/>
          </w:rPr>
          <w:t>ע"פ 575/88 עודה נ' מדינת ישראל, פ"ד מב</w:t>
        </w:r>
      </w:hyperlink>
      <w:r>
        <w:rPr>
          <w:rtl/>
        </w:rPr>
        <w:t xml:space="preserve"> (4) 242 (11.12.88)).</w:t>
      </w:r>
    </w:p>
    <w:p w14:paraId="479C9C00" w14:textId="77777777" w:rsidR="00BA739E" w:rsidRDefault="00BA739E" w:rsidP="00BA739E">
      <w:pPr>
        <w:pStyle w:val="a9"/>
        <w:rPr>
          <w:rtl/>
        </w:rPr>
      </w:pPr>
    </w:p>
    <w:p w14:paraId="5E198743" w14:textId="77777777" w:rsidR="00BA739E" w:rsidRDefault="00BA739E" w:rsidP="00BA739E">
      <w:pPr>
        <w:pStyle w:val="a9"/>
        <w:numPr>
          <w:ilvl w:val="0"/>
          <w:numId w:val="1"/>
        </w:numPr>
        <w:spacing w:line="360" w:lineRule="auto"/>
        <w:jc w:val="both"/>
      </w:pPr>
      <w:r>
        <w:rPr>
          <w:rtl/>
        </w:rPr>
        <w:t>הפגיעה בערכים המוגנים כתוצאה מביצוע</w:t>
      </w:r>
      <w:r>
        <w:rPr>
          <w:rFonts w:hint="cs"/>
          <w:rtl/>
        </w:rPr>
        <w:t xml:space="preserve"> עבירת החזקת הסם </w:t>
      </w:r>
      <w:r>
        <w:rPr>
          <w:rtl/>
        </w:rPr>
        <w:t xml:space="preserve">בנסיבות העניין, היא נמוכה - בינונית. </w:t>
      </w:r>
      <w:r>
        <w:rPr>
          <w:rFonts w:hint="cs"/>
          <w:rtl/>
        </w:rPr>
        <w:t>אין המדובר בכמות סם גדולה, עסקינן בסם מסוג קנביס, והעבירה לא כללה שימוש ב</w:t>
      </w:r>
      <w:r>
        <w:rPr>
          <w:rtl/>
        </w:rPr>
        <w:t xml:space="preserve">אמצעים מתוחכמים. </w:t>
      </w:r>
      <w:r>
        <w:rPr>
          <w:rFonts w:hint="cs"/>
          <w:rtl/>
        </w:rPr>
        <w:t xml:space="preserve">כמו כן, </w:t>
      </w:r>
      <w:r>
        <w:rPr>
          <w:rtl/>
        </w:rPr>
        <w:t xml:space="preserve"> לא נלוו לעבירה עבירות נוספות</w:t>
      </w:r>
      <w:r>
        <w:rPr>
          <w:rFonts w:hint="cs"/>
          <w:rtl/>
        </w:rPr>
        <w:t>.</w:t>
      </w:r>
    </w:p>
    <w:p w14:paraId="1466F853" w14:textId="77777777" w:rsidR="00BA739E" w:rsidRDefault="00BA739E" w:rsidP="00BA739E">
      <w:pPr>
        <w:pStyle w:val="a9"/>
        <w:rPr>
          <w:rtl/>
        </w:rPr>
      </w:pPr>
    </w:p>
    <w:p w14:paraId="4D51399B" w14:textId="77777777" w:rsidR="00BA739E" w:rsidRDefault="00BA739E" w:rsidP="00BA739E">
      <w:pPr>
        <w:pStyle w:val="a9"/>
        <w:numPr>
          <w:ilvl w:val="0"/>
          <w:numId w:val="1"/>
        </w:numPr>
        <w:spacing w:before="120" w:after="120" w:line="360" w:lineRule="auto"/>
        <w:jc w:val="both"/>
      </w:pPr>
      <w:r>
        <w:rPr>
          <w:rtl/>
        </w:rPr>
        <w:t xml:space="preserve">מטבע הדברים, </w:t>
      </w:r>
      <w:r>
        <w:rPr>
          <w:rFonts w:hint="cs"/>
          <w:rtl/>
        </w:rPr>
        <w:t xml:space="preserve">הפסיקה המתייחסת למדיניות הענישה </w:t>
      </w:r>
      <w:r>
        <w:rPr>
          <w:rtl/>
        </w:rPr>
        <w:t xml:space="preserve">כוללת היקף מגוון של </w:t>
      </w:r>
      <w:r>
        <w:rPr>
          <w:rFonts w:hint="cs"/>
          <w:rtl/>
        </w:rPr>
        <w:t xml:space="preserve">עבירות החזקת </w:t>
      </w:r>
      <w:r>
        <w:rPr>
          <w:rtl/>
        </w:rPr>
        <w:t xml:space="preserve"> סמים המשק</w:t>
      </w:r>
      <w:r>
        <w:rPr>
          <w:rFonts w:hint="cs"/>
          <w:rtl/>
        </w:rPr>
        <w:t xml:space="preserve">פת </w:t>
      </w:r>
      <w:r>
        <w:rPr>
          <w:rtl/>
        </w:rPr>
        <w:t xml:space="preserve">את פוטנציאל הנזק שעשוי היה להיגרם אלמלא נתפס הנאשם. מתחם העונש ההולם מושפע בין היתר מהיקף הנזק, משמע מכמות הסמים </w:t>
      </w:r>
      <w:r>
        <w:rPr>
          <w:rFonts w:hint="cs"/>
          <w:rtl/>
        </w:rPr>
        <w:t>ש</w:t>
      </w:r>
      <w:r>
        <w:rPr>
          <w:rtl/>
        </w:rPr>
        <w:t>החזיק הנאשם ו</w:t>
      </w:r>
      <w:r>
        <w:rPr>
          <w:rFonts w:hint="cs"/>
          <w:rtl/>
        </w:rPr>
        <w:t>סוגו.</w:t>
      </w:r>
    </w:p>
    <w:p w14:paraId="401BC4A7" w14:textId="77777777" w:rsidR="00BA739E" w:rsidRDefault="00BA739E" w:rsidP="00BA739E">
      <w:pPr>
        <w:pStyle w:val="a9"/>
        <w:rPr>
          <w:rtl/>
        </w:rPr>
      </w:pPr>
    </w:p>
    <w:p w14:paraId="0454103D" w14:textId="77777777" w:rsidR="00BA739E" w:rsidRDefault="00BA739E" w:rsidP="00BA739E">
      <w:pPr>
        <w:pStyle w:val="a9"/>
        <w:numPr>
          <w:ilvl w:val="0"/>
          <w:numId w:val="1"/>
        </w:numPr>
        <w:spacing w:line="360" w:lineRule="auto"/>
        <w:jc w:val="both"/>
      </w:pPr>
      <w:r>
        <w:rPr>
          <w:rFonts w:hint="cs"/>
          <w:rtl/>
        </w:rPr>
        <w:t xml:space="preserve">בתיק זה  עניין לנו ב"הסדר טווח" כאשר המאשימה עותרת לעונש של חודש מאסר בפועל על דרך עבודות שירות, לצד ענישה נלווית, ואילו ההגנה חופשיה בטיעוניה. כשזו תמונת הדברים, נשאלת אפוא השאלה האם יש מקום להידרש לקביעתו של מתחם עונש הולם עובר לגזירת עונשו של הנאשם. </w:t>
      </w:r>
    </w:p>
    <w:p w14:paraId="27FFB846" w14:textId="77777777" w:rsidR="00BA739E" w:rsidRDefault="00BA739E" w:rsidP="00BA739E">
      <w:pPr>
        <w:pStyle w:val="a9"/>
        <w:rPr>
          <w:rtl/>
        </w:rPr>
      </w:pPr>
    </w:p>
    <w:p w14:paraId="184D0D2E" w14:textId="77777777" w:rsidR="00BA739E" w:rsidRPr="00E349A9" w:rsidRDefault="00BA739E" w:rsidP="00BA739E">
      <w:pPr>
        <w:pStyle w:val="a9"/>
        <w:numPr>
          <w:ilvl w:val="0"/>
          <w:numId w:val="1"/>
        </w:numPr>
        <w:spacing w:line="360" w:lineRule="auto"/>
        <w:jc w:val="both"/>
        <w:rPr>
          <w:rFonts w:ascii="Arial" w:hAnsi="Arial"/>
          <w:rtl/>
        </w:rPr>
      </w:pPr>
      <w:r>
        <w:rPr>
          <w:rFonts w:hint="cs"/>
          <w:rtl/>
        </w:rPr>
        <w:t xml:space="preserve">הגם שאין הסכמה כללית בפסיקה בנוגע לסוגיה זו, ניתן לומר כי בהתאם ל"שדרה המרכזית" בפסיקה הנוהגת, על דרך הכלל, בעת ש"הסדר הטווח" המוצג לבית המשפט נמצא בעיניו כסביר, אין מקום להידרש לקביעתם של מתחמים וראה בין היתר, ע"פ 512/13 </w:t>
      </w:r>
      <w:r w:rsidRPr="00E349A9">
        <w:rPr>
          <w:rFonts w:hint="cs"/>
          <w:b/>
          <w:bCs/>
          <w:rtl/>
        </w:rPr>
        <w:t>פלוני נ' מדינת ישראל</w:t>
      </w:r>
      <w:r>
        <w:rPr>
          <w:rFonts w:hint="cs"/>
          <w:rtl/>
        </w:rPr>
        <w:t xml:space="preserve"> (פורסם בנבו, 4.12.13), </w:t>
      </w:r>
      <w:hyperlink r:id="rId17" w:history="1">
        <w:r w:rsidR="009C7416" w:rsidRPr="009C7416">
          <w:rPr>
            <w:color w:val="0000FF"/>
            <w:u w:val="single"/>
            <w:rtl/>
          </w:rPr>
          <w:t>ע"פ  8109/15</w:t>
        </w:r>
      </w:hyperlink>
      <w:r>
        <w:rPr>
          <w:rFonts w:hint="cs"/>
          <w:rtl/>
        </w:rPr>
        <w:t xml:space="preserve"> </w:t>
      </w:r>
      <w:r w:rsidRPr="00E349A9">
        <w:rPr>
          <w:rFonts w:hint="cs"/>
          <w:b/>
          <w:bCs/>
          <w:rtl/>
        </w:rPr>
        <w:t>אביטן נ' מדינת ישראל</w:t>
      </w:r>
      <w:r>
        <w:rPr>
          <w:rFonts w:hint="cs"/>
          <w:rtl/>
        </w:rPr>
        <w:t xml:space="preserve"> (פורסם בנבו, 9.6.16), (דעתו של כב' השופט ג'ובראן), </w:t>
      </w:r>
      <w:hyperlink r:id="rId18" w:history="1">
        <w:r w:rsidR="009C7416" w:rsidRPr="009C7416">
          <w:rPr>
            <w:color w:val="0000FF"/>
            <w:u w:val="single"/>
            <w:rtl/>
          </w:rPr>
          <w:t>ע"פ 2524/15</w:t>
        </w:r>
      </w:hyperlink>
      <w:r>
        <w:rPr>
          <w:rFonts w:hint="cs"/>
          <w:rtl/>
        </w:rPr>
        <w:t xml:space="preserve"> </w:t>
      </w:r>
      <w:r w:rsidRPr="00E349A9">
        <w:rPr>
          <w:rFonts w:hint="cs"/>
          <w:b/>
          <w:bCs/>
          <w:rtl/>
        </w:rPr>
        <w:t>שפרנוביץ' נ' מדינת ישראל</w:t>
      </w:r>
      <w:r>
        <w:rPr>
          <w:rFonts w:hint="cs"/>
          <w:rtl/>
        </w:rPr>
        <w:t xml:space="preserve"> (פורסם בנבו, 8.9.16) (פסקאות 18-19 לפסק הדין), </w:t>
      </w:r>
      <w:hyperlink r:id="rId19" w:history="1">
        <w:r w:rsidR="009C7416" w:rsidRPr="009C7416">
          <w:rPr>
            <w:rFonts w:ascii="Arial" w:hAnsi="Arial"/>
            <w:color w:val="0000FF"/>
            <w:u w:val="single"/>
            <w:rtl/>
          </w:rPr>
          <w:t>ע"פ 6799/14</w:t>
        </w:r>
      </w:hyperlink>
      <w:r w:rsidRPr="00E349A9">
        <w:rPr>
          <w:rFonts w:ascii="Arial" w:hAnsi="Arial" w:hint="cs"/>
          <w:rtl/>
        </w:rPr>
        <w:t xml:space="preserve"> </w:t>
      </w:r>
      <w:r w:rsidRPr="00E349A9">
        <w:rPr>
          <w:rFonts w:ascii="Arial" w:hAnsi="Arial" w:hint="cs"/>
          <w:b/>
          <w:bCs/>
          <w:rtl/>
        </w:rPr>
        <w:t xml:space="preserve">אופיר נ' מדינת ישראל </w:t>
      </w:r>
      <w:r>
        <w:rPr>
          <w:rFonts w:hint="cs"/>
          <w:rtl/>
        </w:rPr>
        <w:t xml:space="preserve">(פורסם בנבו, 16.3.15) </w:t>
      </w:r>
      <w:r w:rsidRPr="00E349A9">
        <w:rPr>
          <w:rFonts w:ascii="Arial" w:hAnsi="Arial" w:hint="cs"/>
          <w:rtl/>
        </w:rPr>
        <w:t>ו</w:t>
      </w:r>
      <w:hyperlink r:id="rId20" w:history="1">
        <w:r w:rsidR="009C7416" w:rsidRPr="009C7416">
          <w:rPr>
            <w:rFonts w:ascii="Arial" w:hAnsi="Arial"/>
            <w:color w:val="0000FF"/>
            <w:u w:val="single"/>
            <w:rtl/>
          </w:rPr>
          <w:t>ע"פ 3856/13</w:t>
        </w:r>
      </w:hyperlink>
      <w:r w:rsidRPr="00E349A9">
        <w:rPr>
          <w:rFonts w:ascii="Arial" w:hAnsi="Arial" w:hint="cs"/>
          <w:rtl/>
        </w:rPr>
        <w:t xml:space="preserve"> </w:t>
      </w:r>
      <w:r w:rsidRPr="00E349A9">
        <w:rPr>
          <w:rFonts w:ascii="Arial" w:hAnsi="Arial" w:hint="cs"/>
          <w:b/>
          <w:bCs/>
          <w:rtl/>
        </w:rPr>
        <w:t xml:space="preserve">גוני נ' מדינת ישראל </w:t>
      </w:r>
      <w:r>
        <w:rPr>
          <w:rFonts w:hint="cs"/>
          <w:rtl/>
        </w:rPr>
        <w:t xml:space="preserve"> (פורסם בנבו, 3.2.14)</w:t>
      </w:r>
      <w:r w:rsidRPr="00E349A9">
        <w:rPr>
          <w:rFonts w:ascii="Arial" w:hAnsi="Arial" w:hint="cs"/>
          <w:rtl/>
        </w:rPr>
        <w:t>.</w:t>
      </w:r>
      <w:r w:rsidRPr="00E349A9">
        <w:rPr>
          <w:rFonts w:ascii="Arial" w:hAnsi="Arial" w:hint="cs"/>
          <w:b/>
          <w:bCs/>
          <w:rtl/>
        </w:rPr>
        <w:t xml:space="preserve"> </w:t>
      </w:r>
    </w:p>
    <w:p w14:paraId="5EFF5694" w14:textId="77777777" w:rsidR="00BA739E" w:rsidRDefault="00BA739E" w:rsidP="00BA739E">
      <w:pPr>
        <w:pStyle w:val="a9"/>
        <w:numPr>
          <w:ilvl w:val="0"/>
          <w:numId w:val="1"/>
        </w:numPr>
        <w:spacing w:line="360" w:lineRule="auto"/>
        <w:jc w:val="both"/>
        <w:rPr>
          <w:rFonts w:ascii="Arial" w:hAnsi="Arial"/>
        </w:rPr>
      </w:pPr>
      <w:r w:rsidRPr="00E349A9">
        <w:rPr>
          <w:rFonts w:ascii="Arial" w:hAnsi="Arial" w:hint="cs"/>
          <w:rtl/>
        </w:rPr>
        <w:t>בענייננו, הואיל ו</w:t>
      </w:r>
      <w:r>
        <w:rPr>
          <w:rFonts w:ascii="Arial" w:hAnsi="Arial" w:hint="cs"/>
          <w:rtl/>
        </w:rPr>
        <w:t>מצאתי</w:t>
      </w:r>
      <w:r w:rsidRPr="00E349A9">
        <w:rPr>
          <w:rFonts w:ascii="Arial" w:hAnsi="Arial" w:hint="cs"/>
          <w:rtl/>
        </w:rPr>
        <w:t xml:space="preserve"> כי טווח הענישה המוסכם בין הצדדים סביר, לא אדרש לקביעתו של מתחם עונש הולם וזאת הגם שבקביעת עונשו הסופי של הנאשם יילקחו בחשבון פרמטרים רבים אותם בית המשפט משקלל בקביעת מתחם שכזה. </w:t>
      </w:r>
    </w:p>
    <w:p w14:paraId="04A966CD" w14:textId="77777777" w:rsidR="00BA739E" w:rsidRPr="00E349A9" w:rsidRDefault="00BA739E" w:rsidP="00BA739E">
      <w:pPr>
        <w:pStyle w:val="a9"/>
        <w:spacing w:line="360" w:lineRule="auto"/>
        <w:jc w:val="both"/>
        <w:rPr>
          <w:rFonts w:ascii="Arial" w:hAnsi="Arial"/>
          <w:rtl/>
        </w:rPr>
      </w:pPr>
    </w:p>
    <w:p w14:paraId="71D983B0" w14:textId="77777777" w:rsidR="00BA739E" w:rsidRDefault="00BA739E" w:rsidP="00BA739E">
      <w:pPr>
        <w:pStyle w:val="a9"/>
        <w:numPr>
          <w:ilvl w:val="0"/>
          <w:numId w:val="1"/>
        </w:numPr>
        <w:spacing w:line="360" w:lineRule="auto"/>
        <w:jc w:val="both"/>
      </w:pPr>
      <w:r>
        <w:rPr>
          <w:rFonts w:hint="cs"/>
          <w:rtl/>
        </w:rPr>
        <w:t>עסקינן בנאשם צעיר, כבן 25. בעברות רישום פלילי אחד, משנת 2014, ללא הרשעה, בעבירה של החזקת סם לשימוש עצמי.</w:t>
      </w:r>
    </w:p>
    <w:p w14:paraId="409DE023" w14:textId="77777777" w:rsidR="00BA739E" w:rsidRDefault="00BA739E" w:rsidP="00BA739E">
      <w:pPr>
        <w:pStyle w:val="a9"/>
        <w:rPr>
          <w:rtl/>
        </w:rPr>
      </w:pPr>
    </w:p>
    <w:p w14:paraId="03AC7975" w14:textId="77777777" w:rsidR="00BA739E" w:rsidRDefault="00BA739E" w:rsidP="00BA739E">
      <w:pPr>
        <w:pStyle w:val="a9"/>
        <w:numPr>
          <w:ilvl w:val="0"/>
          <w:numId w:val="1"/>
        </w:numPr>
        <w:spacing w:line="360" w:lineRule="auto"/>
        <w:jc w:val="both"/>
      </w:pPr>
      <w:r>
        <w:rPr>
          <w:rFonts w:hint="cs"/>
          <w:rtl/>
        </w:rPr>
        <w:t>הנאשם העיד על עצמו כמי שנהג לעשות שימוש תדיר בסם מסוג קנאביס, אך עם זאת הינו שולל נזקקות טיפולית.</w:t>
      </w:r>
    </w:p>
    <w:p w14:paraId="0ABC2FB6" w14:textId="77777777" w:rsidR="00BA739E" w:rsidRDefault="00BA739E" w:rsidP="00BA739E">
      <w:pPr>
        <w:pStyle w:val="a9"/>
        <w:rPr>
          <w:rtl/>
        </w:rPr>
      </w:pPr>
    </w:p>
    <w:p w14:paraId="707F010D" w14:textId="77777777" w:rsidR="00BA739E" w:rsidRDefault="00BA739E" w:rsidP="00BA739E">
      <w:pPr>
        <w:pStyle w:val="a9"/>
        <w:numPr>
          <w:ilvl w:val="0"/>
          <w:numId w:val="1"/>
        </w:numPr>
        <w:spacing w:line="360" w:lineRule="auto"/>
        <w:jc w:val="both"/>
      </w:pPr>
      <w:r>
        <w:rPr>
          <w:rFonts w:hint="cs"/>
          <w:rtl/>
        </w:rPr>
        <w:t xml:space="preserve">יחד עם זאת, כפי העולה מתסקירי שירות המבחן, הנאשם מתפקד כאדם נורמטיבי, עובד למחייתו וכן מנהל עסק עצמאי. לנאשם מעגלי תמיכה חברתיים ומשפחתיים והוא אף מסייע לאימו, בעטיו של מצבה הרפואי. נמצא, כי הנאשם אינו בעל מאפיינים שוליים ועבריינים, וכי הינו בעל כישורי חיים ויכולות לתפקד כאדם מועיל בחברה. </w:t>
      </w:r>
    </w:p>
    <w:p w14:paraId="535848CE" w14:textId="77777777" w:rsidR="00BA739E" w:rsidRDefault="00BA739E" w:rsidP="00BA739E">
      <w:pPr>
        <w:pStyle w:val="a9"/>
        <w:rPr>
          <w:rtl/>
        </w:rPr>
      </w:pPr>
    </w:p>
    <w:p w14:paraId="7CEDF50D" w14:textId="77777777" w:rsidR="00BA739E" w:rsidRDefault="00BA739E" w:rsidP="00BA739E">
      <w:pPr>
        <w:pStyle w:val="a9"/>
        <w:numPr>
          <w:ilvl w:val="0"/>
          <w:numId w:val="1"/>
        </w:numPr>
        <w:spacing w:line="360" w:lineRule="auto"/>
        <w:jc w:val="both"/>
      </w:pPr>
      <w:r>
        <w:rPr>
          <w:rFonts w:hint="cs"/>
          <w:rtl/>
        </w:rPr>
        <w:t>הנאשם בחר להודות בכתב האישום המתוקן, נטל אחריות על אשר יוחס לו ואף חסך בזמנם של העדים ובזמן שיפוטי. יתרה מכך, הנאשם אף הביע בפני שירות המבחן ואף בדברו האחרון בבית המשפט תחושת הקלה בעקבות ניהול ההליך הפלילי כנגדו, אשר לדבריו הובילו להיגמל מן השימוש בסם ולנהל אורח חיים תקין ופרודוקטיבי. אמנם, הנאשם שלל את הצורך בהיעזרות בגורמי טיפול, ויש בכל בכדי להוות גורם סיכון, אך עם זאת הלכה למעשה הוכיח הנאשם באמצעות מסירת 3 בדיקות שתן ללא שרידי סם, כי הצליח לחדול משימוש בסם בעצמו וללא התערבות טיפולית.</w:t>
      </w:r>
    </w:p>
    <w:p w14:paraId="4FDEFB58" w14:textId="77777777" w:rsidR="00BA739E" w:rsidRDefault="00BA739E" w:rsidP="00BA739E">
      <w:pPr>
        <w:pStyle w:val="a9"/>
        <w:rPr>
          <w:rtl/>
        </w:rPr>
      </w:pPr>
    </w:p>
    <w:p w14:paraId="385D301E" w14:textId="77777777" w:rsidR="00BA739E" w:rsidRDefault="00BA739E" w:rsidP="00BA739E">
      <w:pPr>
        <w:pStyle w:val="a9"/>
        <w:numPr>
          <w:ilvl w:val="0"/>
          <w:numId w:val="1"/>
        </w:numPr>
        <w:spacing w:after="160" w:line="360" w:lineRule="auto"/>
        <w:jc w:val="both"/>
      </w:pPr>
      <w:r>
        <w:rPr>
          <w:rtl/>
        </w:rPr>
        <w:t xml:space="preserve">דומה כי עפ"י התרשמות </w:t>
      </w:r>
      <w:r>
        <w:rPr>
          <w:rFonts w:hint="cs"/>
          <w:rtl/>
        </w:rPr>
        <w:t>שירות המבחן</w:t>
      </w:r>
      <w:r>
        <w:rPr>
          <w:rtl/>
        </w:rPr>
        <w:t>, בחר הנאשם לעלות על נתיב חדש וחיובי בחייו, והוא רותם את כל מרצו ורצונו, על מנת להצליח בכך.</w:t>
      </w:r>
      <w:r>
        <w:rPr>
          <w:rFonts w:hint="cs"/>
          <w:rtl/>
        </w:rPr>
        <w:t xml:space="preserve"> </w:t>
      </w:r>
    </w:p>
    <w:p w14:paraId="6A0BBDDF" w14:textId="77777777" w:rsidR="00BA739E" w:rsidRDefault="00BA739E" w:rsidP="00BA739E">
      <w:pPr>
        <w:pStyle w:val="a9"/>
        <w:spacing w:after="160" w:line="360" w:lineRule="auto"/>
        <w:jc w:val="both"/>
        <w:rPr>
          <w:rtl/>
        </w:rPr>
      </w:pPr>
    </w:p>
    <w:p w14:paraId="5F7FFF15" w14:textId="77777777" w:rsidR="00BA739E" w:rsidRDefault="00BA739E" w:rsidP="00BA739E">
      <w:pPr>
        <w:pStyle w:val="a9"/>
        <w:numPr>
          <w:ilvl w:val="0"/>
          <w:numId w:val="1"/>
        </w:numPr>
        <w:spacing w:line="360" w:lineRule="auto"/>
        <w:jc w:val="both"/>
      </w:pPr>
      <w:r>
        <w:rPr>
          <w:rFonts w:hint="cs"/>
          <w:rtl/>
        </w:rPr>
        <w:t>לאור האמור, בנסיבותיו של המעשה ולאור נסיבותיו האישיות של הנאשם, סבורני כי יש בהמלצת שירות המבחן, בכדי לקיים מאזן ראוי שבין אינטרס השיקום של הנאשם, לבין הרתעתו מלשוב ולבצע עבירות, ע"י הטלת צו מבחן לצורך שימור הפיקוח על תפקודו של הנאשם, לצד ענישה ממשית בדמות צו של"צ וענישה נלווית מרתיעה בדמות מאסרים מותנים, פסילה מותנית וקנס כספי. לאחר שבחנתי את מכלול השיקולים, מצאתי כי יש בתמהיל הענישה כאמור, בכדי לאזן בין האינטרס הציבורי של גמול והרתעה, לבין אינטרס הנאשם וסיכוייו להשתקם ולנהל אורח חיים חיובי ונורמטיבי.</w:t>
      </w:r>
    </w:p>
    <w:p w14:paraId="4C69B81F" w14:textId="77777777" w:rsidR="00BA739E" w:rsidRDefault="00BA739E" w:rsidP="00BA739E">
      <w:pPr>
        <w:pStyle w:val="a9"/>
        <w:rPr>
          <w:rtl/>
        </w:rPr>
      </w:pPr>
    </w:p>
    <w:p w14:paraId="0EC961E5" w14:textId="77777777" w:rsidR="00BA739E" w:rsidRDefault="00BA739E" w:rsidP="00BA739E">
      <w:pPr>
        <w:pStyle w:val="a9"/>
        <w:spacing w:line="360" w:lineRule="auto"/>
        <w:jc w:val="both"/>
      </w:pPr>
    </w:p>
    <w:p w14:paraId="5EBD3F7E" w14:textId="77777777" w:rsidR="00BA739E" w:rsidRPr="00E349A9" w:rsidRDefault="00BA739E" w:rsidP="00BA739E">
      <w:pPr>
        <w:rPr>
          <w:b/>
          <w:bCs/>
          <w:u w:val="single"/>
          <w:rtl/>
        </w:rPr>
      </w:pPr>
      <w:r>
        <w:rPr>
          <w:rFonts w:hint="cs"/>
          <w:b/>
          <w:bCs/>
          <w:u w:val="single"/>
          <w:rtl/>
        </w:rPr>
        <w:t>סוף דבר:</w:t>
      </w:r>
    </w:p>
    <w:p w14:paraId="1D39B28C" w14:textId="77777777" w:rsidR="00BA739E" w:rsidRDefault="00BA739E" w:rsidP="00BA739E">
      <w:pPr>
        <w:pStyle w:val="a9"/>
        <w:numPr>
          <w:ilvl w:val="0"/>
          <w:numId w:val="1"/>
        </w:numPr>
        <w:spacing w:line="360" w:lineRule="auto"/>
        <w:jc w:val="both"/>
      </w:pPr>
      <w:r>
        <w:rPr>
          <w:rFonts w:hint="cs"/>
          <w:rtl/>
        </w:rPr>
        <w:t>לאור כל הנימוקים שפורטו לעיל, אני גוזרת על הנאשם את העונשים הבאים:</w:t>
      </w:r>
    </w:p>
    <w:p w14:paraId="49835C4E" w14:textId="77777777" w:rsidR="00BA739E" w:rsidRDefault="00BA739E" w:rsidP="00BA739E">
      <w:pPr>
        <w:pStyle w:val="a9"/>
        <w:spacing w:line="360" w:lineRule="auto"/>
        <w:jc w:val="both"/>
      </w:pPr>
    </w:p>
    <w:p w14:paraId="4F79060F" w14:textId="77777777" w:rsidR="00BA739E" w:rsidRDefault="00BA739E" w:rsidP="00BA739E">
      <w:pPr>
        <w:pStyle w:val="a9"/>
        <w:spacing w:line="360" w:lineRule="auto"/>
        <w:jc w:val="both"/>
        <w:rPr>
          <w:rtl/>
        </w:rPr>
      </w:pPr>
      <w:r>
        <w:rPr>
          <w:rtl/>
        </w:rPr>
        <w:t>א</w:t>
      </w:r>
      <w:r>
        <w:rPr>
          <w:b/>
          <w:bCs/>
          <w:rtl/>
        </w:rPr>
        <w:t xml:space="preserve">. ניתן בזאת צו של"צ בהיקף של </w:t>
      </w:r>
      <w:r>
        <w:rPr>
          <w:rFonts w:hint="cs"/>
          <w:b/>
          <w:bCs/>
          <w:rtl/>
        </w:rPr>
        <w:t>140</w:t>
      </w:r>
      <w:r>
        <w:rPr>
          <w:b/>
          <w:bCs/>
          <w:rtl/>
        </w:rPr>
        <w:t xml:space="preserve"> שעות</w:t>
      </w:r>
      <w:r>
        <w:rPr>
          <w:rtl/>
        </w:rPr>
        <w:t xml:space="preserve">, לפי תוכנית שגובשה ע"י שירות המבחן במסגרת התסקיר מיום </w:t>
      </w:r>
      <w:r>
        <w:rPr>
          <w:rFonts w:hint="cs"/>
          <w:rtl/>
        </w:rPr>
        <w:t>10</w:t>
      </w:r>
      <w:r>
        <w:rPr>
          <w:rtl/>
        </w:rPr>
        <w:t>.</w:t>
      </w:r>
      <w:r>
        <w:rPr>
          <w:rFonts w:hint="cs"/>
          <w:rtl/>
        </w:rPr>
        <w:t>09</w:t>
      </w:r>
      <w:r>
        <w:rPr>
          <w:rtl/>
        </w:rPr>
        <w:t>.19.</w:t>
      </w:r>
    </w:p>
    <w:p w14:paraId="70EA529A" w14:textId="77777777" w:rsidR="00BA739E" w:rsidRPr="00E349A9" w:rsidRDefault="00BA739E" w:rsidP="00BA739E">
      <w:pPr>
        <w:pStyle w:val="a9"/>
        <w:spacing w:line="360" w:lineRule="auto"/>
        <w:jc w:val="both"/>
        <w:rPr>
          <w:b/>
          <w:bCs/>
          <w:u w:val="single"/>
          <w:rtl/>
        </w:rPr>
      </w:pPr>
      <w:r w:rsidRPr="00E349A9">
        <w:rPr>
          <w:b/>
          <w:bCs/>
          <w:u w:val="single"/>
          <w:rtl/>
        </w:rPr>
        <w:t>הנאשם מוזהר, כי במידה ולא ישתף פעולה עם שירות המבחן ולא יבצע את הצו, בהתאם לדרישות, יהיה בידי בית המשפט להפקיע את הצו ולגזור את דינו מחדש.</w:t>
      </w:r>
    </w:p>
    <w:p w14:paraId="686FC006" w14:textId="77777777" w:rsidR="00BA739E" w:rsidRDefault="00BA739E" w:rsidP="00BA739E">
      <w:pPr>
        <w:pStyle w:val="a9"/>
        <w:spacing w:line="360" w:lineRule="auto"/>
        <w:jc w:val="both"/>
        <w:rPr>
          <w:rtl/>
        </w:rPr>
      </w:pPr>
    </w:p>
    <w:p w14:paraId="22269D8B" w14:textId="77777777" w:rsidR="00BA739E" w:rsidRDefault="00BA739E" w:rsidP="00BA739E">
      <w:pPr>
        <w:pStyle w:val="a9"/>
        <w:spacing w:line="360" w:lineRule="auto"/>
        <w:jc w:val="both"/>
        <w:rPr>
          <w:rtl/>
        </w:rPr>
      </w:pPr>
      <w:r>
        <w:rPr>
          <w:rtl/>
        </w:rPr>
        <w:t xml:space="preserve">ב. </w:t>
      </w:r>
      <w:r>
        <w:rPr>
          <w:b/>
          <w:bCs/>
          <w:rtl/>
        </w:rPr>
        <w:t>ניתן בזאת צו מבחן של שירות המבחן למשך שנה מהיום.</w:t>
      </w:r>
      <w:r>
        <w:rPr>
          <w:rtl/>
        </w:rPr>
        <w:t xml:space="preserve"> </w:t>
      </w:r>
    </w:p>
    <w:p w14:paraId="3E769E89" w14:textId="77777777" w:rsidR="00BA739E" w:rsidRPr="00E349A9" w:rsidRDefault="00BA739E" w:rsidP="00BA739E">
      <w:pPr>
        <w:pStyle w:val="a9"/>
        <w:spacing w:line="360" w:lineRule="auto"/>
        <w:jc w:val="both"/>
        <w:rPr>
          <w:b/>
          <w:bCs/>
          <w:u w:val="single"/>
          <w:rtl/>
        </w:rPr>
      </w:pPr>
      <w:r w:rsidRPr="00E349A9">
        <w:rPr>
          <w:b/>
          <w:bCs/>
          <w:u w:val="single"/>
          <w:rtl/>
        </w:rPr>
        <w:t>במהלך תקופת המבחן יפעל</w:t>
      </w:r>
      <w:r w:rsidRPr="00E349A9">
        <w:rPr>
          <w:rFonts w:hint="cs"/>
          <w:b/>
          <w:bCs/>
          <w:u w:val="single"/>
          <w:rtl/>
        </w:rPr>
        <w:t xml:space="preserve"> הנאשם</w:t>
      </w:r>
      <w:r w:rsidRPr="00E349A9">
        <w:rPr>
          <w:b/>
          <w:bCs/>
          <w:u w:val="single"/>
          <w:rtl/>
        </w:rPr>
        <w:t xml:space="preserve"> בהתאם להוראות ודרישות </w:t>
      </w:r>
      <w:r w:rsidRPr="00E349A9">
        <w:rPr>
          <w:rFonts w:hint="cs"/>
          <w:b/>
          <w:bCs/>
          <w:u w:val="single"/>
          <w:rtl/>
        </w:rPr>
        <w:t>שירות המבחן,</w:t>
      </w:r>
      <w:r w:rsidRPr="00E349A9">
        <w:rPr>
          <w:b/>
          <w:bCs/>
          <w:u w:val="single"/>
          <w:rtl/>
        </w:rPr>
        <w:t xml:space="preserve"> שאחרת יוכל בית המשפט להפקיע את הצו ולגזור דינו מחדש.</w:t>
      </w:r>
    </w:p>
    <w:p w14:paraId="67ACBAB8" w14:textId="77777777" w:rsidR="00BA739E" w:rsidRDefault="00BA739E" w:rsidP="00BA739E">
      <w:pPr>
        <w:pStyle w:val="a9"/>
        <w:spacing w:line="360" w:lineRule="auto"/>
        <w:jc w:val="both"/>
        <w:rPr>
          <w:rtl/>
        </w:rPr>
      </w:pPr>
    </w:p>
    <w:p w14:paraId="68841396" w14:textId="77777777" w:rsidR="00BA739E" w:rsidRDefault="00BA739E" w:rsidP="00BA739E">
      <w:pPr>
        <w:spacing w:before="120" w:after="120" w:line="360" w:lineRule="auto"/>
        <w:ind w:left="720"/>
        <w:jc w:val="both"/>
        <w:rPr>
          <w:rFonts w:ascii="David" w:hAnsi="David"/>
          <w:rtl/>
        </w:rPr>
      </w:pPr>
      <w:r>
        <w:rPr>
          <w:rFonts w:hint="cs"/>
          <w:rtl/>
        </w:rPr>
        <w:t xml:space="preserve">ג. </w:t>
      </w:r>
      <w:r w:rsidRPr="00E349A9">
        <w:rPr>
          <w:rFonts w:ascii="David" w:hAnsi="David"/>
          <w:rtl/>
        </w:rPr>
        <w:t xml:space="preserve">מאסר על תנאי לתקופה של  </w:t>
      </w:r>
      <w:r>
        <w:rPr>
          <w:rFonts w:ascii="David" w:hAnsi="David" w:hint="cs"/>
          <w:rtl/>
        </w:rPr>
        <w:t xml:space="preserve">7 </w:t>
      </w:r>
      <w:r w:rsidRPr="00E349A9">
        <w:rPr>
          <w:rFonts w:ascii="David" w:hAnsi="David"/>
          <w:rtl/>
        </w:rPr>
        <w:t xml:space="preserve">חודשים, והתנאי הוא שבמשך 3 שנים מהיום לא יעבור כל עבירה מסוג פשע לפי </w:t>
      </w:r>
      <w:hyperlink r:id="rId21" w:history="1">
        <w:r w:rsidR="009C7416" w:rsidRPr="009C7416">
          <w:rPr>
            <w:rFonts w:ascii="David" w:hAnsi="David"/>
            <w:color w:val="0000FF"/>
            <w:u w:val="single"/>
            <w:rtl/>
          </w:rPr>
          <w:t>פקודת הסמים המסוכנים</w:t>
        </w:r>
      </w:hyperlink>
      <w:r w:rsidRPr="00E349A9">
        <w:rPr>
          <w:rFonts w:ascii="David" w:hAnsi="David"/>
          <w:rtl/>
        </w:rPr>
        <w:t>;</w:t>
      </w:r>
    </w:p>
    <w:p w14:paraId="2DF04D2A" w14:textId="77777777" w:rsidR="00BA739E" w:rsidRDefault="00BA739E" w:rsidP="00BA739E">
      <w:pPr>
        <w:spacing w:before="120" w:after="120" w:line="360" w:lineRule="auto"/>
        <w:ind w:left="720"/>
        <w:jc w:val="both"/>
        <w:rPr>
          <w:rFonts w:ascii="David" w:hAnsi="David"/>
          <w:rtl/>
        </w:rPr>
      </w:pPr>
    </w:p>
    <w:p w14:paraId="76CD1EC5" w14:textId="77777777" w:rsidR="00BA739E" w:rsidRDefault="00BA739E" w:rsidP="00BA739E">
      <w:pPr>
        <w:spacing w:before="120" w:after="120" w:line="360" w:lineRule="auto"/>
        <w:ind w:left="720"/>
        <w:jc w:val="both"/>
        <w:rPr>
          <w:rFonts w:ascii="David" w:hAnsi="David"/>
          <w:rtl/>
        </w:rPr>
      </w:pPr>
      <w:r>
        <w:rPr>
          <w:rFonts w:ascii="David" w:hAnsi="David" w:hint="cs"/>
          <w:rtl/>
        </w:rPr>
        <w:t>ד. מ</w:t>
      </w:r>
      <w:r w:rsidRPr="00E349A9">
        <w:rPr>
          <w:rFonts w:ascii="David" w:hAnsi="David"/>
          <w:rtl/>
        </w:rPr>
        <w:t xml:space="preserve">אסר על תנאי לתקופה של </w:t>
      </w:r>
      <w:r w:rsidRPr="00E349A9">
        <w:rPr>
          <w:rFonts w:ascii="David" w:hAnsi="David" w:hint="cs"/>
          <w:rtl/>
        </w:rPr>
        <w:t xml:space="preserve"> 3</w:t>
      </w:r>
      <w:r w:rsidRPr="00E349A9">
        <w:rPr>
          <w:rFonts w:ascii="David" w:hAnsi="David"/>
          <w:rtl/>
        </w:rPr>
        <w:t xml:space="preserve"> חודשים, והתנאי הוא שבמשך 3 שנים מהיום לא יעבור כל עבירה מסוג עוון לפי </w:t>
      </w:r>
      <w:hyperlink r:id="rId22" w:history="1">
        <w:r w:rsidR="009C7416" w:rsidRPr="009C7416">
          <w:rPr>
            <w:rFonts w:ascii="David" w:hAnsi="David"/>
            <w:color w:val="0000FF"/>
            <w:u w:val="single"/>
            <w:rtl/>
          </w:rPr>
          <w:t>פקודת הסמים המסוכנים</w:t>
        </w:r>
      </w:hyperlink>
      <w:r w:rsidRPr="00E349A9">
        <w:rPr>
          <w:rFonts w:ascii="David" w:hAnsi="David"/>
          <w:rtl/>
        </w:rPr>
        <w:t>;</w:t>
      </w:r>
    </w:p>
    <w:p w14:paraId="36225597" w14:textId="77777777" w:rsidR="00BA739E" w:rsidRDefault="00BA739E" w:rsidP="00BA739E">
      <w:pPr>
        <w:spacing w:before="120" w:after="120" w:line="360" w:lineRule="auto"/>
        <w:ind w:left="720"/>
        <w:jc w:val="both"/>
        <w:rPr>
          <w:rFonts w:ascii="David" w:hAnsi="David"/>
          <w:rtl/>
        </w:rPr>
      </w:pPr>
    </w:p>
    <w:p w14:paraId="5E3A5C98" w14:textId="77777777" w:rsidR="00BA739E" w:rsidRDefault="00BA739E" w:rsidP="00BA739E">
      <w:pPr>
        <w:spacing w:before="120" w:after="120" w:line="360" w:lineRule="auto"/>
        <w:ind w:left="720"/>
        <w:jc w:val="both"/>
        <w:rPr>
          <w:rFonts w:ascii="David" w:hAnsi="David"/>
          <w:rtl/>
        </w:rPr>
      </w:pPr>
      <w:r>
        <w:rPr>
          <w:rFonts w:ascii="David" w:hAnsi="David" w:hint="cs"/>
          <w:rtl/>
        </w:rPr>
        <w:t xml:space="preserve">ה. </w:t>
      </w:r>
      <w:r w:rsidRPr="00E349A9">
        <w:rPr>
          <w:rFonts w:ascii="David" w:hAnsi="David"/>
          <w:rtl/>
        </w:rPr>
        <w:t xml:space="preserve">קנס בסכום של </w:t>
      </w:r>
      <w:r w:rsidRPr="00E349A9">
        <w:rPr>
          <w:rFonts w:ascii="David" w:hAnsi="David" w:hint="cs"/>
          <w:rtl/>
        </w:rPr>
        <w:t>1,750 ₪ א</w:t>
      </w:r>
      <w:r w:rsidRPr="00E349A9">
        <w:rPr>
          <w:rFonts w:ascii="David" w:hAnsi="David"/>
          <w:rtl/>
        </w:rPr>
        <w:t xml:space="preserve">ו </w:t>
      </w:r>
      <w:r w:rsidRPr="00E349A9">
        <w:rPr>
          <w:rFonts w:ascii="David" w:hAnsi="David" w:hint="cs"/>
          <w:rtl/>
        </w:rPr>
        <w:t>14</w:t>
      </w:r>
      <w:r w:rsidRPr="00E349A9">
        <w:rPr>
          <w:rFonts w:ascii="David" w:hAnsi="David"/>
          <w:rtl/>
        </w:rPr>
        <w:t xml:space="preserve"> ימי מאסר תמורתו. את הקנס ישלם הנאשם ב-</w:t>
      </w:r>
      <w:r w:rsidRPr="00E349A9">
        <w:rPr>
          <w:rFonts w:ascii="David" w:hAnsi="David" w:hint="cs"/>
          <w:rtl/>
        </w:rPr>
        <w:t>5</w:t>
      </w:r>
      <w:r w:rsidRPr="00E349A9">
        <w:rPr>
          <w:rFonts w:ascii="David" w:hAnsi="David"/>
          <w:rtl/>
        </w:rPr>
        <w:t xml:space="preserve"> תשלומים שווים ורצופים, הראשון ביום 10.</w:t>
      </w:r>
      <w:r w:rsidRPr="00E349A9">
        <w:rPr>
          <w:rFonts w:ascii="David" w:hAnsi="David" w:hint="cs"/>
          <w:rtl/>
        </w:rPr>
        <w:t>03</w:t>
      </w:r>
      <w:r w:rsidRPr="00E349A9">
        <w:rPr>
          <w:rFonts w:ascii="David" w:hAnsi="David"/>
          <w:rtl/>
        </w:rPr>
        <w:t>.20 והיתרה ב-10 לכל חודש שלאחר מכן;</w:t>
      </w:r>
    </w:p>
    <w:p w14:paraId="7FFF0BC8" w14:textId="77777777" w:rsidR="00BA739E" w:rsidRDefault="00BA739E" w:rsidP="00BA739E">
      <w:pPr>
        <w:spacing w:before="120" w:after="120" w:line="360" w:lineRule="auto"/>
        <w:ind w:left="720"/>
        <w:jc w:val="both"/>
        <w:rPr>
          <w:rFonts w:ascii="David" w:hAnsi="David"/>
          <w:rtl/>
        </w:rPr>
      </w:pPr>
    </w:p>
    <w:p w14:paraId="7673EC51" w14:textId="77777777" w:rsidR="00BA739E" w:rsidRPr="00E349A9" w:rsidRDefault="00BA739E" w:rsidP="00BA739E">
      <w:pPr>
        <w:spacing w:before="120" w:after="120" w:line="360" w:lineRule="auto"/>
        <w:ind w:left="720"/>
        <w:jc w:val="both"/>
        <w:rPr>
          <w:rFonts w:ascii="David" w:hAnsi="David"/>
        </w:rPr>
      </w:pPr>
      <w:r>
        <w:rPr>
          <w:rFonts w:ascii="David" w:hAnsi="David" w:hint="cs"/>
          <w:rtl/>
        </w:rPr>
        <w:t xml:space="preserve">ו. </w:t>
      </w:r>
      <w:r w:rsidRPr="00E349A9">
        <w:rPr>
          <w:rFonts w:ascii="David" w:hAnsi="David"/>
          <w:rtl/>
        </w:rPr>
        <w:t xml:space="preserve">אני פוסלת את הנאשם מלקבל או מלהחזיק רישיון נהיגה לתקופה של </w:t>
      </w:r>
      <w:r w:rsidRPr="00E349A9">
        <w:rPr>
          <w:rFonts w:ascii="David" w:hAnsi="David" w:hint="cs"/>
          <w:rtl/>
        </w:rPr>
        <w:t>8</w:t>
      </w:r>
      <w:r w:rsidRPr="00E349A9">
        <w:rPr>
          <w:rFonts w:ascii="David" w:hAnsi="David"/>
          <w:rtl/>
        </w:rPr>
        <w:t xml:space="preserve"> חודשים, אם בתוך תקופה בת שלוש שנים מהיום יעבור עבירה מהסוג בה הורשע בתיק זה.</w:t>
      </w:r>
    </w:p>
    <w:p w14:paraId="583DD895" w14:textId="77777777" w:rsidR="00BA739E" w:rsidRPr="00B05847" w:rsidRDefault="00BA739E" w:rsidP="00BA739E">
      <w:pPr>
        <w:rPr>
          <w:rtl/>
        </w:rPr>
      </w:pPr>
    </w:p>
    <w:p w14:paraId="57AAC164" w14:textId="77777777" w:rsidR="00BA739E" w:rsidRDefault="00BA739E" w:rsidP="00BA739E">
      <w:pPr>
        <w:pStyle w:val="a9"/>
        <w:numPr>
          <w:ilvl w:val="0"/>
          <w:numId w:val="1"/>
        </w:numPr>
        <w:spacing w:line="360" w:lineRule="auto"/>
        <w:jc w:val="both"/>
      </w:pPr>
      <w:r>
        <w:rPr>
          <w:rFonts w:hint="cs"/>
          <w:rtl/>
        </w:rPr>
        <w:t>ניתן בזאת צו להשמדת הסמים והכלים שנתפסו בביתו של הנאשם.</w:t>
      </w:r>
    </w:p>
    <w:p w14:paraId="4CC9FD6F" w14:textId="77777777" w:rsidR="00BA739E" w:rsidRDefault="00BA739E" w:rsidP="00BA739E">
      <w:pPr>
        <w:spacing w:line="360" w:lineRule="auto"/>
        <w:jc w:val="both"/>
        <w:rPr>
          <w:rtl/>
        </w:rPr>
      </w:pPr>
    </w:p>
    <w:p w14:paraId="7C0C5892" w14:textId="77777777" w:rsidR="00BA739E" w:rsidRPr="00E349A9" w:rsidRDefault="009C7416" w:rsidP="00BA739E">
      <w:pPr>
        <w:spacing w:line="360" w:lineRule="auto"/>
        <w:jc w:val="both"/>
        <w:rPr>
          <w:b/>
          <w:bCs/>
          <w:rtl/>
        </w:rPr>
      </w:pPr>
      <w:r w:rsidRPr="009C7416">
        <w:rPr>
          <w:b/>
          <w:bCs/>
          <w:color w:val="FFFFFF"/>
          <w:sz w:val="2"/>
          <w:szCs w:val="2"/>
          <w:rtl/>
        </w:rPr>
        <w:t>5129371</w:t>
      </w:r>
      <w:r w:rsidR="00BA739E">
        <w:rPr>
          <w:rFonts w:hint="cs"/>
          <w:b/>
          <w:bCs/>
          <w:rtl/>
        </w:rPr>
        <w:t>זכות ערעור לבית המשפט המחוזי מרכז לוד בתוך 45 ימים.</w:t>
      </w:r>
    </w:p>
    <w:p w14:paraId="00AEE3A9" w14:textId="77777777" w:rsidR="00BA739E" w:rsidRDefault="009C7416" w:rsidP="00BA739E">
      <w:pPr>
        <w:rPr>
          <w:rFonts w:cs="FrankRuehl"/>
          <w:sz w:val="28"/>
          <w:szCs w:val="28"/>
          <w:rtl/>
        </w:rPr>
      </w:pPr>
      <w:bookmarkStart w:id="7" w:name="Nitan"/>
      <w:r w:rsidRPr="009C7416">
        <w:rPr>
          <w:rFonts w:ascii="Arial" w:hAnsi="Arial"/>
          <w:b/>
          <w:bCs/>
          <w:color w:val="FFFFFF"/>
          <w:sz w:val="2"/>
          <w:szCs w:val="2"/>
          <w:rtl/>
        </w:rPr>
        <w:t>54678313</w:t>
      </w:r>
      <w:r>
        <w:rPr>
          <w:rFonts w:ascii="Arial" w:hAnsi="Arial"/>
          <w:b/>
          <w:bCs/>
          <w:rtl/>
        </w:rPr>
        <w:t xml:space="preserve">ניתן היום,  י"ז שבט תש"פ, 12 פברואר 2020, במעמד הצדדים. </w:t>
      </w:r>
      <w:bookmarkEnd w:id="7"/>
    </w:p>
    <w:p w14:paraId="50607F5E" w14:textId="77777777" w:rsidR="00BA739E" w:rsidRDefault="00BA739E" w:rsidP="009C741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03231A" w14:textId="77777777" w:rsidR="00BA739E" w:rsidRDefault="00BA739E" w:rsidP="00BA739E">
      <w:pPr>
        <w:jc w:val="center"/>
        <w:rPr>
          <w:rFonts w:ascii="Arial" w:hAnsi="Arial" w:cs="FrankRuehl"/>
          <w:sz w:val="28"/>
          <w:szCs w:val="28"/>
          <w:rtl/>
        </w:rPr>
      </w:pPr>
    </w:p>
    <w:p w14:paraId="1066553F" w14:textId="77777777" w:rsidR="00BA739E" w:rsidRDefault="00BA739E" w:rsidP="00BA739E">
      <w:pPr>
        <w:rPr>
          <w:rFonts w:cs="FrankRuehl"/>
          <w:sz w:val="28"/>
          <w:szCs w:val="28"/>
          <w:rtl/>
        </w:rPr>
      </w:pPr>
    </w:p>
    <w:p w14:paraId="40E0F939" w14:textId="77777777" w:rsidR="00BA739E" w:rsidRDefault="00BA739E" w:rsidP="00BA739E">
      <w:pPr>
        <w:pStyle w:val="a3"/>
        <w:jc w:val="center"/>
        <w:rPr>
          <w:rtl/>
        </w:rPr>
      </w:pPr>
    </w:p>
    <w:p w14:paraId="11C5E769" w14:textId="77777777" w:rsidR="009965C7" w:rsidRPr="009C7416" w:rsidRDefault="009965C7" w:rsidP="009C7416">
      <w:pPr>
        <w:keepNext/>
        <w:rPr>
          <w:rFonts w:ascii="David" w:hAnsi="David"/>
          <w:color w:val="000000"/>
          <w:sz w:val="22"/>
          <w:szCs w:val="22"/>
          <w:rtl/>
        </w:rPr>
      </w:pPr>
    </w:p>
    <w:p w14:paraId="704B699A" w14:textId="77777777" w:rsidR="009C7416" w:rsidRPr="009C7416" w:rsidRDefault="009C7416" w:rsidP="009C7416">
      <w:pPr>
        <w:keepNext/>
        <w:rPr>
          <w:rFonts w:ascii="David" w:hAnsi="David"/>
          <w:color w:val="000000"/>
          <w:sz w:val="22"/>
          <w:szCs w:val="22"/>
          <w:rtl/>
        </w:rPr>
      </w:pPr>
      <w:r w:rsidRPr="009C7416">
        <w:rPr>
          <w:rFonts w:ascii="David" w:hAnsi="David"/>
          <w:color w:val="000000"/>
          <w:sz w:val="22"/>
          <w:szCs w:val="22"/>
          <w:rtl/>
        </w:rPr>
        <w:t>אושרית הובר היימן 54678313</w:t>
      </w:r>
    </w:p>
    <w:p w14:paraId="181F3D92" w14:textId="77777777" w:rsidR="009C7416" w:rsidRDefault="009C7416" w:rsidP="009C7416">
      <w:r w:rsidRPr="009C7416">
        <w:rPr>
          <w:color w:val="000000"/>
          <w:rtl/>
        </w:rPr>
        <w:t>נוסח מסמך זה כפוף לשינויי ניסוח ועריכה</w:t>
      </w:r>
    </w:p>
    <w:p w14:paraId="0189D100" w14:textId="77777777" w:rsidR="009C7416" w:rsidRDefault="009C7416" w:rsidP="009C7416">
      <w:pPr>
        <w:rPr>
          <w:rtl/>
        </w:rPr>
      </w:pPr>
    </w:p>
    <w:p w14:paraId="1F23A101" w14:textId="77777777" w:rsidR="009C7416" w:rsidRDefault="009C7416" w:rsidP="009C7416">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4E45917" w14:textId="77777777" w:rsidR="009C7416" w:rsidRPr="009C7416" w:rsidRDefault="009C7416" w:rsidP="009C7416">
      <w:pPr>
        <w:jc w:val="center"/>
        <w:rPr>
          <w:color w:val="0000FF"/>
          <w:u w:val="single"/>
        </w:rPr>
      </w:pPr>
    </w:p>
    <w:sectPr w:rsidR="009C7416" w:rsidRPr="009C7416" w:rsidSect="009C7416">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9DDFC" w14:textId="77777777" w:rsidR="00750560" w:rsidRDefault="00750560" w:rsidP="00B10911">
      <w:r>
        <w:separator/>
      </w:r>
    </w:p>
  </w:endnote>
  <w:endnote w:type="continuationSeparator" w:id="0">
    <w:p w14:paraId="58F258ED" w14:textId="77777777" w:rsidR="00750560" w:rsidRDefault="00750560" w:rsidP="00B1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9576" w14:textId="77777777" w:rsidR="009C7416" w:rsidRDefault="009C7416" w:rsidP="009C74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6E77F4" w14:textId="77777777" w:rsidR="00304D54" w:rsidRPr="009C7416" w:rsidRDefault="009C7416" w:rsidP="009C74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DC97" w14:textId="77777777" w:rsidR="009C7416" w:rsidRDefault="009C7416" w:rsidP="009C74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4812">
      <w:rPr>
        <w:rFonts w:ascii="FrankRuehl" w:hAnsi="FrankRuehl" w:cs="FrankRuehl"/>
        <w:noProof/>
        <w:rtl/>
      </w:rPr>
      <w:t>1</w:t>
    </w:r>
    <w:r>
      <w:rPr>
        <w:rFonts w:ascii="FrankRuehl" w:hAnsi="FrankRuehl" w:cs="FrankRuehl"/>
        <w:rtl/>
      </w:rPr>
      <w:fldChar w:fldCharType="end"/>
    </w:r>
  </w:p>
  <w:p w14:paraId="7E9D65CB" w14:textId="77777777" w:rsidR="00304D54" w:rsidRPr="009C7416" w:rsidRDefault="009C7416" w:rsidP="009C74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CA34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C1B8D" w14:textId="77777777" w:rsidR="00750560" w:rsidRDefault="00750560" w:rsidP="00B10911">
      <w:r>
        <w:separator/>
      </w:r>
    </w:p>
  </w:footnote>
  <w:footnote w:type="continuationSeparator" w:id="0">
    <w:p w14:paraId="1D2C795C" w14:textId="77777777" w:rsidR="00750560" w:rsidRDefault="00750560" w:rsidP="00B10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EA08D" w14:textId="77777777" w:rsidR="009C7416" w:rsidRPr="009C7416" w:rsidRDefault="009C7416" w:rsidP="009C74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6336-11-18</w:t>
    </w:r>
    <w:r>
      <w:rPr>
        <w:rFonts w:ascii="David" w:hAnsi="David"/>
        <w:color w:val="000000"/>
        <w:sz w:val="22"/>
        <w:szCs w:val="22"/>
        <w:rtl/>
      </w:rPr>
      <w:tab/>
      <w:t xml:space="preserve"> מדינת ישראל נ' אור אזל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AF7E3" w14:textId="77777777" w:rsidR="009C7416" w:rsidRPr="009C7416" w:rsidRDefault="009C7416" w:rsidP="009C74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6336-11-18</w:t>
    </w:r>
    <w:r>
      <w:rPr>
        <w:rFonts w:ascii="David" w:hAnsi="David"/>
        <w:color w:val="000000"/>
        <w:sz w:val="22"/>
        <w:szCs w:val="22"/>
        <w:rtl/>
      </w:rPr>
      <w:tab/>
      <w:t xml:space="preserve"> מדינת ישראל נ' אור אזל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A0D70"/>
    <w:multiLevelType w:val="hybridMultilevel"/>
    <w:tmpl w:val="2D2C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29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739E"/>
    <w:rsid w:val="00304D54"/>
    <w:rsid w:val="0046763A"/>
    <w:rsid w:val="00750560"/>
    <w:rsid w:val="009965C7"/>
    <w:rsid w:val="009C7416"/>
    <w:rsid w:val="00B10911"/>
    <w:rsid w:val="00BA739E"/>
    <w:rsid w:val="00CB63BD"/>
    <w:rsid w:val="00D64812"/>
    <w:rsid w:val="00E32D6C"/>
    <w:rsid w:val="00EC31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EA737"/>
  <w15:chartTrackingRefBased/>
  <w15:docId w15:val="{882F1740-0806-490D-A927-B91AE16E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73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739E"/>
    <w:pPr>
      <w:tabs>
        <w:tab w:val="center" w:pos="4153"/>
        <w:tab w:val="right" w:pos="8306"/>
      </w:tabs>
    </w:pPr>
  </w:style>
  <w:style w:type="character" w:customStyle="1" w:styleId="a4">
    <w:name w:val="כותרת עליונה תו"/>
    <w:link w:val="a3"/>
    <w:rsid w:val="00BA739E"/>
    <w:rPr>
      <w:rFonts w:ascii="Times New Roman" w:eastAsia="Times New Roman" w:hAnsi="Times New Roman" w:cs="David"/>
      <w:sz w:val="24"/>
      <w:szCs w:val="24"/>
    </w:rPr>
  </w:style>
  <w:style w:type="paragraph" w:styleId="a5">
    <w:name w:val="footer"/>
    <w:basedOn w:val="a"/>
    <w:link w:val="a6"/>
    <w:rsid w:val="00BA739E"/>
    <w:pPr>
      <w:tabs>
        <w:tab w:val="center" w:pos="4153"/>
        <w:tab w:val="right" w:pos="8306"/>
      </w:tabs>
    </w:pPr>
  </w:style>
  <w:style w:type="character" w:customStyle="1" w:styleId="a6">
    <w:name w:val="כותרת תחתונה תו"/>
    <w:link w:val="a5"/>
    <w:rsid w:val="00BA739E"/>
    <w:rPr>
      <w:rFonts w:ascii="Times New Roman" w:eastAsia="Times New Roman" w:hAnsi="Times New Roman" w:cs="David"/>
      <w:sz w:val="24"/>
      <w:szCs w:val="24"/>
    </w:rPr>
  </w:style>
  <w:style w:type="table" w:styleId="a7">
    <w:name w:val="Table Grid"/>
    <w:basedOn w:val="a1"/>
    <w:rsid w:val="00BA73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739E"/>
  </w:style>
  <w:style w:type="paragraph" w:styleId="a9">
    <w:name w:val="List Paragraph"/>
    <w:basedOn w:val="a"/>
    <w:link w:val="aa"/>
    <w:qFormat/>
    <w:rsid w:val="00BA739E"/>
    <w:pPr>
      <w:ind w:left="720"/>
      <w:contextualSpacing/>
    </w:pPr>
  </w:style>
  <w:style w:type="character" w:styleId="Hyperlink">
    <w:name w:val="Hyperlink"/>
    <w:rsid w:val="00BA739E"/>
    <w:rPr>
      <w:color w:val="0563C1"/>
      <w:u w:val="single"/>
    </w:rPr>
  </w:style>
  <w:style w:type="character" w:customStyle="1" w:styleId="aa">
    <w:name w:val="פיסקת רשימה תו"/>
    <w:link w:val="a9"/>
    <w:locked/>
    <w:rsid w:val="00BA739E"/>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5738608" TargetMode="External"/><Relationship Id="rId18" Type="http://schemas.openxmlformats.org/officeDocument/2006/relationships/hyperlink" Target="http://www.nevo.co.il/case/2018162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68336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7939812" TargetMode="External"/><Relationship Id="rId20" Type="http://schemas.openxmlformats.org/officeDocument/2006/relationships/hyperlink" Target="http://www.nevo.co.il/case/702933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6045416"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yperlink" Target="http://www.nevo.co.il/case/1809062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86821"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2498</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14963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8257637</vt:i4>
      </vt:variant>
      <vt:variant>
        <vt:i4>42</vt:i4>
      </vt:variant>
      <vt:variant>
        <vt:i4>0</vt:i4>
      </vt:variant>
      <vt:variant>
        <vt:i4>5</vt:i4>
      </vt:variant>
      <vt:variant>
        <vt:lpwstr>http://www.nevo.co.il/law/4216</vt:lpwstr>
      </vt:variant>
      <vt:variant>
        <vt:lpwstr/>
      </vt:variant>
      <vt:variant>
        <vt:i4>4128894</vt:i4>
      </vt:variant>
      <vt:variant>
        <vt:i4>39</vt:i4>
      </vt:variant>
      <vt:variant>
        <vt:i4>0</vt:i4>
      </vt:variant>
      <vt:variant>
        <vt:i4>5</vt:i4>
      </vt:variant>
      <vt:variant>
        <vt:lpwstr>http://www.nevo.co.il/case/7029339</vt:lpwstr>
      </vt:variant>
      <vt:variant>
        <vt:lpwstr/>
      </vt:variant>
      <vt:variant>
        <vt:i4>3342451</vt:i4>
      </vt:variant>
      <vt:variant>
        <vt:i4>36</vt:i4>
      </vt:variant>
      <vt:variant>
        <vt:i4>0</vt:i4>
      </vt:variant>
      <vt:variant>
        <vt:i4>5</vt:i4>
      </vt:variant>
      <vt:variant>
        <vt:lpwstr>http://www.nevo.co.il/case/18090623</vt:lpwstr>
      </vt:variant>
      <vt:variant>
        <vt:lpwstr/>
      </vt:variant>
      <vt:variant>
        <vt:i4>3145850</vt:i4>
      </vt:variant>
      <vt:variant>
        <vt:i4>33</vt:i4>
      </vt:variant>
      <vt:variant>
        <vt:i4>0</vt:i4>
      </vt:variant>
      <vt:variant>
        <vt:i4>5</vt:i4>
      </vt:variant>
      <vt:variant>
        <vt:lpwstr>http://www.nevo.co.il/case/20181627</vt:lpwstr>
      </vt:variant>
      <vt:variant>
        <vt:lpwstr/>
      </vt:variant>
      <vt:variant>
        <vt:i4>3211391</vt:i4>
      </vt:variant>
      <vt:variant>
        <vt:i4>30</vt:i4>
      </vt:variant>
      <vt:variant>
        <vt:i4>0</vt:i4>
      </vt:variant>
      <vt:variant>
        <vt:i4>5</vt:i4>
      </vt:variant>
      <vt:variant>
        <vt:lpwstr>http://www.nevo.co.il/case/20683368</vt:lpwstr>
      </vt:variant>
      <vt:variant>
        <vt:lpwstr/>
      </vt:variant>
      <vt:variant>
        <vt:i4>3145848</vt:i4>
      </vt:variant>
      <vt:variant>
        <vt:i4>27</vt:i4>
      </vt:variant>
      <vt:variant>
        <vt:i4>0</vt:i4>
      </vt:variant>
      <vt:variant>
        <vt:i4>5</vt:i4>
      </vt:variant>
      <vt:variant>
        <vt:lpwstr>http://www.nevo.co.il/case/17939812</vt:lpwstr>
      </vt:variant>
      <vt:variant>
        <vt:lpwstr/>
      </vt:variant>
      <vt:variant>
        <vt:i4>3145840</vt:i4>
      </vt:variant>
      <vt:variant>
        <vt:i4>24</vt:i4>
      </vt:variant>
      <vt:variant>
        <vt:i4>0</vt:i4>
      </vt:variant>
      <vt:variant>
        <vt:i4>5</vt:i4>
      </vt:variant>
      <vt:variant>
        <vt:lpwstr>http://www.nevo.co.il/case/6045416</vt:lpwstr>
      </vt:variant>
      <vt:variant>
        <vt:lpwstr/>
      </vt:variant>
      <vt:variant>
        <vt:i4>3407991</vt:i4>
      </vt:variant>
      <vt:variant>
        <vt:i4>21</vt:i4>
      </vt:variant>
      <vt:variant>
        <vt:i4>0</vt:i4>
      </vt:variant>
      <vt:variant>
        <vt:i4>5</vt:i4>
      </vt:variant>
      <vt:variant>
        <vt:lpwstr>http://www.nevo.co.il/case/5786821</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6336</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אור אזל</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20200212</vt:lpwstr>
  </property>
  <property fmtid="{D5CDD505-2E9C-101B-9397-08002B2CF9AE}" pid="13" name="TYPE_N_DATE">
    <vt:lpwstr>38020200212</vt:lpwstr>
  </property>
  <property fmtid="{D5CDD505-2E9C-101B-9397-08002B2CF9AE}" pid="14" name="CASESLISTTMP1">
    <vt:lpwstr>5738608;5786821;6045416;17939812;20683368;20181627;18090623;7029339</vt:lpwstr>
  </property>
  <property fmtid="{D5CDD505-2E9C-101B-9397-08002B2CF9AE}" pid="15" name="CASENOTES1">
    <vt:lpwstr>ProcID=133;209&amp;PartA=512&amp;PartC=13</vt:lpwstr>
  </property>
  <property fmtid="{D5CDD505-2E9C-101B-9397-08002B2CF9AE}" pid="16" name="CASENOTES2">
    <vt:lpwstr>ProcID=213&amp;PartA=18&amp;PartC=19</vt:lpwstr>
  </property>
  <property fmtid="{D5CDD505-2E9C-101B-9397-08002B2CF9AE}" pid="17" name="WORDNUMPAGES">
    <vt:lpwstr>9</vt:lpwstr>
  </property>
  <property fmtid="{D5CDD505-2E9C-101B-9397-08002B2CF9AE}" pid="18" name="TYPE_ABS_DATE">
    <vt:lpwstr>380020200212</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ies>
</file>