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145ED" w:rsidRPr="000628B9" w14:paraId="726696D5" w14:textId="77777777" w:rsidTr="00EF3EEB">
        <w:trPr>
          <w:trHeight w:hRule="exact" w:val="418"/>
          <w:jc w:val="center"/>
        </w:trPr>
        <w:tc>
          <w:tcPr>
            <w:tcW w:w="8721" w:type="dxa"/>
            <w:gridSpan w:val="2"/>
          </w:tcPr>
          <w:p w14:paraId="157631F1" w14:textId="77777777" w:rsidR="003145ED" w:rsidRPr="000628B9" w:rsidRDefault="003145ED" w:rsidP="0072078E">
            <w:pPr>
              <w:pStyle w:val="a3"/>
              <w:jc w:val="center"/>
              <w:rPr>
                <w:rFonts w:ascii="Tahoma" w:hAnsi="Tahoma" w:cs="Tahoma"/>
                <w:color w:val="000080"/>
                <w:rtl/>
              </w:rPr>
            </w:pPr>
            <w:r w:rsidRPr="000628B9">
              <w:rPr>
                <w:rFonts w:ascii="Tahoma" w:hAnsi="Tahoma" w:cs="Tahoma"/>
                <w:b/>
                <w:bCs/>
                <w:color w:val="000080"/>
                <w:rtl/>
              </w:rPr>
              <w:t>בית משפט השלום ברחובות</w:t>
            </w:r>
          </w:p>
        </w:tc>
      </w:tr>
      <w:tr w:rsidR="003145ED" w:rsidRPr="00BF1978" w14:paraId="1C4C33C6" w14:textId="77777777" w:rsidTr="00EF3EEB">
        <w:trPr>
          <w:trHeight w:val="337"/>
          <w:jc w:val="center"/>
        </w:trPr>
        <w:tc>
          <w:tcPr>
            <w:tcW w:w="5055" w:type="dxa"/>
          </w:tcPr>
          <w:p w14:paraId="64B550A1" w14:textId="77777777" w:rsidR="003145ED" w:rsidRPr="00BF1978" w:rsidRDefault="003145ED" w:rsidP="0072078E">
            <w:pPr>
              <w:rPr>
                <w:rFonts w:ascii="David" w:hAnsi="David"/>
                <w:b/>
                <w:bCs/>
                <w:sz w:val="26"/>
                <w:szCs w:val="26"/>
                <w:rtl/>
              </w:rPr>
            </w:pPr>
            <w:r w:rsidRPr="00BF1978">
              <w:rPr>
                <w:rFonts w:ascii="David" w:hAnsi="David"/>
                <w:b/>
                <w:bCs/>
                <w:sz w:val="26"/>
                <w:szCs w:val="26"/>
                <w:rtl/>
              </w:rPr>
              <w:t>ת"פ 67029-11-18 מדינת ישראל נ' סמוילוב</w:t>
            </w:r>
          </w:p>
          <w:p w14:paraId="1AE31605" w14:textId="77777777" w:rsidR="003145ED" w:rsidRPr="00BF1978" w:rsidRDefault="003145ED" w:rsidP="0072078E">
            <w:pPr>
              <w:pStyle w:val="a3"/>
              <w:rPr>
                <w:rFonts w:ascii="David" w:hAnsi="David"/>
                <w:b/>
                <w:bCs/>
                <w:sz w:val="26"/>
                <w:szCs w:val="26"/>
                <w:rtl/>
              </w:rPr>
            </w:pPr>
          </w:p>
        </w:tc>
        <w:tc>
          <w:tcPr>
            <w:tcW w:w="3666" w:type="dxa"/>
          </w:tcPr>
          <w:p w14:paraId="14D07604" w14:textId="77777777" w:rsidR="003145ED" w:rsidRPr="00BF1978" w:rsidRDefault="003145ED" w:rsidP="0072078E">
            <w:pPr>
              <w:pStyle w:val="a3"/>
              <w:jc w:val="right"/>
              <w:rPr>
                <w:rFonts w:ascii="David" w:hAnsi="David"/>
                <w:b/>
                <w:bCs/>
                <w:sz w:val="26"/>
                <w:szCs w:val="26"/>
                <w:rtl/>
              </w:rPr>
            </w:pPr>
          </w:p>
        </w:tc>
      </w:tr>
    </w:tbl>
    <w:p w14:paraId="326AEEE0" w14:textId="77777777" w:rsidR="003145ED" w:rsidRPr="00BF1978" w:rsidRDefault="003145ED" w:rsidP="003145ED">
      <w:pPr>
        <w:pStyle w:val="a3"/>
        <w:rPr>
          <w:rFonts w:ascii="David" w:hAnsi="David"/>
          <w:b/>
          <w:bCs/>
          <w:sz w:val="26"/>
          <w:szCs w:val="26"/>
          <w:rtl/>
        </w:rPr>
      </w:pPr>
      <w:r w:rsidRPr="00BF1978">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145ED" w:rsidRPr="00BF1978" w14:paraId="7A4D525F" w14:textId="77777777" w:rsidTr="003145ED">
        <w:trPr>
          <w:trHeight w:val="295"/>
          <w:jc w:val="center"/>
        </w:trPr>
        <w:tc>
          <w:tcPr>
            <w:tcW w:w="923" w:type="dxa"/>
            <w:tcBorders>
              <w:top w:val="nil"/>
              <w:left w:val="nil"/>
              <w:bottom w:val="nil"/>
              <w:right w:val="nil"/>
            </w:tcBorders>
            <w:shd w:val="clear" w:color="auto" w:fill="auto"/>
          </w:tcPr>
          <w:p w14:paraId="4B5AC6D7" w14:textId="77777777" w:rsidR="003145ED" w:rsidRPr="00BF1978" w:rsidRDefault="003145ED" w:rsidP="003145ED">
            <w:pPr>
              <w:jc w:val="both"/>
              <w:rPr>
                <w:rFonts w:ascii="David" w:hAnsi="David"/>
                <w:b/>
                <w:bCs/>
                <w:sz w:val="26"/>
                <w:szCs w:val="26"/>
              </w:rPr>
            </w:pPr>
            <w:r w:rsidRPr="00BF197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48AFA2C" w14:textId="77777777" w:rsidR="003145ED" w:rsidRPr="00BF1978" w:rsidRDefault="003145ED" w:rsidP="00BF1978">
            <w:pPr>
              <w:rPr>
                <w:rFonts w:ascii="David" w:hAnsi="David"/>
                <w:b/>
                <w:bCs/>
                <w:sz w:val="26"/>
                <w:szCs w:val="26"/>
                <w:rtl/>
              </w:rPr>
            </w:pPr>
            <w:r w:rsidRPr="00BF1978">
              <w:rPr>
                <w:rFonts w:ascii="David" w:hAnsi="David"/>
                <w:b/>
                <w:bCs/>
                <w:sz w:val="26"/>
                <w:szCs w:val="26"/>
                <w:rtl/>
              </w:rPr>
              <w:t>כבוד השופטת, סגנית הנשיאה  אפרת פינק</w:t>
            </w:r>
          </w:p>
          <w:p w14:paraId="12AC628C" w14:textId="77777777" w:rsidR="003145ED" w:rsidRPr="00BF1978" w:rsidRDefault="003145ED" w:rsidP="003145ED">
            <w:pPr>
              <w:jc w:val="both"/>
              <w:rPr>
                <w:rFonts w:ascii="David" w:hAnsi="David"/>
                <w:b/>
                <w:bCs/>
                <w:sz w:val="26"/>
                <w:szCs w:val="26"/>
              </w:rPr>
            </w:pPr>
          </w:p>
        </w:tc>
      </w:tr>
      <w:tr w:rsidR="003145ED" w:rsidRPr="00BF1978" w14:paraId="4F77B25B" w14:textId="77777777" w:rsidTr="003145ED">
        <w:trPr>
          <w:trHeight w:val="355"/>
          <w:jc w:val="center"/>
        </w:trPr>
        <w:tc>
          <w:tcPr>
            <w:tcW w:w="923" w:type="dxa"/>
            <w:tcBorders>
              <w:top w:val="nil"/>
              <w:left w:val="nil"/>
              <w:bottom w:val="nil"/>
              <w:right w:val="nil"/>
            </w:tcBorders>
            <w:shd w:val="clear" w:color="auto" w:fill="auto"/>
          </w:tcPr>
          <w:p w14:paraId="035E0B97" w14:textId="77777777" w:rsidR="003145ED" w:rsidRPr="00BF1978" w:rsidRDefault="003145ED" w:rsidP="003145ED">
            <w:pPr>
              <w:jc w:val="both"/>
              <w:rPr>
                <w:rFonts w:ascii="David" w:hAnsi="David"/>
                <w:b/>
                <w:bCs/>
                <w:sz w:val="26"/>
                <w:szCs w:val="26"/>
              </w:rPr>
            </w:pPr>
            <w:bookmarkStart w:id="0" w:name="FirstAppellant"/>
            <w:bookmarkStart w:id="1" w:name="LastJudge"/>
            <w:bookmarkEnd w:id="1"/>
            <w:r w:rsidRPr="00BF1978">
              <w:rPr>
                <w:rFonts w:ascii="David" w:hAnsi="David"/>
                <w:b/>
                <w:bCs/>
                <w:sz w:val="26"/>
                <w:szCs w:val="26"/>
                <w:rtl/>
              </w:rPr>
              <w:t>בעניין:</w:t>
            </w:r>
          </w:p>
        </w:tc>
        <w:tc>
          <w:tcPr>
            <w:tcW w:w="4126" w:type="dxa"/>
            <w:tcBorders>
              <w:top w:val="nil"/>
              <w:left w:val="nil"/>
              <w:bottom w:val="nil"/>
              <w:right w:val="nil"/>
            </w:tcBorders>
            <w:shd w:val="clear" w:color="auto" w:fill="auto"/>
          </w:tcPr>
          <w:p w14:paraId="49EF43BF" w14:textId="77777777" w:rsidR="003145ED" w:rsidRPr="00BF1978" w:rsidRDefault="003145ED" w:rsidP="0072078E">
            <w:pPr>
              <w:rPr>
                <w:rFonts w:ascii="David" w:hAnsi="David"/>
                <w:b/>
                <w:bCs/>
                <w:sz w:val="26"/>
                <w:szCs w:val="26"/>
              </w:rPr>
            </w:pPr>
            <w:r w:rsidRPr="00BF197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B06D072" w14:textId="77777777" w:rsidR="003145ED" w:rsidRPr="00BF1978" w:rsidRDefault="003145ED" w:rsidP="003145ED">
            <w:pPr>
              <w:jc w:val="both"/>
              <w:rPr>
                <w:rFonts w:ascii="David" w:hAnsi="David"/>
                <w:b/>
                <w:bCs/>
                <w:sz w:val="26"/>
                <w:szCs w:val="26"/>
              </w:rPr>
            </w:pPr>
          </w:p>
        </w:tc>
      </w:tr>
      <w:bookmarkEnd w:id="0"/>
      <w:tr w:rsidR="003145ED" w:rsidRPr="00BF1978" w14:paraId="61806BB2" w14:textId="77777777" w:rsidTr="003145ED">
        <w:trPr>
          <w:trHeight w:val="355"/>
          <w:jc w:val="center"/>
        </w:trPr>
        <w:tc>
          <w:tcPr>
            <w:tcW w:w="923" w:type="dxa"/>
            <w:tcBorders>
              <w:top w:val="nil"/>
              <w:left w:val="nil"/>
              <w:bottom w:val="nil"/>
              <w:right w:val="nil"/>
            </w:tcBorders>
            <w:shd w:val="clear" w:color="auto" w:fill="auto"/>
          </w:tcPr>
          <w:p w14:paraId="3E021A29" w14:textId="77777777" w:rsidR="003145ED" w:rsidRPr="00BF1978" w:rsidRDefault="003145ED" w:rsidP="003145ED">
            <w:pPr>
              <w:jc w:val="both"/>
              <w:rPr>
                <w:rFonts w:ascii="David" w:hAnsi="David"/>
                <w:b/>
                <w:bCs/>
                <w:sz w:val="26"/>
                <w:szCs w:val="26"/>
                <w:rtl/>
              </w:rPr>
            </w:pPr>
          </w:p>
        </w:tc>
        <w:tc>
          <w:tcPr>
            <w:tcW w:w="4126" w:type="dxa"/>
            <w:tcBorders>
              <w:top w:val="nil"/>
              <w:left w:val="nil"/>
              <w:bottom w:val="nil"/>
              <w:right w:val="nil"/>
            </w:tcBorders>
            <w:shd w:val="clear" w:color="auto" w:fill="auto"/>
          </w:tcPr>
          <w:p w14:paraId="71B26D36" w14:textId="77777777" w:rsidR="003145ED" w:rsidRPr="00BF1978" w:rsidRDefault="003145ED" w:rsidP="003145ED">
            <w:pPr>
              <w:jc w:val="both"/>
              <w:rPr>
                <w:rFonts w:ascii="David" w:hAnsi="David"/>
                <w:b/>
                <w:bCs/>
                <w:sz w:val="26"/>
                <w:szCs w:val="26"/>
                <w:rtl/>
              </w:rPr>
            </w:pPr>
          </w:p>
        </w:tc>
        <w:tc>
          <w:tcPr>
            <w:tcW w:w="3771" w:type="dxa"/>
            <w:tcBorders>
              <w:top w:val="nil"/>
              <w:left w:val="nil"/>
              <w:bottom w:val="nil"/>
              <w:right w:val="nil"/>
            </w:tcBorders>
            <w:shd w:val="clear" w:color="auto" w:fill="auto"/>
          </w:tcPr>
          <w:p w14:paraId="6514940C" w14:textId="77777777" w:rsidR="003145ED" w:rsidRPr="00BF1978" w:rsidRDefault="003145ED" w:rsidP="003145ED">
            <w:pPr>
              <w:jc w:val="right"/>
              <w:rPr>
                <w:rFonts w:ascii="David" w:hAnsi="David"/>
                <w:b/>
                <w:bCs/>
                <w:sz w:val="26"/>
                <w:szCs w:val="26"/>
                <w:rtl/>
              </w:rPr>
            </w:pPr>
            <w:r w:rsidRPr="00BF1978">
              <w:rPr>
                <w:rFonts w:ascii="David" w:hAnsi="David"/>
                <w:b/>
                <w:bCs/>
                <w:sz w:val="26"/>
                <w:szCs w:val="26"/>
                <w:rtl/>
              </w:rPr>
              <w:t>המאשימה</w:t>
            </w:r>
          </w:p>
        </w:tc>
      </w:tr>
      <w:tr w:rsidR="00BF1978" w:rsidRPr="00BF1978" w14:paraId="11565AB8" w14:textId="77777777" w:rsidTr="00323F3D">
        <w:trPr>
          <w:trHeight w:val="355"/>
          <w:jc w:val="center"/>
        </w:trPr>
        <w:tc>
          <w:tcPr>
            <w:tcW w:w="8820" w:type="dxa"/>
            <w:gridSpan w:val="3"/>
            <w:tcBorders>
              <w:top w:val="nil"/>
              <w:left w:val="nil"/>
              <w:bottom w:val="nil"/>
              <w:right w:val="nil"/>
            </w:tcBorders>
            <w:shd w:val="clear" w:color="auto" w:fill="auto"/>
          </w:tcPr>
          <w:p w14:paraId="16B0759E" w14:textId="77777777" w:rsidR="00BF1978" w:rsidRPr="00BF1978" w:rsidRDefault="00BF1978" w:rsidP="003145ED">
            <w:pPr>
              <w:jc w:val="center"/>
              <w:rPr>
                <w:rFonts w:ascii="David" w:hAnsi="David"/>
                <w:b/>
                <w:bCs/>
                <w:sz w:val="26"/>
                <w:szCs w:val="26"/>
                <w:rtl/>
              </w:rPr>
            </w:pPr>
          </w:p>
          <w:p w14:paraId="0A9CDBBC" w14:textId="77777777" w:rsidR="00BF1978" w:rsidRPr="00BF1978" w:rsidRDefault="00BF1978" w:rsidP="003145ED">
            <w:pPr>
              <w:jc w:val="center"/>
              <w:rPr>
                <w:rFonts w:ascii="David" w:hAnsi="David"/>
                <w:b/>
                <w:bCs/>
                <w:sz w:val="26"/>
                <w:szCs w:val="26"/>
                <w:rtl/>
              </w:rPr>
            </w:pPr>
            <w:r w:rsidRPr="00BF1978">
              <w:rPr>
                <w:rFonts w:ascii="David" w:hAnsi="David"/>
                <w:b/>
                <w:bCs/>
                <w:sz w:val="26"/>
                <w:szCs w:val="26"/>
                <w:rtl/>
              </w:rPr>
              <w:t>נגד</w:t>
            </w:r>
          </w:p>
          <w:p w14:paraId="3EA66AA7" w14:textId="77777777" w:rsidR="00BF1978" w:rsidRPr="00BF1978" w:rsidRDefault="00BF1978" w:rsidP="003145ED">
            <w:pPr>
              <w:jc w:val="both"/>
              <w:rPr>
                <w:rFonts w:ascii="David" w:hAnsi="David"/>
                <w:b/>
                <w:bCs/>
                <w:sz w:val="26"/>
                <w:szCs w:val="26"/>
              </w:rPr>
            </w:pPr>
          </w:p>
        </w:tc>
      </w:tr>
      <w:tr w:rsidR="003145ED" w:rsidRPr="00BF1978" w14:paraId="19658A75" w14:textId="77777777" w:rsidTr="003145ED">
        <w:trPr>
          <w:trHeight w:val="355"/>
          <w:jc w:val="center"/>
        </w:trPr>
        <w:tc>
          <w:tcPr>
            <w:tcW w:w="923" w:type="dxa"/>
            <w:tcBorders>
              <w:top w:val="nil"/>
              <w:left w:val="nil"/>
              <w:bottom w:val="nil"/>
              <w:right w:val="nil"/>
            </w:tcBorders>
            <w:shd w:val="clear" w:color="auto" w:fill="auto"/>
          </w:tcPr>
          <w:p w14:paraId="38E2F459" w14:textId="77777777" w:rsidR="003145ED" w:rsidRPr="00BF1978" w:rsidRDefault="003145ED" w:rsidP="0072078E">
            <w:pPr>
              <w:rPr>
                <w:rFonts w:ascii="David" w:hAnsi="David"/>
                <w:b/>
                <w:bCs/>
                <w:sz w:val="26"/>
                <w:szCs w:val="26"/>
                <w:rtl/>
              </w:rPr>
            </w:pPr>
          </w:p>
        </w:tc>
        <w:tc>
          <w:tcPr>
            <w:tcW w:w="4126" w:type="dxa"/>
            <w:tcBorders>
              <w:top w:val="nil"/>
              <w:left w:val="nil"/>
              <w:bottom w:val="nil"/>
              <w:right w:val="nil"/>
            </w:tcBorders>
            <w:shd w:val="clear" w:color="auto" w:fill="auto"/>
          </w:tcPr>
          <w:p w14:paraId="75C4DA50" w14:textId="77777777" w:rsidR="003145ED" w:rsidRPr="00BF1978" w:rsidRDefault="003145ED" w:rsidP="0072078E">
            <w:pPr>
              <w:rPr>
                <w:rFonts w:ascii="David" w:hAnsi="David"/>
                <w:b/>
                <w:bCs/>
                <w:sz w:val="26"/>
                <w:szCs w:val="26"/>
                <w:rtl/>
              </w:rPr>
            </w:pPr>
            <w:r w:rsidRPr="00BF1978">
              <w:rPr>
                <w:rFonts w:ascii="David" w:hAnsi="David"/>
                <w:b/>
                <w:bCs/>
                <w:sz w:val="26"/>
                <w:szCs w:val="26"/>
                <w:rtl/>
              </w:rPr>
              <w:t>סטניסלב סמוילוב</w:t>
            </w:r>
          </w:p>
        </w:tc>
        <w:tc>
          <w:tcPr>
            <w:tcW w:w="3771" w:type="dxa"/>
            <w:tcBorders>
              <w:top w:val="nil"/>
              <w:left w:val="nil"/>
              <w:bottom w:val="nil"/>
              <w:right w:val="nil"/>
            </w:tcBorders>
            <w:shd w:val="clear" w:color="auto" w:fill="auto"/>
          </w:tcPr>
          <w:p w14:paraId="1BF8230E" w14:textId="77777777" w:rsidR="003145ED" w:rsidRPr="00BF1978" w:rsidRDefault="003145ED" w:rsidP="003145ED">
            <w:pPr>
              <w:jc w:val="right"/>
              <w:rPr>
                <w:rFonts w:ascii="David" w:hAnsi="David"/>
                <w:b/>
                <w:bCs/>
                <w:sz w:val="26"/>
                <w:szCs w:val="26"/>
              </w:rPr>
            </w:pPr>
          </w:p>
        </w:tc>
      </w:tr>
      <w:tr w:rsidR="003145ED" w:rsidRPr="00BF1978" w14:paraId="4FF10D35" w14:textId="77777777" w:rsidTr="003145ED">
        <w:trPr>
          <w:trHeight w:val="355"/>
          <w:jc w:val="center"/>
        </w:trPr>
        <w:tc>
          <w:tcPr>
            <w:tcW w:w="923" w:type="dxa"/>
            <w:tcBorders>
              <w:top w:val="nil"/>
              <w:left w:val="nil"/>
              <w:bottom w:val="nil"/>
              <w:right w:val="nil"/>
            </w:tcBorders>
            <w:shd w:val="clear" w:color="auto" w:fill="auto"/>
          </w:tcPr>
          <w:p w14:paraId="677D7116" w14:textId="77777777" w:rsidR="003145ED" w:rsidRPr="00BF1978" w:rsidRDefault="003145ED" w:rsidP="003145ED">
            <w:pPr>
              <w:jc w:val="both"/>
              <w:rPr>
                <w:rFonts w:ascii="David" w:hAnsi="David"/>
                <w:b/>
                <w:bCs/>
                <w:sz w:val="26"/>
                <w:szCs w:val="26"/>
                <w:rtl/>
              </w:rPr>
            </w:pPr>
          </w:p>
        </w:tc>
        <w:tc>
          <w:tcPr>
            <w:tcW w:w="4126" w:type="dxa"/>
            <w:tcBorders>
              <w:top w:val="nil"/>
              <w:left w:val="nil"/>
              <w:bottom w:val="nil"/>
              <w:right w:val="nil"/>
            </w:tcBorders>
            <w:shd w:val="clear" w:color="auto" w:fill="auto"/>
          </w:tcPr>
          <w:p w14:paraId="526836E0" w14:textId="77777777" w:rsidR="003145ED" w:rsidRPr="00BF1978" w:rsidRDefault="003145ED" w:rsidP="003145ED">
            <w:pPr>
              <w:jc w:val="both"/>
              <w:rPr>
                <w:rFonts w:ascii="David" w:hAnsi="David"/>
                <w:b/>
                <w:bCs/>
                <w:sz w:val="26"/>
                <w:szCs w:val="26"/>
                <w:rtl/>
              </w:rPr>
            </w:pPr>
          </w:p>
        </w:tc>
        <w:tc>
          <w:tcPr>
            <w:tcW w:w="3771" w:type="dxa"/>
            <w:tcBorders>
              <w:top w:val="nil"/>
              <w:left w:val="nil"/>
              <w:bottom w:val="nil"/>
              <w:right w:val="nil"/>
            </w:tcBorders>
            <w:shd w:val="clear" w:color="auto" w:fill="auto"/>
          </w:tcPr>
          <w:p w14:paraId="030E2012" w14:textId="77777777" w:rsidR="003145ED" w:rsidRPr="00BF1978" w:rsidRDefault="003145ED" w:rsidP="003145ED">
            <w:pPr>
              <w:jc w:val="right"/>
              <w:rPr>
                <w:rFonts w:ascii="David" w:hAnsi="David"/>
                <w:b/>
                <w:bCs/>
                <w:sz w:val="26"/>
                <w:szCs w:val="26"/>
              </w:rPr>
            </w:pPr>
            <w:r w:rsidRPr="00BF1978">
              <w:rPr>
                <w:rFonts w:ascii="David" w:hAnsi="David"/>
                <w:b/>
                <w:bCs/>
                <w:sz w:val="26"/>
                <w:szCs w:val="26"/>
                <w:rtl/>
              </w:rPr>
              <w:t>הנאשם</w:t>
            </w:r>
          </w:p>
        </w:tc>
      </w:tr>
    </w:tbl>
    <w:p w14:paraId="6D948CB6" w14:textId="77777777" w:rsidR="003145ED" w:rsidRPr="000628B9" w:rsidRDefault="003145ED" w:rsidP="003145ED">
      <w:pPr>
        <w:rPr>
          <w:rtl/>
        </w:rPr>
      </w:pPr>
      <w:r w:rsidRPr="000628B9">
        <w:rPr>
          <w:rFonts w:hint="cs"/>
          <w:rtl/>
        </w:rPr>
        <w:t>נוכחים</w:t>
      </w:r>
    </w:p>
    <w:p w14:paraId="76E70685" w14:textId="77777777" w:rsidR="003145ED" w:rsidRPr="000628B9" w:rsidRDefault="003145ED" w:rsidP="003145ED">
      <w:pPr>
        <w:rPr>
          <w:rtl/>
        </w:rPr>
      </w:pPr>
      <w:r w:rsidRPr="000628B9">
        <w:rPr>
          <w:rFonts w:hint="cs"/>
          <w:rtl/>
        </w:rPr>
        <w:t>התובעת עו"ד שרית מרום</w:t>
      </w:r>
    </w:p>
    <w:p w14:paraId="17F20572" w14:textId="77777777" w:rsidR="003145ED" w:rsidRPr="000628B9" w:rsidRDefault="003145ED" w:rsidP="003145ED">
      <w:pPr>
        <w:rPr>
          <w:rtl/>
        </w:rPr>
      </w:pPr>
      <w:r w:rsidRPr="000628B9">
        <w:rPr>
          <w:rFonts w:hint="cs"/>
          <w:rtl/>
        </w:rPr>
        <w:t xml:space="preserve">הנאשם בעצמו </w:t>
      </w:r>
    </w:p>
    <w:p w14:paraId="3AC793E5" w14:textId="77777777" w:rsidR="000628B9" w:rsidRPr="000628B9" w:rsidRDefault="003145ED" w:rsidP="000628B9">
      <w:pPr>
        <w:spacing w:before="120" w:after="120" w:line="240" w:lineRule="exact"/>
        <w:ind w:left="283" w:hanging="283"/>
        <w:jc w:val="both"/>
        <w:rPr>
          <w:rFonts w:ascii="FrankRuehl" w:hAnsi="FrankRuehl" w:cs="FrankRuehl"/>
        </w:rPr>
      </w:pPr>
      <w:bookmarkStart w:id="2" w:name="FirstLawyer"/>
      <w:r w:rsidRPr="000628B9">
        <w:rPr>
          <w:rFonts w:hint="cs"/>
          <w:rtl/>
        </w:rPr>
        <w:t>ב"כ</w:t>
      </w:r>
      <w:bookmarkEnd w:id="2"/>
      <w:r w:rsidRPr="000628B9">
        <w:rPr>
          <w:rFonts w:hint="cs"/>
          <w:rtl/>
        </w:rPr>
        <w:t xml:space="preserve"> הנאשם עו"ד ארז נגה </w:t>
      </w:r>
    </w:p>
    <w:p w14:paraId="15819BD9" w14:textId="77777777" w:rsidR="000628B9" w:rsidRPr="000628B9" w:rsidRDefault="000628B9" w:rsidP="000628B9"/>
    <w:p w14:paraId="28449DA3" w14:textId="77777777" w:rsidR="00BF1978" w:rsidRPr="00BF1978" w:rsidRDefault="00BF1978" w:rsidP="00BF1978">
      <w:pPr>
        <w:spacing w:before="120" w:after="120" w:line="240" w:lineRule="exact"/>
        <w:ind w:left="283" w:hanging="283"/>
        <w:jc w:val="both"/>
        <w:rPr>
          <w:rFonts w:ascii="FrankRuehl" w:hAnsi="FrankRuehl" w:cs="FrankRuehl"/>
          <w:rtl/>
        </w:rPr>
      </w:pPr>
      <w:bookmarkStart w:id="3" w:name="LawTable"/>
      <w:bookmarkEnd w:id="3"/>
      <w:r w:rsidRPr="00BF1978">
        <w:rPr>
          <w:rFonts w:ascii="FrankRuehl" w:hAnsi="FrankRuehl" w:cs="FrankRuehl"/>
          <w:rtl/>
        </w:rPr>
        <w:t xml:space="preserve">חקיקה שאוזכרה: </w:t>
      </w:r>
    </w:p>
    <w:p w14:paraId="6B604CD4" w14:textId="77777777" w:rsidR="00BF1978" w:rsidRPr="00BF1978" w:rsidRDefault="00BF1978" w:rsidP="00BF1978">
      <w:pPr>
        <w:spacing w:before="120" w:after="120" w:line="240" w:lineRule="exact"/>
        <w:ind w:left="283" w:hanging="283"/>
        <w:jc w:val="both"/>
        <w:rPr>
          <w:rFonts w:ascii="FrankRuehl" w:hAnsi="FrankRuehl" w:cs="FrankRuehl"/>
          <w:color w:val="0000FF"/>
          <w:rtl/>
        </w:rPr>
      </w:pPr>
      <w:hyperlink r:id="rId7" w:history="1">
        <w:r w:rsidRPr="00BF1978">
          <w:rPr>
            <w:rStyle w:val="Hyperlink"/>
            <w:rFonts w:ascii="FrankRuehl" w:hAnsi="FrankRuehl" w:cs="FrankRuehl"/>
            <w:color w:val="0000FF"/>
            <w:rtl/>
          </w:rPr>
          <w:t>פקודת הסמים המסוכנים [נוסח חדש], תשל"ג-1973</w:t>
        </w:r>
      </w:hyperlink>
      <w:r w:rsidRPr="00BF1978">
        <w:rPr>
          <w:rFonts w:ascii="FrankRuehl" w:hAnsi="FrankRuehl" w:cs="FrankRuehl"/>
          <w:color w:val="0000FF"/>
          <w:u w:val="single"/>
          <w:rtl/>
        </w:rPr>
        <w:t xml:space="preserve">: סע'  </w:t>
      </w:r>
      <w:hyperlink r:id="rId8" w:history="1">
        <w:r w:rsidRPr="00BF1978">
          <w:rPr>
            <w:rStyle w:val="Hyperlink"/>
            <w:rFonts w:ascii="FrankRuehl" w:hAnsi="FrankRuehl" w:cs="FrankRuehl"/>
            <w:color w:val="0000FF"/>
          </w:rPr>
          <w:t>7</w:t>
        </w:r>
      </w:hyperlink>
      <w:r w:rsidRPr="00BF1978">
        <w:rPr>
          <w:rFonts w:ascii="FrankRuehl" w:hAnsi="FrankRuehl" w:cs="FrankRuehl"/>
          <w:color w:val="0000FF"/>
          <w:rtl/>
        </w:rPr>
        <w:t xml:space="preserve">(א), </w:t>
      </w:r>
      <w:hyperlink r:id="rId9" w:history="1">
        <w:r w:rsidRPr="00BF1978">
          <w:rPr>
            <w:rStyle w:val="Hyperlink"/>
            <w:rFonts w:ascii="FrankRuehl" w:hAnsi="FrankRuehl" w:cs="FrankRuehl"/>
            <w:color w:val="0000FF"/>
          </w:rPr>
          <w:t>7</w:t>
        </w:r>
      </w:hyperlink>
      <w:r w:rsidRPr="00BF1978">
        <w:rPr>
          <w:rFonts w:ascii="FrankRuehl" w:hAnsi="FrankRuehl" w:cs="FrankRuehl"/>
          <w:color w:val="0000FF"/>
          <w:rtl/>
        </w:rPr>
        <w:t xml:space="preserve">(ג), </w:t>
      </w:r>
      <w:hyperlink r:id="rId10" w:history="1">
        <w:r w:rsidRPr="00BF1978">
          <w:rPr>
            <w:rStyle w:val="Hyperlink"/>
            <w:rFonts w:ascii="FrankRuehl" w:hAnsi="FrankRuehl" w:cs="FrankRuehl"/>
            <w:color w:val="0000FF"/>
          </w:rPr>
          <w:t>13</w:t>
        </w:r>
      </w:hyperlink>
      <w:r w:rsidRPr="00BF1978">
        <w:rPr>
          <w:rFonts w:ascii="FrankRuehl" w:hAnsi="FrankRuehl" w:cs="FrankRuehl"/>
          <w:color w:val="0000FF"/>
          <w:rtl/>
        </w:rPr>
        <w:t xml:space="preserve">, </w:t>
      </w:r>
      <w:hyperlink r:id="rId11" w:history="1">
        <w:r w:rsidRPr="00BF1978">
          <w:rPr>
            <w:rStyle w:val="Hyperlink"/>
            <w:rFonts w:ascii="FrankRuehl" w:hAnsi="FrankRuehl" w:cs="FrankRuehl"/>
            <w:color w:val="0000FF"/>
          </w:rPr>
          <w:t>19</w:t>
        </w:r>
        <w:r w:rsidRPr="00BF1978">
          <w:rPr>
            <w:rStyle w:val="Hyperlink"/>
            <w:rFonts w:ascii="FrankRuehl" w:hAnsi="FrankRuehl" w:cs="FrankRuehl"/>
            <w:color w:val="0000FF"/>
            <w:rtl/>
          </w:rPr>
          <w:t>א</w:t>
        </w:r>
      </w:hyperlink>
    </w:p>
    <w:p w14:paraId="68706051" w14:textId="77777777" w:rsidR="00BF1978" w:rsidRPr="00BF1978" w:rsidRDefault="00BF1978" w:rsidP="00BF1978">
      <w:pPr>
        <w:spacing w:before="120" w:after="120" w:line="240" w:lineRule="exact"/>
        <w:ind w:left="283" w:hanging="283"/>
        <w:jc w:val="both"/>
        <w:rPr>
          <w:rFonts w:ascii="FrankRuehl" w:hAnsi="FrankRuehl" w:cs="FrankRuehl"/>
          <w:color w:val="0000FF"/>
          <w:rtl/>
        </w:rPr>
      </w:pPr>
      <w:hyperlink r:id="rId12" w:history="1">
        <w:r w:rsidRPr="00BF1978">
          <w:rPr>
            <w:rStyle w:val="Hyperlink"/>
            <w:rFonts w:ascii="FrankRuehl" w:hAnsi="FrankRuehl" w:cs="FrankRuehl"/>
            <w:color w:val="0000FF"/>
            <w:rtl/>
          </w:rPr>
          <w:t>חוק העונשין, תשל"ז-1977</w:t>
        </w:r>
      </w:hyperlink>
      <w:r w:rsidRPr="00BF1978">
        <w:rPr>
          <w:rFonts w:ascii="FrankRuehl" w:hAnsi="FrankRuehl" w:cs="FrankRuehl"/>
          <w:color w:val="0000FF"/>
          <w:u w:val="single"/>
          <w:rtl/>
        </w:rPr>
        <w:t xml:space="preserve">: סע'  </w:t>
      </w:r>
      <w:hyperlink r:id="rId13" w:history="1">
        <w:r w:rsidRPr="00BF1978">
          <w:rPr>
            <w:rStyle w:val="Hyperlink"/>
            <w:rFonts w:ascii="FrankRuehl" w:hAnsi="FrankRuehl" w:cs="FrankRuehl"/>
            <w:color w:val="0000FF"/>
          </w:rPr>
          <w:t>13</w:t>
        </w:r>
      </w:hyperlink>
      <w:r w:rsidRPr="00BF1978">
        <w:rPr>
          <w:rFonts w:ascii="FrankRuehl" w:hAnsi="FrankRuehl" w:cs="FrankRuehl"/>
          <w:color w:val="0000FF"/>
          <w:u w:val="single"/>
          <w:rtl/>
        </w:rPr>
        <w:t xml:space="preserve">, </w:t>
      </w:r>
      <w:hyperlink r:id="rId14" w:history="1">
        <w:r w:rsidRPr="00BF1978">
          <w:rPr>
            <w:rStyle w:val="Hyperlink"/>
            <w:rFonts w:ascii="FrankRuehl" w:hAnsi="FrankRuehl" w:cs="FrankRuehl"/>
            <w:color w:val="0000FF"/>
          </w:rPr>
          <w:t>144</w:t>
        </w:r>
      </w:hyperlink>
      <w:r w:rsidRPr="00BF1978">
        <w:rPr>
          <w:rFonts w:ascii="FrankRuehl" w:hAnsi="FrankRuehl" w:cs="FrankRuehl"/>
          <w:color w:val="0000FF"/>
          <w:rtl/>
        </w:rPr>
        <w:t>(א)</w:t>
      </w:r>
    </w:p>
    <w:p w14:paraId="3A2BF4A5" w14:textId="77777777" w:rsidR="00EF3EEB" w:rsidRDefault="00EF3EEB" w:rsidP="00BF1978">
      <w:pPr>
        <w:rPr>
          <w:rFonts w:hint="cs"/>
          <w:rtl/>
        </w:rPr>
      </w:pPr>
      <w:bookmarkStart w:id="4" w:name="LawTable_End"/>
      <w:bookmarkEnd w:id="4"/>
    </w:p>
    <w:p w14:paraId="43552307"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342D8927"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AD7222">
        <w:rPr>
          <w:rFonts w:cs="FrankRuehl" w:hint="cs"/>
          <w:szCs w:val="26"/>
          <w:rtl/>
        </w:rPr>
        <w:t xml:space="preserve">בית המשפט גזר על הנאשם שהורשע </w:t>
      </w:r>
      <w:r w:rsidRPr="00AD7222">
        <w:rPr>
          <w:rFonts w:cs="FrankRuehl"/>
          <w:szCs w:val="26"/>
          <w:rtl/>
        </w:rPr>
        <w:t>במספר עבירות סמים ובעבירה של החזקת כלי תחמושת</w:t>
      </w:r>
      <w:r w:rsidRPr="00AD7222">
        <w:rPr>
          <w:rFonts w:cs="FrankRuehl" w:hint="cs"/>
          <w:szCs w:val="26"/>
          <w:rtl/>
        </w:rPr>
        <w:t xml:space="preserve"> עונש של </w:t>
      </w:r>
      <w:r w:rsidRPr="00AD7222">
        <w:rPr>
          <w:rFonts w:cs="FrankRuehl"/>
          <w:szCs w:val="26"/>
          <w:rtl/>
        </w:rPr>
        <w:t>מאסר לתקופה של 8 חודשים, שיבוצע בדרך של עבודות שירות</w:t>
      </w:r>
      <w:r w:rsidRPr="00AD7222">
        <w:rPr>
          <w:rFonts w:cs="FrankRuehl" w:hint="cs"/>
          <w:szCs w:val="26"/>
          <w:rtl/>
        </w:rPr>
        <w:t xml:space="preserve">, לצד ענישה נלווית. במרכז גזר הדין עומדת השאלה: מהי </w:t>
      </w:r>
      <w:r w:rsidRPr="00AD7222">
        <w:rPr>
          <w:rFonts w:cs="FrankRuehl"/>
          <w:szCs w:val="26"/>
          <w:rtl/>
        </w:rPr>
        <w:t>מדיניות הענישה המקובלת והנוהגת לריבוי עבירות של סחר בסמים מסוג קנבוס והחזקת סמים שלא לצריכה עצמית</w:t>
      </w:r>
      <w:r w:rsidRPr="00AD7222">
        <w:rPr>
          <w:rFonts w:cs="FrankRuehl" w:hint="cs"/>
          <w:szCs w:val="26"/>
          <w:rtl/>
        </w:rPr>
        <w:t>?</w:t>
      </w:r>
    </w:p>
    <w:p w14:paraId="51F36D31"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2B0CA58"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34F47C4"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hint="cs"/>
          <w:szCs w:val="26"/>
          <w:rtl/>
        </w:rPr>
        <w:t xml:space="preserve">בית המשפט נדרש לגזור את דינו של הנאשם שהורשע </w:t>
      </w:r>
      <w:r w:rsidRPr="00AD7222">
        <w:rPr>
          <w:rFonts w:cs="FrankRuehl"/>
          <w:szCs w:val="26"/>
          <w:rtl/>
        </w:rPr>
        <w:t>במספר עבירות סמים ובעבירה של החזקת כלי תחמושת</w:t>
      </w:r>
      <w:r w:rsidRPr="00AD7222">
        <w:rPr>
          <w:rFonts w:cs="FrankRuehl" w:hint="cs"/>
          <w:szCs w:val="26"/>
          <w:rtl/>
        </w:rPr>
        <w:t xml:space="preserve">. על פי כתב האישום, </w:t>
      </w:r>
      <w:r w:rsidRPr="00AD7222">
        <w:rPr>
          <w:rFonts w:cs="FrankRuehl"/>
          <w:szCs w:val="26"/>
          <w:rtl/>
        </w:rPr>
        <w:t>הנאשם הציע סמים למכירה ביישומון "טלגראם". בהמשך ליצירת הקשר ביישומון, נפגש הנאשם עם לקוחות ב-8 הזדמנויות, במשך כחודש, ומכר להם סם מסוג קנבוס במשקלים הנעים בין גרם ל-10 גרם, ובסך הכל כ-18 גרם. בנוסף הנאשם החזיק בביתו סם מסוכן מסוג קנבוס במשקל של 40.4 גרם וכדורי תחמושת.</w:t>
      </w:r>
    </w:p>
    <w:p w14:paraId="23811415" w14:textId="77777777" w:rsidR="00AD7222" w:rsidRP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9EC26FF"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hint="cs"/>
          <w:szCs w:val="26"/>
          <w:rtl/>
        </w:rPr>
        <w:t>בית המשפט פסק כלהלן:</w:t>
      </w:r>
    </w:p>
    <w:p w14:paraId="63A0D568"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lastRenderedPageBreak/>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w:t>
      </w:r>
      <w:r w:rsidRPr="00AD7222">
        <w:rPr>
          <w:rFonts w:cs="FrankRuehl" w:hint="cs"/>
          <w:szCs w:val="26"/>
          <w:rtl/>
        </w:rPr>
        <w:t>.</w:t>
      </w:r>
    </w:p>
    <w:p w14:paraId="2C27EFA4"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בהחלת מבחן הקשר ההדוק על נסיבות המקרה עולה, כי כל האישומים עניינם בתוכנית עבריינית אחת. הנאשם ביצע עבירות של סחר בסמים מסוג קנבוס באמצעות יישומון "טלגראם" במשך כחודש. הסמים סופקו במנות קטנות לאחרים. כל העבירות בוצעו בנסיבות דומות, בשיטה דומה ומטעמים דומים. גם העבירה של החזקת סמים שלא לצריכה עצמית קשורה לאותה תכנית עבריינית.</w:t>
      </w:r>
    </w:p>
    <w:p w14:paraId="13213FE5"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Pr>
      </w:pPr>
      <w:r w:rsidRPr="00AD7222">
        <w:rPr>
          <w:rFonts w:cs="FrankRuehl"/>
          <w:szCs w:val="26"/>
          <w:rtl/>
        </w:rPr>
        <w:t>לפיכך, יש לראות את כל האישומים כאירוע אחד ולקבוע עונש הולם אחד בגינם.</w:t>
      </w:r>
    </w:p>
    <w:p w14:paraId="7D9CFB72"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מדיניות הענישה המקובלת והנוהגת בעבירה של החזקת תחמושת, בנסיבות העניין, מלמדת על מנעד ענישה הנע בין מאסר על תנאי ובין מאסר לתקופה של 6 חודשים</w:t>
      </w:r>
      <w:r w:rsidRPr="00AD7222">
        <w:rPr>
          <w:rFonts w:cs="FrankRuehl" w:hint="cs"/>
          <w:szCs w:val="26"/>
          <w:rtl/>
        </w:rPr>
        <w:t>.</w:t>
      </w:r>
    </w:p>
    <w:p w14:paraId="0A673AA8"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 xml:space="preserve">מתחם העונש ההולם בגין העבירות מושא כתב האישום, נע בין מאסר לתקופה של 6 חודשים, שיכול ויבוצע בדרך של עבודות שירות, לצד ענישה נלווית, ובין מאסר לתקופה של 15 חודשים, לצד ענישה נלווית, הכוללת ענישה כלכלית ופסילת רישיון. </w:t>
      </w:r>
    </w:p>
    <w:p w14:paraId="3541E46C" w14:textId="77777777" w:rsidR="00AD7222" w:rsidRPr="00BF1978" w:rsidRDefault="00AD7222" w:rsidP="00BF1978">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45ED" w14:paraId="53EE2B80" w14:textId="77777777" w:rsidTr="003145ED">
        <w:trPr>
          <w:trHeight w:val="355"/>
          <w:jc w:val="center"/>
        </w:trPr>
        <w:tc>
          <w:tcPr>
            <w:tcW w:w="8820" w:type="dxa"/>
            <w:tcBorders>
              <w:top w:val="nil"/>
              <w:left w:val="nil"/>
              <w:bottom w:val="nil"/>
              <w:right w:val="nil"/>
            </w:tcBorders>
            <w:shd w:val="clear" w:color="auto" w:fill="auto"/>
          </w:tcPr>
          <w:p w14:paraId="3BE4CF36" w14:textId="77777777" w:rsidR="003145ED" w:rsidRPr="000628B9" w:rsidRDefault="000628B9" w:rsidP="000628B9">
            <w:pPr>
              <w:jc w:val="center"/>
              <w:rPr>
                <w:rFonts w:ascii="Arial" w:hAnsi="Arial" w:cs="FrankRuehl"/>
                <w:bCs/>
                <w:sz w:val="32"/>
                <w:szCs w:val="32"/>
                <w:u w:val="single"/>
                <w:rtl/>
              </w:rPr>
            </w:pPr>
            <w:bookmarkStart w:id="7" w:name="PsakDin" w:colFirst="0" w:colLast="0"/>
            <w:r w:rsidRPr="000628B9">
              <w:rPr>
                <w:rFonts w:ascii="Arial" w:hAnsi="Arial" w:cs="FrankRuehl"/>
                <w:b/>
                <w:bCs/>
                <w:sz w:val="32"/>
                <w:szCs w:val="32"/>
                <w:u w:val="single"/>
                <w:rtl/>
              </w:rPr>
              <w:t>גזר דין</w:t>
            </w:r>
          </w:p>
        </w:tc>
      </w:tr>
      <w:bookmarkEnd w:id="7"/>
    </w:tbl>
    <w:p w14:paraId="7307A204" w14:textId="77777777" w:rsidR="003145ED" w:rsidRDefault="003145ED" w:rsidP="003145ED">
      <w:pPr>
        <w:rPr>
          <w:rtl/>
        </w:rPr>
      </w:pPr>
    </w:p>
    <w:p w14:paraId="06DF6F77" w14:textId="77777777" w:rsidR="003145ED" w:rsidRDefault="003145ED" w:rsidP="003145ED">
      <w:pPr>
        <w:spacing w:line="360" w:lineRule="auto"/>
        <w:jc w:val="both"/>
        <w:rPr>
          <w:rFonts w:ascii="David" w:hAnsi="David"/>
          <w:b/>
          <w:bCs/>
          <w:u w:val="single"/>
          <w:rtl/>
        </w:rPr>
      </w:pPr>
      <w:r>
        <w:rPr>
          <w:rFonts w:ascii="David" w:hAnsi="David"/>
          <w:b/>
          <w:bCs/>
          <w:u w:val="single"/>
          <w:rtl/>
        </w:rPr>
        <w:t>מבוא</w:t>
      </w:r>
    </w:p>
    <w:p w14:paraId="44C3CD05" w14:textId="77777777" w:rsidR="003145ED" w:rsidRDefault="003145ED" w:rsidP="003145ED">
      <w:pPr>
        <w:pStyle w:val="ListParagraph"/>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כתב האישום, הנאשם התקין על גבי הטלפון הנייד שלו את היישומון "טלגרם" ופתח חשבון משתמש תחת השם </w:t>
      </w:r>
      <w:r>
        <w:rPr>
          <w:rFonts w:ascii="David" w:hAnsi="David" w:cs="David"/>
          <w:sz w:val="24"/>
          <w:szCs w:val="24"/>
        </w:rPr>
        <w:t>SIS911</w:t>
      </w:r>
      <w:r>
        <w:rPr>
          <w:rFonts w:ascii="David" w:hAnsi="David" w:cs="David"/>
          <w:sz w:val="24"/>
          <w:szCs w:val="24"/>
          <w:rtl/>
        </w:rPr>
        <w:t xml:space="preserve"> לצורך סחר בסמים מסוכנים מסוג קנבוס. הנאשם פרסם את הסם, סוג הזן והמחיר המבוקש. בהמשך לכך, פנו לנאשם משתמשי היישומון על מנת לתאם עסקאות לרכישת סם. טרם התבצעה העסקה דרש הנאשם מכל לקוח לשלוח תמונה של עצמו לצד צילום תעודת הזהות, רישיון הנהיגה או פרופיל בפייסבוק. לאחר אימות הפרטים תיאם הנאשם מועד ומקום לביצוע עסקת הסם.</w:t>
      </w:r>
    </w:p>
    <w:p w14:paraId="269D19C7" w14:textId="77777777" w:rsidR="003145ED" w:rsidRDefault="003145ED" w:rsidP="003145ED">
      <w:pPr>
        <w:pStyle w:val="ListParagraph"/>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 xml:space="preserve">בהכרעת הדין מיום 9.1.19 הורשע הנאשם, לפי הודאתו בעובדות כתב האישום המתוקן, במספר עבירות סמים ובעבירה של החזקת כלי תחמושת, כדלקמן: </w:t>
      </w:r>
    </w:p>
    <w:p w14:paraId="73F29C6A" w14:textId="77777777" w:rsidR="003145ED" w:rsidRDefault="003145ED" w:rsidP="003145ED">
      <w:pPr>
        <w:pStyle w:val="ListParagraph"/>
        <w:numPr>
          <w:ilvl w:val="0"/>
          <w:numId w:val="3"/>
        </w:numPr>
        <w:spacing w:after="0" w:line="360" w:lineRule="auto"/>
        <w:jc w:val="both"/>
        <w:rPr>
          <w:rFonts w:ascii="David" w:hAnsi="David" w:cs="David"/>
          <w:b/>
          <w:bCs/>
          <w:sz w:val="24"/>
          <w:szCs w:val="24"/>
        </w:rPr>
      </w:pPr>
      <w:r>
        <w:rPr>
          <w:rFonts w:ascii="David" w:hAnsi="David" w:cs="David"/>
          <w:b/>
          <w:bCs/>
          <w:sz w:val="24"/>
          <w:szCs w:val="24"/>
          <w:rtl/>
        </w:rPr>
        <w:t xml:space="preserve">באישום הראשון – </w:t>
      </w:r>
      <w:r>
        <w:rPr>
          <w:rFonts w:ascii="David" w:hAnsi="David" w:cs="David"/>
          <w:sz w:val="24"/>
          <w:szCs w:val="24"/>
          <w:rtl/>
        </w:rPr>
        <w:t xml:space="preserve">בעבירה של החזקת סמים שלא לצריכה עצמית, לפי </w:t>
      </w:r>
      <w:hyperlink r:id="rId15" w:history="1">
        <w:r w:rsidR="00EF3EEB" w:rsidRPr="00EF3EEB">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16" w:history="1">
        <w:r w:rsidR="00EF3EEB" w:rsidRPr="00EF3EEB">
          <w:rPr>
            <w:rFonts w:ascii="David" w:hAnsi="David" w:cs="David"/>
            <w:color w:val="0000FF"/>
            <w:sz w:val="24"/>
            <w:szCs w:val="24"/>
            <w:u w:val="single"/>
            <w:rtl/>
          </w:rPr>
          <w:t>סעיף 7(ג)</w:t>
        </w:r>
      </w:hyperlink>
      <w:r>
        <w:rPr>
          <w:rFonts w:ascii="David" w:hAnsi="David" w:cs="David"/>
          <w:sz w:val="24"/>
          <w:szCs w:val="24"/>
          <w:rtl/>
        </w:rPr>
        <w:t xml:space="preserve"> רישא ל</w:t>
      </w:r>
      <w:hyperlink r:id="rId17"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החזקת תחמושת, לפי </w:t>
      </w:r>
      <w:hyperlink r:id="rId18" w:history="1">
        <w:r w:rsidR="00EF3EEB" w:rsidRPr="00EF3EEB">
          <w:rPr>
            <w:rFonts w:ascii="David" w:hAnsi="David" w:cs="David"/>
            <w:color w:val="0000FF"/>
            <w:sz w:val="24"/>
            <w:szCs w:val="24"/>
            <w:u w:val="single"/>
            <w:rtl/>
          </w:rPr>
          <w:t>סעיף 144(א)</w:t>
        </w:r>
      </w:hyperlink>
      <w:r>
        <w:rPr>
          <w:rFonts w:ascii="David" w:hAnsi="David" w:cs="David"/>
          <w:sz w:val="24"/>
          <w:szCs w:val="24"/>
          <w:rtl/>
        </w:rPr>
        <w:t xml:space="preserve"> סיפא ל</w:t>
      </w:r>
      <w:hyperlink r:id="rId19" w:history="1">
        <w:r w:rsidR="000628B9" w:rsidRPr="000628B9">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p>
    <w:p w14:paraId="3D678665"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הראשון, בבוקר יום 24.10.18, במסגרת חיפוש שנערך בביתו, החזיק הנאשם במקומות שונים בביתו: בתוך קופסה בחדר השינה סם מסוכן מסוג קנבוס במשקל 39.81 גרם נטו, ומשקל דיגיטלי; על השולחן בסלון סם מסוכן מסוג קנבוס במשקל של 0.59 גרם נטו; בארון בסלון כדורי תחמושת, לרבות 4 כדורי תחמושת צייד 12 מ"מ וכדור תחמושת 0.22 מ"מ; בחלון מול דלת הכניסה בסלון 21 כדורי תחמושת 9 מ"מ. </w:t>
      </w:r>
    </w:p>
    <w:p w14:paraId="479B9C25"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 xml:space="preserve">באישום השני – </w:t>
      </w:r>
      <w:r>
        <w:rPr>
          <w:rFonts w:ascii="David" w:hAnsi="David" w:cs="David"/>
          <w:sz w:val="24"/>
          <w:szCs w:val="24"/>
          <w:rtl/>
        </w:rPr>
        <w:t xml:space="preserve">בעבירה של סחר בסמים מסוכנים, לפי </w:t>
      </w:r>
      <w:hyperlink r:id="rId20"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1"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2"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37C20DE9"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lastRenderedPageBreak/>
        <w:t xml:space="preserve">לפי האישום השני, ביום 22.9.18, לפנות בוקר, נפגש הנאשם עם דויד רקח ומכר לו סם מסוכן מסוג קנבוס במשקל של כ-10 גרם בתמורה לסכום של 650 ₪. </w:t>
      </w:r>
    </w:p>
    <w:p w14:paraId="2A9C6EA6"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 </w:t>
      </w:r>
      <w:r>
        <w:rPr>
          <w:rFonts w:ascii="David" w:hAnsi="David" w:cs="David"/>
          <w:sz w:val="24"/>
          <w:szCs w:val="24"/>
          <w:rtl/>
        </w:rPr>
        <w:t xml:space="preserve">בעבירה של סחר בסמים מסוכנים, לפי </w:t>
      </w:r>
      <w:hyperlink r:id="rId23"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4"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5"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4E4DA953"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הרביעי, בצהרי יום 21.9.18 מכר הנאשם לשי שמיר סם מסוכן מסוג קנבוס במשקל של כ-2 גרם בתמורה לסכום של 200 ₪. המכירה התבצעה כך ששי השאיר את הכסף על קופסת עץ גדולה במקום שסוכם ובתמורה הנאשם השאיר עבורו את הסם באותו מקום בתוך קופסת סיגריות. </w:t>
      </w:r>
    </w:p>
    <w:p w14:paraId="1465B8E3"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באישום החמישי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26"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7"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8"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1D7286E0"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החמישי, בערב יום 14.10.18 מכר הנאשם לליאל חיה כהן סם מסוכן מסוג קנבוס במשקל של 1 גרם בתמורה לסכום של 100 ₪. </w:t>
      </w:r>
    </w:p>
    <w:p w14:paraId="4DAD11DF"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השישי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29"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0"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1"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03937155"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השישי, ביום 29.9.18, לפנות בוקר, מכר הנאשם לסהר אלמלם סם מסוכן מסוג קנבוס במשקל 1 גרם בתמורה לסכום של 100 ₪. </w:t>
      </w:r>
    </w:p>
    <w:p w14:paraId="4A6F6AC6"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השביעי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32"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3"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4"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2F5FFDCE"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השביעי, בערב יום 15.10.18 מכר הנאשם לאור פרץ סם מסוכן מסוג קנבוס במשקל 1 גרם, בתמורה לסכום של 100 ₪. </w:t>
      </w:r>
    </w:p>
    <w:p w14:paraId="10989371"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השמיני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35"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ביחד עם </w:t>
      </w:r>
      <w:hyperlink r:id="rId36"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7"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485D1417"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השמיני, ביום 16.9.18, לפנות בוקר, מכר הנאשם לאופיר בכר סם מסוכן מסוג קנבוס במשקל 1 גרם בתמורה לסכום של 100 ₪. </w:t>
      </w:r>
    </w:p>
    <w:p w14:paraId="35D89F7B"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 xml:space="preserve">באישום התשיעי – </w:t>
      </w:r>
      <w:r>
        <w:rPr>
          <w:rFonts w:ascii="David" w:hAnsi="David" w:cs="David"/>
          <w:sz w:val="24"/>
          <w:szCs w:val="24"/>
          <w:rtl/>
        </w:rPr>
        <w:t xml:space="preserve">בעבירה של סחר בסמים מסוכנים, לפי </w:t>
      </w:r>
      <w:hyperlink r:id="rId38"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9"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40"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526B0574"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התשיעי, בצהרי יום 18.09.18 מכר הנאשם לגיא וונג באזור תחנת דלק פז באזור עקרון 2000, סם מסוכן מסוג קנבוס במשקל 1 גרם בתמורה לסכום של 100 ₪. המכירה התבצעה כך שגיא השאיר כסף במקום שסוכם ובתמורה השאיר הנאשם את הסם באותו מקום. </w:t>
      </w:r>
    </w:p>
    <w:p w14:paraId="6EBD0FD3" w14:textId="77777777" w:rsidR="003145ED" w:rsidRDefault="003145ED" w:rsidP="003145ED">
      <w:pPr>
        <w:pStyle w:val="ListParagraph"/>
        <w:numPr>
          <w:ilvl w:val="0"/>
          <w:numId w:val="3"/>
        </w:numPr>
        <w:spacing w:after="0" w:line="360" w:lineRule="auto"/>
        <w:jc w:val="both"/>
        <w:rPr>
          <w:rFonts w:ascii="David" w:hAnsi="David" w:cs="David"/>
          <w:b/>
          <w:bCs/>
          <w:sz w:val="24"/>
          <w:szCs w:val="24"/>
        </w:rPr>
      </w:pPr>
      <w:r>
        <w:rPr>
          <w:rFonts w:ascii="David" w:hAnsi="David" w:cs="David"/>
          <w:b/>
          <w:bCs/>
          <w:sz w:val="24"/>
          <w:szCs w:val="24"/>
          <w:rtl/>
        </w:rPr>
        <w:t>באישום העשירי</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בעבירה של סחר בסמים מסוכנים, לפי </w:t>
      </w:r>
      <w:hyperlink r:id="rId41"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42"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43"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661505F0"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העשירי, ביום 15.10.18, לפנות בוקר, מכר הנאשם לתאיר מזרחי בתחנת הדלק פז, סם מסוכן מסוג קנבוס במשקל של כ- 1 גרם בתמורה לסכום של 100 ₪. </w:t>
      </w:r>
    </w:p>
    <w:p w14:paraId="4F91C4CB" w14:textId="77777777" w:rsidR="003145ED" w:rsidRDefault="003145ED" w:rsidP="003145ED">
      <w:pPr>
        <w:pStyle w:val="ListParagraph"/>
        <w:spacing w:after="0" w:line="360" w:lineRule="auto"/>
        <w:ind w:left="869"/>
        <w:jc w:val="both"/>
        <w:rPr>
          <w:rFonts w:ascii="David" w:hAnsi="David" w:cs="David"/>
          <w:sz w:val="24"/>
          <w:szCs w:val="24"/>
          <w:rtl/>
        </w:rPr>
      </w:pPr>
      <w:r>
        <w:rPr>
          <w:rFonts w:ascii="David" w:hAnsi="David" w:cs="David"/>
          <w:sz w:val="24"/>
          <w:szCs w:val="24"/>
          <w:rtl/>
        </w:rPr>
        <w:t xml:space="preserve">המכירה התבצעה כך שתאיר השאירה את הכסף מאחורי מראה בשירותי נכים בתחנת הדלק ובתמורה השאיר הנאשם עבורה את הסם באותו מקום. </w:t>
      </w:r>
    </w:p>
    <w:p w14:paraId="26377C36" w14:textId="77777777" w:rsidR="003145ED" w:rsidRDefault="003145ED" w:rsidP="003145ED">
      <w:pPr>
        <w:pStyle w:val="ListParagraph"/>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הסדר טיעון, נשלח הנאשם לעריכת תסקיר שירות מבחן בעניינו, ללא הסכמה עונשית. </w:t>
      </w:r>
    </w:p>
    <w:p w14:paraId="39A4DCA3" w14:textId="77777777" w:rsidR="003145ED" w:rsidRDefault="003145ED" w:rsidP="003145ED">
      <w:pPr>
        <w:pStyle w:val="ListParagraph"/>
        <w:spacing w:after="0" w:line="360" w:lineRule="auto"/>
        <w:ind w:left="509"/>
        <w:jc w:val="both"/>
        <w:rPr>
          <w:rFonts w:ascii="David" w:hAnsi="David" w:cs="David"/>
          <w:sz w:val="24"/>
          <w:szCs w:val="24"/>
          <w:highlight w:val="yellow"/>
          <w:rtl/>
        </w:rPr>
      </w:pPr>
    </w:p>
    <w:p w14:paraId="04B13BD3" w14:textId="77777777" w:rsidR="003145ED" w:rsidRDefault="003145ED" w:rsidP="003145ED">
      <w:pPr>
        <w:spacing w:line="360" w:lineRule="auto"/>
        <w:jc w:val="both"/>
        <w:rPr>
          <w:rFonts w:ascii="David" w:hAnsi="David"/>
          <w:b/>
          <w:bCs/>
          <w:u w:val="single"/>
        </w:rPr>
      </w:pPr>
      <w:r>
        <w:rPr>
          <w:rFonts w:ascii="David" w:hAnsi="David"/>
          <w:b/>
          <w:bCs/>
          <w:u w:val="single"/>
          <w:rtl/>
        </w:rPr>
        <w:t>תסקירי שירות המבחן</w:t>
      </w:r>
    </w:p>
    <w:p w14:paraId="1E50C2A1" w14:textId="77777777" w:rsidR="003145ED" w:rsidRPr="003145ED" w:rsidRDefault="003145ED" w:rsidP="003145ED">
      <w:pPr>
        <w:pStyle w:val="ListParagraph"/>
        <w:numPr>
          <w:ilvl w:val="0"/>
          <w:numId w:val="1"/>
        </w:numPr>
        <w:spacing w:after="0" w:line="360" w:lineRule="auto"/>
        <w:ind w:left="509" w:hanging="425"/>
        <w:jc w:val="both"/>
        <w:rPr>
          <w:rFonts w:cs="David"/>
          <w:sz w:val="24"/>
          <w:szCs w:val="24"/>
          <w:rtl/>
        </w:rPr>
      </w:pPr>
      <w:r>
        <w:rPr>
          <w:rFonts w:ascii="David" w:hAnsi="David" w:cs="David"/>
          <w:sz w:val="24"/>
          <w:szCs w:val="24"/>
          <w:rtl/>
        </w:rPr>
        <w:t xml:space="preserve">שירות המבחן, בתסקירו מיום </w:t>
      </w:r>
      <w:r>
        <w:rPr>
          <w:rFonts w:cs="David"/>
          <w:sz w:val="24"/>
          <w:szCs w:val="24"/>
          <w:rtl/>
        </w:rPr>
        <w:t xml:space="preserve">7.5.19, ציין כי הנאשם, בן 29, יליד אזרבייג'ן, אב לשני ילדים ומתגורר בבית הוריו יחד עם בת זוגו וילדיהם. הנאשם סיים 10 שנות לימוד, לא גויס לצבא בשל מעורבות בפלילים, ומזה כמספר חודשים עובד בשטיפת מכוניות. הנאשם עלה לישראל בגיל 5, הוריו היו ממוקדים בפרנסה והתקשו להתפנות לספק את צרכיו הרגשיים. לדבריו, על רקע היעדרות הוריו לצורך עבודתם, נאלץ בגיל צעיר להשגיח על אחיו ולטפל בו. הנאשם תיאר קשיי קליטה שבאו לידי ביטוי במצוקה כלכלית ובקושי להסתגל  חברתית. על רקע זה, חבר לקבוצת שוליים מבוגרת ממנו והחל לצרוך סמים מסוג חשיש. רוב שנות בגרותו ניהל הנאשם אורח חיים עברייני והתמכרותי לסמים ואלכוהול. הנאשם הכיר את בת זוגו לפני כ-5 שנים. הנאשם תיאר קשר קרוב ופתוח, אולם בת זוגו לא היתה מודעת להתמכרותו לסמים והדבר נודע לה רק לאחר מעצרו.   </w:t>
      </w:r>
    </w:p>
    <w:p w14:paraId="1B475E13" w14:textId="77777777" w:rsidR="003145ED" w:rsidRDefault="003145ED" w:rsidP="003145ED">
      <w:pPr>
        <w:pStyle w:val="ListParagraph"/>
        <w:spacing w:after="0" w:line="360" w:lineRule="auto"/>
        <w:ind w:left="509"/>
        <w:jc w:val="both"/>
        <w:rPr>
          <w:rFonts w:cs="David"/>
          <w:sz w:val="24"/>
          <w:szCs w:val="24"/>
        </w:rPr>
      </w:pPr>
      <w:r>
        <w:rPr>
          <w:rFonts w:cs="David"/>
          <w:sz w:val="24"/>
          <w:szCs w:val="24"/>
          <w:rtl/>
        </w:rPr>
        <w:t>הנאשם מוכר לשירות המבחן מאבחונים קודמים. הנאשם שיתף בקשייו ובדפוסים בעייתיים באישיותו. הנאשם הודה בביצוע העבירות ולקח אחריות על מעשיו. הנאשם הסביר כי ביצע העבירות על רקע חובות רבים אליהם נקלע וקשייו להתמודד עמם. מכאן בחר בפתרון כספי מהיר בדרך של סחר בסמים. הנאשם מסר, כי לקח חלקי נשק מבעל הבית אשר החזיק במחסן ציוד רב וכל כוונתו להחזיקם בביתו לראווה. הנאשם שלל כל כוונה לשימוש לרעה בתחמושת. עוד מסר הנאשם, כי  השתלב ביחידה לטיפול בהתמכרויות במהלך חודש ינואר 2019, והוא מטופל באופן פרטני וקבוצתי. גורמי הטיפול מסרו, כי הנאשם מגיע בצורה סדורה לטיפול, שומר על כללי ותנאי הטיפול ומוסר בדיקות שתן בתדירות של אחת לשבוע, אשר לא נמצאו בהם שרידי סם. להתרשמות גורמי הטיפול, הנאשם בעל מוטיבציה לשינוי התנהגותו.</w:t>
      </w:r>
    </w:p>
    <w:p w14:paraId="1BF0D29A" w14:textId="77777777" w:rsidR="003145ED" w:rsidRDefault="003145ED" w:rsidP="003145ED">
      <w:pPr>
        <w:pStyle w:val="ListParagraph"/>
        <w:spacing w:after="0" w:line="360" w:lineRule="auto"/>
        <w:ind w:left="509"/>
        <w:jc w:val="both"/>
        <w:rPr>
          <w:rFonts w:cs="David"/>
          <w:sz w:val="24"/>
          <w:szCs w:val="24"/>
          <w:rtl/>
        </w:rPr>
      </w:pPr>
      <w:r>
        <w:rPr>
          <w:rFonts w:cs="David"/>
          <w:sz w:val="24"/>
          <w:szCs w:val="24"/>
          <w:rtl/>
        </w:rPr>
        <w:t xml:space="preserve">שירות המבחן הדגיש כי הנאשם משתף פעולה עם הטיפול ואף מצליח להימנע משימוש בסם, עם זאת, הנאשם נמצא בראשית הטיפול. מכאן, ביקש שירות המבחן דחייה. </w:t>
      </w:r>
    </w:p>
    <w:p w14:paraId="00CC0D4E" w14:textId="77777777" w:rsidR="003145ED" w:rsidRDefault="003145ED" w:rsidP="003145ED">
      <w:pPr>
        <w:pStyle w:val="ListParagraph"/>
        <w:numPr>
          <w:ilvl w:val="0"/>
          <w:numId w:val="1"/>
        </w:numPr>
        <w:spacing w:after="0" w:line="360" w:lineRule="auto"/>
        <w:ind w:left="509" w:hanging="425"/>
        <w:jc w:val="both"/>
        <w:rPr>
          <w:rFonts w:cs="David"/>
          <w:b/>
          <w:bCs/>
          <w:sz w:val="24"/>
          <w:szCs w:val="24"/>
          <w:u w:val="single"/>
          <w:rtl/>
        </w:rPr>
      </w:pPr>
      <w:r>
        <w:rPr>
          <w:rFonts w:ascii="David" w:hAnsi="David" w:cs="David"/>
          <w:sz w:val="24"/>
          <w:szCs w:val="24"/>
          <w:rtl/>
        </w:rPr>
        <w:t xml:space="preserve">בתסקיר משלים מיום 16.9.19, הוסיף שירות המבחן, כי הנאשם ממשיך לשמור על כללי הטיפול וממשיך לשתף פעולה עם הטיפול הפרטני והקבוצתי. גם בבדיקות שתן נוספות לא נמצאו שרידי סם. עוד התרשם שירות המבחן ממוטיבציה גבוהה לעריכת שינוי בדפוסי התמכרותו. הנאשם מפיק תועלת מהקשר הטיפולי באופן שמסייע לו להבין את השלכות מעשיו ולשמור על יציבות בחייו. מכאן, המליץ שירות המבחן להטיל על הנאשם צו מבחן למשך שנה ומאסר בדרך של עבודות שירות. </w:t>
      </w:r>
    </w:p>
    <w:p w14:paraId="2F271505" w14:textId="77777777" w:rsidR="003145ED" w:rsidRDefault="003145ED" w:rsidP="003145ED">
      <w:pPr>
        <w:pStyle w:val="ListParagraph"/>
        <w:spacing w:after="0" w:line="360" w:lineRule="auto"/>
        <w:ind w:left="0"/>
        <w:jc w:val="both"/>
        <w:rPr>
          <w:rFonts w:cs="David"/>
          <w:b/>
          <w:bCs/>
          <w:sz w:val="24"/>
          <w:szCs w:val="24"/>
          <w:u w:val="single"/>
          <w:rtl/>
        </w:rPr>
      </w:pPr>
    </w:p>
    <w:p w14:paraId="095E36B0" w14:textId="77777777" w:rsidR="003145ED" w:rsidRDefault="003145ED" w:rsidP="003145ED">
      <w:pPr>
        <w:pStyle w:val="ListParagraph"/>
        <w:spacing w:after="0" w:line="360" w:lineRule="auto"/>
        <w:ind w:left="0"/>
        <w:jc w:val="both"/>
        <w:rPr>
          <w:rFonts w:cs="David"/>
          <w:b/>
          <w:bCs/>
          <w:sz w:val="24"/>
          <w:szCs w:val="24"/>
          <w:u w:val="single"/>
        </w:rPr>
      </w:pPr>
    </w:p>
    <w:p w14:paraId="7E64C30E" w14:textId="77777777" w:rsidR="003145ED" w:rsidRDefault="003145ED" w:rsidP="003145ED">
      <w:pPr>
        <w:pStyle w:val="ListParagraph"/>
        <w:spacing w:after="0" w:line="360" w:lineRule="auto"/>
        <w:ind w:left="0"/>
        <w:jc w:val="both"/>
        <w:rPr>
          <w:rFonts w:cs="David"/>
          <w:b/>
          <w:bCs/>
          <w:sz w:val="24"/>
          <w:szCs w:val="24"/>
          <w:u w:val="single"/>
          <w:rtl/>
        </w:rPr>
      </w:pPr>
      <w:r>
        <w:rPr>
          <w:rFonts w:cs="David"/>
          <w:b/>
          <w:bCs/>
          <w:sz w:val="24"/>
          <w:szCs w:val="24"/>
          <w:u w:val="single"/>
          <w:rtl/>
        </w:rPr>
        <w:t>ראיות לעונש</w:t>
      </w:r>
    </w:p>
    <w:p w14:paraId="7A9BF2B8" w14:textId="77777777" w:rsidR="003145ED" w:rsidRDefault="003145ED" w:rsidP="003145ED">
      <w:pPr>
        <w:pStyle w:val="ListParagraph"/>
        <w:numPr>
          <w:ilvl w:val="0"/>
          <w:numId w:val="1"/>
        </w:numPr>
        <w:spacing w:after="0" w:line="360" w:lineRule="auto"/>
        <w:ind w:left="509" w:hanging="509"/>
        <w:jc w:val="both"/>
        <w:rPr>
          <w:rFonts w:cs="David"/>
          <w:sz w:val="24"/>
          <w:szCs w:val="24"/>
          <w:rtl/>
        </w:rPr>
      </w:pPr>
      <w:r>
        <w:rPr>
          <w:rFonts w:cs="David"/>
          <w:sz w:val="24"/>
          <w:szCs w:val="24"/>
          <w:rtl/>
        </w:rPr>
        <w:t>אשתו של הנאשם, גב' יוליה סמוילוב, העידה לעונש ומסרה, כי יש להם שני ילדים משותפים ומעורבותו של הנאשם בפלילים כמעט הביאה להרס המשפחה. בשל מעצר הבית הם נאלצו לעזוב את חייהם ולעבור לחיפה. כעת הנאשם נמצא בטיפול ועושה את כל הדרוש על מנת לחזור לדרך הישר. עוד מסרה, כי הדבר הוביל גם לקשיים כלכליים ובכוונתם להגיש בקשה לסיוע משפטי ביחס לחובות שנצברו.</w:t>
      </w:r>
    </w:p>
    <w:p w14:paraId="4BBB8463" w14:textId="77777777" w:rsidR="003145ED" w:rsidRDefault="003145ED" w:rsidP="003145ED">
      <w:pPr>
        <w:pStyle w:val="ListParagraph"/>
        <w:spacing w:after="0" w:line="360" w:lineRule="auto"/>
        <w:ind w:left="0"/>
        <w:jc w:val="both"/>
        <w:rPr>
          <w:rFonts w:cs="David"/>
          <w:b/>
          <w:bCs/>
          <w:sz w:val="24"/>
          <w:szCs w:val="24"/>
          <w:u w:val="single"/>
          <w:rtl/>
        </w:rPr>
      </w:pPr>
    </w:p>
    <w:p w14:paraId="73D2BA6E" w14:textId="77777777" w:rsidR="003145ED" w:rsidRDefault="003145ED" w:rsidP="003145ED">
      <w:pPr>
        <w:pStyle w:val="ListParagraph"/>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76470073"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 הנאשם נפגעו הערכים החברתיים של הגנה על שלום הציבור ובריאותו מפני נגע הסמים וכן הגנה על הציבור מפני עבריינות הנלווית לשימוש בסמים. </w:t>
      </w:r>
    </w:p>
    <w:p w14:paraId="1CE92A99"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טענה, כי בקביעת מתחם העונש ההולם יש לקחת בחשבון את הנסיבות הבאות הקשורות בביצוע העבירות: הנאשם החזיק בביתו סם מסוכן מסוג קנבוס במשקל של 40.4 גרם; הנאשם סחר בסמים מסוג קנבוס בתקופה של למעלה מחודש בכמות כוללת של 18 גרם. הנאשם הגיע ללקוחות באמצעות יישומון טלגרם ומכאן שהיה תכנון מוקדם של העבירות.  יתר על כן, הנזק הפוטנציאלי כתוצאה מביצוע העבירות הוא גדול; הנאשם ניהל אורח חיים שמבוסס על סחר בסם מסוכן.</w:t>
      </w:r>
    </w:p>
    <w:p w14:paraId="3813FBEF"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של החזקת סם שלא לצריכה עצמית, נע בין מאסר קצר, שיכול ויבוצע בדרך של עבודות שירות, ובין מאסר לתקופה של 8 חודשים; מתחם העונש ההולם את העבירה של החזקת תחמושת, נע בין מאסר על תנאי ובין מאסר לתקופה של 6 חודשים; מתחם העונש ההולם את כל אחת מעבירות הסחר בסמים, נע בין מאסר לתקופה של 6 חודשים ובין מאסר לתקופה של 12 חודשים, לצד קנס ופסילת רישיון.</w:t>
      </w:r>
    </w:p>
    <w:p w14:paraId="71B4DD2F"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וחסך בזמן שיפוטי; לחובת הנאשם 4 הרשעות קודמות בעבירות רכוש ואלימות; מהתסקירים עולה, כי הנאשם סחר בסמים על רקע חובות כלכליים; הנאשם שולב ביחידה לטיפול בהתמכרויות בחודש ינואר 2019, הוא משתף פעולה עם ההליך הטיפולי ולא נמצאו בבדיקות שתן שמסר שרידי סם. </w:t>
      </w:r>
    </w:p>
    <w:p w14:paraId="42963A5A"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 xml:space="preserve">לטענתה, אין לאמץ את המלצת שירות המבחן לסיים את ההליך בדרך של עבודות שירות וצו מבחן, משום האינטרס הציבורי והצורך בהרתעה. </w:t>
      </w:r>
    </w:p>
    <w:p w14:paraId="1849664A"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התביעה להטיל על הנאשם מאסר לתקופה של 16 חודשים, מאסר על תנאי, קנס ופסילת רישיון בפועל ועל תנאי.</w:t>
      </w:r>
    </w:p>
    <w:p w14:paraId="52E5E552"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לקבוע מתחם אחד בגין כל העבירות המהוות אירוע אחד. העבירות בוצעו, לטענתו, במשך תקופה של חודש וחצי בלבד.</w:t>
      </w:r>
    </w:p>
    <w:p w14:paraId="589B5CB8"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לטענתו, מתחם העונש ההולם את עבירות הסחר נע בין מאסר, שיכול ויבוצע בדרך של עבודות שירות, ובין מאסר לתקופה של 12 חודשים. מתחם העונש ההולם את העבירה של החזקת סם שלא לצריכה עצמית נע בין מאסר על תנאי ובין מאסר לתקופה של מספר חודשים.</w:t>
      </w:r>
    </w:p>
    <w:p w14:paraId="5B40E831"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בן 30 ואב לשני ילדים קטינים; הנאשם הודה  במיוחס לו, הביע חרטה ורוצה לשנות את אורחות חייו; בעקבות תפיסת הנאשם הוא פנה לשיקום חייו והתגייס להליך טיפולי מחודש ינואר 2019. במשך כל תקופת הטיפול, לא נמצאו שרידי סם בבדיקות שתן רבות שמסר; הנאשם נמצא בתנאים מגבילים משך תקופה ארוכה; מצבו הכלכלי של הנאשם בכי רע והוא בהליכים להסדרת חובותיו (ענ/1).</w:t>
      </w:r>
    </w:p>
    <w:p w14:paraId="64188879"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טען, כי עמדת התביעה אינה מביאה לידי ביטוי את הטיפול הארוך והמשמעותי שעבר הנאשם. לטענתו, טיפול זה מצדיק חריגה לקולא מהמתחם. מכאן עתר לאמץ את המלצת שירות המבחן ולהטיל על הנאשם מאסר מינימלי בדרך של עבודות שירות על מנת לאפשר לנאשם לשקם את משפחתו.</w:t>
      </w:r>
    </w:p>
    <w:p w14:paraId="1C3880A5"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בדברו האחרון מסר הנאשם כי הוא מצר על מעשיו ומבין את חומרתם. העבירות בוצעו על רקע חובות כלכליים וייאוש. הנאשם הדגיש כי הוא שמח שנתפס והפסיק לבצע את העבירות, ונמצא כעת בהליך טיפולי, שם הוא לומד להתמודד עם קשייו.</w:t>
      </w:r>
    </w:p>
    <w:p w14:paraId="3EAC08FE" w14:textId="77777777" w:rsidR="003145ED" w:rsidRDefault="003145ED" w:rsidP="003145ED">
      <w:pPr>
        <w:spacing w:before="120" w:after="120"/>
        <w:ind w:left="-58"/>
        <w:jc w:val="both"/>
        <w:rPr>
          <w:b/>
          <w:bCs/>
          <w:u w:val="single"/>
          <w:rtl/>
        </w:rPr>
      </w:pPr>
    </w:p>
    <w:p w14:paraId="68E1C3F3" w14:textId="77777777" w:rsidR="003145ED" w:rsidRDefault="003145ED" w:rsidP="003145ED">
      <w:pPr>
        <w:spacing w:before="120" w:after="120"/>
        <w:ind w:left="-58"/>
        <w:jc w:val="both"/>
        <w:rPr>
          <w:b/>
          <w:bCs/>
          <w:u w:val="single"/>
          <w:rtl/>
        </w:rPr>
      </w:pPr>
      <w:r>
        <w:rPr>
          <w:b/>
          <w:bCs/>
          <w:u w:val="single"/>
          <w:rtl/>
        </w:rPr>
        <w:t>דיון והכרעה</w:t>
      </w:r>
    </w:p>
    <w:p w14:paraId="38272CA6" w14:textId="77777777" w:rsidR="003145ED" w:rsidRDefault="003145ED" w:rsidP="003145ED">
      <w:pPr>
        <w:spacing w:before="120" w:after="120"/>
        <w:jc w:val="both"/>
        <w:rPr>
          <w:u w:val="single"/>
          <w:rtl/>
        </w:rPr>
      </w:pPr>
      <w:r>
        <w:rPr>
          <w:u w:val="single"/>
          <w:rtl/>
        </w:rPr>
        <w:t>קביעת מתחם הענישה</w:t>
      </w:r>
    </w:p>
    <w:p w14:paraId="51E8C14F"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44"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(29.10.14); </w:t>
      </w:r>
      <w:hyperlink r:id="rId45"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(13.9.15)).</w:t>
      </w:r>
    </w:p>
    <w:p w14:paraId="694CC7D7"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בהחלת מבחן הקשר ההדוק על נסיבות המקרה עולה, כי כל האישומים עניינם בתוכנית עבריינית אחת. הנאשם ביצע עבירות של סחר בסמים מסוג קנבוס באמצעות יישומון "טלגראם" במשך כחודש. הסמים סופקו במנות קטנות לאחרים. כל העבירות בוצעו בנסיבות דומות, בשיטה דומה ומטעמים דומים. גם העבירה של החזקת סמים שלא לצריכה עצמית קשורה לאותה תכנית עבריינית.</w:t>
      </w:r>
    </w:p>
    <w:p w14:paraId="419B82A2"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לפיכך, יש לראות את כל האישומים כאירוע אחד ולקבוע עונש הולם אחד בגינם.</w:t>
      </w:r>
    </w:p>
    <w:p w14:paraId="05EF608A"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4B573FE3" w14:textId="77777777" w:rsidR="003145ED" w:rsidRDefault="003145ED" w:rsidP="00BF1978">
      <w:pPr>
        <w:pStyle w:val="ListParagraph"/>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במעשיו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46"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(6.10.16); </w:t>
      </w:r>
      <w:hyperlink r:id="rId47"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(15.2.16); </w:t>
      </w:r>
      <w:hyperlink r:id="rId48"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(6.9.12); </w:t>
      </w:r>
      <w:hyperlink r:id="rId49"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(4.7.12); </w:t>
      </w:r>
      <w:hyperlink r:id="rId50"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6029/03 </w:t>
        </w:r>
        <w:r w:rsidR="000628B9" w:rsidRPr="000628B9">
          <w:rPr>
            <w:rFonts w:cs="David" w:hint="cs"/>
            <w:color w:val="0000FF"/>
            <w:sz w:val="24"/>
            <w:szCs w:val="24"/>
            <w:u w:val="single"/>
            <w:rtl/>
          </w:rPr>
          <w:t>מדינת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ישראל</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שמאי</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פ</w:t>
        </w:r>
        <w:r w:rsidR="000628B9" w:rsidRPr="000628B9">
          <w:rPr>
            <w:rFonts w:cs="David"/>
            <w:color w:val="0000FF"/>
            <w:sz w:val="24"/>
            <w:szCs w:val="24"/>
            <w:u w:val="single"/>
            <w:rtl/>
          </w:rPr>
          <w:t>"</w:t>
        </w:r>
        <w:r w:rsidR="000628B9" w:rsidRPr="000628B9">
          <w:rPr>
            <w:rFonts w:cs="David" w:hint="cs"/>
            <w:color w:val="0000FF"/>
            <w:sz w:val="24"/>
            <w:szCs w:val="24"/>
            <w:u w:val="single"/>
            <w:rtl/>
          </w:rPr>
          <w:t>ד</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נח</w:t>
        </w:r>
      </w:hyperlink>
      <w:r>
        <w:rPr>
          <w:rFonts w:cs="David"/>
          <w:sz w:val="24"/>
          <w:szCs w:val="24"/>
          <w:rtl/>
        </w:rPr>
        <w:t xml:space="preserve"> (2) 734 (2004)). </w:t>
      </w:r>
    </w:p>
    <w:p w14:paraId="6D3AB251"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הנאשם הציע סמים למכירה ביישומון "טלגראם". בהמשך ליצירת הקשר ביישומון, נפגש הנאשם עם לקוחות ב-8 הזדמנויות, במשך כחודש, ומכר להם סם מסוג קנבוס במשקלים הנעים בין גרם ל-10 גרם, ובסך הכל כ- 18 גרם. בנוסף הנאשם החזיק בביתו סם מסוכן מסוג קנבוס במשקל של 40.4 גרם וכדורי תחמושת. הנאשם ביצע את העבירות מתוך מצוקה כלכלית ועל רקע התמכרותו לסמים.</w:t>
      </w:r>
    </w:p>
    <w:p w14:paraId="7FD7B8DF"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לריבוי עבירות של סחר בסמים מסוג קנבוס והחזקת סמים שלא לצריכה עצמית, ניתן ללמוד מהפסיקה שלהן:</w:t>
      </w:r>
    </w:p>
    <w:p w14:paraId="11DC2F23" w14:textId="77777777" w:rsidR="003145ED" w:rsidRDefault="000628B9" w:rsidP="003145ED">
      <w:pPr>
        <w:pStyle w:val="ListParagraph"/>
        <w:numPr>
          <w:ilvl w:val="0"/>
          <w:numId w:val="4"/>
        </w:numPr>
        <w:spacing w:line="360" w:lineRule="auto"/>
        <w:jc w:val="both"/>
        <w:rPr>
          <w:rFonts w:ascii="David" w:hAnsi="David" w:cs="David"/>
          <w:b/>
          <w:bCs/>
          <w:sz w:val="24"/>
          <w:szCs w:val="24"/>
        </w:rPr>
      </w:pPr>
      <w:hyperlink r:id="rId51" w:history="1">
        <w:r w:rsidRPr="000628B9">
          <w:rPr>
            <w:rFonts w:ascii="David" w:hAnsi="David" w:cs="David"/>
            <w:color w:val="0000FF"/>
            <w:sz w:val="24"/>
            <w:szCs w:val="24"/>
            <w:u w:val="single"/>
            <w:rtl/>
          </w:rPr>
          <w:t>רע"פ 3271/17</w:t>
        </w:r>
      </w:hyperlink>
      <w:r w:rsidR="003145ED">
        <w:rPr>
          <w:rFonts w:ascii="David" w:hAnsi="David" w:cs="David"/>
          <w:sz w:val="24"/>
          <w:szCs w:val="24"/>
          <w:rtl/>
        </w:rPr>
        <w:t xml:space="preserve"> </w:t>
      </w:r>
      <w:r w:rsidR="003145ED">
        <w:rPr>
          <w:rFonts w:ascii="David" w:hAnsi="David" w:cs="David"/>
          <w:b/>
          <w:bCs/>
          <w:sz w:val="24"/>
          <w:szCs w:val="24"/>
          <w:rtl/>
        </w:rPr>
        <w:t xml:space="preserve">עמיאל נ' מדינת ישראל </w:t>
      </w:r>
      <w:r w:rsidR="00BF1978" w:rsidRPr="00BF1978">
        <w:rPr>
          <w:rFonts w:ascii="Times New Roman" w:hAnsi="Times New Roman" w:cs="David"/>
          <w:szCs w:val="24"/>
          <w:rtl/>
        </w:rPr>
        <w:t xml:space="preserve">[פורסם בנבו] </w:t>
      </w:r>
      <w:r w:rsidR="003145ED">
        <w:rPr>
          <w:rFonts w:ascii="David" w:hAnsi="David" w:cs="David"/>
          <w:sz w:val="24"/>
          <w:szCs w:val="24"/>
          <w:rtl/>
        </w:rPr>
        <w:t>(23.4.17) – בית משפט השלום הרשיע את הנאשם, לפי הודאתו, בשש עבירות של סחר בסמים מסוג קנבוס והחזקת סמים שלא לצריכה עצמית. בית המשפט הטיל על הנאשם מאסר לתקופה של 12 חודשים, מאסר על תנאי ופסילת רישיון על תנאי.</w:t>
      </w:r>
      <w:r w:rsidR="003145ED">
        <w:rPr>
          <w:rFonts w:ascii="David" w:hAnsi="David" w:cs="David"/>
          <w:b/>
          <w:bCs/>
          <w:sz w:val="24"/>
          <w:szCs w:val="24"/>
          <w:rtl/>
        </w:rPr>
        <w:t xml:space="preserve"> </w:t>
      </w:r>
      <w:r w:rsidR="003145ED">
        <w:rPr>
          <w:rFonts w:ascii="David" w:hAnsi="David" w:cs="David"/>
          <w:sz w:val="24"/>
          <w:szCs w:val="24"/>
          <w:rtl/>
        </w:rPr>
        <w:t xml:space="preserve">בית המשפט המחוזי קיבל חלקית את ערעורו של הנאשם והטיל עליו מאסר בפועל לתקופה של 8 חודשים. בית המשפט העליון דחה את בקשתו של הנאשם להרשות ערעור; </w:t>
      </w:r>
    </w:p>
    <w:p w14:paraId="47090963"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2" w:history="1">
        <w:r w:rsidRPr="000628B9">
          <w:rPr>
            <w:rFonts w:ascii="David" w:hAnsi="David" w:cs="David"/>
            <w:color w:val="0000FF"/>
            <w:sz w:val="24"/>
            <w:szCs w:val="24"/>
            <w:u w:val="single"/>
            <w:rtl/>
          </w:rPr>
          <w:t>רע"פ 5712-16</w:t>
        </w:r>
      </w:hyperlink>
      <w:r w:rsidR="003145ED">
        <w:rPr>
          <w:rFonts w:ascii="David" w:hAnsi="David" w:cs="David"/>
          <w:b/>
          <w:bCs/>
          <w:sz w:val="24"/>
          <w:szCs w:val="24"/>
          <w:rtl/>
        </w:rPr>
        <w:t xml:space="preserve"> אייזנבאך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המשפט העליון דחה את בקשתו של הנאשם להרשות ערעור;</w:t>
      </w:r>
    </w:p>
    <w:p w14:paraId="40B9F33B"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3" w:history="1">
        <w:r w:rsidRPr="000628B9">
          <w:rPr>
            <w:rFonts w:ascii="David" w:hAnsi="David" w:cs="David"/>
            <w:color w:val="0000FF"/>
            <w:sz w:val="24"/>
            <w:szCs w:val="24"/>
            <w:u w:val="single"/>
            <w:rtl/>
          </w:rPr>
          <w:t>רע"פ 1626/12</w:t>
        </w:r>
      </w:hyperlink>
      <w:r w:rsidR="003145ED">
        <w:rPr>
          <w:rFonts w:ascii="David" w:hAnsi="David" w:cs="David"/>
          <w:b/>
          <w:bCs/>
          <w:sz w:val="24"/>
          <w:szCs w:val="24"/>
          <w:rtl/>
        </w:rPr>
        <w:t xml:space="preserve"> מלכה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(7.5.12) -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38B4F739"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4" w:history="1">
        <w:r w:rsidRPr="000628B9">
          <w:rPr>
            <w:rFonts w:ascii="David" w:hAnsi="David" w:cs="David"/>
            <w:color w:val="0000FF"/>
            <w:sz w:val="24"/>
            <w:szCs w:val="24"/>
            <w:u w:val="single"/>
            <w:rtl/>
          </w:rPr>
          <w:t>עפ"ג (מרכז) 13964-09-17</w:t>
        </w:r>
      </w:hyperlink>
      <w:r w:rsidR="003145ED">
        <w:rPr>
          <w:rFonts w:ascii="David" w:hAnsi="David" w:cs="David"/>
          <w:b/>
          <w:bCs/>
          <w:sz w:val="24"/>
          <w:szCs w:val="24"/>
          <w:rtl/>
        </w:rPr>
        <w:t xml:space="preserve"> זסלבסקי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 xml:space="preserve">(18.3.18) - בית משפט השלום הרשיע את הנאשם, לפי הודאתו, בשבע עבירות של סחר בסמים מסוג קנבוס. בית המשפט הטיל על הנאשם מאסר לתקופה של 6 חודשים, בדרך של עבודות שירות, מאסר על תנאי, קנס בסכום של 3,000 ₪ ופסילה על תנאי. בית המשפט המחוזי דחה את ערעורו של הנאשם; </w:t>
      </w:r>
    </w:p>
    <w:p w14:paraId="117D28EA"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5" w:history="1">
        <w:r w:rsidRPr="000628B9">
          <w:rPr>
            <w:rFonts w:ascii="David" w:hAnsi="David" w:cs="David"/>
            <w:color w:val="0000FF"/>
            <w:sz w:val="24"/>
            <w:szCs w:val="24"/>
            <w:u w:val="single"/>
            <w:rtl/>
          </w:rPr>
          <w:t>עפ"ג (י-ם) 19763-12-16</w:t>
        </w:r>
      </w:hyperlink>
      <w:r w:rsidR="003145ED">
        <w:rPr>
          <w:rFonts w:ascii="David" w:hAnsi="David" w:cs="David"/>
          <w:b/>
          <w:bCs/>
          <w:sz w:val="24"/>
          <w:szCs w:val="24"/>
          <w:rtl/>
        </w:rPr>
        <w:t xml:space="preserve"> מדינת ישראל נ' בשארי </w:t>
      </w:r>
      <w:r w:rsidR="00BF1978" w:rsidRPr="00BF1978">
        <w:rPr>
          <w:rFonts w:ascii="Times New Roman" w:hAnsi="Times New Roman" w:cs="David"/>
          <w:szCs w:val="24"/>
          <w:rtl/>
        </w:rPr>
        <w:t xml:space="preserve">[פורסם בנבו] </w:t>
      </w:r>
      <w:r w:rsidR="003145ED">
        <w:rPr>
          <w:rFonts w:ascii="David" w:hAnsi="David" w:cs="David"/>
          <w:sz w:val="24"/>
          <w:szCs w:val="24"/>
          <w:rtl/>
        </w:rPr>
        <w:t>(8.1.17) - בית משפט השלום הרשיע את הנאשם, לפי הודאתו, בשלוש עבירות של סחר בסמים, החזקת סמים שלא לצריכה עצמית והחזקת כלים  להכנת  סם לצריכה עצמית. בית משפט השלום הטיל על הנאשם מאסר לתקופה של 8 חודשים, מאסר על תנאי וקנס בסכום של 5,000 ₪. בית משפט המחוזי דחה את ערעורה של התביעה;</w:t>
      </w:r>
    </w:p>
    <w:p w14:paraId="09975F5E" w14:textId="77777777" w:rsidR="003145ED" w:rsidRPr="003145ED" w:rsidRDefault="000628B9" w:rsidP="003145ED">
      <w:pPr>
        <w:pStyle w:val="ListParagraph"/>
        <w:numPr>
          <w:ilvl w:val="0"/>
          <w:numId w:val="4"/>
        </w:numPr>
        <w:spacing w:before="120" w:after="120" w:line="360" w:lineRule="auto"/>
        <w:jc w:val="both"/>
        <w:rPr>
          <w:rFonts w:cs="David"/>
          <w:sz w:val="24"/>
          <w:szCs w:val="24"/>
        </w:rPr>
      </w:pPr>
      <w:hyperlink r:id="rId56" w:history="1">
        <w:r w:rsidRPr="000628B9">
          <w:rPr>
            <w:rFonts w:cs="David" w:hint="cs"/>
            <w:color w:val="0000FF"/>
            <w:sz w:val="24"/>
            <w:szCs w:val="24"/>
            <w:u w:val="single"/>
            <w:rtl/>
          </w:rPr>
          <w:t>עפ</w:t>
        </w:r>
        <w:r w:rsidRPr="000628B9">
          <w:rPr>
            <w:rFonts w:cs="David"/>
            <w:color w:val="0000FF"/>
            <w:sz w:val="24"/>
            <w:szCs w:val="24"/>
            <w:u w:val="single"/>
            <w:rtl/>
          </w:rPr>
          <w:t>"</w:t>
        </w:r>
        <w:r w:rsidRPr="000628B9">
          <w:rPr>
            <w:rFonts w:cs="David" w:hint="cs"/>
            <w:color w:val="0000FF"/>
            <w:sz w:val="24"/>
            <w:szCs w:val="24"/>
            <w:u w:val="single"/>
            <w:rtl/>
          </w:rPr>
          <w:t>ג</w:t>
        </w:r>
        <w:r w:rsidRPr="000628B9">
          <w:rPr>
            <w:rFonts w:cs="David"/>
            <w:color w:val="0000FF"/>
            <w:sz w:val="24"/>
            <w:szCs w:val="24"/>
            <w:u w:val="single"/>
            <w:rtl/>
          </w:rPr>
          <w:t xml:space="preserve"> (</w:t>
        </w:r>
        <w:r w:rsidRPr="000628B9">
          <w:rPr>
            <w:rFonts w:cs="David" w:hint="cs"/>
            <w:color w:val="0000FF"/>
            <w:sz w:val="24"/>
            <w:szCs w:val="24"/>
            <w:u w:val="single"/>
            <w:rtl/>
          </w:rPr>
          <w:t>י</w:t>
        </w:r>
        <w:r w:rsidRPr="000628B9">
          <w:rPr>
            <w:rFonts w:cs="David"/>
            <w:color w:val="0000FF"/>
            <w:sz w:val="24"/>
            <w:szCs w:val="24"/>
            <w:u w:val="single"/>
            <w:rtl/>
          </w:rPr>
          <w:t>-</w:t>
        </w:r>
        <w:r w:rsidRPr="000628B9">
          <w:rPr>
            <w:rFonts w:cs="David" w:hint="cs"/>
            <w:color w:val="0000FF"/>
            <w:sz w:val="24"/>
            <w:szCs w:val="24"/>
            <w:u w:val="single"/>
            <w:rtl/>
          </w:rPr>
          <w:t>ם</w:t>
        </w:r>
        <w:r w:rsidRPr="000628B9">
          <w:rPr>
            <w:rFonts w:cs="David"/>
            <w:color w:val="0000FF"/>
            <w:sz w:val="24"/>
            <w:szCs w:val="24"/>
            <w:u w:val="single"/>
            <w:rtl/>
          </w:rPr>
          <w:t>) 39261-10-13</w:t>
        </w:r>
      </w:hyperlink>
      <w:r w:rsidR="003145ED">
        <w:rPr>
          <w:rFonts w:cs="David"/>
          <w:b/>
          <w:bCs/>
          <w:sz w:val="24"/>
          <w:szCs w:val="24"/>
          <w:rtl/>
        </w:rPr>
        <w:t xml:space="preserve"> מדינת ישראל נ' הולצמן</w:t>
      </w:r>
      <w:r w:rsidR="003145ED">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sidR="003145ED">
        <w:rPr>
          <w:rFonts w:cs="David"/>
          <w:sz w:val="24"/>
          <w:szCs w:val="24"/>
          <w:rtl/>
        </w:rPr>
        <w:t>(30.12.13): בית משפט השלום הרשיע את הנאשמים בשורה של עבירות סמים. את נאשם 1 הרשיע בשבע עבירות של סחר בסמים, את נאשם 2 באחת עשרה עבירות של סחר בסמים ובעבירה של תיווך, ואת נאשם 3 בחמש עבירות של סחר בסמים. בית משפט השלום הטיל על נאשם 1 מאסר לתקופה של 8 חודשים, מאסר על תנאי, פסילת רישיון בפועל ועל תנאי וצו מבחן. על הנאשם 2 הטיל בית המשפט מאסר לתקופה של 24 חודשים, מאסר על תנאי, פסילת רישיון בפועל ועל תנאי. על הנאשם 3 הטיל בית המשפט מאסר לתקופה של 6 חודשים בדרך של עבודות שירות, מאסר על תנאי, קנס בסכום של 2,000 ₪, פסילת רישיון בפועל ועל תנאי. בית המשפט המחוזי דחה את ערעורה של התביעה;</w:t>
      </w:r>
    </w:p>
    <w:p w14:paraId="0F326222" w14:textId="77777777" w:rsidR="003145ED" w:rsidRDefault="000628B9" w:rsidP="003145ED">
      <w:pPr>
        <w:pStyle w:val="ListParagraph"/>
        <w:numPr>
          <w:ilvl w:val="0"/>
          <w:numId w:val="4"/>
        </w:numPr>
        <w:spacing w:before="120" w:after="120" w:line="360" w:lineRule="auto"/>
        <w:jc w:val="both"/>
        <w:rPr>
          <w:rFonts w:cs="David"/>
          <w:sz w:val="24"/>
          <w:szCs w:val="24"/>
        </w:rPr>
      </w:pPr>
      <w:hyperlink r:id="rId57" w:history="1">
        <w:r w:rsidRPr="000628B9">
          <w:rPr>
            <w:rFonts w:cs="David" w:hint="cs"/>
            <w:color w:val="0000FF"/>
            <w:sz w:val="24"/>
            <w:szCs w:val="24"/>
            <w:u w:val="single"/>
            <w:rtl/>
          </w:rPr>
          <w:t>ת</w:t>
        </w:r>
        <w:r w:rsidRPr="000628B9">
          <w:rPr>
            <w:rFonts w:cs="David"/>
            <w:color w:val="0000FF"/>
            <w:sz w:val="24"/>
            <w:szCs w:val="24"/>
            <w:u w:val="single"/>
            <w:rtl/>
          </w:rPr>
          <w:t>"</w:t>
        </w:r>
        <w:r w:rsidRPr="000628B9">
          <w:rPr>
            <w:rFonts w:cs="David" w:hint="cs"/>
            <w:color w:val="0000FF"/>
            <w:sz w:val="24"/>
            <w:szCs w:val="24"/>
            <w:u w:val="single"/>
            <w:rtl/>
          </w:rPr>
          <w:t>פ</w:t>
        </w:r>
        <w:r w:rsidRPr="000628B9">
          <w:rPr>
            <w:rFonts w:cs="David"/>
            <w:color w:val="0000FF"/>
            <w:sz w:val="24"/>
            <w:szCs w:val="24"/>
            <w:u w:val="single"/>
            <w:rtl/>
          </w:rPr>
          <w:t xml:space="preserve"> (</w:t>
        </w:r>
        <w:r w:rsidRPr="000628B9">
          <w:rPr>
            <w:rFonts w:cs="David" w:hint="cs"/>
            <w:color w:val="0000FF"/>
            <w:sz w:val="24"/>
            <w:szCs w:val="24"/>
            <w:u w:val="single"/>
            <w:rtl/>
          </w:rPr>
          <w:t>י</w:t>
        </w:r>
        <w:r w:rsidRPr="000628B9">
          <w:rPr>
            <w:rFonts w:cs="David"/>
            <w:color w:val="0000FF"/>
            <w:sz w:val="24"/>
            <w:szCs w:val="24"/>
            <w:u w:val="single"/>
            <w:rtl/>
          </w:rPr>
          <w:t>-</w:t>
        </w:r>
        <w:r w:rsidRPr="000628B9">
          <w:rPr>
            <w:rFonts w:cs="David" w:hint="cs"/>
            <w:color w:val="0000FF"/>
            <w:sz w:val="24"/>
            <w:szCs w:val="24"/>
            <w:u w:val="single"/>
            <w:rtl/>
          </w:rPr>
          <w:t>ם</w:t>
        </w:r>
        <w:r w:rsidRPr="000628B9">
          <w:rPr>
            <w:rFonts w:cs="David"/>
            <w:color w:val="0000FF"/>
            <w:sz w:val="24"/>
            <w:szCs w:val="24"/>
            <w:u w:val="single"/>
            <w:rtl/>
          </w:rPr>
          <w:t>) 7420-05-19</w:t>
        </w:r>
      </w:hyperlink>
      <w:r w:rsidR="003145ED">
        <w:rPr>
          <w:rFonts w:cs="David"/>
          <w:sz w:val="24"/>
          <w:szCs w:val="24"/>
          <w:rtl/>
        </w:rPr>
        <w:t xml:space="preserve"> </w:t>
      </w:r>
      <w:r w:rsidR="003145ED">
        <w:rPr>
          <w:rFonts w:cs="David"/>
          <w:b/>
          <w:bCs/>
          <w:sz w:val="24"/>
          <w:szCs w:val="24"/>
          <w:rtl/>
        </w:rPr>
        <w:t>מדינת ישראל נ' בלוי</w:t>
      </w:r>
      <w:r w:rsidR="003145ED">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sidR="003145ED">
        <w:rPr>
          <w:rFonts w:cs="David"/>
          <w:sz w:val="24"/>
          <w:szCs w:val="24"/>
          <w:rtl/>
        </w:rPr>
        <w:t>(16.9.19) – בית משפט השלום הרשיע את הנאשם, לפי הודאתו, בתשע עבירות של סחר בסמים ובעבירה של החזקת סמים לצריכה עצמית. בית המשפט הטיל על הנאשם מאסר לתקופה של 9 חודשים, מאסר על תנאי, קנס בסכום של 5,000 ₪, התחייבות בסכום של 5,000 ₪ ופסילה על תנאי;</w:t>
      </w:r>
    </w:p>
    <w:p w14:paraId="1AEB62AF"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8" w:history="1">
        <w:r w:rsidRPr="000628B9">
          <w:rPr>
            <w:rFonts w:ascii="David" w:hAnsi="David" w:cs="David"/>
            <w:color w:val="0000FF"/>
            <w:sz w:val="24"/>
            <w:szCs w:val="24"/>
            <w:u w:val="single"/>
            <w:rtl/>
          </w:rPr>
          <w:t>ת"פ (ק"ש) 40639-10-17</w:t>
        </w:r>
      </w:hyperlink>
      <w:r w:rsidR="003145ED">
        <w:rPr>
          <w:rFonts w:ascii="David" w:hAnsi="David" w:cs="David"/>
          <w:sz w:val="24"/>
          <w:szCs w:val="24"/>
          <w:rtl/>
        </w:rPr>
        <w:t xml:space="preserve"> </w:t>
      </w:r>
      <w:r w:rsidR="003145ED">
        <w:rPr>
          <w:rFonts w:ascii="David" w:hAnsi="David" w:cs="David"/>
          <w:b/>
          <w:bCs/>
          <w:sz w:val="24"/>
          <w:szCs w:val="24"/>
          <w:rtl/>
        </w:rPr>
        <w:t>שלוחת תביעות מרום הגליל והגולן נ' בובו</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(28.5.18) - בית משפט השלום הרשיע את הנאשם, לפי הודאתו,  בארבע עבירות של סחר בסמים ובעבירה של החזקת סמים שלא לצריכה עצמית. בית המשפט הטיל על הנאשם מאסר לתקופה של 6 חודשים בדרך של עבודות שירות, מאסר על תנאי, קנס בסכום של 4,000 ₪, פסילת רישיון בפועל ועל תנאי.</w:t>
      </w:r>
    </w:p>
    <w:p w14:paraId="53358D1E" w14:textId="77777777" w:rsidR="003145ED" w:rsidRPr="003145ED" w:rsidRDefault="003145ED" w:rsidP="003145ED">
      <w:pPr>
        <w:pStyle w:val="ListParagraph"/>
        <w:numPr>
          <w:ilvl w:val="0"/>
          <w:numId w:val="1"/>
        </w:numPr>
        <w:spacing w:before="120" w:after="120" w:line="360" w:lineRule="auto"/>
        <w:ind w:left="509" w:hanging="567"/>
        <w:jc w:val="both"/>
      </w:pPr>
      <w:r>
        <w:rPr>
          <w:rFonts w:cs="David"/>
          <w:sz w:val="24"/>
          <w:szCs w:val="24"/>
          <w:rtl/>
        </w:rPr>
        <w:t xml:space="preserve">מדיניות הענישה המקובלת והנוהגת בעבירה של החזקת תחמושת, בנסיבות העניין, מלמדת על מנעד ענישה הנע בין מאסר על תנאי ובין מאסר לתקופה של 6 חודשים (ראו למשל: </w:t>
      </w:r>
      <w:hyperlink r:id="rId59"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נצ</w:t>
        </w:r>
        <w:r w:rsidR="000628B9" w:rsidRPr="000628B9">
          <w:rPr>
            <w:rFonts w:cs="David"/>
            <w:color w:val="0000FF"/>
            <w:sz w:val="24"/>
            <w:szCs w:val="24"/>
            <w:u w:val="single"/>
            <w:rtl/>
          </w:rPr>
          <w:t>') 125/09</w:t>
        </w:r>
      </w:hyperlink>
      <w:r>
        <w:rPr>
          <w:rFonts w:cs="David"/>
          <w:sz w:val="24"/>
          <w:szCs w:val="24"/>
          <w:rtl/>
        </w:rPr>
        <w:t xml:space="preserve"> </w:t>
      </w:r>
      <w:r>
        <w:rPr>
          <w:rFonts w:cs="David"/>
          <w:b/>
          <w:bCs/>
          <w:sz w:val="24"/>
          <w:szCs w:val="24"/>
          <w:rtl/>
        </w:rPr>
        <w:t>מ.י פרקליטות  צפון – פלילי נ' פראירה</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(10.5.10); </w:t>
      </w:r>
      <w:hyperlink r:id="rId60"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ב</w:t>
        </w:r>
        <w:r w:rsidR="000628B9" w:rsidRPr="000628B9">
          <w:rPr>
            <w:rFonts w:cs="David"/>
            <w:color w:val="0000FF"/>
            <w:sz w:val="24"/>
            <w:szCs w:val="24"/>
            <w:u w:val="single"/>
            <w:rtl/>
          </w:rPr>
          <w:t>"</w:t>
        </w:r>
        <w:r w:rsidR="000628B9" w:rsidRPr="000628B9">
          <w:rPr>
            <w:rFonts w:cs="David" w:hint="cs"/>
            <w:color w:val="0000FF"/>
            <w:sz w:val="24"/>
            <w:szCs w:val="24"/>
            <w:u w:val="single"/>
            <w:rtl/>
          </w:rPr>
          <w:t>ש</w:t>
        </w:r>
        <w:r w:rsidR="000628B9" w:rsidRPr="000628B9">
          <w:rPr>
            <w:rFonts w:cs="David"/>
            <w:color w:val="0000FF"/>
            <w:sz w:val="24"/>
            <w:szCs w:val="24"/>
            <w:u w:val="single"/>
            <w:rtl/>
          </w:rPr>
          <w:t>) 9569-10-18</w:t>
        </w:r>
      </w:hyperlink>
      <w:r>
        <w:rPr>
          <w:rFonts w:cs="David"/>
          <w:sz w:val="24"/>
          <w:szCs w:val="24"/>
          <w:rtl/>
        </w:rPr>
        <w:t xml:space="preserve"> </w:t>
      </w:r>
      <w:r>
        <w:rPr>
          <w:rFonts w:cs="David"/>
          <w:b/>
          <w:bCs/>
          <w:sz w:val="24"/>
          <w:szCs w:val="24"/>
          <w:rtl/>
        </w:rPr>
        <w:t xml:space="preserve">מדינת ישראל נ' אלקדירי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(12.3.19), מתחמי העונש בעמ' 8; </w:t>
      </w:r>
      <w:hyperlink r:id="rId61"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רמ</w:t>
        </w:r>
        <w:r w:rsidR="000628B9" w:rsidRPr="000628B9">
          <w:rPr>
            <w:rFonts w:cs="David"/>
            <w:color w:val="0000FF"/>
            <w:sz w:val="24"/>
            <w:szCs w:val="24"/>
            <w:u w:val="single"/>
            <w:rtl/>
          </w:rPr>
          <w:t>') 16825-05-15</w:t>
        </w:r>
      </w:hyperlink>
      <w:r>
        <w:rPr>
          <w:rFonts w:cs="David"/>
          <w:sz w:val="24"/>
          <w:szCs w:val="24"/>
          <w:rtl/>
        </w:rPr>
        <w:t xml:space="preserve"> </w:t>
      </w:r>
      <w:r>
        <w:rPr>
          <w:rFonts w:cs="David"/>
          <w:b/>
          <w:bCs/>
          <w:sz w:val="24"/>
          <w:szCs w:val="24"/>
          <w:rtl/>
        </w:rPr>
        <w:t xml:space="preserve">משטרת ישראל תביעות – שלוחת רמלה נ' גואטה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(10.1.17); </w:t>
      </w:r>
      <w:hyperlink r:id="rId62"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עכו</w:t>
        </w:r>
        <w:r w:rsidR="000628B9" w:rsidRPr="000628B9">
          <w:rPr>
            <w:rFonts w:cs="David"/>
            <w:color w:val="0000FF"/>
            <w:sz w:val="24"/>
            <w:szCs w:val="24"/>
            <w:u w:val="single"/>
            <w:rtl/>
          </w:rPr>
          <w:t>) 25710-01-12</w:t>
        </w:r>
      </w:hyperlink>
      <w:r>
        <w:rPr>
          <w:rFonts w:cs="David"/>
          <w:b/>
          <w:bCs/>
          <w:sz w:val="24"/>
          <w:szCs w:val="24"/>
          <w:rtl/>
        </w:rPr>
        <w:t xml:space="preserve"> מדינת ישראל נ' אלהיגא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(20.9.12)).</w:t>
      </w:r>
    </w:p>
    <w:p w14:paraId="4873A4EB"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הצדדים הגישו פסיקה הכוללת נסיבות מחמירות שאין להכלילה במתחם, כמו למשל כמויות סם גדולות בהרבה או מספר גדול בהרבה של עסקאות.</w:t>
      </w:r>
    </w:p>
    <w:p w14:paraId="178AB03A"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יתר על כן, מטבע הדברים, אין פסיקה אחת דומה למשנה, ובכל מקרה מדובר במשקלים ובנסיבות ייחודיים. יש להתאים, אפוא, את מתחם העונש ההולם לנסיבות הספציפיות של המקרה שלפנינו, הכוללות לא רק סחר בסמים, אלא גם החזקת סמים לצריכה עצמית וכדורי תחמושת.</w:t>
      </w:r>
    </w:p>
    <w:p w14:paraId="3E976747"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מכאן, כי מתחם העונש ההולם בגין העבירות מושא כתב האישום, נע בין מאסר לתקופה של 6 חודשים, שיכול ויבוצע בדרך של עבודות שירות, לצד ענישה נלווית, ובין מאסר לתקופה של 15 חודשים, לצד ענישה נלווית, הכוללת ענישה כלכלית ופסילת רישיון. </w:t>
      </w:r>
    </w:p>
    <w:p w14:paraId="5161F033" w14:textId="77777777" w:rsidR="003145ED" w:rsidRDefault="003145ED" w:rsidP="003145ED">
      <w:pPr>
        <w:spacing w:before="120" w:after="120"/>
        <w:jc w:val="both"/>
      </w:pPr>
      <w:r>
        <w:rPr>
          <w:u w:val="single"/>
          <w:rtl/>
        </w:rPr>
        <w:t>העונש ההולם בתוך המתחם</w:t>
      </w:r>
      <w:r>
        <w:rPr>
          <w:rtl/>
        </w:rPr>
        <w:t xml:space="preserve"> </w:t>
      </w:r>
    </w:p>
    <w:p w14:paraId="3548B376"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41199507" w14:textId="77777777" w:rsidR="003145ED" w:rsidRDefault="003145ED" w:rsidP="003145ED">
      <w:pPr>
        <w:pStyle w:val="ListParagraph"/>
        <w:spacing w:before="120" w:after="120" w:line="360" w:lineRule="auto"/>
        <w:ind w:left="509"/>
        <w:jc w:val="both"/>
        <w:rPr>
          <w:rFonts w:cs="David"/>
          <w:sz w:val="24"/>
          <w:szCs w:val="24"/>
        </w:rPr>
      </w:pPr>
      <w:r>
        <w:rPr>
          <w:rFonts w:cs="David"/>
          <w:sz w:val="24"/>
          <w:szCs w:val="24"/>
          <w:rtl/>
        </w:rPr>
        <w:t>לזכותו של הנאשם עומדת הודאתו במיוחס לו ונטילת אחריות על מעשיו; הנאשם בזוגיות ואב לשני ילדים; הנאשם עובד בעבודה מסודרת ומפרנס את משפחתו (ענ/1); לנאשם חובות רבים ותיקי הוצאה לפועל (ענ/1); אשתו העידה לטובתו ומסרה, כי האירוע גרם למשבר משפחתי וכי הנאשם עושה את כל הדרוש על מנת לחזור לדרך הישר ולהסדיר את חובותיו; הנאשם היה נתון במעצר</w:t>
      </w:r>
      <w:r>
        <w:rPr>
          <w:rFonts w:cs="David" w:hint="cs"/>
          <w:sz w:val="24"/>
          <w:szCs w:val="24"/>
          <w:rtl/>
        </w:rPr>
        <w:t xml:space="preserve"> מיום 22.11.18 ועד ל יום 2.12.18 </w:t>
      </w:r>
      <w:r>
        <w:rPr>
          <w:rFonts w:cs="David"/>
          <w:sz w:val="24"/>
          <w:szCs w:val="24"/>
          <w:rtl/>
        </w:rPr>
        <w:t>ובתנאים מגבילים תקופה בלתי מבוטלת נוספת;</w:t>
      </w:r>
    </w:p>
    <w:p w14:paraId="0D76FB3F" w14:textId="77777777" w:rsidR="003145ED" w:rsidRDefault="003145ED" w:rsidP="003145ED">
      <w:pPr>
        <w:pStyle w:val="ListParagraph"/>
        <w:spacing w:before="120" w:after="120" w:line="360" w:lineRule="auto"/>
        <w:ind w:left="509"/>
        <w:jc w:val="both"/>
        <w:rPr>
          <w:rFonts w:cs="David"/>
          <w:sz w:val="24"/>
          <w:szCs w:val="24"/>
          <w:rtl/>
        </w:rPr>
      </w:pPr>
      <w:r>
        <w:rPr>
          <w:rFonts w:cs="David"/>
          <w:sz w:val="24"/>
          <w:szCs w:val="24"/>
          <w:rtl/>
        </w:rPr>
        <w:t>לחובתו של הנאשם הרשעות קודמות בעבירות של אלימות, רכוש, הפרעה לשוטר בשעת מילוי תפקידו והחזקת סכין שלא למטרה כשרה (עת/1). כן לחובתו הרשעות בתחום התעבורה (עת/2); עם זאת, אין המדובר בעבר מכביד יתר על המידה.</w:t>
      </w:r>
    </w:p>
    <w:p w14:paraId="2891613A" w14:textId="77777777" w:rsidR="003145ED" w:rsidRDefault="003145ED" w:rsidP="003145ED">
      <w:pPr>
        <w:pStyle w:val="ListParagraph"/>
        <w:spacing w:before="120" w:after="120" w:line="360" w:lineRule="auto"/>
        <w:ind w:left="509"/>
        <w:jc w:val="both"/>
        <w:rPr>
          <w:rFonts w:cs="David"/>
          <w:b/>
          <w:bCs/>
          <w:sz w:val="24"/>
          <w:szCs w:val="24"/>
          <w:u w:val="single"/>
          <w:rtl/>
        </w:rPr>
      </w:pPr>
      <w:r>
        <w:rPr>
          <w:rFonts w:cs="David"/>
          <w:sz w:val="24"/>
          <w:szCs w:val="24"/>
          <w:rtl/>
        </w:rPr>
        <w:t>מתסקירי שירות המבחן, עולות נסיבות חייו הלא פשוטות של הנאשם, אשר חבר בגיל צעיר לחברה שולית עקב משבר הגירה וקשיי הסתכלות כלכליים וחברתיים. בהמשך לכך גם החל לצרוך סמים. שירות המבחן תיאר את הירתמות הנאשם להליך הטיפולי. הנאשם השתלב  ביחידה לטיפול בהתמכרויות בחודש ינואר 2019 והוא מטופל באופן פרטני וקבוצתי.  הנאשם הגיע למפגשים, ושיתף פעולה באופן מלא עם ההליך. במשך כל תקופת הטיפול לא נמצאו שרידי סם בבדיקות שתן שנערכו לנאשם. להתרשמות שירות המבחן, הנאשם בעל מוטיבציה לשינוי התנהגותו</w:t>
      </w:r>
      <w:r>
        <w:rPr>
          <w:rFonts w:ascii="David" w:hAnsi="David" w:cs="David"/>
          <w:sz w:val="24"/>
          <w:szCs w:val="24"/>
          <w:rtl/>
        </w:rPr>
        <w:t xml:space="preserve"> ודפוסי התמכרותו. הנאשם מפיק תועלת מהקשר הטיפולי באופן שמסיע לו להבין את השלכות מעשיו ולשמור על יציבות בחייו. מכאן, המליץ שירות המבחן להטיל על הנאשם צו מבחן למשך שנה ומאסר בדרך של עבודות שירות. </w:t>
      </w:r>
    </w:p>
    <w:p w14:paraId="6C4BB088"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באיזון בין הנסיבות לזכותו של הנאשם, הודאתו של הנאשם, נסיבות חייו הלא פשוטות, הירתמות להליך הטיפולי לאורך תקופה ואי צריכת סמים, ובין הנסיבות לחובתו, יש להטיל על הנאשם עונש שהוא בחלקו התחתון של המתחם אולם לא בתחתית המתחם בעיקר בשל עברו הפלילי. העונש ההולם כולל, אפוא, מאסר בדרך של עבודות שירות, צו מבחן, קנס ופסילת רישיון על תנאי.</w:t>
      </w:r>
    </w:p>
    <w:p w14:paraId="2EC02FAB" w14:textId="77777777" w:rsidR="003145ED" w:rsidRDefault="003145ED" w:rsidP="003145ED">
      <w:pPr>
        <w:pStyle w:val="ListParagraph"/>
        <w:numPr>
          <w:ilvl w:val="0"/>
          <w:numId w:val="1"/>
        </w:numPr>
        <w:spacing w:before="120" w:after="120" w:line="360" w:lineRule="auto"/>
        <w:ind w:left="509" w:hanging="567"/>
        <w:jc w:val="both"/>
        <w:rPr>
          <w:rFonts w:ascii="David" w:hAnsi="David" w:cs="David"/>
          <w:sz w:val="24"/>
          <w:szCs w:val="24"/>
        </w:rPr>
      </w:pPr>
      <w:r>
        <w:rPr>
          <w:rFonts w:cs="David"/>
          <w:sz w:val="24"/>
          <w:szCs w:val="24"/>
          <w:rtl/>
        </w:rPr>
        <w:t>בקביעת שיעור הקנס לקחתי בחשבון גם את מצבו הכלכלי של הנאשם ובעיקר את הנטל הכלכלי שיוטל עליו בהטלת מאסר בדרך של עבודות שירות. מצאתי לנכון להסתפק בפסילת רישיון על תנאי בלבד הואיל ולא נמצאו שרידי סם בבדיקות שתן שנערכו לנאשם משך תקופה ארוכה ולאור הטיפול בו הוא נוטל חלק.</w:t>
      </w:r>
    </w:p>
    <w:p w14:paraId="1DF17A15" w14:textId="77777777" w:rsidR="003145ED" w:rsidRDefault="003145ED" w:rsidP="003145ED">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9.12.19 נמצא הנאשם מתאים לביצוע עבודות שירות.</w:t>
      </w:r>
    </w:p>
    <w:p w14:paraId="53E52BA1" w14:textId="77777777" w:rsidR="003145ED" w:rsidRPr="003145ED" w:rsidRDefault="003145ED" w:rsidP="003145ED">
      <w:pPr>
        <w:spacing w:before="120" w:after="120"/>
        <w:ind w:left="-58"/>
        <w:jc w:val="both"/>
        <w:rPr>
          <w:rFonts w:ascii="Calibri" w:hAnsi="Calibri"/>
          <w:b/>
          <w:bCs/>
          <w:u w:val="single"/>
        </w:rPr>
      </w:pPr>
    </w:p>
    <w:p w14:paraId="19C79B94" w14:textId="77777777" w:rsidR="003145ED" w:rsidRDefault="003145ED" w:rsidP="003145ED">
      <w:pPr>
        <w:spacing w:before="120" w:after="120"/>
        <w:ind w:left="-58"/>
        <w:jc w:val="both"/>
        <w:rPr>
          <w:rtl/>
        </w:rPr>
      </w:pPr>
      <w:r>
        <w:rPr>
          <w:b/>
          <w:bCs/>
          <w:u w:val="single"/>
          <w:rtl/>
        </w:rPr>
        <w:t>סוף דבר</w:t>
      </w:r>
      <w:r>
        <w:rPr>
          <w:rtl/>
        </w:rPr>
        <w:t xml:space="preserve"> </w:t>
      </w:r>
    </w:p>
    <w:p w14:paraId="19A8394F"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65AB5C8B"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מאסר לתקופה של 8 חודשים, שיבוצע בדרך של עבודות שירות. הנאשם יחל את עבודות השירות ביום 17.2.20. מובהר לנאשם כי כל חריגה מהוראות הממונה עלולה להוביל לנשיאת המאסר בפועל;</w:t>
      </w:r>
    </w:p>
    <w:p w14:paraId="7A0A4052"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63" w:history="1">
        <w:r w:rsidR="000628B9" w:rsidRPr="000628B9">
          <w:rPr>
            <w:rFonts w:cs="David" w:hint="cs"/>
            <w:color w:val="0000FF"/>
            <w:sz w:val="24"/>
            <w:szCs w:val="24"/>
            <w:u w:val="single"/>
            <w:rtl/>
          </w:rPr>
          <w:t>פקודת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הסמים</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המסוכנים</w:t>
        </w:r>
      </w:hyperlink>
      <w:r>
        <w:rPr>
          <w:rFonts w:cs="David"/>
          <w:sz w:val="24"/>
          <w:szCs w:val="24"/>
          <w:rtl/>
        </w:rPr>
        <w:t>;</w:t>
      </w:r>
    </w:p>
    <w:p w14:paraId="76528558"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64" w:history="1">
        <w:r w:rsidR="000628B9" w:rsidRPr="000628B9">
          <w:rPr>
            <w:rFonts w:cs="David" w:hint="cs"/>
            <w:color w:val="0000FF"/>
            <w:sz w:val="24"/>
            <w:szCs w:val="24"/>
            <w:u w:val="single"/>
            <w:rtl/>
          </w:rPr>
          <w:t>פקודת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הסמים</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המסוכנים</w:t>
        </w:r>
      </w:hyperlink>
      <w:r>
        <w:rPr>
          <w:rFonts w:cs="David"/>
          <w:sz w:val="24"/>
          <w:szCs w:val="24"/>
          <w:rtl/>
        </w:rPr>
        <w:t>;</w:t>
      </w:r>
    </w:p>
    <w:p w14:paraId="56D26F0A" w14:textId="77777777" w:rsidR="003145ED" w:rsidRDefault="003145ED" w:rsidP="003145ED">
      <w:pPr>
        <w:pStyle w:val="ListParagraph"/>
        <w:numPr>
          <w:ilvl w:val="0"/>
          <w:numId w:val="2"/>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61FAA607" w14:textId="77777777" w:rsidR="003145ED" w:rsidRPr="003145ED" w:rsidRDefault="003145ED" w:rsidP="003145ED">
      <w:pPr>
        <w:pStyle w:val="ListParagraph"/>
        <w:spacing w:before="120" w:after="120" w:line="360" w:lineRule="auto"/>
        <w:ind w:left="869"/>
        <w:jc w:val="both"/>
        <w:rPr>
          <w:rFonts w:cs="David"/>
          <w:sz w:val="24"/>
          <w:szCs w:val="24"/>
        </w:rPr>
      </w:pPr>
      <w:r>
        <w:rPr>
          <w:rFonts w:cs="David"/>
          <w:sz w:val="24"/>
          <w:szCs w:val="24"/>
          <w:rtl/>
        </w:rPr>
        <w:t>רשמתי לפני נכונות הנאשם לבצע את צו המבחן. מובהר בזאת, כי כל חריגה מהוראות שירות המבחן עלולה להוביל לביטול גזר דינו וגזירת דינו מחדש;</w:t>
      </w:r>
    </w:p>
    <w:p w14:paraId="67C03AC0"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קנס בסכום של 3,000 ₪ או 30 ימי מאסר תמורתו, הנאשם ישלם את הקנס ב-10 תשלומים שווים ורצופים, הראשון לא יאוחר מיום 1.3.20 והיתרה עד ה-1 לכל חודש קלנדרי שלאחר מכן;</w:t>
      </w:r>
    </w:p>
    <w:p w14:paraId="549ABA48"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4EE93086" w14:textId="77777777" w:rsidR="003145ED" w:rsidRDefault="003145ED" w:rsidP="003145ED">
      <w:pPr>
        <w:spacing w:before="120" w:after="120"/>
        <w:ind w:left="509" w:hanging="567"/>
        <w:contextualSpacing/>
        <w:jc w:val="both"/>
        <w:rPr>
          <w:b/>
          <w:bCs/>
          <w:rtl/>
        </w:rPr>
      </w:pPr>
      <w:r>
        <w:rPr>
          <w:b/>
          <w:bCs/>
          <w:rtl/>
        </w:rPr>
        <w:t>ניתן צו להשמדת הסמים.</w:t>
      </w:r>
    </w:p>
    <w:p w14:paraId="62F772BF" w14:textId="77777777" w:rsidR="003145ED" w:rsidRDefault="003145ED" w:rsidP="003145ED">
      <w:pPr>
        <w:spacing w:before="120" w:after="120"/>
        <w:ind w:left="509" w:hanging="567"/>
        <w:contextualSpacing/>
        <w:jc w:val="both"/>
        <w:rPr>
          <w:b/>
          <w:bCs/>
          <w:rtl/>
        </w:rPr>
      </w:pPr>
    </w:p>
    <w:p w14:paraId="49FA0312" w14:textId="77777777" w:rsidR="003145ED" w:rsidRDefault="003145ED" w:rsidP="003145ED">
      <w:pPr>
        <w:spacing w:before="120" w:after="120"/>
        <w:contextualSpacing/>
        <w:jc w:val="both"/>
        <w:rPr>
          <w:b/>
          <w:bCs/>
          <w:rtl/>
        </w:rPr>
      </w:pPr>
      <w:r>
        <w:rPr>
          <w:b/>
          <w:bCs/>
          <w:rtl/>
        </w:rPr>
        <w:t>עותק גזר הדין יועבר לממונה על עבודות שירות ושירות המבחן ולשירות המבחן.</w:t>
      </w:r>
    </w:p>
    <w:p w14:paraId="1754A2C8" w14:textId="77777777" w:rsidR="003145ED" w:rsidRDefault="003145ED" w:rsidP="003145ED">
      <w:pPr>
        <w:spacing w:before="120" w:after="120"/>
        <w:ind w:left="509" w:hanging="567"/>
        <w:contextualSpacing/>
        <w:jc w:val="both"/>
        <w:rPr>
          <w:b/>
          <w:bCs/>
          <w:rtl/>
        </w:rPr>
      </w:pPr>
    </w:p>
    <w:p w14:paraId="24F592F2" w14:textId="77777777" w:rsidR="003145ED" w:rsidRDefault="003145ED" w:rsidP="003145ED">
      <w:pPr>
        <w:spacing w:before="120" w:after="120"/>
        <w:ind w:left="-58"/>
        <w:jc w:val="both"/>
        <w:rPr>
          <w:b/>
          <w:bCs/>
          <w:rtl/>
        </w:rPr>
      </w:pPr>
      <w:r>
        <w:rPr>
          <w:b/>
          <w:bCs/>
          <w:rtl/>
        </w:rPr>
        <w:t>זכות ערעור כחוק תוך 45 ימים.</w:t>
      </w:r>
    </w:p>
    <w:p w14:paraId="7C1321E8" w14:textId="77777777" w:rsidR="003145ED" w:rsidRPr="000628B9" w:rsidRDefault="000628B9" w:rsidP="003145ED">
      <w:pPr>
        <w:rPr>
          <w:color w:val="FFFFFF"/>
          <w:sz w:val="2"/>
          <w:szCs w:val="2"/>
          <w:rtl/>
        </w:rPr>
      </w:pPr>
      <w:r w:rsidRPr="000628B9">
        <w:rPr>
          <w:color w:val="FFFFFF"/>
          <w:sz w:val="2"/>
          <w:szCs w:val="2"/>
          <w:rtl/>
        </w:rPr>
        <w:t>5129371</w:t>
      </w:r>
    </w:p>
    <w:p w14:paraId="0508B2E0" w14:textId="77777777" w:rsidR="003145ED" w:rsidRPr="00BF1978" w:rsidRDefault="000628B9" w:rsidP="003145ED">
      <w:pPr>
        <w:rPr>
          <w:rFonts w:cs="FrankRuehl"/>
          <w:b/>
          <w:bCs/>
          <w:sz w:val="28"/>
          <w:szCs w:val="28"/>
          <w:rtl/>
        </w:rPr>
      </w:pPr>
      <w:bookmarkStart w:id="8" w:name="Nitan"/>
      <w:r w:rsidRPr="00BF1978">
        <w:rPr>
          <w:rFonts w:ascii="Arial" w:hAnsi="Arial"/>
          <w:b/>
          <w:bCs/>
          <w:color w:val="FFFFFF"/>
          <w:sz w:val="2"/>
          <w:szCs w:val="2"/>
          <w:rtl/>
        </w:rPr>
        <w:t>54678313</w:t>
      </w:r>
      <w:r w:rsidRPr="00BF1978">
        <w:rPr>
          <w:rFonts w:ascii="Arial" w:hAnsi="Arial"/>
          <w:b/>
          <w:bCs/>
          <w:rtl/>
        </w:rPr>
        <w:t xml:space="preserve">ניתן היום,  א' שבט תש"פ, 27 ינואר 2020, במעמד הצדדים. </w:t>
      </w:r>
      <w:bookmarkEnd w:id="8"/>
    </w:p>
    <w:p w14:paraId="39C2FCF0" w14:textId="77777777" w:rsidR="003145ED" w:rsidRDefault="003145ED" w:rsidP="000628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6E5A8F" w14:textId="77777777" w:rsidR="003145ED" w:rsidRDefault="003145ED" w:rsidP="003145ED">
      <w:pPr>
        <w:jc w:val="center"/>
        <w:rPr>
          <w:rFonts w:ascii="Arial" w:hAnsi="Arial" w:cs="FrankRuehl"/>
          <w:sz w:val="28"/>
          <w:szCs w:val="28"/>
          <w:rtl/>
        </w:rPr>
      </w:pPr>
    </w:p>
    <w:p w14:paraId="0C94CB7C" w14:textId="77777777" w:rsidR="003145ED" w:rsidRDefault="003145ED" w:rsidP="003145ED">
      <w:pPr>
        <w:rPr>
          <w:rFonts w:cs="FrankRuehl"/>
          <w:sz w:val="28"/>
          <w:szCs w:val="28"/>
          <w:rtl/>
        </w:rPr>
      </w:pPr>
    </w:p>
    <w:p w14:paraId="434F1BFA" w14:textId="77777777" w:rsidR="000628B9" w:rsidRDefault="00EF3EEB" w:rsidP="000628B9">
      <w:r w:rsidRPr="00EF3EEB">
        <w:rPr>
          <w:color w:val="FFFFFF"/>
          <w:sz w:val="2"/>
          <w:szCs w:val="2"/>
          <w:rtl/>
        </w:rPr>
        <w:t>5129371</w:t>
      </w:r>
    </w:p>
    <w:p w14:paraId="4CF12E0C" w14:textId="77777777" w:rsidR="000628B9" w:rsidRDefault="000628B9" w:rsidP="000628B9">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5B804F3C" w14:textId="77777777" w:rsidR="00EF3EEB" w:rsidRPr="00EF3EEB" w:rsidRDefault="00EF3EEB" w:rsidP="00EF3EEB">
      <w:pPr>
        <w:keepNext/>
        <w:rPr>
          <w:rFonts w:ascii="David" w:hAnsi="David"/>
          <w:color w:val="000000"/>
          <w:sz w:val="22"/>
          <w:szCs w:val="22"/>
          <w:rtl/>
        </w:rPr>
      </w:pPr>
    </w:p>
    <w:p w14:paraId="646C9892" w14:textId="77777777" w:rsidR="00EF3EEB" w:rsidRPr="00EF3EEB" w:rsidRDefault="00EF3EEB" w:rsidP="00EF3EEB">
      <w:pPr>
        <w:keepNext/>
        <w:rPr>
          <w:rFonts w:ascii="David" w:hAnsi="David"/>
          <w:color w:val="000000"/>
          <w:sz w:val="22"/>
          <w:szCs w:val="22"/>
          <w:rtl/>
        </w:rPr>
      </w:pPr>
      <w:r w:rsidRPr="00EF3EEB">
        <w:rPr>
          <w:rFonts w:ascii="David" w:hAnsi="David"/>
          <w:color w:val="000000"/>
          <w:sz w:val="22"/>
          <w:szCs w:val="22"/>
          <w:rtl/>
        </w:rPr>
        <w:t>אפרת פינק 54678313-/</w:t>
      </w:r>
    </w:p>
    <w:p w14:paraId="352608D5" w14:textId="77777777" w:rsidR="000628B9" w:rsidRPr="000628B9" w:rsidRDefault="00EF3EEB" w:rsidP="00EF3EEB">
      <w:pPr>
        <w:rPr>
          <w:color w:val="0000FF"/>
          <w:u w:val="single"/>
        </w:rPr>
      </w:pPr>
      <w:r w:rsidRPr="00EF3EEB">
        <w:rPr>
          <w:color w:val="000000"/>
          <w:u w:val="single"/>
          <w:rtl/>
        </w:rPr>
        <w:t>נוסח מסמך זה כפוף לשינויי ניסוח ועריכה</w:t>
      </w:r>
    </w:p>
    <w:sectPr w:rsidR="000628B9" w:rsidRPr="000628B9" w:rsidSect="00EF3EEB">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37D7A" w14:textId="77777777" w:rsidR="009B4016" w:rsidRDefault="009B4016" w:rsidP="008F4BC0">
      <w:r>
        <w:separator/>
      </w:r>
    </w:p>
  </w:endnote>
  <w:endnote w:type="continuationSeparator" w:id="0">
    <w:p w14:paraId="716275AF" w14:textId="77777777" w:rsidR="009B4016" w:rsidRDefault="009B4016" w:rsidP="008F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49E46" w14:textId="77777777" w:rsidR="00EF3EEB" w:rsidRDefault="00EF3EEB" w:rsidP="00EF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C89508" w14:textId="77777777" w:rsidR="0072078E" w:rsidRPr="00EF3EEB" w:rsidRDefault="00EF3EEB" w:rsidP="00EF3EEB">
    <w:pPr>
      <w:pStyle w:val="a5"/>
      <w:pBdr>
        <w:top w:val="single" w:sz="4" w:space="1" w:color="auto"/>
        <w:between w:val="single" w:sz="4" w:space="0" w:color="auto"/>
      </w:pBdr>
      <w:spacing w:after="60"/>
      <w:jc w:val="center"/>
      <w:rPr>
        <w:rFonts w:ascii="FrankRuehl" w:hAnsi="FrankRuehl" w:cs="FrankRuehl"/>
        <w:color w:val="000000"/>
      </w:rPr>
    </w:pPr>
    <w:r w:rsidRPr="00EF3E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3F9C3" w14:textId="77777777" w:rsidR="00EF3EEB" w:rsidRDefault="00EF3EEB" w:rsidP="00EF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64E2">
      <w:rPr>
        <w:rFonts w:ascii="FrankRuehl" w:hAnsi="FrankRuehl" w:cs="FrankRuehl"/>
        <w:noProof/>
        <w:rtl/>
      </w:rPr>
      <w:t>1</w:t>
    </w:r>
    <w:r>
      <w:rPr>
        <w:rFonts w:ascii="FrankRuehl" w:hAnsi="FrankRuehl" w:cs="FrankRuehl"/>
        <w:rtl/>
      </w:rPr>
      <w:fldChar w:fldCharType="end"/>
    </w:r>
  </w:p>
  <w:p w14:paraId="18C19911" w14:textId="77777777" w:rsidR="0072078E" w:rsidRPr="00EF3EEB" w:rsidRDefault="00EF3EEB" w:rsidP="00EF3EEB">
    <w:pPr>
      <w:pStyle w:val="a5"/>
      <w:pBdr>
        <w:top w:val="single" w:sz="4" w:space="1" w:color="auto"/>
        <w:between w:val="single" w:sz="4" w:space="0" w:color="auto"/>
      </w:pBdr>
      <w:spacing w:after="60"/>
      <w:jc w:val="center"/>
      <w:rPr>
        <w:rFonts w:ascii="FrankRuehl" w:hAnsi="FrankRuehl" w:cs="FrankRuehl"/>
        <w:color w:val="000000"/>
      </w:rPr>
    </w:pPr>
    <w:r w:rsidRPr="00EF3EEB">
      <w:rPr>
        <w:rFonts w:ascii="FrankRuehl" w:hAnsi="FrankRuehl" w:cs="FrankRuehl"/>
        <w:color w:val="000000"/>
      </w:rPr>
      <w:pict w14:anchorId="7D87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68E7F" w14:textId="77777777" w:rsidR="009B4016" w:rsidRDefault="009B4016" w:rsidP="008F4BC0">
      <w:r>
        <w:separator/>
      </w:r>
    </w:p>
  </w:footnote>
  <w:footnote w:type="continuationSeparator" w:id="0">
    <w:p w14:paraId="43BE9E81" w14:textId="77777777" w:rsidR="009B4016" w:rsidRDefault="009B4016" w:rsidP="008F4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37651" w14:textId="77777777" w:rsidR="000628B9" w:rsidRPr="00EF3EEB" w:rsidRDefault="00EF3EEB" w:rsidP="00EF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67029-11-18</w:t>
    </w:r>
    <w:r>
      <w:rPr>
        <w:rFonts w:ascii="David" w:hAnsi="David"/>
        <w:color w:val="000000"/>
        <w:sz w:val="22"/>
        <w:szCs w:val="22"/>
        <w:rtl/>
      </w:rPr>
      <w:tab/>
      <w:t xml:space="preserve"> מדינת ישראל נ' סטניסלב סמוילוב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2AC7" w14:textId="77777777" w:rsidR="000628B9" w:rsidRPr="00EF3EEB" w:rsidRDefault="00EF3EEB" w:rsidP="00EF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67029-11-18</w:t>
    </w:r>
    <w:r>
      <w:rPr>
        <w:rFonts w:ascii="David" w:hAnsi="David"/>
        <w:color w:val="000000"/>
        <w:sz w:val="22"/>
        <w:szCs w:val="22"/>
        <w:rtl/>
      </w:rPr>
      <w:tab/>
      <w:t xml:space="preserve"> מדינת ישראל נ' סטניסלב סמוילוב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2800FDE"/>
    <w:multiLevelType w:val="hybridMultilevel"/>
    <w:tmpl w:val="BA4814BC"/>
    <w:lvl w:ilvl="0" w:tplc="9FC00BCA">
      <w:numFmt w:val="bullet"/>
      <w:lvlText w:val="-"/>
      <w:lvlJc w:val="left"/>
      <w:pPr>
        <w:ind w:left="869" w:hanging="360"/>
      </w:pPr>
      <w:rPr>
        <w:rFonts w:ascii="David" w:eastAsia="Calibri" w:hAnsi="David" w:cs="David" w:hint="default"/>
        <w:b w:val="0"/>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3" w15:restartNumberingAfterBreak="0">
    <w:nsid w:val="7A9455D5"/>
    <w:multiLevelType w:val="hybridMultilevel"/>
    <w:tmpl w:val="FBA8F156"/>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2809195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8040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9491425">
    <w:abstractNumId w:val="1"/>
  </w:num>
  <w:num w:numId="4" w16cid:durableId="984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45ED"/>
    <w:rsid w:val="000628B9"/>
    <w:rsid w:val="001623E4"/>
    <w:rsid w:val="003145ED"/>
    <w:rsid w:val="00323F3D"/>
    <w:rsid w:val="006E4951"/>
    <w:rsid w:val="00706A22"/>
    <w:rsid w:val="0072078E"/>
    <w:rsid w:val="008F4BC0"/>
    <w:rsid w:val="009264E2"/>
    <w:rsid w:val="009B4016"/>
    <w:rsid w:val="00AD7222"/>
    <w:rsid w:val="00BF1978"/>
    <w:rsid w:val="00CB63BD"/>
    <w:rsid w:val="00EF3EEB"/>
    <w:rsid w:val="00F62813"/>
    <w:rsid w:val="00FA29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AFB75"/>
  <w15:chartTrackingRefBased/>
  <w15:docId w15:val="{F5802706-D496-428C-9057-E983CDD9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45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45ED"/>
    <w:pPr>
      <w:tabs>
        <w:tab w:val="center" w:pos="4153"/>
        <w:tab w:val="right" w:pos="8306"/>
      </w:tabs>
    </w:pPr>
  </w:style>
  <w:style w:type="character" w:customStyle="1" w:styleId="a4">
    <w:name w:val="כותרת עליונה תו"/>
    <w:link w:val="a3"/>
    <w:rsid w:val="003145ED"/>
    <w:rPr>
      <w:rFonts w:ascii="Times New Roman" w:eastAsia="Times New Roman" w:hAnsi="Times New Roman" w:cs="David"/>
      <w:sz w:val="24"/>
      <w:szCs w:val="24"/>
    </w:rPr>
  </w:style>
  <w:style w:type="paragraph" w:styleId="a5">
    <w:name w:val="footer"/>
    <w:basedOn w:val="a"/>
    <w:link w:val="a6"/>
    <w:rsid w:val="003145ED"/>
    <w:pPr>
      <w:tabs>
        <w:tab w:val="center" w:pos="4153"/>
        <w:tab w:val="right" w:pos="8306"/>
      </w:tabs>
    </w:pPr>
  </w:style>
  <w:style w:type="character" w:customStyle="1" w:styleId="a6">
    <w:name w:val="כותרת תחתונה תו"/>
    <w:link w:val="a5"/>
    <w:rsid w:val="003145ED"/>
    <w:rPr>
      <w:rFonts w:ascii="Times New Roman" w:eastAsia="Times New Roman" w:hAnsi="Times New Roman" w:cs="David"/>
      <w:sz w:val="24"/>
      <w:szCs w:val="24"/>
    </w:rPr>
  </w:style>
  <w:style w:type="table" w:styleId="a7">
    <w:name w:val="Table Grid"/>
    <w:basedOn w:val="a1"/>
    <w:rsid w:val="003145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45ED"/>
  </w:style>
  <w:style w:type="character" w:customStyle="1" w:styleId="ListParagraphChar">
    <w:name w:val="List Paragraph Char"/>
    <w:link w:val="ListParagraph"/>
    <w:locked/>
    <w:rsid w:val="003145ED"/>
  </w:style>
  <w:style w:type="paragraph" w:customStyle="1" w:styleId="ListParagraph">
    <w:name w:val="List Paragraph"/>
    <w:basedOn w:val="a"/>
    <w:link w:val="ListParagraphChar"/>
    <w:qFormat/>
    <w:rsid w:val="003145ED"/>
    <w:pPr>
      <w:spacing w:after="160" w:line="256" w:lineRule="auto"/>
      <w:ind w:left="720"/>
      <w:contextualSpacing/>
    </w:pPr>
    <w:rPr>
      <w:rFonts w:ascii="Calibri" w:eastAsia="Calibri" w:hAnsi="Calibri" w:cs="Arial"/>
      <w:sz w:val="22"/>
      <w:szCs w:val="22"/>
    </w:rPr>
  </w:style>
  <w:style w:type="character" w:styleId="Hyperlink">
    <w:name w:val="Hyperlink"/>
    <w:rsid w:val="000628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19a" TargetMode="External"/><Relationship Id="rId42" Type="http://schemas.openxmlformats.org/officeDocument/2006/relationships/hyperlink" Target="http://www.nevo.co.il/law/4216/19a" TargetMode="External"/><Relationship Id="rId47" Type="http://schemas.openxmlformats.org/officeDocument/2006/relationships/hyperlink" Target="http://www.nevo.co.il/case/20683594" TargetMode="External"/><Relationship Id="rId63" Type="http://schemas.openxmlformats.org/officeDocument/2006/relationships/hyperlink" Target="http://www.nevo.co.il/law/4216"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13"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case/20033641" TargetMode="External"/><Relationship Id="rId53" Type="http://schemas.openxmlformats.org/officeDocument/2006/relationships/hyperlink" Target="http://www.nevo.co.il/case/5576554" TargetMode="External"/><Relationship Id="rId58" Type="http://schemas.openxmlformats.org/officeDocument/2006/relationships/hyperlink" Target="http://www.nevo.co.il/case/23360870"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0262809"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4216/13" TargetMode="External"/><Relationship Id="rId43" Type="http://schemas.openxmlformats.org/officeDocument/2006/relationships/hyperlink" Target="http://www.nevo.co.il/law/4216" TargetMode="External"/><Relationship Id="rId48" Type="http://schemas.openxmlformats.org/officeDocument/2006/relationships/hyperlink" Target="http://www.nevo.co.il/case/5583030" TargetMode="External"/><Relationship Id="rId56" Type="http://schemas.openxmlformats.org/officeDocument/2006/relationships/hyperlink" Target="http://www.nevo.co.il/case/8448705" TargetMode="External"/><Relationship Id="rId64" Type="http://schemas.openxmlformats.org/officeDocument/2006/relationships/hyperlink" Target="http://www.nevo.co.il/law/4216"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2536268"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21472796" TargetMode="External"/><Relationship Id="rId59" Type="http://schemas.openxmlformats.org/officeDocument/2006/relationships/hyperlink" Target="http://www.nevo.co.il/case/2380386" TargetMode="External"/><Relationship Id="rId67"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law/4216/13" TargetMode="External"/><Relationship Id="rId54" Type="http://schemas.openxmlformats.org/officeDocument/2006/relationships/hyperlink" Target="http://www.nevo.co.il/case/22963299" TargetMode="External"/><Relationship Id="rId62" Type="http://schemas.openxmlformats.org/officeDocument/2006/relationships/hyperlink" Target="http://www.nevo.co.il/case/5946145"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19a" TargetMode="External"/><Relationship Id="rId49" Type="http://schemas.openxmlformats.org/officeDocument/2006/relationships/hyperlink" Target="http://www.nevo.co.il/case/5738608" TargetMode="External"/><Relationship Id="rId57" Type="http://schemas.openxmlformats.org/officeDocument/2006/relationships/hyperlink" Target="http://www.nevo.co.il/case/25664174"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case/21477472" TargetMode="External"/><Relationship Id="rId60" Type="http://schemas.openxmlformats.org/officeDocument/2006/relationships/hyperlink" Target="http://www.nevo.co.il/case/25022775"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3"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4216/19a"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786821" TargetMode="External"/><Relationship Id="rId55" Type="http://schemas.openxmlformats.org/officeDocument/2006/relationships/hyperlink" Target="http://www.nevo.co.il/case/217536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3837</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22979</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3473535</vt:i4>
      </vt:variant>
      <vt:variant>
        <vt:i4>165</vt:i4>
      </vt:variant>
      <vt:variant>
        <vt:i4>0</vt:i4>
      </vt:variant>
      <vt:variant>
        <vt:i4>5</vt:i4>
      </vt:variant>
      <vt:variant>
        <vt:lpwstr>http://www.nevo.co.il/case/5946145</vt:lpwstr>
      </vt:variant>
      <vt:variant>
        <vt:lpwstr/>
      </vt:variant>
      <vt:variant>
        <vt:i4>3276922</vt:i4>
      </vt:variant>
      <vt:variant>
        <vt:i4>162</vt:i4>
      </vt:variant>
      <vt:variant>
        <vt:i4>0</vt:i4>
      </vt:variant>
      <vt:variant>
        <vt:i4>5</vt:i4>
      </vt:variant>
      <vt:variant>
        <vt:lpwstr>http://www.nevo.co.il/case/20262809</vt:lpwstr>
      </vt:variant>
      <vt:variant>
        <vt:lpwstr/>
      </vt:variant>
      <vt:variant>
        <vt:i4>3604596</vt:i4>
      </vt:variant>
      <vt:variant>
        <vt:i4>159</vt:i4>
      </vt:variant>
      <vt:variant>
        <vt:i4>0</vt:i4>
      </vt:variant>
      <vt:variant>
        <vt:i4>5</vt:i4>
      </vt:variant>
      <vt:variant>
        <vt:lpwstr>http://www.nevo.co.il/case/25022775</vt:lpwstr>
      </vt:variant>
      <vt:variant>
        <vt:lpwstr/>
      </vt:variant>
      <vt:variant>
        <vt:i4>4128895</vt:i4>
      </vt:variant>
      <vt:variant>
        <vt:i4>156</vt:i4>
      </vt:variant>
      <vt:variant>
        <vt:i4>0</vt:i4>
      </vt:variant>
      <vt:variant>
        <vt:i4>5</vt:i4>
      </vt:variant>
      <vt:variant>
        <vt:lpwstr>http://www.nevo.co.il/case/2380386</vt:lpwstr>
      </vt:variant>
      <vt:variant>
        <vt:lpwstr/>
      </vt:variant>
      <vt:variant>
        <vt:i4>3539065</vt:i4>
      </vt:variant>
      <vt:variant>
        <vt:i4>153</vt:i4>
      </vt:variant>
      <vt:variant>
        <vt:i4>0</vt:i4>
      </vt:variant>
      <vt:variant>
        <vt:i4>5</vt:i4>
      </vt:variant>
      <vt:variant>
        <vt:lpwstr>http://www.nevo.co.il/case/23360870</vt:lpwstr>
      </vt:variant>
      <vt:variant>
        <vt:lpwstr/>
      </vt:variant>
      <vt:variant>
        <vt:i4>3604598</vt:i4>
      </vt:variant>
      <vt:variant>
        <vt:i4>150</vt:i4>
      </vt:variant>
      <vt:variant>
        <vt:i4>0</vt:i4>
      </vt:variant>
      <vt:variant>
        <vt:i4>5</vt:i4>
      </vt:variant>
      <vt:variant>
        <vt:lpwstr>http://www.nevo.co.il/case/25664174</vt:lpwstr>
      </vt:variant>
      <vt:variant>
        <vt:lpwstr/>
      </vt:variant>
      <vt:variant>
        <vt:i4>4063352</vt:i4>
      </vt:variant>
      <vt:variant>
        <vt:i4>147</vt:i4>
      </vt:variant>
      <vt:variant>
        <vt:i4>0</vt:i4>
      </vt:variant>
      <vt:variant>
        <vt:i4>5</vt:i4>
      </vt:variant>
      <vt:variant>
        <vt:lpwstr>http://www.nevo.co.il/case/8448705</vt:lpwstr>
      </vt:variant>
      <vt:variant>
        <vt:lpwstr/>
      </vt:variant>
      <vt:variant>
        <vt:i4>3145846</vt:i4>
      </vt:variant>
      <vt:variant>
        <vt:i4>144</vt:i4>
      </vt:variant>
      <vt:variant>
        <vt:i4>0</vt:i4>
      </vt:variant>
      <vt:variant>
        <vt:i4>5</vt:i4>
      </vt:variant>
      <vt:variant>
        <vt:lpwstr>http://www.nevo.co.il/case/21753662</vt:lpwstr>
      </vt:variant>
      <vt:variant>
        <vt:lpwstr/>
      </vt:variant>
      <vt:variant>
        <vt:i4>3211378</vt:i4>
      </vt:variant>
      <vt:variant>
        <vt:i4>141</vt:i4>
      </vt:variant>
      <vt:variant>
        <vt:i4>0</vt:i4>
      </vt:variant>
      <vt:variant>
        <vt:i4>5</vt:i4>
      </vt:variant>
      <vt:variant>
        <vt:lpwstr>http://www.nevo.co.il/case/22963299</vt:lpwstr>
      </vt:variant>
      <vt:variant>
        <vt:lpwstr/>
      </vt:variant>
      <vt:variant>
        <vt:i4>3342450</vt:i4>
      </vt:variant>
      <vt:variant>
        <vt:i4>138</vt:i4>
      </vt:variant>
      <vt:variant>
        <vt:i4>0</vt:i4>
      </vt:variant>
      <vt:variant>
        <vt:i4>5</vt:i4>
      </vt:variant>
      <vt:variant>
        <vt:lpwstr>http://www.nevo.co.il/case/5576554</vt:lpwstr>
      </vt:variant>
      <vt:variant>
        <vt:lpwstr/>
      </vt:variant>
      <vt:variant>
        <vt:i4>3539062</vt:i4>
      </vt:variant>
      <vt:variant>
        <vt:i4>135</vt:i4>
      </vt:variant>
      <vt:variant>
        <vt:i4>0</vt:i4>
      </vt:variant>
      <vt:variant>
        <vt:i4>5</vt:i4>
      </vt:variant>
      <vt:variant>
        <vt:lpwstr>http://www.nevo.co.il/case/21477472</vt:lpwstr>
      </vt:variant>
      <vt:variant>
        <vt:lpwstr/>
      </vt:variant>
      <vt:variant>
        <vt:i4>3604599</vt:i4>
      </vt:variant>
      <vt:variant>
        <vt:i4>132</vt:i4>
      </vt:variant>
      <vt:variant>
        <vt:i4>0</vt:i4>
      </vt:variant>
      <vt:variant>
        <vt:i4>5</vt:i4>
      </vt:variant>
      <vt:variant>
        <vt:lpwstr>http://www.nevo.co.il/case/22536268</vt:lpwstr>
      </vt:variant>
      <vt:variant>
        <vt:lpwstr/>
      </vt:variant>
      <vt:variant>
        <vt:i4>3407991</vt:i4>
      </vt:variant>
      <vt:variant>
        <vt:i4>129</vt:i4>
      </vt:variant>
      <vt:variant>
        <vt:i4>0</vt:i4>
      </vt:variant>
      <vt:variant>
        <vt:i4>5</vt:i4>
      </vt:variant>
      <vt:variant>
        <vt:lpwstr>http://www.nevo.co.il/case/5786821</vt:lpwstr>
      </vt:variant>
      <vt:variant>
        <vt:lpwstr/>
      </vt:variant>
      <vt:variant>
        <vt:i4>3670139</vt:i4>
      </vt:variant>
      <vt:variant>
        <vt:i4>126</vt:i4>
      </vt:variant>
      <vt:variant>
        <vt:i4>0</vt:i4>
      </vt:variant>
      <vt:variant>
        <vt:i4>5</vt:i4>
      </vt:variant>
      <vt:variant>
        <vt:lpwstr>http://www.nevo.co.il/case/5738608</vt:lpwstr>
      </vt:variant>
      <vt:variant>
        <vt:lpwstr/>
      </vt:variant>
      <vt:variant>
        <vt:i4>3997809</vt:i4>
      </vt:variant>
      <vt:variant>
        <vt:i4>123</vt:i4>
      </vt:variant>
      <vt:variant>
        <vt:i4>0</vt:i4>
      </vt:variant>
      <vt:variant>
        <vt:i4>5</vt:i4>
      </vt:variant>
      <vt:variant>
        <vt:lpwstr>http://www.nevo.co.il/case/5583030</vt:lpwstr>
      </vt:variant>
      <vt:variant>
        <vt:lpwstr/>
      </vt:variant>
      <vt:variant>
        <vt:i4>4063353</vt:i4>
      </vt:variant>
      <vt:variant>
        <vt:i4>120</vt:i4>
      </vt:variant>
      <vt:variant>
        <vt:i4>0</vt:i4>
      </vt:variant>
      <vt:variant>
        <vt:i4>5</vt:i4>
      </vt:variant>
      <vt:variant>
        <vt:lpwstr>http://www.nevo.co.il/case/20683594</vt:lpwstr>
      </vt:variant>
      <vt:variant>
        <vt:lpwstr/>
      </vt:variant>
      <vt:variant>
        <vt:i4>3997813</vt:i4>
      </vt:variant>
      <vt:variant>
        <vt:i4>117</vt:i4>
      </vt:variant>
      <vt:variant>
        <vt:i4>0</vt:i4>
      </vt:variant>
      <vt:variant>
        <vt:i4>5</vt:i4>
      </vt:variant>
      <vt:variant>
        <vt:lpwstr>http://www.nevo.co.il/case/21472796</vt:lpwstr>
      </vt:variant>
      <vt:variant>
        <vt:lpwstr/>
      </vt:variant>
      <vt:variant>
        <vt:i4>3473521</vt:i4>
      </vt:variant>
      <vt:variant>
        <vt:i4>114</vt:i4>
      </vt:variant>
      <vt:variant>
        <vt:i4>0</vt:i4>
      </vt:variant>
      <vt:variant>
        <vt:i4>5</vt:i4>
      </vt:variant>
      <vt:variant>
        <vt:lpwstr>http://www.nevo.co.il/case/20033641</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8257637</vt:i4>
      </vt:variant>
      <vt:variant>
        <vt:i4>108</vt:i4>
      </vt:variant>
      <vt:variant>
        <vt:i4>0</vt:i4>
      </vt:variant>
      <vt:variant>
        <vt:i4>5</vt:i4>
      </vt:variant>
      <vt:variant>
        <vt:lpwstr>http://www.nevo.co.il/law/4216</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8257637</vt:i4>
      </vt:variant>
      <vt:variant>
        <vt:i4>99</vt:i4>
      </vt:variant>
      <vt:variant>
        <vt:i4>0</vt:i4>
      </vt:variant>
      <vt:variant>
        <vt:i4>5</vt:i4>
      </vt:variant>
      <vt:variant>
        <vt:lpwstr>http://www.nevo.co.il/law/4216</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8257637</vt:i4>
      </vt:variant>
      <vt:variant>
        <vt:i4>90</vt:i4>
      </vt:variant>
      <vt:variant>
        <vt:i4>0</vt:i4>
      </vt:variant>
      <vt:variant>
        <vt:i4>5</vt:i4>
      </vt:variant>
      <vt:variant>
        <vt:lpwstr>http://www.nevo.co.il/law/4216</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6684772</vt:i4>
      </vt:variant>
      <vt:variant>
        <vt:i4>66</vt:i4>
      </vt:variant>
      <vt:variant>
        <vt:i4>0</vt:i4>
      </vt:variant>
      <vt:variant>
        <vt:i4>5</vt:i4>
      </vt:variant>
      <vt:variant>
        <vt:lpwstr>http://www.nevo.co.il/law/70301/13</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6684772</vt:i4>
      </vt:variant>
      <vt:variant>
        <vt:i4>18</vt:i4>
      </vt:variant>
      <vt:variant>
        <vt:i4>0</vt:i4>
      </vt:variant>
      <vt:variant>
        <vt:i4>5</vt:i4>
      </vt:variant>
      <vt:variant>
        <vt:lpwstr>http://www.nevo.co.il/law/70301/13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67029</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סטניסלב סמוילוב</vt:lpwstr>
  </property>
  <property fmtid="{D5CDD505-2E9C-101B-9397-08002B2CF9AE}" pid="10" name="LAWYER">
    <vt:lpwstr>ארז נגה;שרית מרום</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20200127</vt:lpwstr>
  </property>
  <property fmtid="{D5CDD505-2E9C-101B-9397-08002B2CF9AE}" pid="14" name="TYPE_N_DATE">
    <vt:lpwstr>38020200127</vt:lpwstr>
  </property>
  <property fmtid="{D5CDD505-2E9C-101B-9397-08002B2CF9AE}" pid="15" name="WORDNUMPAGES">
    <vt:lpwstr>10</vt:lpwstr>
  </property>
  <property fmtid="{D5CDD505-2E9C-101B-9397-08002B2CF9AE}" pid="16" name="TYPE_ABS_DATE">
    <vt:lpwstr>380120200127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13093721;20033641;21472796;20683594;5583030;5738608;5786821;22536268;21477472;5576554;22963299;21753662;8448705;25664174;23360870;2380386;25022775;20262809;5946145</vt:lpwstr>
  </property>
  <property fmtid="{D5CDD505-2E9C-101B-9397-08002B2CF9AE}" pid="36" name="LAWLISTTMP1">
    <vt:lpwstr>4216/007.a;007.c;013:7;019a:8</vt:lpwstr>
  </property>
  <property fmtid="{D5CDD505-2E9C-101B-9397-08002B2CF9AE}" pid="37" name="LAWLISTTMP2">
    <vt:lpwstr>70301/144.a;013</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20200325</vt:lpwstr>
  </property>
  <property fmtid="{D5CDD505-2E9C-101B-9397-08002B2CF9AE}" pid="72" name="METAKZER">
    <vt:lpwstr>עומרי</vt:lpwstr>
  </property>
</Properties>
</file>