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771BC2" w:rsidRPr="00771BC2" w14:paraId="7440E70A" w14:textId="77777777" w:rsidTr="00A75B2E">
        <w:trPr>
          <w:trHeight w:hRule="exact" w:val="418"/>
          <w:jc w:val="center"/>
        </w:trPr>
        <w:tc>
          <w:tcPr>
            <w:tcW w:w="8720" w:type="dxa"/>
            <w:gridSpan w:val="3"/>
          </w:tcPr>
          <w:p w14:paraId="70AB3C9B" w14:textId="77777777" w:rsidR="00771BC2" w:rsidRPr="00771BC2" w:rsidRDefault="00771BC2" w:rsidP="00A75B2E">
            <w:pPr>
              <w:pStyle w:val="a3"/>
              <w:tabs>
                <w:tab w:val="clear" w:pos="8306"/>
              </w:tabs>
              <w:jc w:val="center"/>
              <w:rPr>
                <w:rFonts w:ascii="Tahoma" w:hAnsi="Tahoma" w:cs="Tahoma"/>
                <w:b/>
                <w:bCs/>
                <w:color w:val="000080"/>
                <w:sz w:val="20"/>
                <w:szCs w:val="20"/>
                <w:rtl/>
              </w:rPr>
            </w:pPr>
            <w:bookmarkStart w:id="0" w:name="LastJudge"/>
            <w:r w:rsidRPr="00771BC2">
              <w:rPr>
                <w:rFonts w:ascii="Tahoma" w:hAnsi="Tahoma" w:cs="Tahoma"/>
                <w:b/>
                <w:bCs/>
                <w:color w:val="000080"/>
                <w:sz w:val="20"/>
                <w:szCs w:val="20"/>
                <w:rtl/>
              </w:rPr>
              <w:t>בית משפט השלום בחיפה</w:t>
            </w:r>
          </w:p>
        </w:tc>
      </w:tr>
      <w:tr w:rsidR="00771BC2" w:rsidRPr="00771BC2" w14:paraId="1ECEFD31" w14:textId="77777777" w:rsidTr="00A75B2E">
        <w:trPr>
          <w:trHeight w:val="337"/>
          <w:jc w:val="center"/>
        </w:trPr>
        <w:tc>
          <w:tcPr>
            <w:tcW w:w="3973" w:type="dxa"/>
          </w:tcPr>
          <w:p w14:paraId="78EC57A6" w14:textId="77777777" w:rsidR="00771BC2" w:rsidRPr="00771BC2" w:rsidRDefault="00771BC2" w:rsidP="00A75B2E">
            <w:pPr>
              <w:rPr>
                <w:b/>
                <w:bCs/>
                <w:sz w:val="26"/>
                <w:szCs w:val="26"/>
                <w:rtl/>
              </w:rPr>
            </w:pPr>
            <w:r w:rsidRPr="00771BC2">
              <w:rPr>
                <w:b/>
                <w:bCs/>
                <w:sz w:val="26"/>
                <w:szCs w:val="26"/>
                <w:rtl/>
              </w:rPr>
              <w:t>ת"פ 69202-11-18 מדינת ישראל נ' אלקיים</w:t>
            </w:r>
          </w:p>
          <w:p w14:paraId="1DEB8699" w14:textId="77777777" w:rsidR="00771BC2" w:rsidRPr="00771BC2" w:rsidRDefault="00771BC2" w:rsidP="00A75B2E">
            <w:pPr>
              <w:rPr>
                <w:b/>
                <w:bCs/>
                <w:sz w:val="26"/>
                <w:szCs w:val="26"/>
                <w:rtl/>
              </w:rPr>
            </w:pPr>
          </w:p>
        </w:tc>
        <w:tc>
          <w:tcPr>
            <w:tcW w:w="1068" w:type="dxa"/>
          </w:tcPr>
          <w:p w14:paraId="6F9768D5" w14:textId="77777777" w:rsidR="00771BC2" w:rsidRPr="00771BC2" w:rsidRDefault="00771BC2" w:rsidP="00A75B2E">
            <w:pPr>
              <w:pStyle w:val="a3"/>
              <w:jc w:val="right"/>
              <w:rPr>
                <w:b/>
                <w:bCs/>
                <w:sz w:val="26"/>
                <w:szCs w:val="26"/>
                <w:rtl/>
              </w:rPr>
            </w:pPr>
          </w:p>
        </w:tc>
        <w:tc>
          <w:tcPr>
            <w:tcW w:w="3679" w:type="dxa"/>
          </w:tcPr>
          <w:p w14:paraId="1E9D97A3" w14:textId="77777777" w:rsidR="00771BC2" w:rsidRPr="00771BC2" w:rsidRDefault="00771BC2" w:rsidP="00A75B2E">
            <w:pPr>
              <w:pStyle w:val="a3"/>
              <w:tabs>
                <w:tab w:val="clear" w:pos="4153"/>
              </w:tabs>
              <w:jc w:val="right"/>
              <w:rPr>
                <w:b/>
                <w:bCs/>
                <w:sz w:val="26"/>
                <w:szCs w:val="26"/>
                <w:rtl/>
              </w:rPr>
            </w:pPr>
            <w:r w:rsidRPr="00771BC2">
              <w:rPr>
                <w:b/>
                <w:bCs/>
                <w:sz w:val="26"/>
                <w:szCs w:val="26"/>
                <w:rtl/>
              </w:rPr>
              <w:t>11 מאי 2020</w:t>
            </w:r>
          </w:p>
        </w:tc>
      </w:tr>
    </w:tbl>
    <w:p w14:paraId="05D40464" w14:textId="77777777" w:rsidR="00771BC2" w:rsidRPr="00771BC2" w:rsidRDefault="00771BC2" w:rsidP="00771BC2">
      <w:pPr>
        <w:pStyle w:val="a3"/>
        <w:jc w:val="center"/>
        <w:rPr>
          <w:rFonts w:ascii="Tahoma" w:hAnsi="Tahoma" w:cs="Tahoma"/>
          <w:b/>
          <w:bCs/>
          <w:color w:val="000080"/>
          <w:sz w:val="20"/>
          <w:szCs w:val="20"/>
          <w:rtl/>
        </w:rPr>
      </w:pPr>
    </w:p>
    <w:p w14:paraId="31B91DA9" w14:textId="77777777" w:rsidR="00817B75" w:rsidRPr="00771BC2" w:rsidRDefault="00817B75">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771BC2" w:rsidRPr="00771BC2" w14:paraId="0F1C2E00" w14:textId="77777777" w:rsidTr="00A75B2E">
        <w:trPr>
          <w:trHeight w:val="337"/>
          <w:jc w:val="center"/>
        </w:trPr>
        <w:tc>
          <w:tcPr>
            <w:tcW w:w="1592" w:type="dxa"/>
          </w:tcPr>
          <w:p w14:paraId="25B3B21D" w14:textId="77777777" w:rsidR="00771BC2" w:rsidRPr="00771BC2" w:rsidRDefault="00771BC2" w:rsidP="00A75B2E">
            <w:pPr>
              <w:pStyle w:val="a3"/>
              <w:bidi w:val="0"/>
              <w:spacing w:line="360" w:lineRule="auto"/>
              <w:jc w:val="both"/>
            </w:pPr>
          </w:p>
        </w:tc>
        <w:tc>
          <w:tcPr>
            <w:tcW w:w="7128" w:type="dxa"/>
          </w:tcPr>
          <w:p w14:paraId="79C4D494" w14:textId="77777777" w:rsidR="00771BC2" w:rsidRPr="00771BC2" w:rsidRDefault="00771BC2" w:rsidP="00A75B2E">
            <w:pPr>
              <w:pStyle w:val="a3"/>
              <w:jc w:val="right"/>
              <w:rPr>
                <w:b/>
                <w:bCs/>
                <w:sz w:val="26"/>
                <w:szCs w:val="26"/>
                <w:rtl/>
              </w:rPr>
            </w:pPr>
            <w:r w:rsidRPr="00771BC2">
              <w:rPr>
                <w:b/>
                <w:bCs/>
                <w:sz w:val="26"/>
                <w:szCs w:val="26"/>
                <w:rtl/>
              </w:rPr>
              <w:t>69237-11-18</w:t>
            </w:r>
          </w:p>
        </w:tc>
      </w:tr>
    </w:tbl>
    <w:p w14:paraId="471D6FC5" w14:textId="77777777" w:rsidR="00771BC2" w:rsidRPr="00771BC2" w:rsidRDefault="00771BC2" w:rsidP="00771BC2">
      <w:pPr>
        <w:spacing w:line="360" w:lineRule="auto"/>
        <w:jc w:val="both"/>
        <w:rPr>
          <w:rFonts w:ascii="Arial" w:hAnsi="Arial"/>
          <w:rtl/>
        </w:rPr>
      </w:pPr>
    </w:p>
    <w:p w14:paraId="4F55B421" w14:textId="77777777" w:rsidR="00817B75" w:rsidRPr="00771BC2" w:rsidRDefault="00817B75">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771BC2" w:rsidRPr="00771BC2" w14:paraId="70BFEC03" w14:textId="77777777" w:rsidTr="00A75B2E">
        <w:trPr>
          <w:gridAfter w:val="1"/>
          <w:wAfter w:w="55" w:type="dxa"/>
        </w:trPr>
        <w:tc>
          <w:tcPr>
            <w:tcW w:w="8719" w:type="dxa"/>
            <w:gridSpan w:val="2"/>
          </w:tcPr>
          <w:p w14:paraId="25EC2E7B" w14:textId="77777777" w:rsidR="00771BC2" w:rsidRPr="00771BC2" w:rsidRDefault="00771BC2" w:rsidP="00A75B2E">
            <w:pPr>
              <w:spacing w:line="360" w:lineRule="auto"/>
              <w:jc w:val="both"/>
              <w:rPr>
                <w:rFonts w:ascii="Times New Roman" w:hAnsi="Times New Roman"/>
                <w:b/>
                <w:bCs/>
                <w:sz w:val="26"/>
                <w:szCs w:val="26"/>
                <w:rtl/>
              </w:rPr>
            </w:pPr>
            <w:r w:rsidRPr="00771BC2">
              <w:rPr>
                <w:rFonts w:ascii="Times New Roman" w:hAnsi="Times New Roman"/>
                <w:b/>
                <w:bCs/>
                <w:sz w:val="26"/>
                <w:szCs w:val="26"/>
                <w:rtl/>
              </w:rPr>
              <w:t>בפני כב' השופטת אורית קנטור, שופטת בכירה</w:t>
            </w:r>
          </w:p>
        </w:tc>
      </w:tr>
      <w:tr w:rsidR="00771BC2" w:rsidRPr="00771BC2" w14:paraId="1951A1D9" w14:textId="77777777" w:rsidTr="00A75B2E">
        <w:tc>
          <w:tcPr>
            <w:tcW w:w="2880" w:type="dxa"/>
          </w:tcPr>
          <w:p w14:paraId="0DCE2C4C" w14:textId="77777777" w:rsidR="00771BC2" w:rsidRPr="00771BC2" w:rsidRDefault="00771BC2" w:rsidP="00A75B2E">
            <w:pPr>
              <w:ind w:left="26"/>
              <w:rPr>
                <w:rFonts w:ascii="Times New Roman" w:hAnsi="Times New Roman"/>
                <w:b/>
                <w:bCs/>
                <w:sz w:val="26"/>
                <w:szCs w:val="26"/>
                <w:rtl/>
              </w:rPr>
            </w:pPr>
            <w:bookmarkStart w:id="1" w:name="FirstAppellant"/>
            <w:r w:rsidRPr="00771BC2">
              <w:rPr>
                <w:rFonts w:ascii="Times New Roman" w:hAnsi="Times New Roman"/>
                <w:b/>
                <w:bCs/>
                <w:sz w:val="26"/>
                <w:szCs w:val="26"/>
                <w:rtl/>
              </w:rPr>
              <w:t>המאשימה</w:t>
            </w:r>
          </w:p>
        </w:tc>
        <w:tc>
          <w:tcPr>
            <w:tcW w:w="5922" w:type="dxa"/>
            <w:gridSpan w:val="2"/>
          </w:tcPr>
          <w:p w14:paraId="3986272B" w14:textId="77777777" w:rsidR="00771BC2" w:rsidRPr="00771BC2" w:rsidRDefault="00771BC2" w:rsidP="00A75B2E">
            <w:pPr>
              <w:rPr>
                <w:rFonts w:ascii="Times New Roman" w:hAnsi="Times New Roman"/>
              </w:rPr>
            </w:pPr>
            <w:r w:rsidRPr="00771BC2">
              <w:rPr>
                <w:rFonts w:ascii="Times New Roman" w:hAnsi="Times New Roman"/>
                <w:b/>
                <w:bCs/>
                <w:sz w:val="26"/>
                <w:szCs w:val="26"/>
                <w:rtl/>
              </w:rPr>
              <w:t xml:space="preserve">  מדינת ישראל מדינת ישראל   </w:t>
            </w:r>
          </w:p>
          <w:p w14:paraId="6A996201" w14:textId="77777777" w:rsidR="00771BC2" w:rsidRPr="00771BC2" w:rsidRDefault="00771BC2" w:rsidP="00A75B2E">
            <w:pPr>
              <w:rPr>
                <w:rFonts w:ascii="Times New Roman" w:hAnsi="Times New Roman"/>
                <w:b/>
                <w:bCs/>
                <w:sz w:val="26"/>
                <w:szCs w:val="26"/>
                <w:rtl/>
              </w:rPr>
            </w:pPr>
          </w:p>
        </w:tc>
      </w:tr>
      <w:bookmarkEnd w:id="1"/>
      <w:tr w:rsidR="00771BC2" w:rsidRPr="00771BC2" w14:paraId="0596CEBD" w14:textId="77777777" w:rsidTr="00A75B2E">
        <w:tc>
          <w:tcPr>
            <w:tcW w:w="8802" w:type="dxa"/>
            <w:gridSpan w:val="3"/>
          </w:tcPr>
          <w:p w14:paraId="6BBAC15E" w14:textId="77777777" w:rsidR="00771BC2" w:rsidRPr="00771BC2" w:rsidRDefault="00771BC2" w:rsidP="00A75B2E">
            <w:pPr>
              <w:jc w:val="both"/>
              <w:rPr>
                <w:rFonts w:ascii="Arial" w:hAnsi="Arial"/>
                <w:b/>
                <w:bCs/>
                <w:sz w:val="26"/>
                <w:szCs w:val="26"/>
                <w:rtl/>
              </w:rPr>
            </w:pPr>
          </w:p>
          <w:p w14:paraId="7699348C" w14:textId="77777777" w:rsidR="00771BC2" w:rsidRPr="00771BC2" w:rsidRDefault="00771BC2" w:rsidP="00A75B2E">
            <w:pPr>
              <w:jc w:val="center"/>
              <w:rPr>
                <w:rFonts w:ascii="Arial" w:hAnsi="Arial"/>
                <w:b/>
                <w:bCs/>
                <w:sz w:val="26"/>
                <w:szCs w:val="26"/>
                <w:rtl/>
              </w:rPr>
            </w:pPr>
            <w:r w:rsidRPr="00771BC2">
              <w:rPr>
                <w:rFonts w:ascii="Arial" w:hAnsi="Arial"/>
                <w:b/>
                <w:bCs/>
                <w:sz w:val="26"/>
                <w:szCs w:val="26"/>
                <w:rtl/>
              </w:rPr>
              <w:t>נגד</w:t>
            </w:r>
          </w:p>
          <w:p w14:paraId="6E81D35F" w14:textId="77777777" w:rsidR="00771BC2" w:rsidRPr="00771BC2" w:rsidRDefault="00771BC2" w:rsidP="00A75B2E">
            <w:pPr>
              <w:jc w:val="center"/>
              <w:rPr>
                <w:rFonts w:ascii="Arial" w:hAnsi="Arial"/>
                <w:b/>
                <w:bCs/>
                <w:sz w:val="26"/>
                <w:szCs w:val="26"/>
              </w:rPr>
            </w:pPr>
          </w:p>
        </w:tc>
      </w:tr>
      <w:tr w:rsidR="00771BC2" w:rsidRPr="00771BC2" w14:paraId="23E39910" w14:textId="77777777" w:rsidTr="00A75B2E">
        <w:tc>
          <w:tcPr>
            <w:tcW w:w="2880" w:type="dxa"/>
          </w:tcPr>
          <w:p w14:paraId="0585D971" w14:textId="77777777" w:rsidR="00771BC2" w:rsidRPr="00771BC2" w:rsidRDefault="00771BC2" w:rsidP="00A75B2E">
            <w:pPr>
              <w:ind w:left="26"/>
              <w:rPr>
                <w:rFonts w:ascii="Times New Roman" w:hAnsi="Times New Roman"/>
                <w:b/>
                <w:bCs/>
                <w:sz w:val="26"/>
                <w:szCs w:val="26"/>
                <w:rtl/>
              </w:rPr>
            </w:pPr>
            <w:r w:rsidRPr="00771BC2">
              <w:rPr>
                <w:rFonts w:ascii="Times New Roman" w:hAnsi="Times New Roman"/>
                <w:b/>
                <w:bCs/>
                <w:sz w:val="26"/>
                <w:szCs w:val="26"/>
                <w:rtl/>
              </w:rPr>
              <w:t>הנאשם</w:t>
            </w:r>
          </w:p>
        </w:tc>
        <w:tc>
          <w:tcPr>
            <w:tcW w:w="5922" w:type="dxa"/>
            <w:gridSpan w:val="2"/>
          </w:tcPr>
          <w:p w14:paraId="7AF3810A" w14:textId="77777777" w:rsidR="00771BC2" w:rsidRPr="00771BC2" w:rsidRDefault="00771BC2" w:rsidP="00A75B2E">
            <w:pPr>
              <w:rPr>
                <w:rFonts w:ascii="Times New Roman" w:hAnsi="Times New Roman"/>
              </w:rPr>
            </w:pPr>
            <w:r w:rsidRPr="00771BC2">
              <w:rPr>
                <w:rFonts w:ascii="Times New Roman" w:hAnsi="Times New Roman"/>
                <w:b/>
                <w:bCs/>
                <w:sz w:val="26"/>
                <w:szCs w:val="26"/>
                <w:rtl/>
              </w:rPr>
              <w:t xml:space="preserve"> לירז אלקיים ת"ז </w:t>
            </w:r>
            <w:r>
              <w:rPr>
                <w:rFonts w:ascii="Times New Roman" w:hAnsi="Times New Roman"/>
                <w:b/>
                <w:bCs/>
                <w:sz w:val="26"/>
                <w:szCs w:val="26"/>
              </w:rPr>
              <w:t>xxxxxxxxxxxxx</w:t>
            </w:r>
          </w:p>
          <w:p w14:paraId="6AAA574A" w14:textId="77777777" w:rsidR="00771BC2" w:rsidRPr="00771BC2" w:rsidRDefault="00771BC2" w:rsidP="00A75B2E">
            <w:pPr>
              <w:rPr>
                <w:rFonts w:ascii="Times New Roman" w:hAnsi="Times New Roman"/>
                <w:b/>
                <w:bCs/>
                <w:sz w:val="26"/>
                <w:szCs w:val="26"/>
                <w:rtl/>
              </w:rPr>
            </w:pPr>
          </w:p>
        </w:tc>
      </w:tr>
    </w:tbl>
    <w:p w14:paraId="6D73B2DB" w14:textId="77777777" w:rsidR="00771BC2" w:rsidRPr="00771BC2" w:rsidRDefault="00771BC2">
      <w:pPr>
        <w:spacing w:line="360" w:lineRule="auto"/>
        <w:jc w:val="both"/>
        <w:rPr>
          <w:rFonts w:hint="cs"/>
          <w:rtl/>
        </w:rPr>
      </w:pPr>
    </w:p>
    <w:p w14:paraId="0AA176AB" w14:textId="77777777" w:rsidR="00817B75" w:rsidRPr="00771BC2" w:rsidRDefault="00817B75">
      <w:pPr>
        <w:spacing w:line="360" w:lineRule="auto"/>
        <w:jc w:val="both"/>
        <w:rPr>
          <w:sz w:val="6"/>
          <w:szCs w:val="6"/>
          <w:rtl/>
        </w:rPr>
      </w:pPr>
      <w:r w:rsidRPr="00771BC2">
        <w:rPr>
          <w:sz w:val="6"/>
          <w:szCs w:val="6"/>
          <w:rtl/>
        </w:rPr>
        <w:t>&lt;#2#&gt;</w:t>
      </w:r>
    </w:p>
    <w:p w14:paraId="6F524261" w14:textId="77777777" w:rsidR="00817B75" w:rsidRPr="00771BC2" w:rsidRDefault="00817B75">
      <w:pPr>
        <w:pStyle w:val="12"/>
        <w:rPr>
          <w:u w:val="none"/>
          <w:rtl/>
        </w:rPr>
      </w:pPr>
      <w:r w:rsidRPr="00771BC2">
        <w:rPr>
          <w:u w:val="none"/>
          <w:rtl/>
        </w:rPr>
        <w:t>נוכחים:</w:t>
      </w:r>
    </w:p>
    <w:p w14:paraId="41C96F49" w14:textId="77777777" w:rsidR="00817B75" w:rsidRPr="00771BC2" w:rsidRDefault="00817B75" w:rsidP="00680901">
      <w:pPr>
        <w:pStyle w:val="12"/>
        <w:rPr>
          <w:b w:val="0"/>
          <w:bCs w:val="0"/>
          <w:u w:val="none"/>
          <w:rtl/>
        </w:rPr>
      </w:pPr>
      <w:bookmarkStart w:id="2" w:name="FirstLawyer"/>
      <w:r w:rsidRPr="00771BC2">
        <w:rPr>
          <w:b w:val="0"/>
          <w:bCs w:val="0"/>
          <w:u w:val="none"/>
          <w:rtl/>
        </w:rPr>
        <w:t>ב"כ</w:t>
      </w:r>
      <w:bookmarkEnd w:id="2"/>
      <w:r w:rsidRPr="00771BC2">
        <w:rPr>
          <w:b w:val="0"/>
          <w:bCs w:val="0"/>
          <w:u w:val="none"/>
          <w:rtl/>
        </w:rPr>
        <w:t xml:space="preserve"> המאשימה - עו"ד אפרים גולדשטיין</w:t>
      </w:r>
    </w:p>
    <w:p w14:paraId="67BF1AA9" w14:textId="77777777" w:rsidR="00817B75" w:rsidRPr="00771BC2" w:rsidRDefault="00817B75" w:rsidP="006406AB">
      <w:pPr>
        <w:pStyle w:val="12"/>
        <w:rPr>
          <w:b w:val="0"/>
          <w:bCs w:val="0"/>
          <w:u w:val="none"/>
          <w:rtl/>
        </w:rPr>
      </w:pPr>
      <w:r w:rsidRPr="00771BC2">
        <w:rPr>
          <w:b w:val="0"/>
          <w:bCs w:val="0"/>
          <w:u w:val="none"/>
          <w:rtl/>
        </w:rPr>
        <w:t>הנאשם - נוכח</w:t>
      </w:r>
    </w:p>
    <w:p w14:paraId="296EA8C0" w14:textId="77777777" w:rsidR="00817B75" w:rsidRPr="00771BC2" w:rsidRDefault="00817B75" w:rsidP="006406AB">
      <w:pPr>
        <w:pStyle w:val="12"/>
        <w:rPr>
          <w:b w:val="0"/>
          <w:bCs w:val="0"/>
          <w:u w:val="none"/>
          <w:rtl/>
        </w:rPr>
      </w:pPr>
      <w:r w:rsidRPr="00771BC2">
        <w:rPr>
          <w:b w:val="0"/>
          <w:bCs w:val="0"/>
          <w:u w:val="none"/>
          <w:rtl/>
        </w:rPr>
        <w:t>ב"כ הנאשם - עו"ד יובל זמר</w:t>
      </w:r>
    </w:p>
    <w:p w14:paraId="154CA20C" w14:textId="77777777" w:rsidR="00817B75" w:rsidRPr="00771BC2" w:rsidRDefault="00817B75">
      <w:pPr>
        <w:pStyle w:val="12"/>
        <w:rPr>
          <w:b w:val="0"/>
          <w:bCs w:val="0"/>
          <w:u w:val="none"/>
          <w:rtl/>
        </w:rPr>
      </w:pPr>
    </w:p>
    <w:p w14:paraId="37F16719" w14:textId="77777777" w:rsidR="00771BC2" w:rsidRPr="00771BC2" w:rsidRDefault="00771BC2" w:rsidP="00771BC2">
      <w:pPr>
        <w:pStyle w:val="12"/>
        <w:spacing w:before="120" w:after="120" w:line="240" w:lineRule="exact"/>
        <w:ind w:left="283" w:hanging="283"/>
        <w:jc w:val="both"/>
        <w:rPr>
          <w:rFonts w:ascii="FrankRuehl" w:hAnsi="FrankRuehl" w:cs="FrankRuehl"/>
          <w:b w:val="0"/>
          <w:bCs w:val="0"/>
          <w:u w:val="none"/>
          <w:rtl/>
        </w:rPr>
      </w:pPr>
    </w:p>
    <w:p w14:paraId="430D0186" w14:textId="77777777" w:rsidR="00771BC2" w:rsidRPr="00771BC2" w:rsidRDefault="00771BC2" w:rsidP="00771BC2">
      <w:pPr>
        <w:pStyle w:val="12"/>
        <w:jc w:val="center"/>
        <w:rPr>
          <w:b w:val="0"/>
          <w:bCs w:val="0"/>
          <w:sz w:val="32"/>
          <w:szCs w:val="32"/>
          <w:u w:val="none"/>
          <w:rtl/>
        </w:rPr>
      </w:pPr>
    </w:p>
    <w:p w14:paraId="65004A8B" w14:textId="77777777" w:rsidR="00771BC2" w:rsidRPr="00771BC2" w:rsidRDefault="00771BC2">
      <w:pPr>
        <w:pStyle w:val="12"/>
        <w:jc w:val="center"/>
        <w:rPr>
          <w:sz w:val="32"/>
          <w:szCs w:val="32"/>
          <w:u w:val="none"/>
          <w:rtl/>
        </w:rPr>
      </w:pPr>
    </w:p>
    <w:bookmarkEnd w:id="0"/>
    <w:p w14:paraId="5738A0AB" w14:textId="77777777" w:rsidR="008E009F" w:rsidRPr="008E009F" w:rsidRDefault="00817B75" w:rsidP="008E009F">
      <w:pPr>
        <w:pStyle w:val="David"/>
        <w:spacing w:before="120" w:after="120" w:line="240" w:lineRule="exact"/>
        <w:ind w:left="283" w:hanging="283"/>
        <w:rPr>
          <w:rFonts w:ascii="FrankRuehl" w:hAnsi="FrankRuehl" w:cs="FrankRuehl"/>
          <w:rtl/>
        </w:rPr>
      </w:pPr>
      <w:r>
        <w:rPr>
          <w:sz w:val="6"/>
          <w:szCs w:val="6"/>
          <w:rtl/>
        </w:rPr>
        <w:t>&lt;#3#&gt;</w:t>
      </w:r>
    </w:p>
    <w:p w14:paraId="3278A8B9" w14:textId="77777777" w:rsidR="00823576" w:rsidRDefault="00823576" w:rsidP="00823576">
      <w:pPr>
        <w:pStyle w:val="David"/>
        <w:rPr>
          <w:sz w:val="6"/>
          <w:szCs w:val="6"/>
          <w:rtl/>
        </w:rPr>
      </w:pPr>
      <w:bookmarkStart w:id="3" w:name="LawTable"/>
      <w:bookmarkEnd w:id="3"/>
    </w:p>
    <w:p w14:paraId="59ED8A90" w14:textId="77777777" w:rsidR="00823576" w:rsidRPr="00823576" w:rsidRDefault="00823576" w:rsidP="00823576">
      <w:pPr>
        <w:pStyle w:val="David"/>
        <w:spacing w:before="120" w:after="120" w:line="240" w:lineRule="exact"/>
        <w:ind w:left="283" w:hanging="283"/>
        <w:rPr>
          <w:rFonts w:ascii="FrankRuehl" w:hAnsi="FrankRuehl" w:cs="FrankRuehl"/>
          <w:rtl/>
        </w:rPr>
      </w:pPr>
    </w:p>
    <w:p w14:paraId="08E9897D" w14:textId="77777777" w:rsidR="00823576" w:rsidRPr="00823576" w:rsidRDefault="00823576" w:rsidP="00823576">
      <w:pPr>
        <w:pStyle w:val="David"/>
        <w:spacing w:before="120" w:after="120" w:line="240" w:lineRule="exact"/>
        <w:ind w:left="283" w:hanging="283"/>
        <w:rPr>
          <w:rFonts w:ascii="FrankRuehl" w:hAnsi="FrankRuehl" w:cs="FrankRuehl"/>
          <w:rtl/>
        </w:rPr>
      </w:pPr>
    </w:p>
    <w:p w14:paraId="024C255B" w14:textId="77777777" w:rsidR="00823576" w:rsidRPr="00823576" w:rsidRDefault="00823576" w:rsidP="00823576">
      <w:pPr>
        <w:pStyle w:val="David"/>
        <w:spacing w:before="120" w:after="120" w:line="240" w:lineRule="exact"/>
        <w:ind w:left="283" w:hanging="283"/>
        <w:rPr>
          <w:rFonts w:ascii="FrankRuehl" w:hAnsi="FrankRuehl" w:cs="FrankRuehl"/>
          <w:rtl/>
        </w:rPr>
      </w:pPr>
      <w:r w:rsidRPr="00823576">
        <w:rPr>
          <w:rFonts w:ascii="FrankRuehl" w:hAnsi="FrankRuehl" w:cs="FrankRuehl"/>
          <w:rtl/>
        </w:rPr>
        <w:t xml:space="preserve">חקיקה שאוזכרה: </w:t>
      </w:r>
    </w:p>
    <w:p w14:paraId="3E41B63A" w14:textId="77777777" w:rsidR="00823576" w:rsidRPr="00823576" w:rsidRDefault="00823576" w:rsidP="00823576">
      <w:pPr>
        <w:pStyle w:val="David"/>
        <w:spacing w:before="120" w:after="120" w:line="240" w:lineRule="exact"/>
        <w:ind w:left="283" w:hanging="283"/>
        <w:rPr>
          <w:rFonts w:ascii="FrankRuehl" w:hAnsi="FrankRuehl" w:cs="FrankRuehl"/>
          <w:rtl/>
        </w:rPr>
      </w:pPr>
      <w:hyperlink r:id="rId8" w:history="1">
        <w:r w:rsidRPr="00823576">
          <w:rPr>
            <w:rFonts w:ascii="FrankRuehl" w:hAnsi="FrankRuehl" w:cs="FrankRuehl"/>
            <w:color w:val="0000FF"/>
            <w:rtl/>
          </w:rPr>
          <w:t>פקודת הסמים המסוכנים [נוסח חדש], תשל"ג-1973</w:t>
        </w:r>
      </w:hyperlink>
      <w:r w:rsidRPr="00823576">
        <w:rPr>
          <w:rFonts w:ascii="FrankRuehl" w:hAnsi="FrankRuehl" w:cs="FrankRuehl"/>
          <w:rtl/>
        </w:rPr>
        <w:t xml:space="preserve">: סע'  </w:t>
      </w:r>
      <w:hyperlink r:id="rId9" w:history="1">
        <w:r w:rsidRPr="00823576">
          <w:rPr>
            <w:rFonts w:ascii="FrankRuehl" w:hAnsi="FrankRuehl" w:cs="FrankRuehl"/>
            <w:color w:val="0000FF"/>
            <w:rtl/>
          </w:rPr>
          <w:t>6</w:t>
        </w:r>
      </w:hyperlink>
      <w:r w:rsidRPr="00823576">
        <w:rPr>
          <w:rFonts w:ascii="FrankRuehl" w:hAnsi="FrankRuehl" w:cs="FrankRuehl"/>
          <w:rtl/>
        </w:rPr>
        <w:t xml:space="preserve">, </w:t>
      </w:r>
      <w:hyperlink r:id="rId10" w:history="1">
        <w:r w:rsidRPr="00823576">
          <w:rPr>
            <w:rFonts w:ascii="FrankRuehl" w:hAnsi="FrankRuehl" w:cs="FrankRuehl"/>
            <w:color w:val="0000FF"/>
            <w:rtl/>
          </w:rPr>
          <w:t>7(א)</w:t>
        </w:r>
      </w:hyperlink>
      <w:r w:rsidRPr="00823576">
        <w:rPr>
          <w:rFonts w:ascii="FrankRuehl" w:hAnsi="FrankRuehl" w:cs="FrankRuehl"/>
          <w:rtl/>
        </w:rPr>
        <w:t xml:space="preserve">, </w:t>
      </w:r>
      <w:hyperlink r:id="rId11" w:history="1">
        <w:r w:rsidRPr="00823576">
          <w:rPr>
            <w:rFonts w:ascii="FrankRuehl" w:hAnsi="FrankRuehl" w:cs="FrankRuehl"/>
            <w:color w:val="0000FF"/>
            <w:rtl/>
          </w:rPr>
          <w:t>(ג)</w:t>
        </w:r>
      </w:hyperlink>
      <w:r w:rsidRPr="00823576">
        <w:rPr>
          <w:rFonts w:ascii="FrankRuehl" w:hAnsi="FrankRuehl" w:cs="FrankRuehl"/>
          <w:rtl/>
        </w:rPr>
        <w:t xml:space="preserve">, </w:t>
      </w:r>
      <w:hyperlink r:id="rId12" w:history="1">
        <w:r w:rsidRPr="00823576">
          <w:rPr>
            <w:rFonts w:ascii="FrankRuehl" w:hAnsi="FrankRuehl" w:cs="FrankRuehl"/>
            <w:color w:val="0000FF"/>
            <w:rtl/>
          </w:rPr>
          <w:t>10</w:t>
        </w:r>
      </w:hyperlink>
    </w:p>
    <w:p w14:paraId="79F8A251" w14:textId="77777777" w:rsidR="00823576" w:rsidRPr="00823576" w:rsidRDefault="00823576" w:rsidP="00823576">
      <w:pPr>
        <w:pStyle w:val="David"/>
        <w:spacing w:before="120" w:after="120" w:line="240" w:lineRule="exact"/>
        <w:ind w:left="283" w:hanging="283"/>
        <w:rPr>
          <w:rFonts w:ascii="FrankRuehl" w:hAnsi="FrankRuehl" w:cs="FrankRuehl"/>
          <w:rtl/>
        </w:rPr>
      </w:pPr>
      <w:hyperlink r:id="rId13" w:history="1">
        <w:r w:rsidRPr="00823576">
          <w:rPr>
            <w:rFonts w:ascii="FrankRuehl" w:hAnsi="FrankRuehl" w:cs="FrankRuehl"/>
            <w:color w:val="0000FF"/>
            <w:rtl/>
          </w:rPr>
          <w:t>חוק העונשין, תשל"ז-1977</w:t>
        </w:r>
      </w:hyperlink>
      <w:r w:rsidRPr="00823576">
        <w:rPr>
          <w:rFonts w:ascii="FrankRuehl" w:hAnsi="FrankRuehl" w:cs="FrankRuehl"/>
          <w:rtl/>
        </w:rPr>
        <w:t xml:space="preserve">: סע'  </w:t>
      </w:r>
      <w:hyperlink r:id="rId14" w:history="1">
        <w:r w:rsidRPr="00823576">
          <w:rPr>
            <w:rFonts w:ascii="FrankRuehl" w:hAnsi="FrankRuehl" w:cs="FrankRuehl"/>
            <w:color w:val="0000FF"/>
            <w:rtl/>
          </w:rPr>
          <w:t>40ב</w:t>
        </w:r>
      </w:hyperlink>
      <w:r w:rsidRPr="00823576">
        <w:rPr>
          <w:rFonts w:ascii="FrankRuehl" w:hAnsi="FrankRuehl" w:cs="FrankRuehl"/>
          <w:rtl/>
        </w:rPr>
        <w:t xml:space="preserve">, </w:t>
      </w:r>
      <w:hyperlink r:id="rId15" w:history="1">
        <w:r w:rsidRPr="00823576">
          <w:rPr>
            <w:rFonts w:ascii="FrankRuehl" w:hAnsi="FrankRuehl" w:cs="FrankRuehl"/>
            <w:color w:val="0000FF"/>
            <w:rtl/>
          </w:rPr>
          <w:t>40ג</w:t>
        </w:r>
      </w:hyperlink>
      <w:r w:rsidRPr="00823576">
        <w:rPr>
          <w:rFonts w:ascii="FrankRuehl" w:hAnsi="FrankRuehl" w:cs="FrankRuehl"/>
          <w:rtl/>
        </w:rPr>
        <w:t xml:space="preserve">, </w:t>
      </w:r>
      <w:hyperlink r:id="rId16" w:history="1">
        <w:r w:rsidRPr="00823576">
          <w:rPr>
            <w:rFonts w:ascii="FrankRuehl" w:hAnsi="FrankRuehl" w:cs="FrankRuehl"/>
            <w:color w:val="0000FF"/>
            <w:rtl/>
          </w:rPr>
          <w:t>40ד'</w:t>
        </w:r>
      </w:hyperlink>
      <w:r w:rsidRPr="00823576">
        <w:rPr>
          <w:rFonts w:ascii="FrankRuehl" w:hAnsi="FrankRuehl" w:cs="FrankRuehl"/>
          <w:rtl/>
        </w:rPr>
        <w:t xml:space="preserve">, </w:t>
      </w:r>
      <w:hyperlink r:id="rId17" w:history="1">
        <w:r w:rsidRPr="00823576">
          <w:rPr>
            <w:rFonts w:ascii="FrankRuehl" w:hAnsi="FrankRuehl" w:cs="FrankRuehl"/>
            <w:color w:val="0000FF"/>
            <w:rtl/>
          </w:rPr>
          <w:t>400</w:t>
        </w:r>
      </w:hyperlink>
    </w:p>
    <w:p w14:paraId="5277E6B3" w14:textId="77777777" w:rsidR="00823576" w:rsidRPr="00823576" w:rsidRDefault="00823576" w:rsidP="00823576">
      <w:pPr>
        <w:pStyle w:val="David"/>
        <w:spacing w:before="120" w:after="120" w:line="240" w:lineRule="exact"/>
        <w:ind w:left="283" w:hanging="283"/>
        <w:rPr>
          <w:rFonts w:ascii="FrankRuehl" w:hAnsi="FrankRuehl" w:cs="FrankRuehl"/>
          <w:rtl/>
        </w:rPr>
      </w:pPr>
      <w:hyperlink r:id="rId18" w:history="1">
        <w:r w:rsidRPr="00823576">
          <w:rPr>
            <w:rFonts w:ascii="FrankRuehl" w:hAnsi="FrankRuehl" w:cs="FrankRuehl"/>
            <w:color w:val="0000FF"/>
            <w:rtl/>
          </w:rPr>
          <w:t>פקודת המבחן [נוסח חדש], תשכ"ט-1969</w:t>
        </w:r>
      </w:hyperlink>
      <w:r w:rsidRPr="00823576">
        <w:rPr>
          <w:rFonts w:ascii="FrankRuehl" w:hAnsi="FrankRuehl" w:cs="FrankRuehl"/>
          <w:rtl/>
        </w:rPr>
        <w:t xml:space="preserve">: סע'  </w:t>
      </w:r>
      <w:hyperlink r:id="rId19" w:history="1">
        <w:r w:rsidRPr="00823576">
          <w:rPr>
            <w:rFonts w:ascii="FrankRuehl" w:hAnsi="FrankRuehl" w:cs="FrankRuehl"/>
            <w:color w:val="0000FF"/>
            <w:rtl/>
          </w:rPr>
          <w:t>20</w:t>
        </w:r>
      </w:hyperlink>
    </w:p>
    <w:p w14:paraId="5CDA42CF" w14:textId="77777777" w:rsidR="00823576" w:rsidRPr="00823576" w:rsidRDefault="00823576" w:rsidP="00823576">
      <w:pPr>
        <w:pStyle w:val="David"/>
        <w:rPr>
          <w:sz w:val="6"/>
          <w:szCs w:val="6"/>
          <w:rtl/>
        </w:rPr>
      </w:pPr>
      <w:bookmarkStart w:id="4" w:name="LawTable_End"/>
      <w:bookmarkEnd w:id="4"/>
    </w:p>
    <w:p w14:paraId="3C41DA9D" w14:textId="77777777" w:rsidR="00817B75" w:rsidRPr="008E009F" w:rsidRDefault="00817B75" w:rsidP="008E009F">
      <w:pPr>
        <w:pStyle w:val="David"/>
        <w:rPr>
          <w:sz w:val="6"/>
          <w:szCs w:val="6"/>
          <w:rtl/>
        </w:rPr>
      </w:pPr>
    </w:p>
    <w:p w14:paraId="456C8397" w14:textId="77777777" w:rsidR="00817B75" w:rsidRDefault="00817B75">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bookmarkEnd w:id="5"/>
    <w:p w14:paraId="6F01076D" w14:textId="77777777" w:rsidR="00817B75" w:rsidRDefault="00817B75" w:rsidP="00680901">
      <w:pPr>
        <w:spacing w:line="360" w:lineRule="auto"/>
        <w:ind w:left="720" w:hanging="720"/>
        <w:jc w:val="both"/>
        <w:rPr>
          <w:b/>
          <w:bCs/>
          <w:u w:val="single"/>
        </w:rPr>
      </w:pPr>
      <w:r>
        <w:rPr>
          <w:b/>
          <w:bCs/>
          <w:u w:val="single"/>
          <w:rtl/>
        </w:rPr>
        <w:t>עובדות:</w:t>
      </w:r>
    </w:p>
    <w:p w14:paraId="1586DD0E"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1.</w:t>
      </w:r>
      <w:r>
        <w:rPr>
          <w:rFonts w:ascii="David" w:hAnsi="David" w:cs="David"/>
          <w:sz w:val="24"/>
          <w:szCs w:val="24"/>
          <w:rtl/>
        </w:rPr>
        <w:tab/>
      </w:r>
      <w:bookmarkStart w:id="6" w:name="ABSTRACT_START"/>
      <w:bookmarkEnd w:id="6"/>
      <w:r>
        <w:rPr>
          <w:rFonts w:ascii="David" w:hAnsi="David" w:cs="David"/>
          <w:sz w:val="24"/>
          <w:szCs w:val="24"/>
          <w:rtl/>
        </w:rPr>
        <w:t xml:space="preserve">הנאשם הורשע על פי הודאתו בעבירות של החזקת סם מסוכן שלא לצריכה עצמית לפי  </w:t>
      </w:r>
      <w:hyperlink r:id="rId20" w:history="1">
        <w:r w:rsidR="008E009F" w:rsidRPr="008E009F">
          <w:rPr>
            <w:rStyle w:val="Hyperlink"/>
            <w:rFonts w:ascii="David" w:hAnsi="David" w:cs="David"/>
            <w:sz w:val="24"/>
            <w:szCs w:val="24"/>
            <w:rtl/>
          </w:rPr>
          <w:t>סעיפים 7(א)</w:t>
        </w:r>
      </w:hyperlink>
      <w:r>
        <w:rPr>
          <w:rFonts w:ascii="David" w:hAnsi="David" w:cs="David"/>
          <w:sz w:val="24"/>
          <w:szCs w:val="24"/>
          <w:rtl/>
        </w:rPr>
        <w:t xml:space="preserve"> ו-</w:t>
      </w:r>
      <w:hyperlink r:id="rId21" w:history="1">
        <w:r w:rsidR="008E009F" w:rsidRPr="008E009F">
          <w:rPr>
            <w:rStyle w:val="Hyperlink"/>
            <w:rFonts w:ascii="David" w:hAnsi="David" w:cs="David"/>
            <w:sz w:val="24"/>
            <w:szCs w:val="24"/>
            <w:rtl/>
          </w:rPr>
          <w:t>(ג)</w:t>
        </w:r>
      </w:hyperlink>
      <w:r>
        <w:rPr>
          <w:rFonts w:ascii="David" w:hAnsi="David" w:cs="David"/>
          <w:sz w:val="24"/>
          <w:szCs w:val="24"/>
          <w:rtl/>
        </w:rPr>
        <w:t xml:space="preserve"> רישא ל</w:t>
      </w:r>
      <w:hyperlink r:id="rId22" w:history="1">
        <w:r w:rsidR="00771BC2" w:rsidRPr="00771BC2">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"הפקודה") - 2 עבירות, ייצור, הכנה והפקה לפי </w:t>
      </w:r>
      <w:hyperlink r:id="rId23" w:history="1">
        <w:r w:rsidR="008E009F" w:rsidRPr="008E009F">
          <w:rPr>
            <w:rStyle w:val="Hyperlink"/>
            <w:rFonts w:ascii="David" w:hAnsi="David" w:cs="David"/>
            <w:sz w:val="24"/>
            <w:szCs w:val="24"/>
            <w:rtl/>
          </w:rPr>
          <w:t>סעיף 6</w:t>
        </w:r>
      </w:hyperlink>
      <w:r>
        <w:rPr>
          <w:rFonts w:ascii="David" w:hAnsi="David" w:cs="David"/>
          <w:sz w:val="24"/>
          <w:szCs w:val="24"/>
          <w:rtl/>
        </w:rPr>
        <w:t xml:space="preserve"> לפקודה, החזקת כלים לפי </w:t>
      </w:r>
      <w:hyperlink r:id="rId24" w:history="1">
        <w:r w:rsidR="008E009F" w:rsidRPr="008E009F">
          <w:rPr>
            <w:rStyle w:val="Hyperlink"/>
            <w:rFonts w:ascii="David" w:hAnsi="David" w:cs="David"/>
            <w:sz w:val="24"/>
            <w:szCs w:val="24"/>
            <w:rtl/>
          </w:rPr>
          <w:t>סעיף 10</w:t>
        </w:r>
      </w:hyperlink>
      <w:r>
        <w:rPr>
          <w:rFonts w:ascii="David" w:hAnsi="David" w:cs="David"/>
          <w:sz w:val="24"/>
          <w:szCs w:val="24"/>
          <w:rtl/>
        </w:rPr>
        <w:t xml:space="preserve"> רישא לפקודה ונטילת חשמל לפי </w:t>
      </w:r>
      <w:hyperlink r:id="rId25" w:history="1">
        <w:r w:rsidR="008E009F" w:rsidRPr="008E009F">
          <w:rPr>
            <w:rStyle w:val="Hyperlink"/>
            <w:rFonts w:ascii="David" w:hAnsi="David" w:cs="David"/>
            <w:sz w:val="24"/>
            <w:szCs w:val="24"/>
            <w:rtl/>
          </w:rPr>
          <w:t>סעיף 400</w:t>
        </w:r>
      </w:hyperlink>
      <w:r>
        <w:rPr>
          <w:rFonts w:ascii="David" w:hAnsi="David" w:cs="David"/>
          <w:sz w:val="24"/>
          <w:szCs w:val="24"/>
          <w:rtl/>
        </w:rPr>
        <w:t xml:space="preserve"> ל</w:t>
      </w:r>
      <w:hyperlink r:id="rId26" w:history="1">
        <w:r w:rsidR="00771BC2" w:rsidRPr="00771BC2">
          <w:rPr>
            <w:rFonts w:ascii="David" w:hAnsi="David" w:cs="David"/>
            <w:color w:val="0000FF"/>
            <w:sz w:val="24"/>
            <w:szCs w:val="24"/>
            <w:u w:val="single"/>
            <w:rtl/>
          </w:rPr>
          <w:t>חוק העונשין</w:t>
        </w:r>
      </w:hyperlink>
      <w:r>
        <w:rPr>
          <w:rFonts w:ascii="David" w:hAnsi="David" w:cs="David"/>
          <w:sz w:val="24"/>
          <w:szCs w:val="24"/>
          <w:rtl/>
        </w:rPr>
        <w:t>, תשל"ז-1977 (להלן: "החוק").</w:t>
      </w:r>
    </w:p>
    <w:p w14:paraId="71DB30AF" w14:textId="77777777" w:rsidR="00817B75" w:rsidRDefault="00817B75" w:rsidP="00680901">
      <w:pPr>
        <w:pStyle w:val="ac"/>
        <w:spacing w:line="360" w:lineRule="auto"/>
        <w:ind w:hanging="720"/>
        <w:jc w:val="both"/>
        <w:rPr>
          <w:rFonts w:ascii="David" w:hAnsi="David" w:cs="David"/>
          <w:sz w:val="24"/>
          <w:szCs w:val="24"/>
          <w:rtl/>
        </w:rPr>
      </w:pPr>
      <w:bookmarkStart w:id="7" w:name="ABSTRACT_END"/>
      <w:bookmarkEnd w:id="7"/>
    </w:p>
    <w:p w14:paraId="00E7982C"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lastRenderedPageBreak/>
        <w:t>2.</w:t>
      </w:r>
      <w:r>
        <w:rPr>
          <w:rFonts w:ascii="David" w:hAnsi="David" w:cs="David"/>
          <w:sz w:val="24"/>
          <w:szCs w:val="24"/>
          <w:rtl/>
        </w:rPr>
        <w:tab/>
        <w:t xml:space="preserve">על פי עובדות כתב האישום ביום 6/8/2018 שכר הנאשם דירה ברח' בר גיורא בחיפה והחזיק בה עד ליום מעצרו בתאריך 20/11/2018. </w:t>
      </w:r>
    </w:p>
    <w:p w14:paraId="4FC5875B" w14:textId="77777777" w:rsidR="00817B75" w:rsidRDefault="00817B75" w:rsidP="00680901">
      <w:pPr>
        <w:pStyle w:val="ac"/>
        <w:spacing w:line="360" w:lineRule="auto"/>
        <w:ind w:hanging="720"/>
        <w:jc w:val="both"/>
        <w:rPr>
          <w:rFonts w:ascii="David" w:hAnsi="David" w:cs="David"/>
          <w:sz w:val="24"/>
          <w:szCs w:val="24"/>
        </w:rPr>
      </w:pPr>
    </w:p>
    <w:p w14:paraId="67E690D0"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ab/>
        <w:t xml:space="preserve">ביום 20/11/2018 החזיק הנאשם בדירה סמים מסוכנים מסוג קנבוס שלא לצריכתו העצמית וללא היתר כדין, במשקל כולל של 407.86 גרם נטו. כמו כן, החזיק הנאשם בדירה ציוד שנועד לצורך גידול סמים מסוכנים, ללא היתר וללא רישיון, הכולל 2 מפוחים, אוהל, 7 מנורות ושנאי. </w:t>
      </w:r>
    </w:p>
    <w:p w14:paraId="134E704E" w14:textId="77777777" w:rsidR="00817B75" w:rsidRDefault="00817B75" w:rsidP="00680901">
      <w:pPr>
        <w:pStyle w:val="ac"/>
        <w:spacing w:line="360" w:lineRule="auto"/>
        <w:ind w:hanging="720"/>
        <w:jc w:val="both"/>
        <w:rPr>
          <w:rFonts w:ascii="David" w:hAnsi="David" w:cs="David"/>
          <w:sz w:val="24"/>
          <w:szCs w:val="24"/>
          <w:rtl/>
        </w:rPr>
      </w:pPr>
    </w:p>
    <w:p w14:paraId="433713A9"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ab/>
        <w:t xml:space="preserve">במהלך חיפוש שנערך על גופו של הנאשם, נתפסה בכיס מכנסיו קופסת סיגריות ובתוכה סמים מסוכנים מסוג קנבוס במשקל כולל של 3.75 גרם נטו לצריכתו העצמית, ללא היתר וללא רישיון. </w:t>
      </w:r>
    </w:p>
    <w:p w14:paraId="32FA247E" w14:textId="77777777" w:rsidR="00817B75" w:rsidRDefault="00817B75" w:rsidP="00680901">
      <w:pPr>
        <w:pStyle w:val="ac"/>
        <w:spacing w:line="360" w:lineRule="auto"/>
        <w:ind w:hanging="720"/>
        <w:jc w:val="both"/>
        <w:rPr>
          <w:rFonts w:ascii="David" w:hAnsi="David" w:cs="David"/>
          <w:sz w:val="24"/>
          <w:szCs w:val="24"/>
          <w:rtl/>
        </w:rPr>
      </w:pPr>
    </w:p>
    <w:p w14:paraId="4156D768"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ab/>
        <w:t xml:space="preserve">בנוסף, שכר הנאשם דירה ברח' רש"י בחיפה והחזיק בה עד ליום מעצרו בתאריך 20/11/2018. </w:t>
      </w:r>
    </w:p>
    <w:p w14:paraId="3B927E42" w14:textId="77777777" w:rsidR="00817B75" w:rsidRDefault="00817B75" w:rsidP="00680901">
      <w:pPr>
        <w:pStyle w:val="ac"/>
        <w:spacing w:line="360" w:lineRule="auto"/>
        <w:ind w:hanging="720"/>
        <w:jc w:val="both"/>
        <w:rPr>
          <w:rFonts w:ascii="David" w:hAnsi="David" w:cs="David"/>
          <w:sz w:val="24"/>
          <w:szCs w:val="24"/>
          <w:rtl/>
        </w:rPr>
      </w:pPr>
    </w:p>
    <w:p w14:paraId="7E027CC5"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ab/>
        <w:t xml:space="preserve">בהמשך, במועדים שאינם ידועים למאשימה, צייד הנאשם את הדירה לצורך גידול הסם מסוג קנבוס, ללא היתר וללא רישיון במאוורר, 4 מפוחים, 4 שנאים, 9 מנורות, מווסת לחות חשמלי, 2 אוהלים וטיימר. </w:t>
      </w:r>
    </w:p>
    <w:p w14:paraId="407986C1" w14:textId="77777777" w:rsidR="00817B75" w:rsidRDefault="00817B75" w:rsidP="00680901">
      <w:pPr>
        <w:pStyle w:val="ac"/>
        <w:spacing w:line="360" w:lineRule="auto"/>
        <w:ind w:hanging="720"/>
        <w:jc w:val="both"/>
        <w:rPr>
          <w:rFonts w:ascii="David" w:hAnsi="David" w:cs="David"/>
          <w:sz w:val="24"/>
          <w:szCs w:val="24"/>
          <w:rtl/>
        </w:rPr>
      </w:pPr>
    </w:p>
    <w:p w14:paraId="11337741"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ab/>
        <w:t xml:space="preserve">ביום 20/11/2018 החזיק הנאשם בדירה השנייה 489 שתילים של סם מסוכן מסוג קנבוס אותם גידל, במשקל של 35.60 ק"ג שלא לשימוש עצמי וללא היתר או רישיון. </w:t>
      </w:r>
    </w:p>
    <w:p w14:paraId="7E72A39E"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ab/>
        <w:t xml:space="preserve">בנוסף, חיבר הנאשם במועד שאינו ידוע את הדירה למתקני חברת החשמל בחיבור ישיר ללא מונה באופן בו עקף את החיבור התקני של חברת החשמל במבנה, ובכך גרם להטיית חשמל במרמה אל הדירה השנייה וצרך חשמל בכמות של 11,927 קוט"ש, שלא נרשמו במונה בשווי של 9807.68 ₪, מבלי שהיה זכאי לכך. </w:t>
      </w:r>
    </w:p>
    <w:p w14:paraId="0EFBEEA5" w14:textId="77777777" w:rsidR="00817B75" w:rsidRDefault="00817B75" w:rsidP="00680901">
      <w:pPr>
        <w:pStyle w:val="ac"/>
        <w:spacing w:line="360" w:lineRule="auto"/>
        <w:ind w:hanging="720"/>
        <w:jc w:val="both"/>
        <w:rPr>
          <w:rFonts w:ascii="David" w:hAnsi="David" w:cs="David"/>
          <w:sz w:val="24"/>
          <w:szCs w:val="24"/>
          <w:rtl/>
        </w:rPr>
      </w:pPr>
    </w:p>
    <w:p w14:paraId="71FEE85C"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3.</w:t>
      </w:r>
      <w:r>
        <w:rPr>
          <w:rFonts w:ascii="David" w:hAnsi="David" w:cs="David"/>
          <w:sz w:val="24"/>
          <w:szCs w:val="24"/>
          <w:rtl/>
        </w:rPr>
        <w:tab/>
        <w:t>לאחר הרשעתו, הופנה הנאשם אל שירות המבחן על מנת שיכין תסקיר בעניינו. בנוסף, הופנה נאשם אל הממונה על עבודות שירות אשר מצא כי הנאשם מתאים לריצוי עבודות שירות.</w:t>
      </w:r>
    </w:p>
    <w:p w14:paraId="5B250902" w14:textId="77777777" w:rsidR="00817B75" w:rsidRDefault="00817B75" w:rsidP="00680901">
      <w:pPr>
        <w:pStyle w:val="ac"/>
        <w:spacing w:line="360" w:lineRule="auto"/>
        <w:ind w:hanging="720"/>
        <w:jc w:val="both"/>
        <w:rPr>
          <w:rFonts w:ascii="David" w:hAnsi="David" w:cs="David"/>
          <w:sz w:val="24"/>
          <w:szCs w:val="24"/>
          <w:rtl/>
        </w:rPr>
      </w:pPr>
    </w:p>
    <w:p w14:paraId="36D767AC" w14:textId="77777777" w:rsidR="00817B75" w:rsidRDefault="00817B75" w:rsidP="00680901">
      <w:pPr>
        <w:spacing w:line="360" w:lineRule="auto"/>
        <w:ind w:left="720" w:hanging="720"/>
        <w:jc w:val="both"/>
        <w:rPr>
          <w:b/>
          <w:bCs/>
          <w:u w:val="single"/>
          <w:rtl/>
        </w:rPr>
      </w:pPr>
      <w:r>
        <w:rPr>
          <w:b/>
          <w:bCs/>
          <w:u w:val="single"/>
          <w:rtl/>
        </w:rPr>
        <w:t>תסקירי שירות המבחן:</w:t>
      </w:r>
    </w:p>
    <w:p w14:paraId="00B0F214"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4.</w:t>
      </w:r>
      <w:r>
        <w:rPr>
          <w:rFonts w:ascii="David" w:hAnsi="David" w:cs="David"/>
          <w:sz w:val="24"/>
          <w:szCs w:val="24"/>
          <w:rtl/>
        </w:rPr>
        <w:tab/>
        <w:t xml:space="preserve">בתסקיר מיום 17/6/2019 ציין שירות המבחן, כי הנאשם בן 29, נשוי ואב לשני ילדים, קיבל פטור מהשירות הצבאי מזה מספר חודשים עובד בקיוסק ומתגורר בטירת הכרמל. </w:t>
      </w:r>
    </w:p>
    <w:p w14:paraId="1F438C69" w14:textId="77777777" w:rsidR="00817B75" w:rsidRDefault="00817B75" w:rsidP="00680901">
      <w:pPr>
        <w:pStyle w:val="ac"/>
        <w:spacing w:line="360" w:lineRule="auto"/>
        <w:ind w:hanging="720"/>
        <w:jc w:val="both"/>
        <w:rPr>
          <w:rFonts w:ascii="David" w:hAnsi="David" w:cs="David"/>
          <w:sz w:val="24"/>
          <w:szCs w:val="24"/>
          <w:rtl/>
        </w:rPr>
      </w:pPr>
    </w:p>
    <w:p w14:paraId="7D6E52E3"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5.</w:t>
      </w:r>
      <w:r>
        <w:rPr>
          <w:rFonts w:ascii="David" w:hAnsi="David" w:cs="David"/>
          <w:sz w:val="24"/>
          <w:szCs w:val="24"/>
          <w:rtl/>
        </w:rPr>
        <w:tab/>
        <w:t xml:space="preserve">שירות המבחן ציין כי לנאשם אין הרשעות קודמות למעט היעדר משירות צבאי בגינה ריצה הנאשם מאסר בכלא צבאי. </w:t>
      </w:r>
    </w:p>
    <w:p w14:paraId="0C6EC365" w14:textId="77777777" w:rsidR="00817B75" w:rsidRDefault="00817B75" w:rsidP="00680901">
      <w:pPr>
        <w:pStyle w:val="ac"/>
        <w:spacing w:line="360" w:lineRule="auto"/>
        <w:ind w:hanging="720"/>
        <w:jc w:val="both"/>
        <w:rPr>
          <w:rFonts w:ascii="David" w:hAnsi="David" w:cs="David"/>
          <w:sz w:val="24"/>
          <w:szCs w:val="24"/>
        </w:rPr>
      </w:pPr>
    </w:p>
    <w:p w14:paraId="104AAB5F"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lastRenderedPageBreak/>
        <w:t>6.</w:t>
      </w:r>
      <w:r>
        <w:rPr>
          <w:rFonts w:ascii="David" w:hAnsi="David" w:cs="David"/>
          <w:sz w:val="24"/>
          <w:szCs w:val="24"/>
          <w:rtl/>
        </w:rPr>
        <w:tab/>
        <w:t xml:space="preserve">הנאשם שיתף את שירות המבחן, כי ברקע לביצוע העבירות התמכרותו לסם מסוג קנבוס, בו החל להשתמש בגיל 25 בשל מצוקות שחווה נוכח המצב הכלכלי אליו נקלע. לטענת הנאשם לאחר מעצרו הפסיק להשתמש בסמים ודגימות השתן הנקיות חיזקו את אמירותיו. </w:t>
      </w:r>
    </w:p>
    <w:p w14:paraId="1B9D1F66" w14:textId="77777777" w:rsidR="00817B75" w:rsidRDefault="00817B75" w:rsidP="00680901">
      <w:pPr>
        <w:pStyle w:val="ac"/>
        <w:spacing w:line="360" w:lineRule="auto"/>
        <w:ind w:hanging="720"/>
        <w:jc w:val="both"/>
        <w:rPr>
          <w:rFonts w:ascii="David" w:hAnsi="David" w:cs="David"/>
          <w:sz w:val="24"/>
          <w:szCs w:val="24"/>
        </w:rPr>
      </w:pPr>
    </w:p>
    <w:p w14:paraId="75CA5542"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7.</w:t>
      </w:r>
      <w:r>
        <w:rPr>
          <w:rFonts w:ascii="David" w:hAnsi="David" w:cs="David"/>
          <w:sz w:val="24"/>
          <w:szCs w:val="24"/>
          <w:rtl/>
        </w:rPr>
        <w:tab/>
        <w:t xml:space="preserve">שירות המבחן התרשם, כי קיימת רמת סיכון גבוהה להישנות ביצוע בעבירות דומות בעתיד וציין, כי הנאשם לא השתלב במהלך תקופת צו פיקוח מעצר בטיפול בתחום ההתמכרויות כפי שהוצע לו ולא פעל לקידום מצבו. נוכח הפערים בין תפיסתו את עצמו ובין יכולותיו ומצבו הנוכחי, כמו גם נוכח התרשמות שירות המבחן כי הנאשם אינו בשל ואינו מגוייס לטיפול ולנוכח התרשמות שירות המבחן מכך שאמירותיו של הנאשם נובעות מרצון להקל במצבו המשפטי, שירות המבחן לא בא בתסקיר זה בהמלצה. </w:t>
      </w:r>
    </w:p>
    <w:p w14:paraId="6E35B092" w14:textId="77777777" w:rsidR="00817B75" w:rsidRDefault="00817B75" w:rsidP="00680901">
      <w:pPr>
        <w:pStyle w:val="ac"/>
        <w:spacing w:line="360" w:lineRule="auto"/>
        <w:ind w:hanging="720"/>
        <w:jc w:val="both"/>
        <w:rPr>
          <w:rFonts w:ascii="David" w:hAnsi="David" w:cs="David"/>
          <w:sz w:val="24"/>
          <w:szCs w:val="24"/>
        </w:rPr>
      </w:pPr>
    </w:p>
    <w:p w14:paraId="1CC3CAF3"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8.</w:t>
      </w:r>
      <w:r>
        <w:rPr>
          <w:rFonts w:ascii="David" w:hAnsi="David" w:cs="David"/>
          <w:sz w:val="24"/>
          <w:szCs w:val="24"/>
          <w:rtl/>
        </w:rPr>
        <w:tab/>
        <w:t xml:space="preserve">בתסקיר מיום 28/10/2019 ציין שירות המבחן, כי הנאשם ציין כי הוא עובד 7 ימים בשבוע והביע תחילה חשש מהתחייבות להליך טיפולי אינטנסיבי, אולם הביע נכונות להשתלב בטיפול. הנאשם שולב ביחידה לטיפול בהתמכרויות ודווח כי הוא משתף פעולה עם הטיפול הכולל שיחה פרטנית, מפגש קבוצתי, שיחה עם מדריך ו-2 בדיקות שתן מדי שבוע. דווח כי בדיקות השתן מעידות על ניקיון משימוש בסמים. </w:t>
      </w:r>
    </w:p>
    <w:p w14:paraId="1E4D9423" w14:textId="77777777" w:rsidR="00817B75" w:rsidRDefault="00817B75" w:rsidP="00680901">
      <w:pPr>
        <w:pStyle w:val="ac"/>
        <w:spacing w:line="360" w:lineRule="auto"/>
        <w:ind w:hanging="720"/>
        <w:jc w:val="both"/>
        <w:rPr>
          <w:rFonts w:ascii="David" w:hAnsi="David" w:cs="David"/>
          <w:sz w:val="24"/>
          <w:szCs w:val="24"/>
        </w:rPr>
      </w:pPr>
    </w:p>
    <w:p w14:paraId="2138BD9C"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9.</w:t>
      </w:r>
      <w:r>
        <w:rPr>
          <w:rFonts w:ascii="David" w:hAnsi="David" w:cs="David"/>
          <w:sz w:val="24"/>
          <w:szCs w:val="24"/>
          <w:rtl/>
        </w:rPr>
        <w:tab/>
        <w:t xml:space="preserve">לאור האמור, התרשם שירות המבחן כי טיפול משמעותי יפחית את הסיכון להישנות עבירות והמליץ להעדיף את הפן השיקומי ולהעמיד את הנאשם בצו מבחן למשך שנה, במהלכה ימשיך הנאשם את הטיפול ביחידה לטיפול בהתמכרויות. נוכח מצבו הכלכלי המורכב, המליץ שירות המבחן להטיל על הנאשם צו של"צ בהיקף נרחב של 350 שעות, אותן יוכל לבצע ללא פגיעה בפרנסתו. זאת-לאור התרשמות שירות המבחן כי מצב של דחק כלכלי מהווה עבור הנאשם גורם סיכון משמעותי. כמו כן, הומלץ על הטלת מאסר על תנאי משמעותי. </w:t>
      </w:r>
    </w:p>
    <w:p w14:paraId="18CEDAAC" w14:textId="77777777" w:rsidR="00817B75" w:rsidRDefault="00817B75" w:rsidP="00680901">
      <w:pPr>
        <w:pStyle w:val="ac"/>
        <w:spacing w:line="360" w:lineRule="auto"/>
        <w:ind w:hanging="720"/>
        <w:jc w:val="both"/>
        <w:rPr>
          <w:rFonts w:ascii="David" w:hAnsi="David" w:cs="David"/>
          <w:sz w:val="24"/>
          <w:szCs w:val="24"/>
          <w:rtl/>
        </w:rPr>
      </w:pPr>
    </w:p>
    <w:p w14:paraId="52A7B985"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10.</w:t>
      </w:r>
      <w:r>
        <w:rPr>
          <w:rFonts w:ascii="David" w:hAnsi="David" w:cs="David"/>
          <w:sz w:val="24"/>
          <w:szCs w:val="24"/>
          <w:rtl/>
        </w:rPr>
        <w:tab/>
        <w:t xml:space="preserve">בתסקיר מיום 25/2/2020, שהינו תסקיר התאמה לבית המשפט הקהילתי עלה, כי לאור הקושי של הנאשם להתמיד בטיפול בשל עומס בעבודה, הוחלט על צמצום הטיפול ליומיים בשבוע, כשתכנית הטיפול תכלול שיחות פרטניות עם עובד סוציאלי ומדריך, קבוצת תעסוקה, קבוצה טיפולית ובדיקת שתן מדי שבוע. </w:t>
      </w:r>
    </w:p>
    <w:p w14:paraId="078516A3" w14:textId="77777777" w:rsidR="00817B75" w:rsidRDefault="00817B75" w:rsidP="00680901">
      <w:pPr>
        <w:pStyle w:val="ac"/>
        <w:spacing w:line="360" w:lineRule="auto"/>
        <w:ind w:hanging="720"/>
        <w:jc w:val="both"/>
        <w:rPr>
          <w:rFonts w:ascii="David" w:hAnsi="David" w:cs="David"/>
          <w:sz w:val="24"/>
          <w:szCs w:val="24"/>
          <w:rtl/>
        </w:rPr>
      </w:pPr>
    </w:p>
    <w:p w14:paraId="17C20D3C"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11.</w:t>
      </w:r>
      <w:r>
        <w:rPr>
          <w:rFonts w:ascii="David" w:hAnsi="David" w:cs="David"/>
          <w:sz w:val="24"/>
          <w:szCs w:val="24"/>
          <w:rtl/>
        </w:rPr>
        <w:tab/>
        <w:t xml:space="preserve">לשירות המבחן דווח, כי הנאשם מתמיד בהגעתו ובדיקות השתן נקיות משרידי סם. </w:t>
      </w:r>
    </w:p>
    <w:p w14:paraId="0A827C1C" w14:textId="77777777" w:rsidR="00817B75" w:rsidRDefault="00817B75" w:rsidP="00680901">
      <w:pPr>
        <w:pStyle w:val="ac"/>
        <w:spacing w:line="360" w:lineRule="auto"/>
        <w:ind w:hanging="720"/>
        <w:jc w:val="both"/>
        <w:rPr>
          <w:rFonts w:ascii="David" w:hAnsi="David" w:cs="David"/>
          <w:sz w:val="24"/>
          <w:szCs w:val="24"/>
          <w:rtl/>
        </w:rPr>
      </w:pPr>
    </w:p>
    <w:p w14:paraId="4ADFF252"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12.</w:t>
      </w:r>
      <w:r>
        <w:rPr>
          <w:rFonts w:ascii="David" w:hAnsi="David" w:cs="David"/>
          <w:sz w:val="24"/>
          <w:szCs w:val="24"/>
          <w:rtl/>
        </w:rPr>
        <w:tab/>
        <w:t xml:space="preserve">שירות המבחן חזר על המלצותיו גם בתסקיר זה. </w:t>
      </w:r>
    </w:p>
    <w:p w14:paraId="0C601DD1" w14:textId="77777777" w:rsidR="00817B75" w:rsidRDefault="00817B75" w:rsidP="00680901">
      <w:pPr>
        <w:pStyle w:val="ac"/>
        <w:spacing w:line="360" w:lineRule="auto"/>
        <w:ind w:hanging="720"/>
        <w:jc w:val="both"/>
        <w:rPr>
          <w:rFonts w:ascii="David" w:hAnsi="David" w:cs="David"/>
          <w:sz w:val="24"/>
          <w:szCs w:val="24"/>
          <w:rtl/>
        </w:rPr>
      </w:pPr>
    </w:p>
    <w:p w14:paraId="5E648F39" w14:textId="77777777" w:rsidR="00817B75" w:rsidRDefault="00817B75" w:rsidP="00680901">
      <w:pPr>
        <w:spacing w:line="360" w:lineRule="auto"/>
        <w:ind w:left="720" w:hanging="720"/>
        <w:jc w:val="both"/>
        <w:rPr>
          <w:b/>
          <w:bCs/>
          <w:u w:val="single"/>
          <w:rtl/>
        </w:rPr>
      </w:pPr>
      <w:r>
        <w:rPr>
          <w:b/>
          <w:bCs/>
          <w:u w:val="single"/>
          <w:rtl/>
        </w:rPr>
        <w:t>טיעוני המאשימה:</w:t>
      </w:r>
    </w:p>
    <w:p w14:paraId="52D775AB"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13.</w:t>
      </w:r>
      <w:r>
        <w:rPr>
          <w:rFonts w:ascii="David" w:hAnsi="David" w:cs="David"/>
          <w:sz w:val="24"/>
          <w:szCs w:val="24"/>
          <w:rtl/>
        </w:rPr>
        <w:tab/>
        <w:t xml:space="preserve">ב"כ המאשימה ציין, כי הנאשם שוהה במעצר בית מיום 19/12/2018. </w:t>
      </w:r>
    </w:p>
    <w:p w14:paraId="2EC9F38B" w14:textId="77777777" w:rsidR="00817B75" w:rsidRDefault="00817B75" w:rsidP="00680901">
      <w:pPr>
        <w:pStyle w:val="ac"/>
        <w:spacing w:line="360" w:lineRule="auto"/>
        <w:ind w:hanging="720"/>
        <w:jc w:val="both"/>
        <w:rPr>
          <w:rFonts w:ascii="David" w:hAnsi="David" w:cs="David"/>
          <w:sz w:val="24"/>
          <w:szCs w:val="24"/>
          <w:rtl/>
        </w:rPr>
      </w:pPr>
    </w:p>
    <w:p w14:paraId="1490EDD8"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14.</w:t>
      </w:r>
      <w:r>
        <w:rPr>
          <w:rFonts w:ascii="David" w:hAnsi="David" w:cs="David"/>
          <w:sz w:val="24"/>
          <w:szCs w:val="24"/>
          <w:rtl/>
        </w:rPr>
        <w:tab/>
        <w:t xml:space="preserve">לנאשם הרשעה קודמת משנת 2010 בגין עבירה של היעדרות משירות בגינה נגזרו עליו 4 חודשי מאסר בפועל. </w:t>
      </w:r>
    </w:p>
    <w:p w14:paraId="170142D9" w14:textId="77777777" w:rsidR="00817B75" w:rsidRDefault="00817B75" w:rsidP="00680901">
      <w:pPr>
        <w:pStyle w:val="ac"/>
        <w:spacing w:line="360" w:lineRule="auto"/>
        <w:ind w:hanging="720"/>
        <w:jc w:val="both"/>
        <w:rPr>
          <w:rFonts w:ascii="David" w:hAnsi="David" w:cs="David"/>
          <w:sz w:val="24"/>
          <w:szCs w:val="24"/>
        </w:rPr>
      </w:pPr>
    </w:p>
    <w:p w14:paraId="266E4E55"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15.</w:t>
      </w:r>
      <w:r>
        <w:rPr>
          <w:rFonts w:ascii="David" w:hAnsi="David" w:cs="David"/>
          <w:sz w:val="24"/>
          <w:szCs w:val="24"/>
          <w:rtl/>
        </w:rPr>
        <w:tab/>
        <w:t xml:space="preserve">ב"כ המאשימה ציין בטיעוניו, כי הפגיעה הקשה של עבירות הסמים הינה במעגלים נרחבים וביניהם: משתמשי הסמים, סביבתם המשפחתית והחברתית, ואלו הנפגעים כתוצאה מביצוע עבירות על רקע שימוש בסמים מתוך רצון להשיג כסף בכל אמצעי. עוד צויין, כי עבירות הסמים קשות לחשיפה ולכן יש מקום להטיל עונשים מרתיעים. </w:t>
      </w:r>
    </w:p>
    <w:p w14:paraId="70BFE200" w14:textId="77777777" w:rsidR="00817B75" w:rsidRDefault="00817B75" w:rsidP="00680901">
      <w:pPr>
        <w:pStyle w:val="ac"/>
        <w:spacing w:line="360" w:lineRule="auto"/>
        <w:ind w:hanging="720"/>
        <w:jc w:val="both"/>
        <w:rPr>
          <w:rFonts w:ascii="David" w:hAnsi="David" w:cs="David"/>
          <w:sz w:val="24"/>
          <w:szCs w:val="24"/>
          <w:rtl/>
        </w:rPr>
      </w:pPr>
    </w:p>
    <w:p w14:paraId="0C4E1303"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16.</w:t>
      </w:r>
      <w:r>
        <w:rPr>
          <w:rFonts w:ascii="David" w:hAnsi="David" w:cs="David"/>
          <w:sz w:val="24"/>
          <w:szCs w:val="24"/>
          <w:rtl/>
        </w:rPr>
        <w:tab/>
        <w:t xml:space="preserve">ב"כ המאשימה ציין, כי הערכים המוגנים שנפגעו כתוצאה מהעבירות אותן ביצע בנאשם הינם הערכים החברתיים המרכזיים עליהם מגנה </w:t>
      </w:r>
      <w:hyperlink r:id="rId27" w:history="1">
        <w:r w:rsidR="00771BC2" w:rsidRPr="00771BC2">
          <w:rPr>
            <w:rFonts w:ascii="David" w:hAnsi="David" w:cs="David"/>
            <w:color w:val="0000FF"/>
            <w:sz w:val="24"/>
            <w:szCs w:val="24"/>
            <w:u w:val="single"/>
            <w:rtl/>
          </w:rPr>
          <w:t>פקודת הסמים המסוכנים</w:t>
        </w:r>
      </w:hyperlink>
      <w:r>
        <w:rPr>
          <w:rFonts w:ascii="David" w:hAnsi="David" w:cs="David"/>
          <w:sz w:val="24"/>
          <w:szCs w:val="24"/>
          <w:rtl/>
        </w:rPr>
        <w:t xml:space="preserve"> ובראשם החובה להגן על שלומו, גופו, בריאותו, ביטחונו ורכושו של הציבור. עבירות שמטיבן מהוות חלק אינטגרלי ממעגל הפצת הסם ובראשן עבירות ייצור והמסחר בו, מהוות את "ראש הנחש". </w:t>
      </w:r>
    </w:p>
    <w:p w14:paraId="2A3C1B0E" w14:textId="77777777" w:rsidR="00817B75" w:rsidRDefault="00817B75" w:rsidP="00680901">
      <w:pPr>
        <w:pStyle w:val="ac"/>
        <w:spacing w:line="360" w:lineRule="auto"/>
        <w:ind w:hanging="720"/>
        <w:jc w:val="both"/>
        <w:rPr>
          <w:rFonts w:ascii="David" w:hAnsi="David" w:cs="David"/>
          <w:sz w:val="24"/>
          <w:szCs w:val="24"/>
          <w:rtl/>
        </w:rPr>
      </w:pPr>
    </w:p>
    <w:p w14:paraId="5EE6AE11"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ab/>
        <w:t xml:space="preserve">בנוסף, ניכרת פגיעה גם בערך החברתי שעניינו ההגנה על הרכוש הציבורי והקניין, נוכח זיקתן של עבירות הסמים לעבירות רכוש אחרות. בענייננו, הנאשם הורשע גם בעבירה של נטילת חשמל וזאת-במטרה למקסם את רווחיות השקעתו העצומה. </w:t>
      </w:r>
    </w:p>
    <w:p w14:paraId="52B0B50A" w14:textId="77777777" w:rsidR="00817B75" w:rsidRDefault="00817B75" w:rsidP="00680901">
      <w:pPr>
        <w:pStyle w:val="ac"/>
        <w:spacing w:line="360" w:lineRule="auto"/>
        <w:ind w:hanging="720"/>
        <w:jc w:val="both"/>
        <w:rPr>
          <w:rFonts w:ascii="David" w:hAnsi="David" w:cs="David"/>
          <w:sz w:val="24"/>
          <w:szCs w:val="24"/>
          <w:rtl/>
        </w:rPr>
      </w:pPr>
    </w:p>
    <w:p w14:paraId="601E2BEE"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17.</w:t>
      </w:r>
      <w:r>
        <w:rPr>
          <w:rFonts w:ascii="David" w:hAnsi="David" w:cs="David"/>
          <w:sz w:val="24"/>
          <w:szCs w:val="24"/>
          <w:rtl/>
        </w:rPr>
        <w:tab/>
        <w:t xml:space="preserve">ב"כ המאשימה ציין, כי מעשיו של הנאשם הם פרי תכנון מוקדם והוצאה לפועל של תכנית סדורה להקמת בית גידול לסמים בתוך שתי דירות ותוך ציוד שתי הדירות בכלים רבים. הנאשם אף הגדיל לעשות וכאמור, חיבר את הדירה השנייה למתקני חשמל בחיבור ישיר ללא מונה וצרך כמות גדולה של חשמל. </w:t>
      </w:r>
    </w:p>
    <w:p w14:paraId="00882780" w14:textId="77777777" w:rsidR="00817B75" w:rsidRDefault="00817B75" w:rsidP="00680901">
      <w:pPr>
        <w:pStyle w:val="ac"/>
        <w:spacing w:line="360" w:lineRule="auto"/>
        <w:ind w:hanging="720"/>
        <w:jc w:val="both"/>
        <w:rPr>
          <w:rFonts w:ascii="David" w:hAnsi="David" w:cs="David"/>
          <w:sz w:val="24"/>
          <w:szCs w:val="24"/>
          <w:rtl/>
        </w:rPr>
      </w:pPr>
    </w:p>
    <w:p w14:paraId="02600B68"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18.</w:t>
      </w:r>
      <w:r>
        <w:rPr>
          <w:rFonts w:ascii="David" w:hAnsi="David" w:cs="David"/>
          <w:sz w:val="24"/>
          <w:szCs w:val="24"/>
          <w:rtl/>
        </w:rPr>
        <w:tab/>
        <w:t xml:space="preserve">ב"כ המאשימה הוסיף וציין, כי חלקו של הנאשם בביצוע העבירות הוא בלעדי והנזק שהיה צפוי להיגרם מביצוע העבירות הוא רב . לדידו, למרות שהסמים נתפסו בחזקת הנאשם ולא הופצו לציבור, מדובר בתפיסה המהווה תוצאה של פעילות מאומצת של משטרת ישראל. בנוסף, כמות הסמים שגודלה הייתה גדולה מאוד יחסית לשטח הקטן בו גודלה. </w:t>
      </w:r>
    </w:p>
    <w:p w14:paraId="39A24736" w14:textId="77777777" w:rsidR="00817B75" w:rsidRDefault="00817B75" w:rsidP="00680901">
      <w:pPr>
        <w:pStyle w:val="ac"/>
        <w:spacing w:line="360" w:lineRule="auto"/>
        <w:ind w:hanging="720"/>
        <w:jc w:val="both"/>
        <w:rPr>
          <w:rFonts w:ascii="David" w:hAnsi="David" w:cs="David"/>
          <w:sz w:val="24"/>
          <w:szCs w:val="24"/>
        </w:rPr>
      </w:pPr>
    </w:p>
    <w:p w14:paraId="2192AAF6"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19.</w:t>
      </w:r>
      <w:r>
        <w:rPr>
          <w:rFonts w:ascii="David" w:hAnsi="David" w:cs="David"/>
          <w:sz w:val="24"/>
          <w:szCs w:val="24"/>
          <w:rtl/>
        </w:rPr>
        <w:tab/>
        <w:t xml:space="preserve">בנוסף, ציין ב"כ המאשימה, כי הנאשם עבר את העבירות לשם הפקת רווח כלכלי גרידא. </w:t>
      </w:r>
    </w:p>
    <w:p w14:paraId="12B55D69" w14:textId="77777777" w:rsidR="00817B75" w:rsidRDefault="00817B75" w:rsidP="00680901">
      <w:pPr>
        <w:pStyle w:val="ac"/>
        <w:spacing w:line="360" w:lineRule="auto"/>
        <w:ind w:hanging="720"/>
        <w:jc w:val="both"/>
        <w:rPr>
          <w:rFonts w:ascii="David" w:hAnsi="David" w:cs="David"/>
          <w:sz w:val="24"/>
          <w:szCs w:val="24"/>
        </w:rPr>
      </w:pPr>
    </w:p>
    <w:p w14:paraId="52CD47E8"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20.</w:t>
      </w:r>
      <w:r>
        <w:rPr>
          <w:rFonts w:ascii="David" w:hAnsi="David" w:cs="David"/>
          <w:sz w:val="24"/>
          <w:szCs w:val="24"/>
          <w:rtl/>
        </w:rPr>
        <w:tab/>
        <w:t>ב"כ המאשימה הפנה למדיניות הענישה וביקש</w:t>
      </w:r>
      <w:r>
        <w:rPr>
          <w:rFonts w:ascii="David" w:hAnsi="David" w:cs="David"/>
          <w:sz w:val="24"/>
          <w:szCs w:val="24"/>
        </w:rPr>
        <w:t xml:space="preserve"> </w:t>
      </w:r>
      <w:r>
        <w:rPr>
          <w:rFonts w:ascii="David" w:hAnsi="David" w:cs="David"/>
          <w:sz w:val="24"/>
          <w:szCs w:val="24"/>
          <w:rtl/>
        </w:rPr>
        <w:t xml:space="preserve">לקבוע כי מתחם העונש ההולם נע בין 24-48 חודשי מאסר בפועל, לצד ענישה נלווית הכוללת מאסר מותנה ממושך, קנס כספי משמעותי ושלילה של רישיון נהיגה בפועל ועל תנאי. </w:t>
      </w:r>
    </w:p>
    <w:p w14:paraId="284C630E" w14:textId="77777777" w:rsidR="00817B75" w:rsidRDefault="00817B75" w:rsidP="00680901">
      <w:pPr>
        <w:pStyle w:val="ac"/>
        <w:spacing w:line="360" w:lineRule="auto"/>
        <w:ind w:hanging="720"/>
        <w:jc w:val="both"/>
        <w:rPr>
          <w:rFonts w:ascii="David" w:hAnsi="David" w:cs="David"/>
          <w:sz w:val="24"/>
          <w:szCs w:val="24"/>
          <w:rtl/>
        </w:rPr>
      </w:pPr>
    </w:p>
    <w:p w14:paraId="1580C669"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21.</w:t>
      </w:r>
      <w:r>
        <w:rPr>
          <w:rFonts w:ascii="David" w:hAnsi="David" w:cs="David"/>
          <w:sz w:val="24"/>
          <w:szCs w:val="24"/>
          <w:rtl/>
        </w:rPr>
        <w:tab/>
        <w:t>ב"כ המאשימה ביקש לגזור את עונשו של הנאשם באמצע מתחם העונש ההולם בציינו, כי הנאשם לא התמיד בהגעתו לטיפול, ולכן הטיפול צומצם. בנוסף, צויין בתסקיר ההתאמה של הנאשם לבית המשפט הקהילתי, כי הנאשם לא הביע נזקקות להליך שיפוט כוללני ואינטנסיבי ולדבריו האינטנסיביות של ההליך תיפגע בתעסוקה שלו.</w:t>
      </w:r>
    </w:p>
    <w:p w14:paraId="08487813" w14:textId="77777777" w:rsidR="00817B75" w:rsidRDefault="00817B75" w:rsidP="00680901">
      <w:pPr>
        <w:pStyle w:val="ac"/>
        <w:spacing w:line="360" w:lineRule="auto"/>
        <w:ind w:hanging="720"/>
        <w:jc w:val="both"/>
        <w:rPr>
          <w:rFonts w:ascii="David" w:hAnsi="David" w:cs="David"/>
          <w:sz w:val="24"/>
          <w:szCs w:val="24"/>
          <w:rtl/>
        </w:rPr>
      </w:pPr>
    </w:p>
    <w:p w14:paraId="5F3320C8"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22.</w:t>
      </w:r>
      <w:r>
        <w:rPr>
          <w:rFonts w:ascii="David" w:hAnsi="David" w:cs="David"/>
          <w:sz w:val="24"/>
          <w:szCs w:val="24"/>
          <w:rtl/>
        </w:rPr>
        <w:tab/>
        <w:t xml:space="preserve">לדברי ב"כ המאשימה, למרות שהנאשם החל בהליך טיפולי, לא ניתן לומר כי הוא עבר הליך שיקום משמעותי או הראה פוטנציאל שיקום ממשי, כפי שנדרש בפסיקה על מנת לסטות ממתחם העונש ההולם. לטענת ב"כ המאשימה, המלצות שירות המבחן סוטות באופן ניכר וללא הצדקה ממתחם העונש ההולם. </w:t>
      </w:r>
    </w:p>
    <w:p w14:paraId="477D751E" w14:textId="77777777" w:rsidR="00817B75" w:rsidRDefault="00817B75" w:rsidP="00680901">
      <w:pPr>
        <w:pStyle w:val="ac"/>
        <w:spacing w:line="360" w:lineRule="auto"/>
        <w:ind w:hanging="720"/>
        <w:jc w:val="both"/>
        <w:rPr>
          <w:rFonts w:ascii="David" w:hAnsi="David" w:cs="David"/>
          <w:sz w:val="24"/>
          <w:szCs w:val="24"/>
          <w:rtl/>
        </w:rPr>
      </w:pPr>
    </w:p>
    <w:p w14:paraId="3302DF49"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23.</w:t>
      </w:r>
      <w:r>
        <w:rPr>
          <w:rFonts w:ascii="David" w:hAnsi="David" w:cs="David"/>
          <w:sz w:val="24"/>
          <w:szCs w:val="24"/>
          <w:rtl/>
        </w:rPr>
        <w:tab/>
        <w:t>הנאשם היה עצור בין התאריכים 20/11/2018 ועד ליום 19/12/2018.</w:t>
      </w:r>
    </w:p>
    <w:p w14:paraId="103CAFC4" w14:textId="77777777" w:rsidR="00817B75" w:rsidRDefault="00817B75" w:rsidP="00680901">
      <w:pPr>
        <w:pStyle w:val="ac"/>
        <w:spacing w:line="360" w:lineRule="auto"/>
        <w:ind w:hanging="720"/>
        <w:jc w:val="both"/>
        <w:rPr>
          <w:rFonts w:ascii="David" w:hAnsi="David" w:cs="David"/>
          <w:sz w:val="24"/>
          <w:szCs w:val="24"/>
          <w:rtl/>
        </w:rPr>
      </w:pPr>
    </w:p>
    <w:p w14:paraId="032FA72E" w14:textId="77777777" w:rsidR="00817B75" w:rsidRDefault="00817B75" w:rsidP="00680901">
      <w:pPr>
        <w:spacing w:line="360" w:lineRule="auto"/>
        <w:ind w:left="720" w:hanging="720"/>
        <w:jc w:val="both"/>
        <w:rPr>
          <w:b/>
          <w:bCs/>
          <w:u w:val="single"/>
        </w:rPr>
      </w:pPr>
      <w:r>
        <w:rPr>
          <w:b/>
          <w:bCs/>
          <w:u w:val="single"/>
          <w:rtl/>
        </w:rPr>
        <w:t>טיעוני ההגנה:</w:t>
      </w:r>
    </w:p>
    <w:p w14:paraId="562D534C" w14:textId="77777777" w:rsidR="00817B75" w:rsidRDefault="00817B75" w:rsidP="00680901">
      <w:pPr>
        <w:pStyle w:val="ac"/>
        <w:spacing w:line="360" w:lineRule="auto"/>
        <w:ind w:hanging="720"/>
        <w:jc w:val="both"/>
        <w:rPr>
          <w:rFonts w:ascii="David" w:hAnsi="David" w:cs="David"/>
          <w:sz w:val="24"/>
          <w:szCs w:val="24"/>
          <w:rtl/>
        </w:rPr>
      </w:pPr>
      <w:r>
        <w:rPr>
          <w:rFonts w:ascii="David" w:hAnsi="David" w:cs="David"/>
          <w:sz w:val="24"/>
          <w:szCs w:val="24"/>
          <w:rtl/>
        </w:rPr>
        <w:t>24.</w:t>
      </w:r>
      <w:r>
        <w:rPr>
          <w:rFonts w:ascii="David" w:hAnsi="David" w:cs="David"/>
          <w:sz w:val="24"/>
          <w:szCs w:val="24"/>
          <w:rtl/>
        </w:rPr>
        <w:tab/>
        <w:t xml:space="preserve">ב"כ הנאשם ציין, כי הנאשם הודה בהזדמנות הראשונה, מיד עם מעצרו בביצוע העבירות. גם בבית המשפט, הודה נאשם בכתב האישום כפי שהוגש, בלי תיקון ובלי שהובטח לו דבר. זאת-מתוך לקיחת אחריות ורצון לסיים את העניין וכן מתוך הבנה כי למעידתו קיים מחיר. </w:t>
      </w:r>
    </w:p>
    <w:p w14:paraId="23E15E4F" w14:textId="77777777" w:rsidR="00817B75" w:rsidRDefault="00817B75" w:rsidP="00680901">
      <w:pPr>
        <w:pStyle w:val="ac"/>
        <w:spacing w:line="360" w:lineRule="auto"/>
        <w:ind w:hanging="720"/>
        <w:jc w:val="both"/>
        <w:rPr>
          <w:rFonts w:ascii="David" w:hAnsi="David" w:cs="David"/>
          <w:sz w:val="24"/>
          <w:szCs w:val="24"/>
          <w:rtl/>
        </w:rPr>
      </w:pPr>
    </w:p>
    <w:p w14:paraId="17EBC30F"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25.</w:t>
      </w:r>
      <w:r>
        <w:rPr>
          <w:rFonts w:ascii="David" w:hAnsi="David" w:cs="David"/>
          <w:sz w:val="24"/>
          <w:szCs w:val="24"/>
          <w:rtl/>
        </w:rPr>
        <w:tab/>
        <w:t xml:space="preserve">ב"כ הנאשם הוסיף וציין, שני התסקירים האחרונים מחזקים אחד את השני כשלמעשה המכשול היחיד של הנאשם הוא העובדה שהוא צריך לפרנס 6 ילדים הסמוכים על שולחנו: 2 מהם ילדיו שלו ו-4 ילדים נוספים של אשתו. </w:t>
      </w:r>
    </w:p>
    <w:p w14:paraId="4AA6DF6E" w14:textId="77777777" w:rsidR="00817B75" w:rsidRDefault="00817B75" w:rsidP="00680901">
      <w:pPr>
        <w:pStyle w:val="ac"/>
        <w:spacing w:line="360" w:lineRule="auto"/>
        <w:ind w:hanging="720"/>
        <w:jc w:val="both"/>
        <w:rPr>
          <w:rFonts w:ascii="David" w:hAnsi="David" w:cs="David"/>
          <w:sz w:val="24"/>
          <w:szCs w:val="24"/>
        </w:rPr>
      </w:pPr>
    </w:p>
    <w:p w14:paraId="7ED655A6"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26.</w:t>
      </w:r>
      <w:r>
        <w:rPr>
          <w:rFonts w:ascii="David" w:hAnsi="David" w:cs="David"/>
          <w:sz w:val="24"/>
          <w:szCs w:val="24"/>
          <w:rtl/>
        </w:rPr>
        <w:tab/>
        <w:t>ב"כ הנאשם ציין, כי הנאשם היה עצור כמעט חודשיים.</w:t>
      </w:r>
    </w:p>
    <w:p w14:paraId="7FA0C793" w14:textId="77777777" w:rsidR="00817B75" w:rsidRDefault="00817B75" w:rsidP="00680901">
      <w:pPr>
        <w:pStyle w:val="ac"/>
        <w:spacing w:line="360" w:lineRule="auto"/>
        <w:ind w:hanging="720"/>
        <w:jc w:val="both"/>
        <w:rPr>
          <w:rFonts w:ascii="David" w:hAnsi="David" w:cs="David"/>
          <w:sz w:val="24"/>
          <w:szCs w:val="24"/>
          <w:rtl/>
        </w:rPr>
      </w:pPr>
    </w:p>
    <w:p w14:paraId="56153F6C"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27.</w:t>
      </w:r>
      <w:r>
        <w:rPr>
          <w:rFonts w:ascii="David" w:hAnsi="David" w:cs="David"/>
          <w:sz w:val="24"/>
          <w:szCs w:val="24"/>
          <w:rtl/>
        </w:rPr>
        <w:tab/>
        <w:t xml:space="preserve">לטענת ב"כ הנאשם, בדירה שרחוב בר גיורא בחיפה מצאו רק "זבל" , כלומר, כל מיני עלים וענפים שהיו בתוך שקית וכמה מנורות שלא היו מחוברות לשום דבר. במקום לא נמצא אף שתיל והנאשם למעשה העביר את הגידול מאותה דירה לדירה הנוספת, שם הוא אכן גידל. לדבריו, גם המאשימה עצמה לא טענה שהנאשם גידל בשתי הדירות. </w:t>
      </w:r>
    </w:p>
    <w:p w14:paraId="082EF72B" w14:textId="77777777" w:rsidR="00817B75" w:rsidRDefault="00817B75" w:rsidP="00680901">
      <w:pPr>
        <w:pStyle w:val="ac"/>
        <w:spacing w:line="360" w:lineRule="auto"/>
        <w:ind w:hanging="720"/>
        <w:jc w:val="both"/>
        <w:rPr>
          <w:rFonts w:ascii="David" w:hAnsi="David" w:cs="David"/>
          <w:sz w:val="24"/>
          <w:szCs w:val="24"/>
          <w:rtl/>
        </w:rPr>
      </w:pPr>
    </w:p>
    <w:p w14:paraId="0CCCD370"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28.</w:t>
      </w:r>
      <w:r>
        <w:rPr>
          <w:rFonts w:ascii="David" w:hAnsi="David" w:cs="David"/>
          <w:sz w:val="24"/>
          <w:szCs w:val="24"/>
          <w:rtl/>
        </w:rPr>
        <w:tab/>
        <w:t>ב"כ הנאשם ציין, כי מדובר בנאשם בן 30 ללא עבר פלילי, אשר מצבו המשפחתי מורכב, הוא עובד 7 ימים בשבוע ב-2 עבודות שונות על מנת לפרנס את אשתו ושישה ילדים קטינים. בין לבין, סועד הנאשם את אביו שמיד לאחר שחרורו של הנאשם ממעצר עבר 2 אירועים מוחיים ואירוע לבבי קשה, הפך סיעודי והוא נמצא כיום באשפוז במרכז הגריאטרי נאות חיפה.</w:t>
      </w:r>
    </w:p>
    <w:p w14:paraId="28D8269D" w14:textId="77777777" w:rsidR="00817B75" w:rsidRDefault="00817B75" w:rsidP="00680901">
      <w:pPr>
        <w:pStyle w:val="ac"/>
        <w:spacing w:line="360" w:lineRule="auto"/>
        <w:ind w:hanging="720"/>
        <w:jc w:val="both"/>
        <w:rPr>
          <w:rFonts w:ascii="David" w:hAnsi="David" w:cs="David"/>
          <w:sz w:val="24"/>
          <w:szCs w:val="24"/>
          <w:rtl/>
        </w:rPr>
      </w:pPr>
    </w:p>
    <w:p w14:paraId="074E0DFC"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29.</w:t>
      </w:r>
      <w:r>
        <w:rPr>
          <w:rFonts w:ascii="David" w:hAnsi="David" w:cs="David"/>
          <w:sz w:val="24"/>
          <w:szCs w:val="24"/>
          <w:rtl/>
        </w:rPr>
        <w:tab/>
        <w:t>ב"כ הנאשם הפנה לאמור בתסקירי שירות המבחן לעניין השתדלותו של הנאשם והגעתו באופן עקבי לתוכנית טיפול שנקבעה עבורו, כולל שיחה פרטנית, מפגש קבוצתי, שיחה עם מדריך ו-2 בדיקות שתן מידי שבוע, ומאז תחילת הטיפול בדיקות השתן שנתן מעידות על ניקיון משימוש בסמים.</w:t>
      </w:r>
    </w:p>
    <w:p w14:paraId="587B31D2" w14:textId="77777777" w:rsidR="00817B75" w:rsidRDefault="00817B75" w:rsidP="00680901">
      <w:pPr>
        <w:pStyle w:val="ac"/>
        <w:spacing w:line="360" w:lineRule="auto"/>
        <w:ind w:hanging="720"/>
        <w:jc w:val="both"/>
        <w:rPr>
          <w:rFonts w:ascii="David" w:hAnsi="David" w:cs="David"/>
          <w:sz w:val="24"/>
          <w:szCs w:val="24"/>
          <w:rtl/>
        </w:rPr>
      </w:pPr>
    </w:p>
    <w:p w14:paraId="093324C0"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30.</w:t>
      </w:r>
      <w:r>
        <w:rPr>
          <w:rFonts w:ascii="David" w:hAnsi="David" w:cs="David"/>
          <w:sz w:val="24"/>
          <w:szCs w:val="24"/>
          <w:rtl/>
        </w:rPr>
        <w:tab/>
        <w:t>לדברי ב"כ הנאשם, הבעיה היחידה עם הנאשם הייתה מחוייבותו לעבודה ולפרנסת בני משפחתו. למרות זאת, לאחר התאמת הטיפול לצרכיו, הנאשם הגיע לטיפול, מסר בדיקות שתן נקיות ולא נפתחו נגדו תיקים חדשים.</w:t>
      </w:r>
    </w:p>
    <w:p w14:paraId="0A159CF7" w14:textId="77777777" w:rsidR="00817B75" w:rsidRDefault="00817B75" w:rsidP="00680901">
      <w:pPr>
        <w:pStyle w:val="ac"/>
        <w:spacing w:line="360" w:lineRule="auto"/>
        <w:ind w:hanging="720"/>
        <w:jc w:val="both"/>
        <w:rPr>
          <w:rFonts w:ascii="David" w:hAnsi="David" w:cs="David"/>
          <w:sz w:val="24"/>
          <w:szCs w:val="24"/>
          <w:rtl/>
        </w:rPr>
      </w:pPr>
    </w:p>
    <w:p w14:paraId="7A336095"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31.</w:t>
      </w:r>
      <w:r>
        <w:rPr>
          <w:rFonts w:ascii="David" w:hAnsi="David" w:cs="David"/>
          <w:sz w:val="24"/>
          <w:szCs w:val="24"/>
          <w:rtl/>
        </w:rPr>
        <w:tab/>
        <w:t xml:space="preserve">לטענת ב"כ הנאשם, מתחם העונש ההולם אותו ביקש ב"כ המאשימה לאמץ אינו עולה בקנה אחד עם "הלכת הרוש" שלפיה מתחם העונש ההולם מתחיל בעבודות של"צ. </w:t>
      </w:r>
    </w:p>
    <w:p w14:paraId="200D1E74" w14:textId="77777777" w:rsidR="00817B75" w:rsidRDefault="00817B75" w:rsidP="00680901">
      <w:pPr>
        <w:pStyle w:val="ac"/>
        <w:spacing w:line="360" w:lineRule="auto"/>
        <w:ind w:hanging="720"/>
        <w:jc w:val="both"/>
        <w:rPr>
          <w:rFonts w:ascii="David" w:hAnsi="David" w:cs="David"/>
          <w:sz w:val="24"/>
          <w:szCs w:val="24"/>
          <w:rtl/>
        </w:rPr>
      </w:pPr>
    </w:p>
    <w:p w14:paraId="32561864"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32.</w:t>
      </w:r>
      <w:r>
        <w:rPr>
          <w:rFonts w:ascii="David" w:hAnsi="David" w:cs="David"/>
          <w:sz w:val="24"/>
          <w:szCs w:val="24"/>
          <w:rtl/>
        </w:rPr>
        <w:tab/>
        <w:t xml:space="preserve">ב"כ הנאשם הפנה גם לאמור בדו"ח ועדת דורנר לעניין תקופת מאסר קצרות ולכך שהנזק שלהן עולה על התועלת. </w:t>
      </w:r>
    </w:p>
    <w:p w14:paraId="2BF27C69" w14:textId="77777777" w:rsidR="00817B75" w:rsidRDefault="00817B75" w:rsidP="00680901">
      <w:pPr>
        <w:pStyle w:val="ac"/>
        <w:spacing w:line="360" w:lineRule="auto"/>
        <w:ind w:hanging="720"/>
        <w:jc w:val="both"/>
        <w:rPr>
          <w:rFonts w:ascii="David" w:hAnsi="David" w:cs="David"/>
          <w:sz w:val="24"/>
          <w:szCs w:val="24"/>
          <w:rtl/>
        </w:rPr>
      </w:pPr>
    </w:p>
    <w:p w14:paraId="109B97F2" w14:textId="77777777" w:rsidR="00817B75" w:rsidRDefault="00817B75" w:rsidP="00680901">
      <w:pPr>
        <w:pStyle w:val="ac"/>
        <w:spacing w:line="360" w:lineRule="auto"/>
        <w:ind w:hanging="720"/>
        <w:jc w:val="both"/>
        <w:rPr>
          <w:rFonts w:ascii="David" w:hAnsi="David" w:cs="David"/>
          <w:sz w:val="24"/>
          <w:szCs w:val="24"/>
        </w:rPr>
      </w:pPr>
      <w:r>
        <w:rPr>
          <w:rFonts w:ascii="David" w:hAnsi="David" w:cs="David"/>
          <w:sz w:val="24"/>
          <w:szCs w:val="24"/>
          <w:rtl/>
        </w:rPr>
        <w:t>33.</w:t>
      </w:r>
      <w:r>
        <w:rPr>
          <w:rFonts w:ascii="David" w:hAnsi="David" w:cs="David"/>
          <w:sz w:val="24"/>
          <w:szCs w:val="24"/>
          <w:rtl/>
        </w:rPr>
        <w:tab/>
        <w:t xml:space="preserve">הנאשם ביקש לומר כי הוא מצטער על מה שעשה, הוא עובר תהליך שיקומי, הוא נקי ומבקש מבית המשפט להתחשב בו. </w:t>
      </w:r>
    </w:p>
    <w:p w14:paraId="3C20E38D" w14:textId="77777777" w:rsidR="00817B75" w:rsidRDefault="00817B75" w:rsidP="00680901">
      <w:pPr>
        <w:pStyle w:val="ac"/>
        <w:spacing w:line="360" w:lineRule="auto"/>
        <w:ind w:hanging="720"/>
        <w:jc w:val="both"/>
        <w:rPr>
          <w:rFonts w:ascii="David" w:hAnsi="David" w:cs="David"/>
          <w:sz w:val="24"/>
          <w:szCs w:val="24"/>
          <w:rtl/>
        </w:rPr>
      </w:pPr>
    </w:p>
    <w:p w14:paraId="54C65A62" w14:textId="77777777" w:rsidR="00817B75" w:rsidRDefault="00817B75" w:rsidP="00680901">
      <w:pPr>
        <w:spacing w:line="360" w:lineRule="auto"/>
        <w:jc w:val="both"/>
        <w:rPr>
          <w:rFonts w:ascii="Arial" w:hAnsi="Arial"/>
          <w:b/>
          <w:bCs/>
          <w:u w:val="single"/>
          <w:rtl/>
        </w:rPr>
      </w:pPr>
      <w:r>
        <w:rPr>
          <w:rFonts w:ascii="Arial" w:hAnsi="Arial"/>
          <w:b/>
          <w:bCs/>
          <w:u w:val="single"/>
          <w:rtl/>
        </w:rPr>
        <w:t>דיון והכרעה:</w:t>
      </w:r>
    </w:p>
    <w:p w14:paraId="58864A5A" w14:textId="77777777" w:rsidR="00817B75" w:rsidRDefault="00817B75" w:rsidP="00680901">
      <w:pPr>
        <w:spacing w:line="360" w:lineRule="auto"/>
        <w:ind w:left="720" w:hanging="720"/>
        <w:jc w:val="both"/>
        <w:rPr>
          <w:rFonts w:ascii="Times New Roman" w:hAnsi="Times New Roman"/>
          <w:rtl/>
        </w:rPr>
      </w:pPr>
      <w:r>
        <w:rPr>
          <w:rFonts w:ascii="Arial" w:hAnsi="Arial"/>
          <w:rtl/>
        </w:rPr>
        <w:t xml:space="preserve">34. </w:t>
      </w:r>
      <w:r>
        <w:rPr>
          <w:rtl/>
        </w:rPr>
        <w:tab/>
        <w:t>תיקון 113 ל</w:t>
      </w:r>
      <w:hyperlink r:id="rId28" w:history="1">
        <w:r w:rsidR="00771BC2" w:rsidRPr="00771BC2">
          <w:rPr>
            <w:color w:val="0000FF"/>
            <w:u w:val="single"/>
            <w:rtl/>
          </w:rPr>
          <w:t>חוק העונשין</w:t>
        </w:r>
      </w:hyperlink>
      <w:r>
        <w:rPr>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w:t>
      </w:r>
      <w:hyperlink r:id="rId29" w:history="1">
        <w:r w:rsidR="008E009F" w:rsidRPr="008E009F">
          <w:rPr>
            <w:rStyle w:val="Hyperlink"/>
            <w:rtl/>
          </w:rPr>
          <w:t>סעיף 40ב</w:t>
        </w:r>
      </w:hyperlink>
      <w:r>
        <w:rPr>
          <w:rtl/>
        </w:rPr>
        <w:t xml:space="preserve"> לחוק העונשין, תשל"ז – 1977),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 (</w:t>
      </w:r>
      <w:hyperlink r:id="rId30" w:history="1">
        <w:r w:rsidR="008E009F" w:rsidRPr="008E009F">
          <w:rPr>
            <w:rStyle w:val="Hyperlink"/>
            <w:rtl/>
          </w:rPr>
          <w:t>סעיף 40ג</w:t>
        </w:r>
      </w:hyperlink>
      <w:r>
        <w:rPr>
          <w:rtl/>
        </w:rPr>
        <w:t xml:space="preserve"> לחוק הנ"ל). </w:t>
      </w:r>
    </w:p>
    <w:p w14:paraId="32DF35FD" w14:textId="77777777" w:rsidR="00817B75" w:rsidRDefault="00817B75" w:rsidP="00680901">
      <w:pPr>
        <w:spacing w:line="360" w:lineRule="auto"/>
        <w:jc w:val="both"/>
      </w:pPr>
    </w:p>
    <w:p w14:paraId="3826F5D7" w14:textId="77777777" w:rsidR="00817B75" w:rsidRDefault="00817B75" w:rsidP="00680901">
      <w:pPr>
        <w:spacing w:line="360" w:lineRule="auto"/>
        <w:ind w:left="720" w:hanging="720"/>
        <w:jc w:val="both"/>
      </w:pPr>
      <w:r>
        <w:rPr>
          <w:rtl/>
        </w:rPr>
        <w:t>35.</w:t>
      </w:r>
      <w:r>
        <w:rPr>
          <w:rtl/>
        </w:rPr>
        <w:tab/>
        <w:t>הערכים החברתיים שנפגעו כתוצאה ממעשיו של הנאשם הם הפגיעה בשלום הציבור בהיות נגע הסמים בגדר מחולל פשיעה על כל גווניה כמו גם הפגיעה בגופם של אלה הצורכים סמים אותם רוכשים מנאשמים דוגמת הנאשם.</w:t>
      </w:r>
    </w:p>
    <w:p w14:paraId="49B20528" w14:textId="77777777" w:rsidR="00817B75" w:rsidRDefault="00817B75" w:rsidP="00680901">
      <w:pPr>
        <w:spacing w:line="360" w:lineRule="auto"/>
        <w:ind w:left="720" w:hanging="720"/>
        <w:jc w:val="both"/>
      </w:pPr>
    </w:p>
    <w:p w14:paraId="4D7CB762" w14:textId="77777777" w:rsidR="00817B75" w:rsidRDefault="00817B75" w:rsidP="00680901">
      <w:pPr>
        <w:spacing w:line="360" w:lineRule="auto"/>
        <w:ind w:left="720" w:hanging="720"/>
        <w:jc w:val="both"/>
        <w:rPr>
          <w:rtl/>
        </w:rPr>
      </w:pPr>
      <w:r>
        <w:rPr>
          <w:rtl/>
        </w:rPr>
        <w:t>36.</w:t>
      </w:r>
      <w:r>
        <w:rPr>
          <w:rtl/>
        </w:rPr>
        <w:tab/>
        <w:t xml:space="preserve">אשר למידת הפגיעה - מדובר ברמת פגיעה גבוהה, שכן הנאשם גידל כמות ניכרת של 489 שתילים של סם מסוכן מסוג קנבוס במשקל של 35.60 ק"ג נטו. </w:t>
      </w:r>
    </w:p>
    <w:p w14:paraId="4493FB00" w14:textId="77777777" w:rsidR="00817B75" w:rsidRDefault="00817B75" w:rsidP="00680901">
      <w:pPr>
        <w:spacing w:line="360" w:lineRule="auto"/>
        <w:ind w:left="720" w:hanging="720"/>
        <w:jc w:val="both"/>
        <w:rPr>
          <w:rtl/>
        </w:rPr>
      </w:pPr>
    </w:p>
    <w:p w14:paraId="7C110504" w14:textId="77777777" w:rsidR="00817B75" w:rsidRDefault="00817B75" w:rsidP="00680901">
      <w:pPr>
        <w:spacing w:line="360" w:lineRule="auto"/>
        <w:ind w:left="720" w:hanging="720"/>
        <w:jc w:val="both"/>
        <w:rPr>
          <w:rtl/>
        </w:rPr>
      </w:pPr>
      <w:r>
        <w:rPr>
          <w:rtl/>
        </w:rPr>
        <w:t>37.</w:t>
      </w:r>
      <w:r>
        <w:rPr>
          <w:rtl/>
        </w:rPr>
        <w:tab/>
        <w:t xml:space="preserve">אשר לנסיבות הקשורות בעבירה – </w:t>
      </w:r>
    </w:p>
    <w:p w14:paraId="33FA5860" w14:textId="77777777" w:rsidR="00817B75" w:rsidRDefault="00817B75" w:rsidP="00680901">
      <w:pPr>
        <w:spacing w:line="360" w:lineRule="auto"/>
        <w:ind w:left="720" w:hanging="720"/>
        <w:jc w:val="both"/>
        <w:rPr>
          <w:rtl/>
        </w:rPr>
      </w:pPr>
      <w:r>
        <w:rPr>
          <w:rtl/>
        </w:rPr>
        <w:tab/>
        <w:t xml:space="preserve">הנאשם שכר למעשה שתי דירות. דירה אחת ברח' בר גיורא בחיפה ובה שני חדרים, בה החזיק ביום 20/11/18 סם מסוג קנבוס במשקל כולל של 407.86 גר' נטו וציוד שנועד לצורך גידול סמים מסוכנים. דירה שניה ברח' רש"י בחיפה ובה 3 חדרים אותה צייד לצורך גידול סם מסוכן מסוג קנבוס במאוורר, מפוחים, שנאים, מנורות, מווסת לחות חשמלי אוהלים וטיימר. הנאשם גידל בדירה השניה כאמור את 489 שתילי הקנבוס במשקל נטו של 35.60 ק"ג. </w:t>
      </w:r>
    </w:p>
    <w:p w14:paraId="261D2056" w14:textId="77777777" w:rsidR="00817B75" w:rsidRDefault="00817B75" w:rsidP="00680901">
      <w:pPr>
        <w:spacing w:line="360" w:lineRule="auto"/>
        <w:ind w:left="720" w:hanging="720"/>
        <w:jc w:val="both"/>
        <w:rPr>
          <w:rtl/>
        </w:rPr>
      </w:pPr>
    </w:p>
    <w:p w14:paraId="466E4554" w14:textId="77777777" w:rsidR="00817B75" w:rsidRDefault="00817B75" w:rsidP="00680901">
      <w:pPr>
        <w:spacing w:line="360" w:lineRule="auto"/>
        <w:ind w:left="720" w:hanging="720"/>
        <w:jc w:val="both"/>
        <w:rPr>
          <w:rtl/>
        </w:rPr>
      </w:pPr>
      <w:r>
        <w:rPr>
          <w:rtl/>
        </w:rPr>
        <w:tab/>
        <w:t xml:space="preserve">הנאשם גם חיבר את הדירה השניה למתקני חברת החשמל בחיבור ישיר ללא מונה, באופן שעקף את החיבור התקני של חברת החשמל וגרם להטיית חשמל במרמה, תוך שצרך כמות של 11,927 קוט"ש לשעה בשווי של 9,807.68 ₪ מבלי שהיה זכאי לכך. </w:t>
      </w:r>
    </w:p>
    <w:p w14:paraId="0F66894D" w14:textId="77777777" w:rsidR="00817B75" w:rsidRDefault="00817B75" w:rsidP="00680901">
      <w:pPr>
        <w:spacing w:line="360" w:lineRule="auto"/>
        <w:ind w:left="720" w:hanging="720"/>
        <w:jc w:val="both"/>
        <w:rPr>
          <w:rtl/>
        </w:rPr>
      </w:pPr>
    </w:p>
    <w:p w14:paraId="6BAE0405" w14:textId="77777777" w:rsidR="00817B75" w:rsidRDefault="00817B75" w:rsidP="00680901">
      <w:pPr>
        <w:spacing w:line="360" w:lineRule="auto"/>
        <w:ind w:left="720" w:hanging="720"/>
        <w:jc w:val="both"/>
        <w:rPr>
          <w:rtl/>
        </w:rPr>
      </w:pPr>
      <w:r>
        <w:rPr>
          <w:rtl/>
        </w:rPr>
        <w:tab/>
        <w:t>הנאשם היה המבצע היחיד של העבירות.</w:t>
      </w:r>
    </w:p>
    <w:p w14:paraId="0DDD24BD" w14:textId="77777777" w:rsidR="00817B75" w:rsidRDefault="00817B75" w:rsidP="00680901">
      <w:pPr>
        <w:spacing w:line="360" w:lineRule="auto"/>
        <w:ind w:left="720" w:hanging="720"/>
        <w:jc w:val="both"/>
        <w:rPr>
          <w:rtl/>
        </w:rPr>
      </w:pPr>
    </w:p>
    <w:p w14:paraId="77D70FF1" w14:textId="77777777" w:rsidR="00817B75" w:rsidRDefault="00817B75" w:rsidP="00680901">
      <w:pPr>
        <w:spacing w:line="360" w:lineRule="auto"/>
        <w:ind w:left="720" w:hanging="720"/>
        <w:jc w:val="both"/>
        <w:rPr>
          <w:rtl/>
        </w:rPr>
      </w:pPr>
      <w:r>
        <w:rPr>
          <w:rtl/>
        </w:rPr>
        <w:tab/>
        <w:t xml:space="preserve">הנאשם פעל מתוך תכנון, הצטיידות, לאורך זמן - הדירה הראשונה נשכרה בין 6/8/18 עד יום מעצרו 20/11/18 והדירה השניה נשכרה בין 14/9/18 עד יום מעצרו 20/11/18, בשיטתיות, תוך ביצוע עבירה נוספת של נטילת חשמל במרמה. </w:t>
      </w:r>
    </w:p>
    <w:p w14:paraId="108B93FA" w14:textId="77777777" w:rsidR="00817B75" w:rsidRDefault="00817B75" w:rsidP="00680901">
      <w:pPr>
        <w:spacing w:line="360" w:lineRule="auto"/>
        <w:ind w:left="720" w:hanging="720"/>
        <w:jc w:val="both"/>
        <w:rPr>
          <w:rtl/>
        </w:rPr>
      </w:pPr>
    </w:p>
    <w:p w14:paraId="55B8A85F" w14:textId="77777777" w:rsidR="00817B75" w:rsidRDefault="00817B75" w:rsidP="00680901">
      <w:pPr>
        <w:spacing w:line="360" w:lineRule="auto"/>
        <w:ind w:left="720" w:hanging="720"/>
        <w:jc w:val="both"/>
        <w:rPr>
          <w:rtl/>
        </w:rPr>
      </w:pPr>
      <w:r>
        <w:rPr>
          <w:rtl/>
        </w:rPr>
        <w:tab/>
        <w:t xml:space="preserve">אופי ביצוע העבירות מצביע על התמצאות בעולם גידול הסמים, ואימוץ התנהלות עבריינית. </w:t>
      </w:r>
    </w:p>
    <w:p w14:paraId="28203A73" w14:textId="77777777" w:rsidR="00817B75" w:rsidRDefault="00817B75" w:rsidP="00680901">
      <w:pPr>
        <w:spacing w:line="360" w:lineRule="auto"/>
        <w:jc w:val="both"/>
        <w:rPr>
          <w:rtl/>
        </w:rPr>
      </w:pPr>
    </w:p>
    <w:p w14:paraId="776F23DE" w14:textId="77777777" w:rsidR="00817B75" w:rsidRDefault="00817B75" w:rsidP="00680901">
      <w:pPr>
        <w:spacing w:line="360" w:lineRule="auto"/>
        <w:ind w:left="720" w:hanging="720"/>
        <w:jc w:val="both"/>
        <w:rPr>
          <w:rtl/>
        </w:rPr>
      </w:pPr>
      <w:r>
        <w:rPr>
          <w:rtl/>
        </w:rPr>
        <w:t>38.</w:t>
      </w:r>
      <w:r>
        <w:rPr>
          <w:rtl/>
        </w:rPr>
        <w:tab/>
        <w:t>אשר למדיניות הענישה – ב</w:t>
      </w:r>
      <w:hyperlink r:id="rId31" w:history="1">
        <w:r w:rsidR="00771BC2" w:rsidRPr="00771BC2">
          <w:rPr>
            <w:color w:val="0000FF"/>
            <w:u w:val="single"/>
            <w:rtl/>
          </w:rPr>
          <w:t>רע"פ 4512/15</w:t>
        </w:r>
      </w:hyperlink>
      <w:r>
        <w:rPr>
          <w:rtl/>
        </w:rPr>
        <w:t xml:space="preserve"> אברהם הרוש נ' מדינת ישראל הורשע הנאשם בעבירות של גידול, יצור והכנת סמים מסוכנים לאחר שהקים מעבדה לייצור סם מסוג מריחואנה במרתף בית פרטי אותו שכר. </w:t>
      </w:r>
    </w:p>
    <w:p w14:paraId="7DBFF088" w14:textId="77777777" w:rsidR="00817B75" w:rsidRDefault="00817B75" w:rsidP="00680901">
      <w:pPr>
        <w:spacing w:line="360" w:lineRule="auto"/>
        <w:ind w:left="720"/>
        <w:jc w:val="both"/>
      </w:pPr>
      <w:r>
        <w:rPr>
          <w:rtl/>
        </w:rPr>
        <w:t>באותה מעבדה נמצאו 378 שתילי צמח קנבוס במשקל כולל של 283.34 גר' נטו – כמות שתילים העולה פי 100 מהכמות שנתפסה בענייננו.</w:t>
      </w:r>
    </w:p>
    <w:p w14:paraId="477B9F65" w14:textId="77777777" w:rsidR="00817B75" w:rsidRDefault="00817B75" w:rsidP="00680901">
      <w:pPr>
        <w:spacing w:line="360" w:lineRule="auto"/>
        <w:jc w:val="both"/>
        <w:rPr>
          <w:rtl/>
        </w:rPr>
      </w:pPr>
    </w:p>
    <w:p w14:paraId="6C9EC79F" w14:textId="77777777" w:rsidR="00817B75" w:rsidRDefault="00817B75" w:rsidP="00680901">
      <w:pPr>
        <w:spacing w:line="360" w:lineRule="auto"/>
        <w:ind w:left="720"/>
        <w:jc w:val="both"/>
        <w:rPr>
          <w:rtl/>
        </w:rPr>
      </w:pPr>
      <w:r>
        <w:rPr>
          <w:rtl/>
        </w:rPr>
        <w:t xml:space="preserve">מפסק דינה של הערכאה הראשונה עלה כי מדובר בסם שנתפס בשלב מוקדם כשהשתילים עדיין מהווים נבטים וטרם הגיעו למשקלם המלא. </w:t>
      </w:r>
    </w:p>
    <w:p w14:paraId="225D081D" w14:textId="77777777" w:rsidR="00817B75" w:rsidRDefault="00817B75" w:rsidP="00680901">
      <w:pPr>
        <w:spacing w:line="360" w:lineRule="auto"/>
        <w:jc w:val="both"/>
        <w:rPr>
          <w:rtl/>
        </w:rPr>
      </w:pPr>
    </w:p>
    <w:p w14:paraId="660D02FF" w14:textId="77777777" w:rsidR="00817B75" w:rsidRDefault="00817B75" w:rsidP="00680901">
      <w:pPr>
        <w:spacing w:line="360" w:lineRule="auto"/>
        <w:ind w:left="720"/>
        <w:jc w:val="both"/>
        <w:rPr>
          <w:rtl/>
        </w:rPr>
      </w:pPr>
      <w:r>
        <w:rPr>
          <w:rtl/>
        </w:rPr>
        <w:t xml:space="preserve">באותו עניין קבע בית המשפט השלום כי מתחם הענישה למעשיו של הנאשם נע בין של"צ ומאסר מותנה לבין 24 חודשי מאסר בפועל בהתחשב בנסיבות שהיו בפניו, הטיל על הנאשם 10 חודשי מאסר בניכוי ימי מעצרו. </w:t>
      </w:r>
    </w:p>
    <w:p w14:paraId="1C38CEE6" w14:textId="77777777" w:rsidR="00817B75" w:rsidRDefault="00817B75" w:rsidP="00680901">
      <w:pPr>
        <w:spacing w:line="360" w:lineRule="auto"/>
        <w:jc w:val="both"/>
        <w:rPr>
          <w:rtl/>
        </w:rPr>
      </w:pPr>
    </w:p>
    <w:p w14:paraId="4A66145D" w14:textId="77777777" w:rsidR="00817B75" w:rsidRDefault="00817B75" w:rsidP="00680901">
      <w:pPr>
        <w:spacing w:line="360" w:lineRule="auto"/>
        <w:ind w:left="720"/>
        <w:jc w:val="both"/>
        <w:rPr>
          <w:rtl/>
        </w:rPr>
      </w:pPr>
      <w:r>
        <w:rPr>
          <w:rtl/>
        </w:rPr>
        <w:t xml:space="preserve">בית המשפט השלום קבע כי לא ניתן ללמוד ממשקל הסם על נסיבות האירוע ועל חומרתו, אלא שיש ללמוד על כך ממכלול הנסיבות האופפות אותו. </w:t>
      </w:r>
    </w:p>
    <w:p w14:paraId="49280036" w14:textId="77777777" w:rsidR="00817B75" w:rsidRDefault="00817B75" w:rsidP="00680901">
      <w:pPr>
        <w:spacing w:line="360" w:lineRule="auto"/>
        <w:jc w:val="both"/>
        <w:rPr>
          <w:rtl/>
        </w:rPr>
      </w:pPr>
    </w:p>
    <w:p w14:paraId="1E9CFBF3" w14:textId="77777777" w:rsidR="00817B75" w:rsidRDefault="00817B75" w:rsidP="00680901">
      <w:pPr>
        <w:spacing w:line="360" w:lineRule="auto"/>
        <w:ind w:left="720"/>
        <w:jc w:val="both"/>
        <w:rPr>
          <w:rtl/>
        </w:rPr>
      </w:pPr>
      <w:r>
        <w:rPr>
          <w:rtl/>
        </w:rPr>
        <w:t xml:space="preserve">ערעור שהגיש הנאשם על חומרת עונשו לבית המשפט המחוזי, התקבל חלקית, והגם שבית המשפט המחוזי דחה את טענת הנאשם כי היה מקום לזקוף לזכותו את המשקל הנמוך של הסמים שנמצאו בבית, קבע כי אין לייחס למשקל הקנבוס משמעות מעבר למה שייחס לה בית משפט השלום לאור פוטנציאל הנזק שהיה אמור להגרם אילו נתפסה המעבדה זמן לא רב לאחר שנתפסה בפועל. </w:t>
      </w:r>
    </w:p>
    <w:p w14:paraId="077A5513" w14:textId="77777777" w:rsidR="00817B75" w:rsidRDefault="00817B75" w:rsidP="00680901">
      <w:pPr>
        <w:spacing w:line="360" w:lineRule="auto"/>
        <w:jc w:val="both"/>
        <w:rPr>
          <w:rtl/>
        </w:rPr>
      </w:pPr>
    </w:p>
    <w:p w14:paraId="7B1E6B6D" w14:textId="77777777" w:rsidR="00817B75" w:rsidRDefault="00817B75" w:rsidP="00680901">
      <w:pPr>
        <w:spacing w:line="360" w:lineRule="auto"/>
        <w:ind w:left="720"/>
        <w:jc w:val="both"/>
        <w:rPr>
          <w:rtl/>
        </w:rPr>
      </w:pPr>
      <w:r>
        <w:rPr>
          <w:rtl/>
        </w:rPr>
        <w:t xml:space="preserve">בית המשפט המחוזי מצא להקל במידת מה בעונשו של הנאשם נוכח נסיבותיו האישיות וההליך השיקומי בו היה מצוי. </w:t>
      </w:r>
    </w:p>
    <w:p w14:paraId="590C3745" w14:textId="77777777" w:rsidR="00817B75" w:rsidRDefault="00817B75" w:rsidP="00680901">
      <w:pPr>
        <w:spacing w:line="360" w:lineRule="auto"/>
        <w:jc w:val="both"/>
        <w:rPr>
          <w:rtl/>
        </w:rPr>
      </w:pPr>
    </w:p>
    <w:p w14:paraId="44B149E0" w14:textId="77777777" w:rsidR="00817B75" w:rsidRDefault="00817B75" w:rsidP="00680901">
      <w:pPr>
        <w:spacing w:line="360" w:lineRule="auto"/>
        <w:ind w:left="720"/>
        <w:jc w:val="both"/>
        <w:rPr>
          <w:rtl/>
        </w:rPr>
      </w:pPr>
      <w:r>
        <w:rPr>
          <w:rtl/>
        </w:rPr>
        <w:t xml:space="preserve">בערעור שהוגש ע"י הנאשם לבית המשפט העליון קבע בית המשפט העליון כי הבקשה לא גילתה נופך עקרוני, עונשו של המערער לא סטה ממדיניות הענישה הראויה, ובפועל, אימץ בית המשפט העליון את מה שנקבע בגזר דינו של בית המשפט השלום. </w:t>
      </w:r>
    </w:p>
    <w:p w14:paraId="606C0139" w14:textId="77777777" w:rsidR="00817B75" w:rsidRDefault="00817B75" w:rsidP="00680901">
      <w:pPr>
        <w:spacing w:line="360" w:lineRule="auto"/>
        <w:ind w:left="720" w:hanging="720"/>
        <w:jc w:val="both"/>
        <w:rPr>
          <w:rtl/>
        </w:rPr>
      </w:pPr>
    </w:p>
    <w:p w14:paraId="2A77C24C" w14:textId="77777777" w:rsidR="00817B75" w:rsidRDefault="00817B75" w:rsidP="00680901">
      <w:pPr>
        <w:spacing w:line="360" w:lineRule="auto"/>
        <w:ind w:left="720"/>
        <w:jc w:val="both"/>
        <w:rPr>
          <w:rtl/>
        </w:rPr>
      </w:pPr>
      <w:r>
        <w:rPr>
          <w:rtl/>
        </w:rPr>
        <w:t xml:space="preserve">מכאן, שעונשו של המערער נגזר בסופו של יום על בסיס כלל נסיבות המקרה – אופן הקמת המעבדה, אבזורה, שטחה מתוך שטח המרתף, היקף הייצור, כמות השתילים ומשקל הסם כשנסיבות אלה נשקלו לצורך קביעת עונשו של המערער. </w:t>
      </w:r>
    </w:p>
    <w:p w14:paraId="4F65A83D" w14:textId="77777777" w:rsidR="00817B75" w:rsidRDefault="00817B75" w:rsidP="00680901">
      <w:pPr>
        <w:spacing w:line="360" w:lineRule="auto"/>
        <w:jc w:val="both"/>
        <w:rPr>
          <w:rtl/>
        </w:rPr>
      </w:pPr>
    </w:p>
    <w:p w14:paraId="09F402B5" w14:textId="77777777" w:rsidR="00817B75" w:rsidRDefault="00817B75" w:rsidP="00680901">
      <w:pPr>
        <w:spacing w:line="360" w:lineRule="auto"/>
        <w:ind w:left="720"/>
        <w:jc w:val="both"/>
        <w:rPr>
          <w:rtl/>
        </w:rPr>
      </w:pPr>
      <w:r>
        <w:rPr>
          <w:rtl/>
        </w:rPr>
        <w:t>הן בית המשפט העליון והן בית המשפט המחוזי לא קבעו כי מתחם העונש ההולם שנקבע בבית משפט השלום, קרי – בין של"צ ומאסר מותנה לבין 24 חודשי מאסר בפועל הינו המתחם הראוי ולמעשה אימצו אותו והטילו עונש המצוי בתוך המתחם כפי שעשה בית משפט השלום.</w:t>
      </w:r>
    </w:p>
    <w:p w14:paraId="7118855C" w14:textId="77777777" w:rsidR="00817B75" w:rsidRDefault="00817B75" w:rsidP="00680901">
      <w:pPr>
        <w:rPr>
          <w:rtl/>
        </w:rPr>
      </w:pPr>
    </w:p>
    <w:p w14:paraId="54C10FAF" w14:textId="77777777" w:rsidR="00817B75" w:rsidRDefault="00817B75" w:rsidP="00680901">
      <w:pPr>
        <w:spacing w:line="360" w:lineRule="auto"/>
        <w:ind w:left="720" w:hanging="720"/>
        <w:jc w:val="both"/>
      </w:pPr>
      <w:r>
        <w:rPr>
          <w:rtl/>
        </w:rPr>
        <w:t>39.</w:t>
      </w:r>
      <w:r>
        <w:rPr>
          <w:rtl/>
        </w:rPr>
        <w:tab/>
        <w:t xml:space="preserve">בהתחשב איפוא בעיקרון ההלימה, בערכים החברתיים שנפגעו, במידת הפגיעה באותם ערכים, בנסיבות הקשורות בעבירה ובמדיניות הענישה, אני קובעת כי מתחם העונש ההולם נע בין 12 לבין 24 חודשי מאסר בפועל וזאת בעיקר בשים לב לכמות הסם הניכרת ולכמות השתילים הגבוהה. </w:t>
      </w:r>
    </w:p>
    <w:p w14:paraId="0D8390C2" w14:textId="77777777" w:rsidR="00817B75" w:rsidRDefault="00817B75" w:rsidP="00680901">
      <w:pPr>
        <w:spacing w:line="360" w:lineRule="auto"/>
        <w:ind w:left="720" w:hanging="720"/>
        <w:jc w:val="both"/>
        <w:rPr>
          <w:rtl/>
        </w:rPr>
      </w:pPr>
    </w:p>
    <w:p w14:paraId="0B551056" w14:textId="77777777" w:rsidR="00817B75" w:rsidRDefault="00817B75" w:rsidP="00680901">
      <w:pPr>
        <w:spacing w:line="360" w:lineRule="auto"/>
        <w:ind w:left="720" w:hanging="720"/>
        <w:jc w:val="both"/>
        <w:rPr>
          <w:rtl/>
        </w:rPr>
      </w:pPr>
      <w:r>
        <w:rPr>
          <w:rtl/>
        </w:rPr>
        <w:t>40.</w:t>
      </w:r>
      <w:r>
        <w:rPr>
          <w:rtl/>
        </w:rPr>
        <w:tab/>
        <w:t>אשר לנסיבות שאינן קשורות בביצוע העבירה –</w:t>
      </w:r>
    </w:p>
    <w:p w14:paraId="59606D03" w14:textId="77777777" w:rsidR="00817B75" w:rsidRDefault="00817B75" w:rsidP="00680901">
      <w:pPr>
        <w:spacing w:line="360" w:lineRule="auto"/>
        <w:ind w:left="720" w:hanging="720"/>
        <w:jc w:val="both"/>
        <w:rPr>
          <w:rtl/>
        </w:rPr>
      </w:pPr>
      <w:r>
        <w:rPr>
          <w:rtl/>
        </w:rPr>
        <w:tab/>
        <w:t xml:space="preserve">הנאשם הודה בהזדמנות הראשונה, נטל אחריות על מעשיו ובכך חסך מזמנם של הצדדים, העדים ובית המשפט כשכתב האישום כולל 47 עדי תביעה. </w:t>
      </w:r>
    </w:p>
    <w:p w14:paraId="6342E7A6" w14:textId="77777777" w:rsidR="00817B75" w:rsidRDefault="00817B75" w:rsidP="00680901">
      <w:pPr>
        <w:spacing w:line="360" w:lineRule="auto"/>
        <w:ind w:left="720" w:hanging="720"/>
        <w:jc w:val="both"/>
        <w:rPr>
          <w:rtl/>
        </w:rPr>
      </w:pPr>
    </w:p>
    <w:p w14:paraId="18BDCA29" w14:textId="77777777" w:rsidR="00817B75" w:rsidRDefault="00817B75" w:rsidP="00680901">
      <w:pPr>
        <w:spacing w:line="360" w:lineRule="auto"/>
        <w:ind w:left="720" w:hanging="720"/>
        <w:jc w:val="both"/>
        <w:rPr>
          <w:rtl/>
        </w:rPr>
      </w:pPr>
      <w:r>
        <w:rPr>
          <w:rtl/>
        </w:rPr>
        <w:tab/>
        <w:t xml:space="preserve">אין לחובת הנאשם הרשעות קודמות למעט עבירה של העדר מהשירות הצבאי בגינה ריצה עונש מאסר בכלא צבאי. </w:t>
      </w:r>
    </w:p>
    <w:p w14:paraId="44014E3A" w14:textId="77777777" w:rsidR="00817B75" w:rsidRDefault="00817B75" w:rsidP="00680901">
      <w:pPr>
        <w:spacing w:line="360" w:lineRule="auto"/>
        <w:ind w:left="720" w:hanging="720"/>
        <w:jc w:val="both"/>
        <w:rPr>
          <w:rtl/>
        </w:rPr>
      </w:pPr>
    </w:p>
    <w:p w14:paraId="0122DDEB" w14:textId="77777777" w:rsidR="00817B75" w:rsidRDefault="00817B75" w:rsidP="00680901">
      <w:pPr>
        <w:spacing w:line="360" w:lineRule="auto"/>
        <w:ind w:left="720" w:hanging="720"/>
        <w:jc w:val="both"/>
        <w:rPr>
          <w:rtl/>
        </w:rPr>
      </w:pPr>
      <w:r>
        <w:rPr>
          <w:rtl/>
        </w:rPr>
        <w:tab/>
        <w:t xml:space="preserve">הנאשם בן 29, נשוי ואב ל-2 ילדים משותפים לו ולאשתו ומגדל עוד 4 ילדים מנישואיה הקודמים. </w:t>
      </w:r>
    </w:p>
    <w:p w14:paraId="31A8217E" w14:textId="77777777" w:rsidR="00817B75" w:rsidRDefault="00817B75" w:rsidP="00680901">
      <w:pPr>
        <w:spacing w:line="360" w:lineRule="auto"/>
        <w:ind w:left="720" w:hanging="720"/>
        <w:jc w:val="both"/>
        <w:rPr>
          <w:rtl/>
        </w:rPr>
      </w:pPr>
    </w:p>
    <w:p w14:paraId="1A199D31" w14:textId="77777777" w:rsidR="00817B75" w:rsidRDefault="00817B75" w:rsidP="00680901">
      <w:pPr>
        <w:spacing w:line="360" w:lineRule="auto"/>
        <w:ind w:left="720" w:hanging="720"/>
        <w:jc w:val="both"/>
        <w:rPr>
          <w:rtl/>
        </w:rPr>
      </w:pPr>
      <w:r>
        <w:rPr>
          <w:rtl/>
        </w:rPr>
        <w:tab/>
        <w:t xml:space="preserve">הנאשם היה עצור בין 20/11/18 עד 19/12/18. </w:t>
      </w:r>
    </w:p>
    <w:p w14:paraId="63B02B8A" w14:textId="77777777" w:rsidR="00817B75" w:rsidRDefault="00817B75" w:rsidP="00680901">
      <w:pPr>
        <w:spacing w:line="360" w:lineRule="auto"/>
        <w:ind w:left="720" w:hanging="720"/>
        <w:jc w:val="both"/>
        <w:rPr>
          <w:rtl/>
        </w:rPr>
      </w:pPr>
    </w:p>
    <w:p w14:paraId="7883414E" w14:textId="77777777" w:rsidR="00817B75" w:rsidRDefault="00817B75" w:rsidP="00680901">
      <w:pPr>
        <w:spacing w:line="360" w:lineRule="auto"/>
        <w:ind w:left="720" w:hanging="720"/>
        <w:jc w:val="both"/>
        <w:rPr>
          <w:rtl/>
        </w:rPr>
      </w:pPr>
      <w:r>
        <w:rPr>
          <w:rtl/>
        </w:rPr>
        <w:tab/>
        <w:t xml:space="preserve">לדברי הסניגור הנאשם עובד 7 ימים בשבוע בשתי עבודות שונות על מנת לפרנס את אשתו ו-6 הילדים הסמוכים על שולחנו וסועד את אביו שעבר לאחרונה 2 אירועים מוחיים ואירוע לבבי קשה, הפך סיעודי ומאושפז כיום במרכז גריאטרי. </w:t>
      </w:r>
    </w:p>
    <w:p w14:paraId="5E6D52B5" w14:textId="77777777" w:rsidR="00817B75" w:rsidRDefault="00817B75" w:rsidP="00680901">
      <w:pPr>
        <w:spacing w:line="360" w:lineRule="auto"/>
        <w:ind w:left="720" w:hanging="720"/>
        <w:jc w:val="both"/>
        <w:rPr>
          <w:rtl/>
        </w:rPr>
      </w:pPr>
    </w:p>
    <w:p w14:paraId="230ACFE2" w14:textId="77777777" w:rsidR="00817B75" w:rsidRDefault="00817B75" w:rsidP="00680901">
      <w:pPr>
        <w:spacing w:line="360" w:lineRule="auto"/>
        <w:ind w:left="720" w:hanging="720"/>
        <w:jc w:val="both"/>
        <w:rPr>
          <w:rtl/>
        </w:rPr>
      </w:pPr>
      <w:r>
        <w:rPr>
          <w:rtl/>
        </w:rPr>
        <w:tab/>
        <w:t xml:space="preserve">הנאשם הביע צער על מעשיו, טען כי עובר הליך שיקומי ונקי משימוש בסמים. </w:t>
      </w:r>
      <w:r>
        <w:rPr>
          <w:rtl/>
        </w:rPr>
        <w:tab/>
      </w:r>
    </w:p>
    <w:p w14:paraId="70D5DAAE" w14:textId="77777777" w:rsidR="00817B75" w:rsidRDefault="00817B75" w:rsidP="00680901">
      <w:pPr>
        <w:spacing w:line="360" w:lineRule="auto"/>
        <w:ind w:left="720" w:hanging="720"/>
        <w:jc w:val="both"/>
        <w:rPr>
          <w:rtl/>
        </w:rPr>
      </w:pPr>
    </w:p>
    <w:p w14:paraId="57332D49" w14:textId="77777777" w:rsidR="00817B75" w:rsidRDefault="00817B75" w:rsidP="00680901">
      <w:pPr>
        <w:spacing w:line="360" w:lineRule="auto"/>
        <w:ind w:left="720" w:hanging="720"/>
        <w:jc w:val="both"/>
        <w:rPr>
          <w:rtl/>
        </w:rPr>
      </w:pPr>
      <w:r>
        <w:rPr>
          <w:rtl/>
        </w:rPr>
        <w:t>41.</w:t>
      </w:r>
      <w:r>
        <w:rPr>
          <w:rtl/>
        </w:rPr>
        <w:tab/>
        <w:t xml:space="preserve">בהתאם להוראת </w:t>
      </w:r>
      <w:hyperlink r:id="rId32" w:history="1">
        <w:r w:rsidR="008E009F" w:rsidRPr="008E009F">
          <w:rPr>
            <w:rStyle w:val="Hyperlink"/>
            <w:rtl/>
          </w:rPr>
          <w:t>סעיף 40ד'</w:t>
        </w:r>
      </w:hyperlink>
      <w:r>
        <w:rPr>
          <w:rtl/>
        </w:rPr>
        <w:t xml:space="preserve"> ל</w:t>
      </w:r>
      <w:hyperlink r:id="rId33" w:history="1">
        <w:r w:rsidR="00771BC2" w:rsidRPr="00771BC2">
          <w:rPr>
            <w:color w:val="0000FF"/>
            <w:u w:val="single"/>
            <w:rtl/>
          </w:rPr>
          <w:t>חוק העונשין</w:t>
        </w:r>
      </w:hyperlink>
      <w:r>
        <w:rPr>
          <w:rtl/>
        </w:rPr>
        <w:t xml:space="preserve"> רשאי בית המשפט לחרוג ממתחם העונש ההולם אם מצא בית המשפט כי הנאשם השתקם או כי יש סיכוי של ממש כי ישתקם.</w:t>
      </w:r>
    </w:p>
    <w:p w14:paraId="615D2EE5" w14:textId="77777777" w:rsidR="00817B75" w:rsidRDefault="00817B75" w:rsidP="00680901">
      <w:pPr>
        <w:spacing w:line="360" w:lineRule="auto"/>
        <w:ind w:left="720" w:hanging="720"/>
        <w:jc w:val="both"/>
        <w:rPr>
          <w:rtl/>
        </w:rPr>
      </w:pPr>
    </w:p>
    <w:p w14:paraId="4EDCFE2D" w14:textId="77777777" w:rsidR="00817B75" w:rsidRDefault="00817B75" w:rsidP="00680901">
      <w:pPr>
        <w:spacing w:line="360" w:lineRule="auto"/>
        <w:ind w:left="720" w:hanging="720"/>
        <w:jc w:val="both"/>
        <w:rPr>
          <w:rtl/>
        </w:rPr>
      </w:pPr>
      <w:r>
        <w:rPr>
          <w:rtl/>
        </w:rPr>
        <w:tab/>
        <w:t xml:space="preserve">בעניינו של הנאשם התקבלו מספר תסקירים. כעולה מהתסקירים הרקע לביצוע העבירות - התמכרות לסם הקנבוס ומצב כלכלי קשה. </w:t>
      </w:r>
    </w:p>
    <w:p w14:paraId="0F0FEF46" w14:textId="77777777" w:rsidR="00817B75" w:rsidRDefault="00817B75" w:rsidP="00680901">
      <w:pPr>
        <w:spacing w:line="360" w:lineRule="auto"/>
        <w:ind w:left="720" w:hanging="720"/>
        <w:jc w:val="both"/>
        <w:rPr>
          <w:rtl/>
        </w:rPr>
      </w:pPr>
    </w:p>
    <w:p w14:paraId="715B0B9F" w14:textId="77777777" w:rsidR="00817B75" w:rsidRDefault="00817B75" w:rsidP="00680901">
      <w:pPr>
        <w:spacing w:line="360" w:lineRule="auto"/>
        <w:ind w:left="720" w:hanging="720"/>
        <w:jc w:val="both"/>
        <w:rPr>
          <w:rtl/>
        </w:rPr>
      </w:pPr>
      <w:r>
        <w:rPr>
          <w:rtl/>
        </w:rPr>
        <w:tab/>
        <w:t xml:space="preserve">הנאשם הביע נכונות להשתלב בטיפול, שולב ביחידה לטיפול בהתמכרויות, שיתף פעולה עם הטיפול הכולל טיפול פרטני, טיפול קבוצתי, שיחה עם מדריך ומתן בדיקות שתן.  בדיקות השתן מעידות על נקיון. </w:t>
      </w:r>
    </w:p>
    <w:p w14:paraId="4CD9BFA2" w14:textId="77777777" w:rsidR="00817B75" w:rsidRDefault="00817B75" w:rsidP="00680901">
      <w:pPr>
        <w:spacing w:line="360" w:lineRule="auto"/>
        <w:ind w:left="720" w:hanging="720"/>
        <w:jc w:val="both"/>
        <w:rPr>
          <w:rtl/>
        </w:rPr>
      </w:pPr>
    </w:p>
    <w:p w14:paraId="589980D8" w14:textId="77777777" w:rsidR="00817B75" w:rsidRDefault="00817B75" w:rsidP="00680901">
      <w:pPr>
        <w:spacing w:line="360" w:lineRule="auto"/>
        <w:ind w:left="720" w:hanging="720"/>
        <w:jc w:val="both"/>
        <w:rPr>
          <w:rtl/>
        </w:rPr>
      </w:pPr>
      <w:r>
        <w:rPr>
          <w:rtl/>
        </w:rPr>
        <w:tab/>
        <w:t xml:space="preserve">שירות המבחן התרשם כי טיפול משמעותי יפחית את הסיכון להישנות העבירות והעדיף את הפן השיקומי תוך העמדת הנאשם בצו מבחן למשך שנה במהלכה ימשיך את הטיפול ביחידה לטיפול בהתמכרויות. </w:t>
      </w:r>
    </w:p>
    <w:p w14:paraId="13F0B3E4" w14:textId="77777777" w:rsidR="00817B75" w:rsidRDefault="00817B75" w:rsidP="00680901">
      <w:pPr>
        <w:spacing w:line="360" w:lineRule="auto"/>
        <w:ind w:left="720" w:hanging="720"/>
        <w:jc w:val="both"/>
        <w:rPr>
          <w:rtl/>
        </w:rPr>
      </w:pPr>
    </w:p>
    <w:p w14:paraId="1431E801" w14:textId="77777777" w:rsidR="00817B75" w:rsidRDefault="00817B75" w:rsidP="00680901">
      <w:pPr>
        <w:spacing w:line="360" w:lineRule="auto"/>
        <w:ind w:left="720" w:hanging="720"/>
        <w:jc w:val="both"/>
        <w:rPr>
          <w:rtl/>
        </w:rPr>
      </w:pPr>
      <w:r>
        <w:rPr>
          <w:rtl/>
        </w:rPr>
        <w:tab/>
        <w:t xml:space="preserve">נוכח מצבו הכלכלי המורכב של הנאשם המליץ שירות המבחן להטיל צו של"צ בהיקף נרחב של 350 שעות אותם יוכל לבצע ללא פגיעה בפרנסתו, שכן מצב של דחק כלכלי  מהווה עבור הנאשם גורם סיכון משמעותי. הומלץ עוד על הטלת מאסר על תנאי. </w:t>
      </w:r>
    </w:p>
    <w:p w14:paraId="599E2E5A" w14:textId="77777777" w:rsidR="00817B75" w:rsidRDefault="00817B75" w:rsidP="00680901">
      <w:pPr>
        <w:spacing w:line="360" w:lineRule="auto"/>
        <w:ind w:left="720" w:hanging="720"/>
        <w:jc w:val="both"/>
        <w:rPr>
          <w:rtl/>
        </w:rPr>
      </w:pPr>
    </w:p>
    <w:p w14:paraId="2465112F" w14:textId="77777777" w:rsidR="00817B75" w:rsidRDefault="00817B75" w:rsidP="00680901">
      <w:pPr>
        <w:spacing w:line="360" w:lineRule="auto"/>
        <w:ind w:left="720" w:hanging="720"/>
        <w:jc w:val="both"/>
        <w:rPr>
          <w:rtl/>
        </w:rPr>
      </w:pPr>
      <w:r>
        <w:rPr>
          <w:rtl/>
        </w:rPr>
        <w:t>42.</w:t>
      </w:r>
      <w:r>
        <w:rPr>
          <w:rtl/>
        </w:rPr>
        <w:tab/>
        <w:t xml:space="preserve">לעניין זה אני מוצאת לנכון לצטט מדו"ח הועדה הציבורית לבחינת מדיניות הענישה והטיפול בעבריינים (להלן: דו"ח ועדת דורנר). </w:t>
      </w:r>
    </w:p>
    <w:p w14:paraId="5450ED6C" w14:textId="77777777" w:rsidR="00817B75" w:rsidRDefault="00817B75" w:rsidP="00680901">
      <w:pPr>
        <w:spacing w:line="360" w:lineRule="auto"/>
        <w:ind w:left="720" w:hanging="720"/>
        <w:jc w:val="both"/>
        <w:rPr>
          <w:rtl/>
        </w:rPr>
      </w:pPr>
    </w:p>
    <w:p w14:paraId="3FB12EA9" w14:textId="77777777" w:rsidR="00817B75" w:rsidRDefault="00817B75" w:rsidP="00680901">
      <w:pPr>
        <w:spacing w:line="360" w:lineRule="auto"/>
        <w:ind w:left="720"/>
        <w:jc w:val="both"/>
        <w:rPr>
          <w:rtl/>
        </w:rPr>
      </w:pPr>
      <w:r>
        <w:rPr>
          <w:rtl/>
        </w:rPr>
        <w:t>לאחר שהועדה במסגרת המנדט שניתן לה הציעה קווים מנחים למדיניות ההתמודדות עם עבריינים בכלל ועל השפעת הכליאה על עבריינות בפרט, היא מצאה לנכון לקבוע  ביחס לגורם השיקום כי:</w:t>
      </w:r>
    </w:p>
    <w:p w14:paraId="0B57EEDA" w14:textId="77777777" w:rsidR="00817B75" w:rsidRDefault="00817B75" w:rsidP="00680901">
      <w:pPr>
        <w:spacing w:line="360" w:lineRule="auto"/>
        <w:ind w:left="720"/>
        <w:jc w:val="both"/>
        <w:rPr>
          <w:b/>
          <w:bCs/>
          <w:rtl/>
        </w:rPr>
      </w:pPr>
      <w:r>
        <w:rPr>
          <w:rtl/>
        </w:rPr>
        <w:t xml:space="preserve">"אף שמבחינה היסטורית מטרת בתי הכלא היתה בעיקר שיקומית, כיום ברור כי כוחו של השיקום היא כלי למניעת עבריינות מוגבל. עם זאת, לא ניתן להתעלם מאינדיקציות רבות לכך שבתנאים מסויימים, תוכניות שיקום, אכן מובילות לצמצום ברמות הפשיעה החוזרת. הדברים נכונים במיוחד, כשמדובר בתוכניות שיקום מחוץ לבתי הכלא, שעלותן נמוכה יותר. </w:t>
      </w:r>
      <w:r>
        <w:rPr>
          <w:b/>
          <w:bCs/>
          <w:rtl/>
        </w:rPr>
        <w:t xml:space="preserve">מכאן, ששיקום בקהילה באמצעות ענישה שנעה בין עבודות שירות לצווי מבחן ושירות למען הציבור, צפוי להפיק תוצאות טובות יותר מאשר שימוש נרחב יותר במאסרים". </w:t>
      </w:r>
    </w:p>
    <w:p w14:paraId="4772D26C" w14:textId="77777777" w:rsidR="00817B75" w:rsidRDefault="00817B75" w:rsidP="00680901">
      <w:pPr>
        <w:spacing w:line="360" w:lineRule="auto"/>
        <w:ind w:left="720"/>
        <w:jc w:val="both"/>
        <w:rPr>
          <w:rtl/>
        </w:rPr>
      </w:pPr>
      <w:r>
        <w:rPr>
          <w:rtl/>
        </w:rPr>
        <w:t xml:space="preserve">(סעיף 2  בפרק תקציר המלצות הוועדה). </w:t>
      </w:r>
    </w:p>
    <w:p w14:paraId="1AFF600A" w14:textId="77777777" w:rsidR="00817B75" w:rsidRDefault="00817B75" w:rsidP="00680901">
      <w:pPr>
        <w:spacing w:line="360" w:lineRule="auto"/>
        <w:ind w:left="720"/>
        <w:jc w:val="both"/>
        <w:rPr>
          <w:rtl/>
        </w:rPr>
      </w:pPr>
    </w:p>
    <w:p w14:paraId="52141B33" w14:textId="77777777" w:rsidR="00817B75" w:rsidRDefault="00817B75" w:rsidP="00680901">
      <w:pPr>
        <w:spacing w:line="360" w:lineRule="auto"/>
        <w:ind w:left="720"/>
        <w:jc w:val="both"/>
        <w:rPr>
          <w:rtl/>
        </w:rPr>
      </w:pPr>
      <w:r>
        <w:rPr>
          <w:rtl/>
        </w:rPr>
        <w:t xml:space="preserve">כן מצאה הוועדה לקבוע קביעות נוספות לפיהן </w:t>
      </w:r>
      <w:r>
        <w:rPr>
          <w:b/>
          <w:bCs/>
          <w:rtl/>
        </w:rPr>
        <w:t xml:space="preserve">"אין טעם בנסיון לקדם את ההרתעה באמצעות הרחבת השימוש במאסרים או באמצעות שימוש במאסרים ממושכים יותר". </w:t>
      </w:r>
      <w:r>
        <w:rPr>
          <w:rtl/>
        </w:rPr>
        <w:t xml:space="preserve">(סעיף 1 בפרק תקציר המלצות הוועדה), וכי: </w:t>
      </w:r>
      <w:r>
        <w:rPr>
          <w:b/>
          <w:bCs/>
          <w:rtl/>
        </w:rPr>
        <w:t xml:space="preserve">"הסיכוי של אסיר לשעבר לחזור ולבצע עבירות גדול יותר מהסיכוי של עבריין שנידון לעונש מחוץ לכתלי הכלא" </w:t>
      </w:r>
      <w:r>
        <w:rPr>
          <w:rtl/>
        </w:rPr>
        <w:t xml:space="preserve">(סעיף 1 לפרק תקציר המלצות הוועדה). </w:t>
      </w:r>
    </w:p>
    <w:p w14:paraId="68645CE0" w14:textId="77777777" w:rsidR="00817B75" w:rsidRDefault="00817B75" w:rsidP="00680901">
      <w:pPr>
        <w:spacing w:line="360" w:lineRule="auto"/>
        <w:ind w:left="720"/>
        <w:jc w:val="both"/>
        <w:rPr>
          <w:rtl/>
        </w:rPr>
      </w:pPr>
    </w:p>
    <w:p w14:paraId="6D4BE60C" w14:textId="77777777" w:rsidR="00817B75" w:rsidRDefault="00817B75" w:rsidP="00680901">
      <w:pPr>
        <w:spacing w:line="360" w:lineRule="auto"/>
        <w:ind w:left="720"/>
        <w:jc w:val="both"/>
        <w:rPr>
          <w:b/>
          <w:bCs/>
          <w:rtl/>
        </w:rPr>
      </w:pPr>
      <w:r>
        <w:rPr>
          <w:rtl/>
        </w:rPr>
        <w:t xml:space="preserve">הועדה קבעה בהמלצותיה כי: </w:t>
      </w:r>
      <w:r>
        <w:rPr>
          <w:b/>
          <w:bCs/>
          <w:rtl/>
        </w:rPr>
        <w:t xml:space="preserve">"יש לפעול לצמצום השימוש במאסרים במקרים בהם המאסר אינו הכרחי להגבלת יכולת של עבריינים שהמסוכנות שלהם לחברה גבוהה והרחבת השימוש בעונשים זולים יותר ויעילים יותר, העומדים בעיקרון ההלימה, ובכך להביא להקצאה יעילה ונכונה יותר של המשאבים המופנים לטובת הנושא". </w:t>
      </w:r>
    </w:p>
    <w:p w14:paraId="13C5510C" w14:textId="77777777" w:rsidR="00817B75" w:rsidRDefault="00817B75" w:rsidP="00680901">
      <w:pPr>
        <w:spacing w:line="360" w:lineRule="auto"/>
        <w:ind w:left="720"/>
        <w:jc w:val="both"/>
        <w:rPr>
          <w:rtl/>
        </w:rPr>
      </w:pPr>
    </w:p>
    <w:p w14:paraId="13C30869" w14:textId="77777777" w:rsidR="00817B75" w:rsidRDefault="00817B75" w:rsidP="00680901">
      <w:pPr>
        <w:spacing w:line="360" w:lineRule="auto"/>
        <w:ind w:left="720"/>
        <w:jc w:val="both"/>
        <w:rPr>
          <w:rtl/>
        </w:rPr>
      </w:pPr>
      <w:r>
        <w:rPr>
          <w:rtl/>
        </w:rPr>
        <w:t xml:space="preserve">(הרחבה בנושא, בפרק "השיקום"  החל מעמ' 22 לדו"ח הוועדה). </w:t>
      </w:r>
    </w:p>
    <w:p w14:paraId="3C266FD3" w14:textId="77777777" w:rsidR="00817B75" w:rsidRDefault="00817B75" w:rsidP="00680901">
      <w:pPr>
        <w:spacing w:line="360" w:lineRule="auto"/>
        <w:ind w:left="720"/>
        <w:jc w:val="both"/>
        <w:rPr>
          <w:rtl/>
        </w:rPr>
      </w:pPr>
    </w:p>
    <w:p w14:paraId="299CB6AA" w14:textId="77777777" w:rsidR="00817B75" w:rsidRDefault="00817B75" w:rsidP="00680901">
      <w:pPr>
        <w:spacing w:line="360" w:lineRule="auto"/>
        <w:ind w:left="720" w:hanging="720"/>
        <w:jc w:val="both"/>
        <w:rPr>
          <w:rtl/>
        </w:rPr>
      </w:pPr>
      <w:r>
        <w:rPr>
          <w:rtl/>
        </w:rPr>
        <w:t>43.</w:t>
      </w:r>
      <w:r>
        <w:rPr>
          <w:rtl/>
        </w:rPr>
        <w:tab/>
        <w:t xml:space="preserve">נוכח חומרת המעשים המיוחסים לנאשם הן לעניין כמות הסם, משקלו, נסיבות הגידול והעבירה של נטילת חשמל אינני סבורה כי יש הצדקה לאמץ את המלצות שירות המבחן ולהסתפק בעונש צופה פני עתיד, צו מבחן וצו של"צ, אך יש בהמלצות אלה להצדיק חריגה מסויימת ממתחם העונש ההולם, על דרך של הטלת מאסר בן 9 חודשים ללא ניכוי תקופת המעצר שבין 20/11/18 עד 19/12/18 (כך שמדובר למעשה בכ-10 חודשי שלילת חירות) לתקופת מאסר זו אוסיף צו מבחן על מנת לאפשר לנאשם להמשיך בהליכי השיקום והטיפול על מנת להפחית את המסוכנות אליה יתייחס שירות המבחן בתסקירו כמו גם עונש מרתיע צופה פני עתיד וקנס כספי. </w:t>
      </w:r>
    </w:p>
    <w:p w14:paraId="7C185665" w14:textId="77777777" w:rsidR="00817B75" w:rsidRDefault="00817B75" w:rsidP="00680901">
      <w:pPr>
        <w:spacing w:line="360" w:lineRule="auto"/>
        <w:ind w:left="720" w:hanging="720"/>
        <w:jc w:val="both"/>
        <w:rPr>
          <w:rtl/>
        </w:rPr>
      </w:pPr>
    </w:p>
    <w:p w14:paraId="4CB75B33" w14:textId="77777777" w:rsidR="00817B75" w:rsidRDefault="00817B75" w:rsidP="00680901">
      <w:pPr>
        <w:spacing w:line="360" w:lineRule="auto"/>
        <w:ind w:left="720" w:hanging="720"/>
        <w:jc w:val="both"/>
        <w:rPr>
          <w:rtl/>
        </w:rPr>
      </w:pPr>
      <w:r>
        <w:rPr>
          <w:rtl/>
        </w:rPr>
        <w:tab/>
        <w:t xml:space="preserve">אני לוקחת בחשבון לעניין זה גם את גילו של הנאשם, היותו מפרנס אישה ו-6 ילדים ועברו הנקי לרבות בעבירות מעין אלה בגינן הורשע בפני. </w:t>
      </w:r>
    </w:p>
    <w:p w14:paraId="31328CC5" w14:textId="77777777" w:rsidR="00817B75" w:rsidRDefault="00817B75" w:rsidP="00680901">
      <w:pPr>
        <w:spacing w:line="360" w:lineRule="auto"/>
        <w:ind w:left="720" w:hanging="720"/>
        <w:jc w:val="both"/>
        <w:rPr>
          <w:rtl/>
        </w:rPr>
      </w:pPr>
    </w:p>
    <w:p w14:paraId="7B4F21DA" w14:textId="77777777" w:rsidR="00817B75" w:rsidRDefault="00817B75" w:rsidP="00680901">
      <w:pPr>
        <w:spacing w:line="360" w:lineRule="auto"/>
        <w:ind w:left="720" w:hanging="720"/>
        <w:jc w:val="both"/>
        <w:rPr>
          <w:rtl/>
        </w:rPr>
      </w:pPr>
      <w:r>
        <w:rPr>
          <w:rtl/>
        </w:rPr>
        <w:t>44.</w:t>
      </w:r>
      <w:r>
        <w:rPr>
          <w:rtl/>
        </w:rPr>
        <w:tab/>
        <w:t>בהתחשב בכל הנ"ל אני גוזרת על הנאשם את העונשים דלקמן:</w:t>
      </w:r>
    </w:p>
    <w:p w14:paraId="25D2A28E" w14:textId="77777777" w:rsidR="00817B75" w:rsidRDefault="00817B75" w:rsidP="00680901">
      <w:pPr>
        <w:spacing w:line="360" w:lineRule="auto"/>
        <w:ind w:left="720" w:hanging="720"/>
        <w:jc w:val="both"/>
        <w:rPr>
          <w:rtl/>
        </w:rPr>
      </w:pPr>
      <w:r>
        <w:rPr>
          <w:rtl/>
        </w:rPr>
        <w:tab/>
        <w:t xml:space="preserve">אני דנה את הנאשם למאסר בפועל בן 9 חודשים, אותם ירצה בעבודות שירות, בהתאם לחוות דעת הממונה במרכז לקשיש בטירת הכרמל. </w:t>
      </w:r>
    </w:p>
    <w:p w14:paraId="1CB2ECE4" w14:textId="77777777" w:rsidR="00817B75" w:rsidRDefault="00817B75" w:rsidP="00680901">
      <w:pPr>
        <w:spacing w:line="360" w:lineRule="auto"/>
        <w:ind w:left="720" w:hanging="720"/>
        <w:jc w:val="both"/>
        <w:rPr>
          <w:rtl/>
        </w:rPr>
      </w:pPr>
    </w:p>
    <w:p w14:paraId="1736AF5D" w14:textId="77777777" w:rsidR="00817B75" w:rsidRDefault="00817B75" w:rsidP="00680901">
      <w:pPr>
        <w:spacing w:line="360" w:lineRule="auto"/>
        <w:ind w:left="720" w:hanging="720"/>
        <w:jc w:val="both"/>
        <w:rPr>
          <w:rtl/>
        </w:rPr>
      </w:pPr>
      <w:r>
        <w:rPr>
          <w:rtl/>
        </w:rPr>
        <w:tab/>
        <w:t>אני דנה את הנאשם למאסר על תנאי לתקופה של 8 חודשים למשך שלוש שנים והתנאי הוא כי לא יעבור עבירה מסוג פשע בניגוד ל</w:t>
      </w:r>
      <w:hyperlink r:id="rId34" w:history="1">
        <w:r w:rsidR="00771BC2" w:rsidRPr="00771BC2">
          <w:rPr>
            <w:color w:val="0000FF"/>
            <w:u w:val="single"/>
            <w:rtl/>
          </w:rPr>
          <w:t>פקודת הסמים המסוכנים</w:t>
        </w:r>
      </w:hyperlink>
      <w:r>
        <w:rPr>
          <w:rtl/>
        </w:rPr>
        <w:t xml:space="preserve">. </w:t>
      </w:r>
    </w:p>
    <w:p w14:paraId="27F22FAB" w14:textId="77777777" w:rsidR="00817B75" w:rsidRDefault="00817B75" w:rsidP="00680901">
      <w:pPr>
        <w:spacing w:line="360" w:lineRule="auto"/>
        <w:ind w:left="720" w:hanging="720"/>
        <w:jc w:val="both"/>
        <w:rPr>
          <w:rtl/>
        </w:rPr>
      </w:pPr>
    </w:p>
    <w:p w14:paraId="111B8565" w14:textId="77777777" w:rsidR="00817B75" w:rsidRDefault="00817B75" w:rsidP="00680901">
      <w:pPr>
        <w:spacing w:line="360" w:lineRule="auto"/>
        <w:ind w:left="720" w:hanging="720"/>
        <w:jc w:val="both"/>
        <w:rPr>
          <w:rtl/>
        </w:rPr>
      </w:pPr>
      <w:r>
        <w:rPr>
          <w:rtl/>
        </w:rPr>
        <w:tab/>
        <w:t xml:space="preserve">אני דנה את הנאשם למאסר על תנאי לתקופה של 4 חודשים למשך שלוש שנים והתנאי הוא כי לא יעבור עבירה בניגוד </w:t>
      </w:r>
      <w:hyperlink r:id="rId35" w:history="1">
        <w:r w:rsidR="008E009F" w:rsidRPr="008E009F">
          <w:rPr>
            <w:rStyle w:val="Hyperlink"/>
            <w:rtl/>
          </w:rPr>
          <w:t>לסעיף 400</w:t>
        </w:r>
      </w:hyperlink>
      <w:r>
        <w:rPr>
          <w:rtl/>
        </w:rPr>
        <w:t xml:space="preserve"> ל</w:t>
      </w:r>
      <w:hyperlink r:id="rId36" w:history="1">
        <w:r w:rsidR="00771BC2" w:rsidRPr="00771BC2">
          <w:rPr>
            <w:color w:val="0000FF"/>
            <w:u w:val="single"/>
            <w:rtl/>
          </w:rPr>
          <w:t>חוק העונשין</w:t>
        </w:r>
      </w:hyperlink>
      <w:r>
        <w:rPr>
          <w:rtl/>
        </w:rPr>
        <w:t xml:space="preserve">. </w:t>
      </w:r>
    </w:p>
    <w:p w14:paraId="67D93819" w14:textId="77777777" w:rsidR="00817B75" w:rsidRDefault="00817B75" w:rsidP="00680901">
      <w:pPr>
        <w:spacing w:line="360" w:lineRule="auto"/>
        <w:ind w:left="720" w:hanging="720"/>
        <w:jc w:val="both"/>
        <w:rPr>
          <w:rtl/>
        </w:rPr>
      </w:pPr>
    </w:p>
    <w:p w14:paraId="134A1111" w14:textId="77777777" w:rsidR="00817B75" w:rsidRDefault="00817B75" w:rsidP="00680901">
      <w:pPr>
        <w:spacing w:line="360" w:lineRule="auto"/>
        <w:ind w:left="720" w:hanging="720"/>
        <w:jc w:val="both"/>
        <w:rPr>
          <w:rtl/>
        </w:rPr>
      </w:pPr>
      <w:r>
        <w:rPr>
          <w:rtl/>
        </w:rPr>
        <w:tab/>
        <w:t xml:space="preserve">אני מטילה על הנאשם צו מבחן למשך 12 חודשים במהלכו ימשיך את הטיפול ביחידה להתמכרויות בטירת הכרמל. </w:t>
      </w:r>
    </w:p>
    <w:p w14:paraId="1B7D87EE" w14:textId="77777777" w:rsidR="00817B75" w:rsidRDefault="00817B75" w:rsidP="00680901">
      <w:pPr>
        <w:spacing w:line="360" w:lineRule="auto"/>
        <w:ind w:left="720" w:hanging="720"/>
        <w:jc w:val="both"/>
        <w:rPr>
          <w:rtl/>
        </w:rPr>
      </w:pPr>
    </w:p>
    <w:p w14:paraId="39D46544" w14:textId="77777777" w:rsidR="00817B75" w:rsidRDefault="00817B75" w:rsidP="00680901">
      <w:pPr>
        <w:spacing w:line="360" w:lineRule="auto"/>
        <w:ind w:left="720"/>
        <w:jc w:val="both"/>
        <w:rPr>
          <w:rtl/>
        </w:rPr>
      </w:pPr>
      <w:r>
        <w:rPr>
          <w:rtl/>
        </w:rPr>
        <w:t xml:space="preserve">תשומת לב הנאשם להשלכות אי עמידה בתנאי צו המבחן בהתאם להוראות </w:t>
      </w:r>
      <w:hyperlink r:id="rId37" w:history="1">
        <w:r w:rsidR="008E009F" w:rsidRPr="008E009F">
          <w:rPr>
            <w:rStyle w:val="Hyperlink"/>
            <w:rtl/>
          </w:rPr>
          <w:t>סעיף 20</w:t>
        </w:r>
      </w:hyperlink>
      <w:r>
        <w:rPr>
          <w:rtl/>
        </w:rPr>
        <w:t xml:space="preserve"> ל</w:t>
      </w:r>
      <w:hyperlink r:id="rId38" w:history="1">
        <w:r w:rsidR="00771BC2" w:rsidRPr="00771BC2">
          <w:rPr>
            <w:color w:val="0000FF"/>
            <w:u w:val="single"/>
            <w:rtl/>
          </w:rPr>
          <w:t>פקודת המבחן</w:t>
        </w:r>
      </w:hyperlink>
      <w:r>
        <w:rPr>
          <w:rtl/>
        </w:rPr>
        <w:t xml:space="preserve">. </w:t>
      </w:r>
    </w:p>
    <w:p w14:paraId="243DB733" w14:textId="77777777" w:rsidR="00817B75" w:rsidRDefault="00817B75" w:rsidP="00680901">
      <w:pPr>
        <w:spacing w:line="360" w:lineRule="auto"/>
        <w:ind w:left="720"/>
        <w:jc w:val="both"/>
        <w:rPr>
          <w:rtl/>
        </w:rPr>
      </w:pPr>
    </w:p>
    <w:p w14:paraId="6EA9DCAB" w14:textId="77777777" w:rsidR="00817B75" w:rsidRDefault="00817B75" w:rsidP="00680901">
      <w:pPr>
        <w:spacing w:line="360" w:lineRule="auto"/>
        <w:ind w:left="720"/>
        <w:jc w:val="both"/>
        <w:rPr>
          <w:rtl/>
        </w:rPr>
      </w:pPr>
      <w:r>
        <w:rPr>
          <w:rtl/>
        </w:rPr>
        <w:t xml:space="preserve">אני דנה את הנאשם לתשלום קנס בסך 5,000 ₪ או 45 ימי מאסר. </w:t>
      </w:r>
    </w:p>
    <w:p w14:paraId="05836E5B" w14:textId="77777777" w:rsidR="00817B75" w:rsidRDefault="00817B75" w:rsidP="00680901">
      <w:pPr>
        <w:spacing w:line="360" w:lineRule="auto"/>
        <w:ind w:left="720"/>
        <w:jc w:val="both"/>
        <w:rPr>
          <w:rtl/>
        </w:rPr>
      </w:pPr>
      <w:r>
        <w:rPr>
          <w:rtl/>
        </w:rPr>
        <w:t xml:space="preserve">הקנס ישולם ב-5 תשלומים חודשיים שווים ורצופים החל בתום 30 יום מתום ריצוי עונש המאסר בעבודות שירות. </w:t>
      </w:r>
    </w:p>
    <w:p w14:paraId="1E2D51A2" w14:textId="77777777" w:rsidR="00817B75" w:rsidRDefault="00817B75" w:rsidP="00680901">
      <w:pPr>
        <w:spacing w:line="360" w:lineRule="auto"/>
        <w:ind w:left="720"/>
        <w:jc w:val="both"/>
        <w:rPr>
          <w:rtl/>
        </w:rPr>
      </w:pPr>
      <w:r>
        <w:rPr>
          <w:rtl/>
        </w:rPr>
        <w:t xml:space="preserve">הפיקדון יוחזר באמצעות הסניגור. </w:t>
      </w:r>
    </w:p>
    <w:p w14:paraId="4BA16CA6" w14:textId="77777777" w:rsidR="00817B75" w:rsidRDefault="00817B75" w:rsidP="00680901">
      <w:pPr>
        <w:spacing w:line="360" w:lineRule="auto"/>
        <w:ind w:left="720"/>
        <w:jc w:val="both"/>
        <w:rPr>
          <w:rtl/>
        </w:rPr>
      </w:pPr>
    </w:p>
    <w:p w14:paraId="0AD1EA02" w14:textId="77777777" w:rsidR="00817B75" w:rsidRDefault="00817B75" w:rsidP="00680901">
      <w:pPr>
        <w:spacing w:line="360" w:lineRule="auto"/>
        <w:ind w:left="720" w:hanging="720"/>
        <w:rPr>
          <w:b/>
          <w:bCs/>
          <w:u w:val="single"/>
          <w:rtl/>
        </w:rPr>
      </w:pPr>
      <w:r>
        <w:rPr>
          <w:b/>
          <w:bCs/>
          <w:rtl/>
        </w:rPr>
        <w:tab/>
      </w:r>
      <w:r>
        <w:rPr>
          <w:b/>
          <w:bCs/>
          <w:u w:val="single"/>
          <w:rtl/>
        </w:rPr>
        <w:t xml:space="preserve">הנאשם יתייצב לריצוי עבודות השירות בתאריך 5/7/20 בשעה 08.00, במפקדת מחוז צפון, יחידת עבודות השירות, רח' הציונות 14 טבריה. </w:t>
      </w:r>
    </w:p>
    <w:p w14:paraId="320B1011" w14:textId="77777777" w:rsidR="00817B75" w:rsidRDefault="00817B75" w:rsidP="00680901">
      <w:pPr>
        <w:spacing w:line="360" w:lineRule="auto"/>
        <w:ind w:left="720" w:hanging="720"/>
        <w:rPr>
          <w:b/>
          <w:bCs/>
          <w:u w:val="single"/>
          <w:rtl/>
        </w:rPr>
      </w:pPr>
    </w:p>
    <w:p w14:paraId="6D741EA2" w14:textId="77777777" w:rsidR="00817B75" w:rsidRDefault="00817B75" w:rsidP="00680901">
      <w:pPr>
        <w:spacing w:line="360" w:lineRule="auto"/>
        <w:ind w:left="720" w:hanging="720"/>
        <w:rPr>
          <w:b/>
          <w:bCs/>
          <w:u w:val="single"/>
        </w:rPr>
      </w:pPr>
      <w:r>
        <w:rPr>
          <w:b/>
          <w:bCs/>
          <w:rtl/>
        </w:rPr>
        <w:tab/>
      </w:r>
      <w:r>
        <w:rPr>
          <w:b/>
          <w:bCs/>
          <w:u w:val="single"/>
          <w:rtl/>
        </w:rPr>
        <w:t xml:space="preserve">הנאשם מוזהר כי במהלך ריצוי עבודות השירות יהיה נתון למעקב של בדיקות שתן. סירוב לבדיקה או בדיקה עם ממצאים חיוביים יהוו עילה להפסקה מנהלית ולריצוי העונש במאסר בפועל. </w:t>
      </w:r>
    </w:p>
    <w:p w14:paraId="1AC8317A" w14:textId="77777777" w:rsidR="00817B75" w:rsidRDefault="00817B75" w:rsidP="00680901">
      <w:pPr>
        <w:spacing w:line="360" w:lineRule="auto"/>
        <w:ind w:left="720" w:hanging="720"/>
        <w:rPr>
          <w:b/>
          <w:bCs/>
          <w:u w:val="single"/>
          <w:rtl/>
        </w:rPr>
      </w:pPr>
    </w:p>
    <w:p w14:paraId="0D1EDC48" w14:textId="77777777" w:rsidR="00817B75" w:rsidRDefault="00817B75" w:rsidP="00680901">
      <w:pPr>
        <w:spacing w:line="360" w:lineRule="auto"/>
        <w:ind w:left="720" w:hanging="720"/>
        <w:rPr>
          <w:b/>
          <w:bCs/>
          <w:u w:val="single"/>
          <w:rtl/>
        </w:rPr>
      </w:pPr>
      <w:r>
        <w:rPr>
          <w:b/>
          <w:bCs/>
          <w:rtl/>
        </w:rPr>
        <w:tab/>
      </w:r>
      <w:r>
        <w:rPr>
          <w:b/>
          <w:bCs/>
          <w:u w:val="single"/>
          <w:rtl/>
        </w:rPr>
        <w:t xml:space="preserve">הנאשם מוזהר כי אין לשתות אלכוהול במהלך העבודה ואין להגיע בגילופין. התנהגות מסוג זה תהווה עילה להפסקה מנהלית וריצוי העונש במאסר בפועל. </w:t>
      </w:r>
    </w:p>
    <w:p w14:paraId="73F56A27" w14:textId="77777777" w:rsidR="00817B75" w:rsidRDefault="00817B75" w:rsidP="00680901">
      <w:pPr>
        <w:spacing w:line="360" w:lineRule="auto"/>
        <w:ind w:left="720" w:hanging="720"/>
        <w:rPr>
          <w:b/>
          <w:bCs/>
          <w:u w:val="single"/>
          <w:rtl/>
        </w:rPr>
      </w:pPr>
    </w:p>
    <w:p w14:paraId="28F65C9F" w14:textId="77777777" w:rsidR="00817B75" w:rsidRDefault="00817B75" w:rsidP="00680901">
      <w:pPr>
        <w:spacing w:line="360" w:lineRule="auto"/>
        <w:ind w:left="720" w:hanging="720"/>
        <w:rPr>
          <w:b/>
          <w:bCs/>
          <w:u w:val="single"/>
          <w:rtl/>
        </w:rPr>
      </w:pPr>
      <w:r>
        <w:rPr>
          <w:b/>
          <w:bCs/>
          <w:rtl/>
        </w:rPr>
        <w:tab/>
      </w:r>
      <w:r>
        <w:rPr>
          <w:b/>
          <w:bCs/>
          <w:u w:val="single"/>
          <w:rtl/>
        </w:rPr>
        <w:t xml:space="preserve">הנאשם מוזהר כי מדובר בתנאי העסקה קפדניים וכל חריגה מכללים אלה יש בה כדי להפסיק את עבודות השירות וריצוי יתרת העונש במאסר בפועל. </w:t>
      </w:r>
    </w:p>
    <w:p w14:paraId="0E4BFC62" w14:textId="77777777" w:rsidR="00817B75" w:rsidRDefault="00817B75" w:rsidP="00680901">
      <w:pPr>
        <w:spacing w:line="360" w:lineRule="auto"/>
        <w:rPr>
          <w:b/>
          <w:bCs/>
          <w:u w:val="single"/>
          <w:rtl/>
        </w:rPr>
      </w:pPr>
    </w:p>
    <w:p w14:paraId="141DED0F" w14:textId="77777777" w:rsidR="00817B75" w:rsidRDefault="00817B75" w:rsidP="00680901">
      <w:pPr>
        <w:spacing w:line="360" w:lineRule="auto"/>
        <w:rPr>
          <w:b/>
          <w:bCs/>
          <w:u w:val="single"/>
          <w:rtl/>
        </w:rPr>
      </w:pPr>
      <w:r>
        <w:rPr>
          <w:b/>
          <w:bCs/>
          <w:u w:val="single"/>
          <w:rtl/>
        </w:rPr>
        <w:t xml:space="preserve">הסמים יושמדו. </w:t>
      </w:r>
    </w:p>
    <w:p w14:paraId="5B1C076E" w14:textId="77777777" w:rsidR="00817B75" w:rsidRDefault="00817B75" w:rsidP="00680901">
      <w:pPr>
        <w:spacing w:line="360" w:lineRule="auto"/>
        <w:rPr>
          <w:b/>
          <w:bCs/>
          <w:u w:val="single"/>
          <w:rtl/>
        </w:rPr>
      </w:pPr>
      <w:r>
        <w:rPr>
          <w:b/>
          <w:bCs/>
          <w:u w:val="single"/>
          <w:rtl/>
        </w:rPr>
        <w:t xml:space="preserve">יתר המוצגים יחולטו לטובת אוצר המדינה. </w:t>
      </w:r>
    </w:p>
    <w:p w14:paraId="5D55DC87" w14:textId="77777777" w:rsidR="00817B75" w:rsidRDefault="00817B75" w:rsidP="00680901">
      <w:pPr>
        <w:spacing w:line="360" w:lineRule="auto"/>
        <w:rPr>
          <w:b/>
          <w:bCs/>
          <w:u w:val="single"/>
          <w:rtl/>
        </w:rPr>
      </w:pPr>
    </w:p>
    <w:p w14:paraId="41FA1184" w14:textId="77777777" w:rsidR="00817B75" w:rsidRDefault="00817B75" w:rsidP="00680901">
      <w:pPr>
        <w:spacing w:line="360" w:lineRule="auto"/>
        <w:rPr>
          <w:b/>
          <w:bCs/>
          <w:u w:val="single"/>
          <w:rtl/>
        </w:rPr>
      </w:pPr>
      <w:r>
        <w:rPr>
          <w:b/>
          <w:bCs/>
          <w:u w:val="single"/>
          <w:rtl/>
        </w:rPr>
        <w:t>העתק ישלח  לממונה ולשירות המבחן.</w:t>
      </w:r>
    </w:p>
    <w:p w14:paraId="317ED310" w14:textId="77777777" w:rsidR="00817B75" w:rsidRDefault="00817B75" w:rsidP="00680901">
      <w:pPr>
        <w:spacing w:line="360" w:lineRule="auto"/>
        <w:rPr>
          <w:b/>
          <w:bCs/>
          <w:u w:val="single"/>
          <w:rtl/>
        </w:rPr>
      </w:pPr>
    </w:p>
    <w:p w14:paraId="6973EC0B" w14:textId="77777777" w:rsidR="00817B75" w:rsidRDefault="00817B75" w:rsidP="00680901">
      <w:pPr>
        <w:spacing w:line="360" w:lineRule="auto"/>
        <w:rPr>
          <w:rFonts w:ascii="Arial" w:hAnsi="Arial"/>
          <w:rtl/>
        </w:rPr>
      </w:pPr>
      <w:r>
        <w:rPr>
          <w:b/>
          <w:bCs/>
          <w:u w:val="single"/>
          <w:rtl/>
        </w:rPr>
        <w:t xml:space="preserve">הודע על זכות ערעור תוך 45 יום. </w:t>
      </w:r>
    </w:p>
    <w:p w14:paraId="1F335D08" w14:textId="77777777" w:rsidR="00817B75" w:rsidRDefault="00817B75" w:rsidP="00680901">
      <w:pPr>
        <w:spacing w:line="360" w:lineRule="auto"/>
        <w:rPr>
          <w:sz w:val="6"/>
          <w:szCs w:val="6"/>
        </w:rPr>
      </w:pPr>
      <w:r>
        <w:rPr>
          <w:sz w:val="6"/>
          <w:szCs w:val="6"/>
          <w:rtl/>
        </w:rPr>
        <w:t>&lt;#4#&gt;</w:t>
      </w:r>
    </w:p>
    <w:p w14:paraId="1084B920" w14:textId="77777777" w:rsidR="00817B75" w:rsidRDefault="00817B75" w:rsidP="003B08F6">
      <w:pPr>
        <w:rPr>
          <w:rtl/>
        </w:rPr>
      </w:pPr>
    </w:p>
    <w:p w14:paraId="4EBEC376" w14:textId="77777777" w:rsidR="00817B75" w:rsidRDefault="00771BC2" w:rsidP="003B08F6">
      <w:pPr>
        <w:rPr>
          <w:rtl/>
        </w:rPr>
      </w:pPr>
      <w:bookmarkStart w:id="8" w:name="Nitan"/>
      <w:r>
        <w:rPr>
          <w:b/>
          <w:bCs/>
          <w:rtl/>
        </w:rPr>
        <w:t xml:space="preserve">ניתנה והודעה היום י"ז אייר תש"פ, 11/05/2020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17B75" w14:paraId="2A2549AD" w14:textId="77777777" w:rsidTr="001F4618">
        <w:trPr>
          <w:trHeight w:val="316"/>
          <w:jc w:val="right"/>
        </w:trPr>
        <w:tc>
          <w:tcPr>
            <w:tcW w:w="3936" w:type="dxa"/>
            <w:vAlign w:val="bottom"/>
          </w:tcPr>
          <w:p w14:paraId="075D609C" w14:textId="77777777" w:rsidR="00817B75" w:rsidRPr="001F4618" w:rsidRDefault="00817B75" w:rsidP="001F4618">
            <w:pPr>
              <w:jc w:val="center"/>
              <w:rPr>
                <w:rFonts w:ascii="Times New Roman" w:hAnsi="Times New Roman" w:cs="Times New Roman"/>
              </w:rPr>
            </w:pPr>
          </w:p>
          <w:p w14:paraId="244FF2E0" w14:textId="77777777" w:rsidR="00817B75" w:rsidRPr="001F4618" w:rsidRDefault="00817B75" w:rsidP="001F4618">
            <w:pPr>
              <w:jc w:val="center"/>
              <w:rPr>
                <w:rFonts w:ascii="Times New Roman" w:hAnsi="Times New Roman" w:cs="Times New Roman"/>
                <w:rtl/>
              </w:rPr>
            </w:pPr>
          </w:p>
        </w:tc>
      </w:tr>
      <w:tr w:rsidR="00817B75" w14:paraId="4DBB5CE5" w14:textId="77777777" w:rsidTr="001F4618">
        <w:trPr>
          <w:trHeight w:val="361"/>
          <w:jc w:val="right"/>
        </w:trPr>
        <w:tc>
          <w:tcPr>
            <w:tcW w:w="3936" w:type="dxa"/>
          </w:tcPr>
          <w:p w14:paraId="73884491" w14:textId="77777777" w:rsidR="00817B75" w:rsidRPr="001F4618" w:rsidRDefault="00817B75" w:rsidP="001F4618">
            <w:pPr>
              <w:jc w:val="center"/>
              <w:rPr>
                <w:rFonts w:ascii="Times New Roman" w:hAnsi="Times New Roman"/>
                <w:b/>
                <w:bCs/>
                <w:rtl/>
              </w:rPr>
            </w:pPr>
            <w:r w:rsidRPr="001F4618">
              <w:rPr>
                <w:rFonts w:ascii="Times New Roman" w:hAnsi="Times New Roman"/>
                <w:b/>
                <w:bCs/>
                <w:rtl/>
              </w:rPr>
              <w:t>אורית קנטור, שופטת בכירה</w:t>
            </w:r>
          </w:p>
        </w:tc>
      </w:tr>
    </w:tbl>
    <w:p w14:paraId="27E79E86" w14:textId="77777777" w:rsidR="00817B75" w:rsidRPr="00771BC2" w:rsidRDefault="00771BC2" w:rsidP="003B08F6">
      <w:pPr>
        <w:rPr>
          <w:color w:val="FFFFFF"/>
          <w:sz w:val="2"/>
          <w:szCs w:val="2"/>
          <w:rtl/>
        </w:rPr>
      </w:pPr>
      <w:r w:rsidRPr="00771BC2">
        <w:rPr>
          <w:color w:val="FFFFFF"/>
          <w:sz w:val="2"/>
          <w:szCs w:val="2"/>
          <w:rtl/>
        </w:rPr>
        <w:t>5129371</w:t>
      </w:r>
    </w:p>
    <w:p w14:paraId="7BB952A4" w14:textId="77777777" w:rsidR="00817B75" w:rsidRPr="00771BC2" w:rsidRDefault="00771BC2" w:rsidP="003B08F6">
      <w:pPr>
        <w:rPr>
          <w:color w:val="FFFFFF"/>
          <w:sz w:val="2"/>
          <w:szCs w:val="2"/>
          <w:rtl/>
        </w:rPr>
      </w:pPr>
      <w:r w:rsidRPr="00771BC2">
        <w:rPr>
          <w:color w:val="FFFFFF"/>
          <w:sz w:val="2"/>
          <w:szCs w:val="2"/>
          <w:rtl/>
        </w:rPr>
        <w:t>54678313</w:t>
      </w:r>
    </w:p>
    <w:p w14:paraId="0FA4673A" w14:textId="77777777" w:rsidR="00817B75" w:rsidRDefault="00817B75" w:rsidP="00680901">
      <w:pPr>
        <w:spacing w:line="360" w:lineRule="auto"/>
        <w:jc w:val="center"/>
        <w:rPr>
          <w:rtl/>
        </w:rPr>
      </w:pPr>
    </w:p>
    <w:p w14:paraId="3118C31C" w14:textId="77777777" w:rsidR="00817B75" w:rsidRPr="00680901" w:rsidRDefault="00817B75" w:rsidP="00680901">
      <w:pPr>
        <w:spacing w:line="360" w:lineRule="auto"/>
        <w:jc w:val="both"/>
      </w:pPr>
      <w:r>
        <w:rPr>
          <w:rtl/>
        </w:rPr>
        <w:t xml:space="preserve"> </w:t>
      </w:r>
    </w:p>
    <w:p w14:paraId="1E01D500" w14:textId="77777777" w:rsidR="00817B75" w:rsidRPr="008E009F" w:rsidRDefault="008E009F" w:rsidP="00892933">
      <w:pPr>
        <w:spacing w:line="360" w:lineRule="auto"/>
        <w:jc w:val="both"/>
        <w:rPr>
          <w:color w:val="FFFFFF"/>
          <w:sz w:val="2"/>
          <w:szCs w:val="2"/>
          <w:rtl/>
        </w:rPr>
      </w:pPr>
      <w:r w:rsidRPr="008E009F">
        <w:rPr>
          <w:color w:val="FFFFFF"/>
          <w:sz w:val="2"/>
          <w:szCs w:val="2"/>
          <w:rtl/>
        </w:rPr>
        <w:t>5129371</w:t>
      </w:r>
      <w:r w:rsidR="00817B75" w:rsidRPr="008E009F">
        <w:rPr>
          <w:color w:val="FFFFFF"/>
          <w:sz w:val="2"/>
          <w:szCs w:val="2"/>
          <w:rtl/>
        </w:rPr>
        <w:t xml:space="preserve"> </w:t>
      </w:r>
    </w:p>
    <w:p w14:paraId="475533F2" w14:textId="77777777" w:rsidR="00817B75" w:rsidRPr="00771BC2" w:rsidRDefault="008E009F" w:rsidP="00771BC2">
      <w:pPr>
        <w:keepNext/>
        <w:rPr>
          <w:color w:val="000000"/>
          <w:sz w:val="22"/>
          <w:szCs w:val="22"/>
        </w:rPr>
      </w:pPr>
      <w:r w:rsidRPr="008E009F">
        <w:rPr>
          <w:color w:val="FFFFFF"/>
          <w:sz w:val="2"/>
          <w:szCs w:val="2"/>
          <w:rtl/>
        </w:rPr>
        <w:t>54678313</w:t>
      </w:r>
      <w:r w:rsidR="00817B75">
        <w:rPr>
          <w:rtl/>
        </w:rPr>
        <w:t>הוקלד</w:t>
      </w:r>
      <w:r w:rsidR="00817B75">
        <w:t xml:space="preserve"> </w:t>
      </w:r>
      <w:r w:rsidR="00817B75">
        <w:rPr>
          <w:rtl/>
        </w:rPr>
        <w:t>על</w:t>
      </w:r>
      <w:r w:rsidR="00817B75">
        <w:t xml:space="preserve"> </w:t>
      </w:r>
      <w:r w:rsidR="00817B75">
        <w:rPr>
          <w:rtl/>
        </w:rPr>
        <w:t>ידי</w:t>
      </w:r>
      <w:r w:rsidR="00817B75">
        <w:t xml:space="preserve"> </w:t>
      </w:r>
      <w:r w:rsidR="00817B75">
        <w:rPr>
          <w:rtl/>
        </w:rPr>
        <w:t>מילי</w:t>
      </w:r>
      <w:r w:rsidR="00817B75">
        <w:t xml:space="preserve"> </w:t>
      </w:r>
      <w:r w:rsidR="00817B75">
        <w:rPr>
          <w:rtl/>
        </w:rPr>
        <w:t>כהן</w:t>
      </w:r>
    </w:p>
    <w:p w14:paraId="2AB6A7AD" w14:textId="77777777" w:rsidR="00771BC2" w:rsidRPr="008E009F" w:rsidRDefault="00771BC2" w:rsidP="00771BC2">
      <w:pPr>
        <w:rPr>
          <w:rtl/>
        </w:rPr>
      </w:pPr>
    </w:p>
    <w:p w14:paraId="3C4B6CBE" w14:textId="77777777" w:rsidR="00771BC2" w:rsidRDefault="00771BC2" w:rsidP="00771BC2">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34978725" w14:textId="77777777" w:rsidR="008E009F" w:rsidRPr="008E009F" w:rsidRDefault="008E009F" w:rsidP="008E009F">
      <w:pPr>
        <w:keepNext/>
        <w:rPr>
          <w:color w:val="000000"/>
          <w:sz w:val="22"/>
          <w:szCs w:val="22"/>
          <w:rtl/>
        </w:rPr>
      </w:pPr>
    </w:p>
    <w:p w14:paraId="34287347" w14:textId="77777777" w:rsidR="008E009F" w:rsidRPr="008E009F" w:rsidRDefault="008E009F" w:rsidP="008E009F">
      <w:pPr>
        <w:keepNext/>
        <w:rPr>
          <w:rFonts w:hint="cs"/>
          <w:color w:val="000000"/>
          <w:sz w:val="22"/>
          <w:szCs w:val="22"/>
          <w:rtl/>
        </w:rPr>
      </w:pPr>
      <w:r w:rsidRPr="008E009F">
        <w:rPr>
          <w:color w:val="000000"/>
          <w:sz w:val="22"/>
          <w:szCs w:val="22"/>
          <w:rtl/>
        </w:rPr>
        <w:t>אורית קנטור 54678313-/</w:t>
      </w:r>
      <w:r w:rsidR="00F81036">
        <w:rPr>
          <w:rFonts w:hint="cs"/>
          <w:color w:val="000000"/>
          <w:sz w:val="22"/>
          <w:szCs w:val="22"/>
          <w:rtl/>
        </w:rPr>
        <w:t xml:space="preserve"> </w:t>
      </w:r>
    </w:p>
    <w:p w14:paraId="0EDB46A9" w14:textId="77777777" w:rsidR="00771BC2" w:rsidRPr="00771BC2" w:rsidRDefault="008E009F" w:rsidP="008E009F">
      <w:pPr>
        <w:rPr>
          <w:color w:val="0000FF"/>
          <w:u w:val="single"/>
        </w:rPr>
      </w:pPr>
      <w:r w:rsidRPr="008E009F">
        <w:rPr>
          <w:color w:val="000000"/>
          <w:u w:val="single"/>
          <w:rtl/>
        </w:rPr>
        <w:t>נוסח מסמך זה כפוף לשינויי ניסוח ועריכה</w:t>
      </w:r>
    </w:p>
    <w:sectPr w:rsidR="00771BC2" w:rsidRPr="00771BC2" w:rsidSect="008E009F">
      <w:headerReference w:type="even" r:id="rId40"/>
      <w:headerReference w:type="default" r:id="rId41"/>
      <w:footerReference w:type="even" r:id="rId42"/>
      <w:footerReference w:type="default" r:id="rId43"/>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05FFB" w14:textId="77777777" w:rsidR="00D96004" w:rsidRDefault="00D96004">
      <w:r>
        <w:separator/>
      </w:r>
    </w:p>
  </w:endnote>
  <w:endnote w:type="continuationSeparator" w:id="0">
    <w:p w14:paraId="5A907B41" w14:textId="77777777" w:rsidR="00D96004" w:rsidRDefault="00D9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D0DC1" w14:textId="77777777" w:rsidR="008E009F" w:rsidRDefault="008E009F" w:rsidP="008E009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A57237" w14:textId="77777777" w:rsidR="00817B75" w:rsidRPr="008E009F" w:rsidRDefault="008E009F" w:rsidP="008E009F">
    <w:pPr>
      <w:pStyle w:val="a4"/>
      <w:pBdr>
        <w:top w:val="single" w:sz="4" w:space="1" w:color="auto"/>
        <w:between w:val="single" w:sz="4" w:space="0" w:color="auto"/>
      </w:pBdr>
      <w:spacing w:after="60"/>
      <w:jc w:val="center"/>
      <w:rPr>
        <w:rFonts w:ascii="FrankRuehl" w:hAnsi="FrankRuehl" w:cs="FrankRuehl"/>
        <w:color w:val="000000"/>
      </w:rPr>
    </w:pPr>
    <w:r w:rsidRPr="008E009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90D0B" w14:textId="77777777" w:rsidR="008E009F" w:rsidRDefault="008E009F" w:rsidP="008E009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F1E34">
      <w:rPr>
        <w:rFonts w:ascii="FrankRuehl" w:hAnsi="FrankRuehl" w:cs="FrankRuehl"/>
        <w:noProof/>
        <w:rtl/>
      </w:rPr>
      <w:t>1</w:t>
    </w:r>
    <w:r>
      <w:rPr>
        <w:rFonts w:ascii="FrankRuehl" w:hAnsi="FrankRuehl" w:cs="FrankRuehl"/>
        <w:rtl/>
      </w:rPr>
      <w:fldChar w:fldCharType="end"/>
    </w:r>
  </w:p>
  <w:p w14:paraId="0B0613E6" w14:textId="77777777" w:rsidR="00817B75" w:rsidRPr="008E009F" w:rsidRDefault="008E009F" w:rsidP="008E009F">
    <w:pPr>
      <w:pStyle w:val="a4"/>
      <w:pBdr>
        <w:top w:val="single" w:sz="4" w:space="1" w:color="auto"/>
        <w:between w:val="single" w:sz="4" w:space="0" w:color="auto"/>
      </w:pBdr>
      <w:spacing w:after="60"/>
      <w:jc w:val="center"/>
      <w:rPr>
        <w:rFonts w:ascii="FrankRuehl" w:hAnsi="FrankRuehl" w:cs="FrankRuehl" w:hint="cs"/>
        <w:color w:val="000000"/>
        <w:rtl/>
      </w:rPr>
    </w:pPr>
    <w:r w:rsidRPr="008E009F">
      <w:rPr>
        <w:rFonts w:ascii="FrankRuehl" w:hAnsi="FrankRuehl" w:cs="FrankRuehl" w:hint="cs"/>
        <w:color w:val="000000"/>
      </w:rPr>
      <w:pict w14:anchorId="701F1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4351E" w14:textId="77777777" w:rsidR="00D96004" w:rsidRDefault="00D96004">
      <w:r>
        <w:separator/>
      </w:r>
    </w:p>
  </w:footnote>
  <w:footnote w:type="continuationSeparator" w:id="0">
    <w:p w14:paraId="422B3BEB" w14:textId="77777777" w:rsidR="00D96004" w:rsidRDefault="00D96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1988E" w14:textId="77777777" w:rsidR="00771BC2" w:rsidRPr="008E009F" w:rsidRDefault="008E009F" w:rsidP="008E009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69202-11-18</w:t>
    </w:r>
    <w:r>
      <w:rPr>
        <w:color w:val="000000"/>
        <w:sz w:val="22"/>
        <w:szCs w:val="22"/>
        <w:rtl/>
      </w:rPr>
      <w:tab/>
      <w:t xml:space="preserve"> מדינת ישראל נ' לירז אלקיים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90C6B" w14:textId="77777777" w:rsidR="00771BC2" w:rsidRPr="008E009F" w:rsidRDefault="008E009F" w:rsidP="008E009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69202-11-18</w:t>
    </w:r>
    <w:r>
      <w:rPr>
        <w:color w:val="000000"/>
        <w:sz w:val="22"/>
        <w:szCs w:val="22"/>
        <w:rtl/>
      </w:rPr>
      <w:tab/>
      <w:t xml:space="preserve"> מדינת ישראל נ' לירז אלקיים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435321521">
    <w:abstractNumId w:val="14"/>
  </w:num>
  <w:num w:numId="2" w16cid:durableId="1866210787">
    <w:abstractNumId w:val="5"/>
  </w:num>
  <w:num w:numId="3" w16cid:durableId="1269578169">
    <w:abstractNumId w:val="12"/>
  </w:num>
  <w:num w:numId="4" w16cid:durableId="812868570">
    <w:abstractNumId w:val="11"/>
  </w:num>
  <w:num w:numId="5" w16cid:durableId="2086758888">
    <w:abstractNumId w:val="4"/>
  </w:num>
  <w:num w:numId="6" w16cid:durableId="1027833392">
    <w:abstractNumId w:val="6"/>
  </w:num>
  <w:num w:numId="7" w16cid:durableId="1151022989">
    <w:abstractNumId w:val="16"/>
  </w:num>
  <w:num w:numId="8" w16cid:durableId="1741366040">
    <w:abstractNumId w:val="0"/>
  </w:num>
  <w:num w:numId="9" w16cid:durableId="404499467">
    <w:abstractNumId w:val="10"/>
  </w:num>
  <w:num w:numId="10" w16cid:durableId="1258176244">
    <w:abstractNumId w:val="8"/>
  </w:num>
  <w:num w:numId="11" w16cid:durableId="1767845851">
    <w:abstractNumId w:val="3"/>
  </w:num>
  <w:num w:numId="12" w16cid:durableId="375005457">
    <w:abstractNumId w:val="15"/>
  </w:num>
  <w:num w:numId="13" w16cid:durableId="1079982732">
    <w:abstractNumId w:val="9"/>
  </w:num>
  <w:num w:numId="14" w16cid:durableId="1549610993">
    <w:abstractNumId w:val="2"/>
  </w:num>
  <w:num w:numId="15" w16cid:durableId="2075002978">
    <w:abstractNumId w:val="13"/>
  </w:num>
  <w:num w:numId="16" w16cid:durableId="1330788082">
    <w:abstractNumId w:val="1"/>
  </w:num>
  <w:num w:numId="17" w16cid:durableId="839543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69202-11-18"/>
    <w:docVar w:name="caseId" w:val="75981086"/>
    <w:docVar w:name="deriveClass" w:val="NGCS.Protocol.BL.Client.ProtocolBLClientCriminal"/>
    <w:docVar w:name="firstPageNumber" w:val="13"/>
    <w:docVar w:name="MyInfo" w:val="This document was extracted from Nevo's site"/>
    <w:docVar w:name="NGCS.caseTypeID" w:val="-1"/>
    <w:docVar w:name="NGCS.courtID" w:val="26"/>
    <w:docVar w:name="NGCS.isReservedAddressPlace" w:val="0"/>
    <w:docVar w:name="NGCS.isReservedVoucherPlace" w:val="0"/>
    <w:docVar w:name="NGCS.proceedingID" w:val="-1"/>
    <w:docVar w:name="NGCS.TemplateCategoryID" w:val="14"/>
    <w:docVar w:name="NGCS.userUPN" w:val="055093660@GOV.IL"/>
    <w:docVar w:name="privellegeId" w:val="1"/>
    <w:docVar w:name="protocolId" w:val="10505356"/>
    <w:docVar w:name="releaseSign" w:val="0"/>
    <w:docVar w:name="sittingDateTime" w:val="11/05/2020 12:00     "/>
    <w:docVar w:name="sittingId" w:val="88601900"/>
    <w:docVar w:name="sittingTypeId" w:val="2"/>
    <w:docVar w:name="WordClientAssemblyName" w:val="NGCS.Protocol.BL.Client"/>
    <w:docVar w:name="WordClientClassName" w:val="NGCS.Templates.UIP.TemplateWordClient"/>
  </w:docVars>
  <w:rsids>
    <w:rsidRoot w:val="00EB1D9D"/>
    <w:rsid w:val="00013B28"/>
    <w:rsid w:val="00016C3B"/>
    <w:rsid w:val="00021B51"/>
    <w:rsid w:val="000555F0"/>
    <w:rsid w:val="000578F9"/>
    <w:rsid w:val="000607C9"/>
    <w:rsid w:val="000C3D5F"/>
    <w:rsid w:val="000C5E1D"/>
    <w:rsid w:val="000C7499"/>
    <w:rsid w:val="000E37CD"/>
    <w:rsid w:val="0010297E"/>
    <w:rsid w:val="00131385"/>
    <w:rsid w:val="0014434E"/>
    <w:rsid w:val="001526FC"/>
    <w:rsid w:val="0016231B"/>
    <w:rsid w:val="001666D0"/>
    <w:rsid w:val="001705B8"/>
    <w:rsid w:val="00174C6C"/>
    <w:rsid w:val="00177DCF"/>
    <w:rsid w:val="001D399C"/>
    <w:rsid w:val="001F4618"/>
    <w:rsid w:val="0022316A"/>
    <w:rsid w:val="00227A15"/>
    <w:rsid w:val="00237F64"/>
    <w:rsid w:val="00245547"/>
    <w:rsid w:val="002740EA"/>
    <w:rsid w:val="00296868"/>
    <w:rsid w:val="002A1C94"/>
    <w:rsid w:val="002E24EE"/>
    <w:rsid w:val="002F5A82"/>
    <w:rsid w:val="00347ACF"/>
    <w:rsid w:val="00397ED4"/>
    <w:rsid w:val="003B08F6"/>
    <w:rsid w:val="003F1E34"/>
    <w:rsid w:val="003F6EFC"/>
    <w:rsid w:val="00482DF0"/>
    <w:rsid w:val="00494C2F"/>
    <w:rsid w:val="004C0CA7"/>
    <w:rsid w:val="004F4B4A"/>
    <w:rsid w:val="00551705"/>
    <w:rsid w:val="005622EE"/>
    <w:rsid w:val="00594F89"/>
    <w:rsid w:val="005D47FD"/>
    <w:rsid w:val="006110FD"/>
    <w:rsid w:val="0061652F"/>
    <w:rsid w:val="00620E3F"/>
    <w:rsid w:val="006406AB"/>
    <w:rsid w:val="006424C7"/>
    <w:rsid w:val="00661918"/>
    <w:rsid w:val="00680901"/>
    <w:rsid w:val="006A4D3D"/>
    <w:rsid w:val="006B2565"/>
    <w:rsid w:val="006B79CB"/>
    <w:rsid w:val="006D72D1"/>
    <w:rsid w:val="00701199"/>
    <w:rsid w:val="00723F20"/>
    <w:rsid w:val="007378FE"/>
    <w:rsid w:val="00770F7C"/>
    <w:rsid w:val="00771BC2"/>
    <w:rsid w:val="007D71BF"/>
    <w:rsid w:val="007F4959"/>
    <w:rsid w:val="007F778C"/>
    <w:rsid w:val="008100EF"/>
    <w:rsid w:val="00817B75"/>
    <w:rsid w:val="00823576"/>
    <w:rsid w:val="00833C9A"/>
    <w:rsid w:val="008566AD"/>
    <w:rsid w:val="0088228B"/>
    <w:rsid w:val="00892933"/>
    <w:rsid w:val="008D15AB"/>
    <w:rsid w:val="008E009F"/>
    <w:rsid w:val="008E6667"/>
    <w:rsid w:val="00903C91"/>
    <w:rsid w:val="00934BA1"/>
    <w:rsid w:val="0094049A"/>
    <w:rsid w:val="00943E5D"/>
    <w:rsid w:val="009521C7"/>
    <w:rsid w:val="00966439"/>
    <w:rsid w:val="00A1106D"/>
    <w:rsid w:val="00A25356"/>
    <w:rsid w:val="00A27CB4"/>
    <w:rsid w:val="00A67D1A"/>
    <w:rsid w:val="00A75B2E"/>
    <w:rsid w:val="00A910BF"/>
    <w:rsid w:val="00AC1CBD"/>
    <w:rsid w:val="00AD041C"/>
    <w:rsid w:val="00AD1366"/>
    <w:rsid w:val="00B6568E"/>
    <w:rsid w:val="00B66459"/>
    <w:rsid w:val="00B935E6"/>
    <w:rsid w:val="00B944FF"/>
    <w:rsid w:val="00BC6FFC"/>
    <w:rsid w:val="00BF6ACD"/>
    <w:rsid w:val="00C50277"/>
    <w:rsid w:val="00C518EA"/>
    <w:rsid w:val="00C8613B"/>
    <w:rsid w:val="00CA022A"/>
    <w:rsid w:val="00D0615F"/>
    <w:rsid w:val="00D2736A"/>
    <w:rsid w:val="00D86190"/>
    <w:rsid w:val="00D96004"/>
    <w:rsid w:val="00DC4526"/>
    <w:rsid w:val="00DF69AA"/>
    <w:rsid w:val="00E37759"/>
    <w:rsid w:val="00E4581A"/>
    <w:rsid w:val="00E620AB"/>
    <w:rsid w:val="00E679BB"/>
    <w:rsid w:val="00E8567F"/>
    <w:rsid w:val="00EB1D9D"/>
    <w:rsid w:val="00F24B4E"/>
    <w:rsid w:val="00F53B32"/>
    <w:rsid w:val="00F81036"/>
    <w:rsid w:val="00F861D3"/>
    <w:rsid w:val="00F91F7D"/>
    <w:rsid w:val="00FA2034"/>
    <w:rsid w:val="00FA615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D35A9F"/>
  <w15:chartTrackingRefBased/>
  <w15:docId w15:val="{1630BCE8-0120-4AD3-AA79-390A2317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styleId="ab">
    <w:name w:val="Placeholder Text"/>
    <w:semiHidden/>
    <w:rsid w:val="00AC1CBD"/>
    <w:rPr>
      <w:rFonts w:cs="Times New Roman"/>
      <w:color w:val="808080"/>
    </w:rPr>
  </w:style>
  <w:style w:type="paragraph" w:customStyle="1" w:styleId="12">
    <w:name w:val="רגיל + ‏12 נק'"/>
    <w:aliases w:val="מיושר לשני הצדדים,מרווח בין שורות:  שורה וחצי"/>
    <w:basedOn w:val="a"/>
    <w:rsid w:val="000578F9"/>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0578F9"/>
    <w:pPr>
      <w:spacing w:line="360" w:lineRule="auto"/>
      <w:jc w:val="both"/>
    </w:pPr>
    <w:rPr>
      <w:rFonts w:ascii="Times New Roman" w:eastAsia="David" w:hAnsi="Times New Roman"/>
    </w:rPr>
  </w:style>
  <w:style w:type="paragraph" w:styleId="ac">
    <w:name w:val="List Paragraph"/>
    <w:basedOn w:val="a"/>
    <w:qFormat/>
    <w:rsid w:val="00680901"/>
    <w:pPr>
      <w:spacing w:after="160" w:line="254" w:lineRule="auto"/>
      <w:ind w:left="720"/>
      <w:contextualSpacing/>
    </w:pPr>
    <w:rPr>
      <w:rFonts w:ascii="Calibri" w:hAnsi="Calibri" w:cs="Arial"/>
      <w:sz w:val="22"/>
      <w:szCs w:val="22"/>
    </w:rPr>
  </w:style>
  <w:style w:type="character" w:styleId="Hyperlink">
    <w:name w:val="Hyperlink"/>
    <w:rsid w:val="00771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1553" TargetMode="External"/><Relationship Id="rId26" Type="http://schemas.openxmlformats.org/officeDocument/2006/relationships/hyperlink" Target="http://www.nevo.co.il/law/7030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4216"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40d" TargetMode="External"/><Relationship Id="rId29" Type="http://schemas.openxmlformats.org/officeDocument/2006/relationships/hyperlink" Target="http://www.nevo.co.il/law/70301/40b"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7.c" TargetMode="External"/><Relationship Id="rId24" Type="http://schemas.openxmlformats.org/officeDocument/2006/relationships/hyperlink" Target="http://www.nevo.co.il/law/4216/10" TargetMode="External"/><Relationship Id="rId32" Type="http://schemas.openxmlformats.org/officeDocument/2006/relationships/hyperlink" Target="http://www.nevo.co.il/law/70301/40d" TargetMode="External"/><Relationship Id="rId37" Type="http://schemas.openxmlformats.org/officeDocument/2006/relationships/hyperlink" Target="http://www.nevo.co.il/law/71553/20"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40c" TargetMode="External"/><Relationship Id="rId23" Type="http://schemas.openxmlformats.org/officeDocument/2006/relationships/hyperlink" Target="http://www.nevo.co.il/law/4216/6"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71553/20" TargetMode="External"/><Relationship Id="rId31" Type="http://schemas.openxmlformats.org/officeDocument/2006/relationships/hyperlink" Target="http://www.nevo.co.il/case/2040248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40c" TargetMode="External"/><Relationship Id="rId35" Type="http://schemas.openxmlformats.org/officeDocument/2006/relationships/hyperlink" Target="http://www.nevo.co.il/law/70301/400" TargetMode="External"/><Relationship Id="rId43" Type="http://schemas.openxmlformats.org/officeDocument/2006/relationships/footer" Target="footer2.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4216/10" TargetMode="External"/><Relationship Id="rId17" Type="http://schemas.openxmlformats.org/officeDocument/2006/relationships/hyperlink" Target="http://www.nevo.co.il/law/70301/400" TargetMode="External"/><Relationship Id="rId25" Type="http://schemas.openxmlformats.org/officeDocument/2006/relationships/hyperlink" Target="http://www.nevo.co.il/law/70301/400"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1553" TargetMode="External"/><Relationship Id="rId20" Type="http://schemas.openxmlformats.org/officeDocument/2006/relationships/hyperlink" Target="http://www.nevo.co.il/law/4216/7.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3280</Words>
  <Characters>16401</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19642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8257634</vt:i4>
      </vt:variant>
      <vt:variant>
        <vt:i4>90</vt:i4>
      </vt:variant>
      <vt:variant>
        <vt:i4>0</vt:i4>
      </vt:variant>
      <vt:variant>
        <vt:i4>5</vt:i4>
      </vt:variant>
      <vt:variant>
        <vt:lpwstr>http://www.nevo.co.il/law/71553</vt:lpwstr>
      </vt:variant>
      <vt:variant>
        <vt:lpwstr/>
      </vt:variant>
      <vt:variant>
        <vt:i4>6357091</vt:i4>
      </vt:variant>
      <vt:variant>
        <vt:i4>87</vt:i4>
      </vt:variant>
      <vt:variant>
        <vt:i4>0</vt:i4>
      </vt:variant>
      <vt:variant>
        <vt:i4>5</vt:i4>
      </vt:variant>
      <vt:variant>
        <vt:lpwstr>http://www.nevo.co.il/law/71553/20</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http://www.nevo.co.il/law/70301/400</vt:lpwstr>
      </vt:variant>
      <vt:variant>
        <vt:lpwstr/>
      </vt:variant>
      <vt:variant>
        <vt:i4>8257637</vt:i4>
      </vt:variant>
      <vt:variant>
        <vt:i4>78</vt:i4>
      </vt:variant>
      <vt:variant>
        <vt:i4>0</vt:i4>
      </vt:variant>
      <vt:variant>
        <vt:i4>5</vt:i4>
      </vt:variant>
      <vt:variant>
        <vt:lpwstr>http://www.nevo.co.il/law/4216</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3932272</vt:i4>
      </vt:variant>
      <vt:variant>
        <vt:i4>69</vt:i4>
      </vt:variant>
      <vt:variant>
        <vt:i4>0</vt:i4>
      </vt:variant>
      <vt:variant>
        <vt:i4>5</vt:i4>
      </vt:variant>
      <vt:variant>
        <vt:lpwstr>http://www.nevo.co.il/case/20402486</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7995492</vt:i4>
      </vt:variant>
      <vt:variant>
        <vt:i4>60</vt:i4>
      </vt:variant>
      <vt:variant>
        <vt:i4>0</vt:i4>
      </vt:variant>
      <vt:variant>
        <vt:i4>5</vt:i4>
      </vt:variant>
      <vt:variant>
        <vt:lpwstr>http://www.nevo.co.il/law/70301</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http://www.nevo.co.il/law/70301/400</vt:lpwstr>
      </vt:variant>
      <vt:variant>
        <vt:lpwstr/>
      </vt:variant>
      <vt:variant>
        <vt:i4>5177418</vt:i4>
      </vt:variant>
      <vt:variant>
        <vt:i4>48</vt:i4>
      </vt:variant>
      <vt:variant>
        <vt:i4>0</vt:i4>
      </vt:variant>
      <vt:variant>
        <vt:i4>5</vt:i4>
      </vt:variant>
      <vt:variant>
        <vt:lpwstr>http://www.nevo.co.il/law/4216/10</vt:lpwstr>
      </vt:variant>
      <vt:variant>
        <vt:lpwstr/>
      </vt:variant>
      <vt:variant>
        <vt:i4>4718666</vt:i4>
      </vt:variant>
      <vt:variant>
        <vt:i4>45</vt:i4>
      </vt:variant>
      <vt:variant>
        <vt:i4>0</vt:i4>
      </vt:variant>
      <vt:variant>
        <vt:i4>5</vt:i4>
      </vt:variant>
      <vt:variant>
        <vt:lpwstr>http://www.nevo.co.il/law/4216/6</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6357091</vt:i4>
      </vt:variant>
      <vt:variant>
        <vt:i4>33</vt:i4>
      </vt:variant>
      <vt:variant>
        <vt:i4>0</vt:i4>
      </vt:variant>
      <vt:variant>
        <vt:i4>5</vt:i4>
      </vt:variant>
      <vt:variant>
        <vt:lpwstr>http://www.nevo.co.il/law/71553/20</vt:lpwstr>
      </vt:variant>
      <vt:variant>
        <vt:lpwstr/>
      </vt:variant>
      <vt:variant>
        <vt:i4>8257634</vt:i4>
      </vt:variant>
      <vt:variant>
        <vt:i4>30</vt:i4>
      </vt:variant>
      <vt:variant>
        <vt:i4>0</vt:i4>
      </vt:variant>
      <vt:variant>
        <vt:i4>5</vt:i4>
      </vt:variant>
      <vt:variant>
        <vt:lpwstr>http://www.nevo.co.il/law/71553</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2020-05-11T08:08:00Z</cp:lastPrinted>
  <dcterms:created xsi:type="dcterms:W3CDTF">2025-04-22T23:59:00Z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69202</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לירז אלקיים</vt:lpwstr>
  </property>
  <property fmtid="{D5CDD505-2E9C-101B-9397-08002B2CF9AE}" pid="10" name="LAWYER">
    <vt:lpwstr>אפרים גולדשטיין;יובל זמר</vt:lpwstr>
  </property>
  <property fmtid="{D5CDD505-2E9C-101B-9397-08002B2CF9AE}" pid="11" name="JUDGE">
    <vt:lpwstr>אורית קנטור</vt:lpwstr>
  </property>
  <property fmtid="{D5CDD505-2E9C-101B-9397-08002B2CF9AE}" pid="12" name="CITY">
    <vt:lpwstr>חי'</vt:lpwstr>
  </property>
  <property fmtid="{D5CDD505-2E9C-101B-9397-08002B2CF9AE}" pid="13" name="DATE">
    <vt:lpwstr>20200511</vt:lpwstr>
  </property>
  <property fmtid="{D5CDD505-2E9C-101B-9397-08002B2CF9AE}" pid="14" name="TYPE_N_DATE">
    <vt:lpwstr>38020200511</vt:lpwstr>
  </property>
  <property fmtid="{D5CDD505-2E9C-101B-9397-08002B2CF9AE}" pid="15" name="WORDNUMPAGES">
    <vt:lpwstr>11</vt:lpwstr>
  </property>
  <property fmtid="{D5CDD505-2E9C-101B-9397-08002B2CF9AE}" pid="16" name="TYPE_ABS_DATE">
    <vt:lpwstr>380020200511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20402486</vt:lpwstr>
  </property>
  <property fmtid="{D5CDD505-2E9C-101B-9397-08002B2CF9AE}" pid="36" name="LAWLISTTMP1">
    <vt:lpwstr>4216/007.a;007.c;006;010</vt:lpwstr>
  </property>
  <property fmtid="{D5CDD505-2E9C-101B-9397-08002B2CF9AE}" pid="37" name="LAWLISTTMP2">
    <vt:lpwstr>70301/400:2;040b;040c;040d</vt:lpwstr>
  </property>
  <property fmtid="{D5CDD505-2E9C-101B-9397-08002B2CF9AE}" pid="38" name="LAWLISTTMP3">
    <vt:lpwstr>71553/020</vt:lpwstr>
  </property>
</Properties>
</file>