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B0A98" w:rsidRPr="001A0B3D" w14:paraId="3F50ED99" w14:textId="77777777" w:rsidTr="001A06BE">
        <w:trPr>
          <w:trHeight w:hRule="exact" w:val="418"/>
          <w:jc w:val="center"/>
        </w:trPr>
        <w:tc>
          <w:tcPr>
            <w:tcW w:w="8721" w:type="dxa"/>
            <w:gridSpan w:val="2"/>
          </w:tcPr>
          <w:p w14:paraId="6AA46203" w14:textId="77777777" w:rsidR="002B0A98" w:rsidRPr="001A0B3D" w:rsidRDefault="002B0A98" w:rsidP="00632742">
            <w:pPr>
              <w:pStyle w:val="a3"/>
              <w:jc w:val="center"/>
              <w:rPr>
                <w:rFonts w:ascii="FrankRuehl" w:hAnsi="FrankRuehl" w:cs="FrankRuehl"/>
                <w:b/>
                <w:bCs/>
                <w:color w:val="000080"/>
                <w:sz w:val="28"/>
                <w:szCs w:val="28"/>
                <w:rtl/>
              </w:rPr>
            </w:pPr>
            <w:bookmarkStart w:id="0" w:name="LastJudge"/>
            <w:r w:rsidRPr="001A0B3D">
              <w:rPr>
                <w:rFonts w:ascii="FrankRuehl" w:hAnsi="FrankRuehl" w:cs="FrankRuehl"/>
                <w:b/>
                <w:bCs/>
                <w:color w:val="000080"/>
                <w:sz w:val="28"/>
                <w:szCs w:val="28"/>
                <w:rtl/>
              </w:rPr>
              <w:t>בית משפט השלום בירושלים</w:t>
            </w:r>
          </w:p>
        </w:tc>
      </w:tr>
      <w:tr w:rsidR="002B0A98" w:rsidRPr="001A0B3D" w14:paraId="50F578D8" w14:textId="77777777" w:rsidTr="001A06BE">
        <w:trPr>
          <w:trHeight w:val="337"/>
          <w:jc w:val="center"/>
        </w:trPr>
        <w:tc>
          <w:tcPr>
            <w:tcW w:w="5054" w:type="dxa"/>
          </w:tcPr>
          <w:p w14:paraId="1EB7DEA0" w14:textId="77777777" w:rsidR="002B0A98" w:rsidRPr="001A0B3D" w:rsidRDefault="002B0A98" w:rsidP="00632742">
            <w:pPr>
              <w:rPr>
                <w:rFonts w:ascii="FrankRuehl" w:hAnsi="FrankRuehl" w:cs="FrankRuehl"/>
                <w:b/>
                <w:bCs/>
                <w:sz w:val="28"/>
                <w:szCs w:val="28"/>
                <w:rtl/>
              </w:rPr>
            </w:pPr>
            <w:r w:rsidRPr="001A0B3D">
              <w:rPr>
                <w:rFonts w:ascii="FrankRuehl" w:hAnsi="FrankRuehl" w:cs="FrankRuehl"/>
                <w:b/>
                <w:bCs/>
                <w:sz w:val="28"/>
                <w:szCs w:val="28"/>
                <w:rtl/>
              </w:rPr>
              <w:t xml:space="preserve">ת"פ </w:t>
            </w:r>
            <w:hyperlink r:id="rId7" w:history="1">
              <w:r w:rsidR="000C234F" w:rsidRPr="000C234F">
                <w:rPr>
                  <w:rFonts w:ascii="FrankRuehl" w:hAnsi="FrankRuehl" w:cs="FrankRuehl"/>
                  <w:b/>
                  <w:bCs/>
                  <w:color w:val="0000FF"/>
                  <w:sz w:val="28"/>
                  <w:szCs w:val="28"/>
                  <w:u w:val="single"/>
                  <w:rtl/>
                </w:rPr>
                <w:t xml:space="preserve">19965-12-18 </w:t>
              </w:r>
            </w:hyperlink>
            <w:r w:rsidRPr="001A0B3D">
              <w:rPr>
                <w:rFonts w:ascii="FrankRuehl" w:hAnsi="FrankRuehl" w:cs="FrankRuehl"/>
                <w:b/>
                <w:bCs/>
                <w:sz w:val="28"/>
                <w:szCs w:val="28"/>
                <w:rtl/>
              </w:rPr>
              <w:t xml:space="preserve"> מדינת ישראל נ' גמליאל</w:t>
            </w:r>
          </w:p>
          <w:p w14:paraId="0EE46403" w14:textId="77777777" w:rsidR="002B0A98" w:rsidRPr="001A0B3D" w:rsidRDefault="002B0A98" w:rsidP="00632742">
            <w:pPr>
              <w:pStyle w:val="a3"/>
              <w:rPr>
                <w:rFonts w:ascii="FrankRuehl" w:hAnsi="FrankRuehl" w:cs="FrankRuehl"/>
                <w:b/>
                <w:bCs/>
                <w:sz w:val="28"/>
                <w:szCs w:val="28"/>
                <w:rtl/>
              </w:rPr>
            </w:pPr>
          </w:p>
        </w:tc>
        <w:tc>
          <w:tcPr>
            <w:tcW w:w="3667" w:type="dxa"/>
          </w:tcPr>
          <w:p w14:paraId="6ADD904B" w14:textId="77777777" w:rsidR="002B0A98" w:rsidRPr="001A0B3D" w:rsidRDefault="002B0A98" w:rsidP="00632742">
            <w:pPr>
              <w:pStyle w:val="a3"/>
              <w:jc w:val="right"/>
              <w:rPr>
                <w:rFonts w:cs="FrankRuehl"/>
                <w:sz w:val="28"/>
                <w:szCs w:val="28"/>
                <w:rtl/>
              </w:rPr>
            </w:pPr>
          </w:p>
        </w:tc>
      </w:tr>
    </w:tbl>
    <w:p w14:paraId="7429CA03" w14:textId="77777777" w:rsidR="002B0A98" w:rsidRPr="001A0B3D" w:rsidRDefault="002B0A98" w:rsidP="002B0A98">
      <w:pPr>
        <w:pStyle w:val="a3"/>
        <w:rPr>
          <w:rtl/>
        </w:rPr>
      </w:pPr>
      <w:r w:rsidRPr="001A0B3D">
        <w:rPr>
          <w:rFonts w:hint="cs"/>
          <w:rtl/>
        </w:rPr>
        <w:t xml:space="preserve"> </w:t>
      </w:r>
    </w:p>
    <w:p w14:paraId="0237C33D" w14:textId="77777777" w:rsidR="002B0A98" w:rsidRPr="001A0B3D" w:rsidRDefault="002B0A98" w:rsidP="002B0A98">
      <w:pPr>
        <w:rPr>
          <w:rtl/>
        </w:rPr>
      </w:pPr>
    </w:p>
    <w:p w14:paraId="3049AF3D" w14:textId="77777777" w:rsidR="002B0A98" w:rsidRPr="001A0B3D" w:rsidRDefault="002B0A98" w:rsidP="002B0A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B0A98" w:rsidRPr="001A0B3D" w14:paraId="7B529B68" w14:textId="77777777" w:rsidTr="002B0A98">
        <w:trPr>
          <w:trHeight w:val="295"/>
          <w:jc w:val="center"/>
        </w:trPr>
        <w:tc>
          <w:tcPr>
            <w:tcW w:w="923" w:type="dxa"/>
            <w:tcBorders>
              <w:top w:val="nil"/>
              <w:left w:val="nil"/>
              <w:bottom w:val="nil"/>
              <w:right w:val="nil"/>
            </w:tcBorders>
            <w:shd w:val="clear" w:color="auto" w:fill="auto"/>
          </w:tcPr>
          <w:p w14:paraId="15D473DB" w14:textId="77777777" w:rsidR="002B0A98" w:rsidRPr="001A0B3D" w:rsidRDefault="002B0A98" w:rsidP="002B0A98">
            <w:pPr>
              <w:jc w:val="both"/>
              <w:rPr>
                <w:rFonts w:ascii="FrankRuehl" w:hAnsi="FrankRuehl" w:cs="FrankRuehl"/>
                <w:b/>
                <w:bCs/>
                <w:sz w:val="28"/>
                <w:szCs w:val="28"/>
              </w:rPr>
            </w:pPr>
            <w:r w:rsidRPr="001A0B3D">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126D67FC" w14:textId="77777777" w:rsidR="002B0A98" w:rsidRPr="001A0B3D" w:rsidRDefault="002B0A98" w:rsidP="00632742">
            <w:pPr>
              <w:rPr>
                <w:rFonts w:ascii="FrankRuehl" w:hAnsi="FrankRuehl" w:cs="FrankRuehl"/>
                <w:b/>
                <w:bCs/>
                <w:sz w:val="28"/>
                <w:szCs w:val="28"/>
                <w:rtl/>
              </w:rPr>
            </w:pPr>
            <w:r w:rsidRPr="001A0B3D">
              <w:rPr>
                <w:rFonts w:ascii="FrankRuehl" w:hAnsi="FrankRuehl" w:cs="FrankRuehl"/>
                <w:b/>
                <w:bCs/>
                <w:sz w:val="28"/>
                <w:szCs w:val="28"/>
                <w:rtl/>
              </w:rPr>
              <w:t>כבוד השופט  דוד שאול גבאי ריכטר</w:t>
            </w:r>
          </w:p>
          <w:p w14:paraId="0A3AF6B5" w14:textId="77777777" w:rsidR="002B0A98" w:rsidRPr="001A0B3D" w:rsidRDefault="002B0A98" w:rsidP="00632742">
            <w:pPr>
              <w:rPr>
                <w:rFonts w:ascii="FrankRuehl" w:hAnsi="FrankRuehl" w:cs="FrankRuehl"/>
                <w:b/>
                <w:bCs/>
                <w:sz w:val="28"/>
                <w:szCs w:val="28"/>
                <w:rtl/>
              </w:rPr>
            </w:pPr>
          </w:p>
          <w:p w14:paraId="13172E29" w14:textId="77777777" w:rsidR="002B0A98" w:rsidRPr="001A0B3D" w:rsidRDefault="002B0A98" w:rsidP="002B0A98">
            <w:pPr>
              <w:jc w:val="both"/>
              <w:rPr>
                <w:rFonts w:ascii="FrankRuehl" w:hAnsi="FrankRuehl" w:cs="FrankRuehl"/>
                <w:b/>
                <w:bCs/>
                <w:sz w:val="28"/>
                <w:szCs w:val="28"/>
              </w:rPr>
            </w:pPr>
          </w:p>
        </w:tc>
      </w:tr>
      <w:tr w:rsidR="002B0A98" w:rsidRPr="001A0B3D" w14:paraId="6AB52576" w14:textId="77777777" w:rsidTr="002B0A98">
        <w:trPr>
          <w:trHeight w:val="355"/>
          <w:jc w:val="center"/>
        </w:trPr>
        <w:tc>
          <w:tcPr>
            <w:tcW w:w="923" w:type="dxa"/>
            <w:tcBorders>
              <w:top w:val="nil"/>
              <w:left w:val="nil"/>
              <w:bottom w:val="nil"/>
              <w:right w:val="nil"/>
            </w:tcBorders>
            <w:shd w:val="clear" w:color="auto" w:fill="auto"/>
          </w:tcPr>
          <w:p w14:paraId="2B20CDAF" w14:textId="77777777" w:rsidR="002B0A98" w:rsidRPr="001A0B3D" w:rsidRDefault="002B0A98" w:rsidP="002B0A98">
            <w:pPr>
              <w:jc w:val="both"/>
              <w:rPr>
                <w:rFonts w:ascii="FrankRuehl" w:hAnsi="FrankRuehl" w:cs="FrankRuehl"/>
                <w:b/>
                <w:bCs/>
                <w:sz w:val="28"/>
                <w:szCs w:val="28"/>
              </w:rPr>
            </w:pPr>
            <w:bookmarkStart w:id="1" w:name="FirstAppellant"/>
            <w:r w:rsidRPr="001A0B3D">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247F7171" w14:textId="77777777" w:rsidR="002B0A98" w:rsidRPr="001A0B3D" w:rsidRDefault="002B0A98" w:rsidP="00632742">
            <w:pPr>
              <w:rPr>
                <w:rFonts w:ascii="FrankRuehl" w:hAnsi="FrankRuehl" w:cs="FrankRuehl"/>
                <w:b/>
                <w:bCs/>
                <w:sz w:val="28"/>
                <w:szCs w:val="28"/>
              </w:rPr>
            </w:pPr>
            <w:r w:rsidRPr="001A0B3D">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482FBEBD" w14:textId="77777777" w:rsidR="002B0A98" w:rsidRPr="001A0B3D" w:rsidRDefault="002B0A98" w:rsidP="002B0A98">
            <w:pPr>
              <w:jc w:val="both"/>
              <w:rPr>
                <w:rFonts w:ascii="FrankRuehl" w:hAnsi="FrankRuehl" w:cs="FrankRuehl"/>
                <w:b/>
                <w:bCs/>
                <w:sz w:val="28"/>
                <w:szCs w:val="28"/>
              </w:rPr>
            </w:pPr>
          </w:p>
        </w:tc>
      </w:tr>
      <w:tr w:rsidR="002B0A98" w:rsidRPr="001A0B3D" w14:paraId="3441A6FE" w14:textId="77777777" w:rsidTr="002B0A98">
        <w:trPr>
          <w:trHeight w:val="355"/>
          <w:jc w:val="center"/>
        </w:trPr>
        <w:tc>
          <w:tcPr>
            <w:tcW w:w="923" w:type="dxa"/>
            <w:tcBorders>
              <w:top w:val="nil"/>
              <w:left w:val="nil"/>
              <w:bottom w:val="nil"/>
              <w:right w:val="nil"/>
            </w:tcBorders>
            <w:shd w:val="clear" w:color="auto" w:fill="auto"/>
          </w:tcPr>
          <w:p w14:paraId="426B00AD" w14:textId="77777777" w:rsidR="002B0A98" w:rsidRPr="001A0B3D" w:rsidRDefault="002B0A98" w:rsidP="002B0A98">
            <w:pPr>
              <w:jc w:val="both"/>
              <w:rPr>
                <w:rFonts w:ascii="FrankRuehl" w:hAnsi="FrankRuehl" w:cs="FrankRuehl"/>
                <w:b/>
                <w:bCs/>
                <w:sz w:val="28"/>
                <w:szCs w:val="28"/>
                <w:rtl/>
              </w:rPr>
            </w:pPr>
            <w:bookmarkStart w:id="2" w:name="FirstLawyer"/>
            <w:bookmarkEnd w:id="1"/>
          </w:p>
        </w:tc>
        <w:tc>
          <w:tcPr>
            <w:tcW w:w="4126" w:type="dxa"/>
            <w:tcBorders>
              <w:top w:val="nil"/>
              <w:left w:val="nil"/>
              <w:bottom w:val="nil"/>
              <w:right w:val="nil"/>
            </w:tcBorders>
            <w:shd w:val="clear" w:color="auto" w:fill="auto"/>
          </w:tcPr>
          <w:p w14:paraId="1E05BA67" w14:textId="77777777" w:rsidR="002B0A98" w:rsidRPr="001A0B3D" w:rsidRDefault="002B0A98" w:rsidP="002B0A98">
            <w:pPr>
              <w:jc w:val="both"/>
              <w:rPr>
                <w:rFonts w:ascii="FrankRuehl" w:hAnsi="FrankRuehl" w:cs="FrankRuehl"/>
                <w:b/>
                <w:bCs/>
                <w:sz w:val="28"/>
                <w:szCs w:val="28"/>
                <w:rtl/>
              </w:rPr>
            </w:pPr>
            <w:r w:rsidRPr="001A0B3D">
              <w:rPr>
                <w:rFonts w:ascii="FrankRuehl" w:hAnsi="FrankRuehl" w:cs="FrankRuehl" w:hint="cs"/>
                <w:b/>
                <w:bCs/>
                <w:sz w:val="28"/>
                <w:szCs w:val="28"/>
                <w:rtl/>
              </w:rPr>
              <w:t>ע"י ב"כ עו"ד כרמית כהן מ</w:t>
            </w:r>
            <w:r w:rsidRPr="001A0B3D">
              <w:rPr>
                <w:rFonts w:ascii="FrankRuehl" w:hAnsi="FrankRuehl" w:cs="FrankRuehl"/>
                <w:b/>
                <w:bCs/>
                <w:sz w:val="28"/>
                <w:szCs w:val="28"/>
                <w:rtl/>
              </w:rPr>
              <w:t>תביעות ירושלים</w:t>
            </w:r>
          </w:p>
        </w:tc>
        <w:tc>
          <w:tcPr>
            <w:tcW w:w="3771" w:type="dxa"/>
            <w:tcBorders>
              <w:top w:val="nil"/>
              <w:left w:val="nil"/>
              <w:bottom w:val="nil"/>
              <w:right w:val="nil"/>
            </w:tcBorders>
            <w:shd w:val="clear" w:color="auto" w:fill="auto"/>
          </w:tcPr>
          <w:p w14:paraId="5CCCB4D1" w14:textId="77777777" w:rsidR="002B0A98" w:rsidRPr="001A0B3D" w:rsidRDefault="002B0A98" w:rsidP="002B0A98">
            <w:pPr>
              <w:jc w:val="right"/>
              <w:rPr>
                <w:rFonts w:ascii="FrankRuehl" w:hAnsi="FrankRuehl" w:cs="FrankRuehl"/>
                <w:b/>
                <w:bCs/>
                <w:sz w:val="28"/>
                <w:szCs w:val="28"/>
                <w:rtl/>
              </w:rPr>
            </w:pPr>
            <w:r w:rsidRPr="001A0B3D">
              <w:rPr>
                <w:rFonts w:ascii="FrankRuehl" w:hAnsi="FrankRuehl" w:cs="FrankRuehl"/>
                <w:b/>
                <w:bCs/>
                <w:sz w:val="28"/>
                <w:szCs w:val="28"/>
                <w:rtl/>
              </w:rPr>
              <w:t>המאשימה</w:t>
            </w:r>
          </w:p>
        </w:tc>
      </w:tr>
      <w:bookmarkEnd w:id="2"/>
      <w:tr w:rsidR="002B0A98" w:rsidRPr="001A0B3D" w14:paraId="0AAF0275" w14:textId="77777777" w:rsidTr="002B0A98">
        <w:trPr>
          <w:trHeight w:val="355"/>
          <w:jc w:val="center"/>
        </w:trPr>
        <w:tc>
          <w:tcPr>
            <w:tcW w:w="923" w:type="dxa"/>
            <w:tcBorders>
              <w:top w:val="nil"/>
              <w:left w:val="nil"/>
              <w:bottom w:val="nil"/>
              <w:right w:val="nil"/>
            </w:tcBorders>
            <w:shd w:val="clear" w:color="auto" w:fill="auto"/>
          </w:tcPr>
          <w:p w14:paraId="55B03BC8" w14:textId="77777777" w:rsidR="002B0A98" w:rsidRPr="001A0B3D" w:rsidRDefault="002B0A98" w:rsidP="002B0A98">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64F25BDE" w14:textId="77777777" w:rsidR="002B0A98" w:rsidRPr="001A0B3D" w:rsidRDefault="002B0A98" w:rsidP="002B0A98">
            <w:pPr>
              <w:jc w:val="center"/>
              <w:rPr>
                <w:rFonts w:ascii="FrankRuehl" w:hAnsi="FrankRuehl" w:cs="FrankRuehl"/>
                <w:b/>
                <w:bCs/>
                <w:sz w:val="28"/>
                <w:szCs w:val="28"/>
                <w:rtl/>
              </w:rPr>
            </w:pPr>
          </w:p>
          <w:p w14:paraId="40BB4949" w14:textId="77777777" w:rsidR="002B0A98" w:rsidRPr="001A0B3D" w:rsidRDefault="002B0A98" w:rsidP="002B0A98">
            <w:pPr>
              <w:jc w:val="center"/>
              <w:rPr>
                <w:rFonts w:ascii="FrankRuehl" w:hAnsi="FrankRuehl" w:cs="FrankRuehl"/>
                <w:b/>
                <w:bCs/>
                <w:sz w:val="28"/>
                <w:szCs w:val="28"/>
                <w:rtl/>
              </w:rPr>
            </w:pPr>
            <w:r w:rsidRPr="001A0B3D">
              <w:rPr>
                <w:rFonts w:ascii="FrankRuehl" w:hAnsi="FrankRuehl" w:cs="FrankRuehl"/>
                <w:b/>
                <w:bCs/>
                <w:sz w:val="28"/>
                <w:szCs w:val="28"/>
                <w:rtl/>
              </w:rPr>
              <w:t>נגד</w:t>
            </w:r>
          </w:p>
          <w:p w14:paraId="6BF7561A" w14:textId="77777777" w:rsidR="002B0A98" w:rsidRPr="001A0B3D" w:rsidRDefault="002B0A98" w:rsidP="002B0A98">
            <w:pPr>
              <w:jc w:val="both"/>
              <w:rPr>
                <w:rFonts w:ascii="FrankRuehl" w:hAnsi="FrankRuehl" w:cs="FrankRuehl"/>
                <w:b/>
                <w:bCs/>
                <w:sz w:val="28"/>
                <w:szCs w:val="28"/>
              </w:rPr>
            </w:pPr>
          </w:p>
        </w:tc>
      </w:tr>
      <w:tr w:rsidR="002B0A98" w:rsidRPr="001A0B3D" w14:paraId="30194280" w14:textId="77777777" w:rsidTr="002B0A98">
        <w:trPr>
          <w:trHeight w:val="355"/>
          <w:jc w:val="center"/>
        </w:trPr>
        <w:tc>
          <w:tcPr>
            <w:tcW w:w="923" w:type="dxa"/>
            <w:tcBorders>
              <w:top w:val="nil"/>
              <w:left w:val="nil"/>
              <w:bottom w:val="nil"/>
              <w:right w:val="nil"/>
            </w:tcBorders>
            <w:shd w:val="clear" w:color="auto" w:fill="auto"/>
          </w:tcPr>
          <w:p w14:paraId="76FE0244" w14:textId="77777777" w:rsidR="002B0A98" w:rsidRPr="001A0B3D" w:rsidRDefault="002B0A98" w:rsidP="00632742">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9A9DAA6" w14:textId="77777777" w:rsidR="002B0A98" w:rsidRPr="001A0B3D" w:rsidRDefault="002B0A98" w:rsidP="00632742">
            <w:pPr>
              <w:rPr>
                <w:rFonts w:ascii="FrankRuehl" w:hAnsi="FrankRuehl" w:cs="FrankRuehl"/>
                <w:b/>
                <w:bCs/>
                <w:sz w:val="28"/>
                <w:szCs w:val="28"/>
                <w:rtl/>
              </w:rPr>
            </w:pPr>
            <w:r w:rsidRPr="001A0B3D">
              <w:rPr>
                <w:rFonts w:ascii="FrankRuehl" w:hAnsi="FrankRuehl" w:cs="FrankRuehl"/>
                <w:b/>
                <w:bCs/>
                <w:sz w:val="28"/>
                <w:szCs w:val="28"/>
                <w:rtl/>
              </w:rPr>
              <w:t>נתנאל גמליאל</w:t>
            </w:r>
          </w:p>
        </w:tc>
        <w:tc>
          <w:tcPr>
            <w:tcW w:w="3771" w:type="dxa"/>
            <w:tcBorders>
              <w:top w:val="nil"/>
              <w:left w:val="nil"/>
              <w:bottom w:val="nil"/>
              <w:right w:val="nil"/>
            </w:tcBorders>
            <w:shd w:val="clear" w:color="auto" w:fill="auto"/>
          </w:tcPr>
          <w:p w14:paraId="5435D42A" w14:textId="77777777" w:rsidR="002B0A98" w:rsidRPr="001A0B3D" w:rsidRDefault="002B0A98" w:rsidP="002B0A98">
            <w:pPr>
              <w:jc w:val="right"/>
              <w:rPr>
                <w:rFonts w:ascii="FrankRuehl" w:hAnsi="FrankRuehl" w:cs="FrankRuehl"/>
                <w:b/>
                <w:bCs/>
                <w:sz w:val="28"/>
                <w:szCs w:val="28"/>
              </w:rPr>
            </w:pPr>
          </w:p>
        </w:tc>
      </w:tr>
      <w:tr w:rsidR="002B0A98" w:rsidRPr="001A0B3D" w14:paraId="53051D32" w14:textId="77777777" w:rsidTr="002B0A98">
        <w:trPr>
          <w:trHeight w:val="355"/>
          <w:jc w:val="center"/>
        </w:trPr>
        <w:tc>
          <w:tcPr>
            <w:tcW w:w="923" w:type="dxa"/>
            <w:tcBorders>
              <w:top w:val="nil"/>
              <w:left w:val="nil"/>
              <w:bottom w:val="nil"/>
              <w:right w:val="nil"/>
            </w:tcBorders>
            <w:shd w:val="clear" w:color="auto" w:fill="auto"/>
          </w:tcPr>
          <w:p w14:paraId="5418E9E9" w14:textId="77777777" w:rsidR="002B0A98" w:rsidRPr="001A0B3D" w:rsidRDefault="002B0A98" w:rsidP="002B0A98">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5AD27F70" w14:textId="77777777" w:rsidR="002B0A98" w:rsidRPr="001A0B3D" w:rsidRDefault="002B0A98" w:rsidP="002B0A98">
            <w:pPr>
              <w:jc w:val="both"/>
              <w:rPr>
                <w:rFonts w:ascii="FrankRuehl" w:hAnsi="FrankRuehl" w:cs="FrankRuehl"/>
                <w:b/>
                <w:bCs/>
                <w:sz w:val="28"/>
                <w:szCs w:val="28"/>
                <w:rtl/>
              </w:rPr>
            </w:pPr>
            <w:r w:rsidRPr="001A0B3D">
              <w:rPr>
                <w:rFonts w:ascii="FrankRuehl" w:hAnsi="FrankRuehl" w:cs="FrankRuehl"/>
                <w:b/>
                <w:bCs/>
                <w:sz w:val="28"/>
                <w:szCs w:val="28"/>
                <w:rtl/>
              </w:rPr>
              <w:t>ע"י ב"כ עו"ד ליאור ששון</w:t>
            </w:r>
          </w:p>
        </w:tc>
        <w:tc>
          <w:tcPr>
            <w:tcW w:w="3771" w:type="dxa"/>
            <w:tcBorders>
              <w:top w:val="nil"/>
              <w:left w:val="nil"/>
              <w:bottom w:val="nil"/>
              <w:right w:val="nil"/>
            </w:tcBorders>
            <w:shd w:val="clear" w:color="auto" w:fill="auto"/>
          </w:tcPr>
          <w:p w14:paraId="586FC5D3" w14:textId="77777777" w:rsidR="002B0A98" w:rsidRPr="001A0B3D" w:rsidRDefault="002B0A98" w:rsidP="002B0A98">
            <w:pPr>
              <w:jc w:val="right"/>
              <w:rPr>
                <w:rFonts w:ascii="FrankRuehl" w:hAnsi="FrankRuehl" w:cs="FrankRuehl"/>
                <w:b/>
                <w:bCs/>
                <w:sz w:val="28"/>
                <w:szCs w:val="28"/>
              </w:rPr>
            </w:pPr>
            <w:r w:rsidRPr="001A0B3D">
              <w:rPr>
                <w:rFonts w:ascii="FrankRuehl" w:hAnsi="FrankRuehl" w:cs="FrankRuehl"/>
                <w:b/>
                <w:bCs/>
                <w:sz w:val="28"/>
                <w:szCs w:val="28"/>
                <w:rtl/>
              </w:rPr>
              <w:t>הנאשם</w:t>
            </w:r>
          </w:p>
        </w:tc>
      </w:tr>
    </w:tbl>
    <w:p w14:paraId="063DF670" w14:textId="77777777" w:rsidR="001A06BE" w:rsidRDefault="001A06BE" w:rsidP="001A0B3D">
      <w:pPr>
        <w:rPr>
          <w:rtl/>
        </w:rPr>
      </w:pPr>
    </w:p>
    <w:p w14:paraId="1223D00D" w14:textId="77777777" w:rsidR="001A06BE" w:rsidRPr="001A06BE" w:rsidRDefault="001A06BE" w:rsidP="001A06BE">
      <w:pPr>
        <w:spacing w:after="120" w:line="240" w:lineRule="exact"/>
        <w:ind w:left="283" w:hanging="283"/>
        <w:jc w:val="both"/>
        <w:rPr>
          <w:rFonts w:ascii="FrankRuehl" w:hAnsi="FrankRuehl" w:cs="FrankRuehl"/>
          <w:rtl/>
        </w:rPr>
      </w:pPr>
    </w:p>
    <w:p w14:paraId="02F14065" w14:textId="77777777" w:rsidR="000C234F" w:rsidRPr="000C234F" w:rsidRDefault="000C234F" w:rsidP="000C234F">
      <w:pPr>
        <w:spacing w:before="120" w:after="120" w:line="240" w:lineRule="exact"/>
        <w:ind w:left="283" w:hanging="283"/>
        <w:jc w:val="both"/>
        <w:rPr>
          <w:rFonts w:ascii="FrankRuehl" w:hAnsi="FrankRuehl" w:cs="FrankRuehl"/>
          <w:rtl/>
        </w:rPr>
      </w:pPr>
    </w:p>
    <w:p w14:paraId="7C40029C" w14:textId="77777777" w:rsidR="003D6B3D" w:rsidRDefault="003D6B3D" w:rsidP="003D6B3D">
      <w:pPr>
        <w:rPr>
          <w:rtl/>
        </w:rPr>
      </w:pPr>
      <w:bookmarkStart w:id="3" w:name="LawTable"/>
      <w:bookmarkEnd w:id="3"/>
    </w:p>
    <w:p w14:paraId="3EB1030D" w14:textId="77777777" w:rsidR="003D6B3D" w:rsidRPr="003D6B3D" w:rsidRDefault="003D6B3D" w:rsidP="003D6B3D">
      <w:pPr>
        <w:spacing w:before="120" w:after="120" w:line="240" w:lineRule="exact"/>
        <w:ind w:left="283" w:hanging="283"/>
        <w:jc w:val="both"/>
        <w:rPr>
          <w:rFonts w:ascii="FrankRuehl" w:hAnsi="FrankRuehl" w:cs="FrankRuehl"/>
          <w:rtl/>
        </w:rPr>
      </w:pPr>
    </w:p>
    <w:p w14:paraId="27CED52D" w14:textId="77777777" w:rsidR="003D6B3D" w:rsidRPr="003D6B3D" w:rsidRDefault="003D6B3D" w:rsidP="003D6B3D">
      <w:pPr>
        <w:spacing w:before="120" w:after="120" w:line="240" w:lineRule="exact"/>
        <w:ind w:left="283" w:hanging="283"/>
        <w:jc w:val="both"/>
        <w:rPr>
          <w:rFonts w:ascii="FrankRuehl" w:hAnsi="FrankRuehl" w:cs="FrankRuehl"/>
          <w:rtl/>
        </w:rPr>
      </w:pPr>
    </w:p>
    <w:p w14:paraId="44D4F5D1" w14:textId="77777777" w:rsidR="003D6B3D" w:rsidRPr="003D6B3D" w:rsidRDefault="003D6B3D" w:rsidP="003D6B3D">
      <w:pPr>
        <w:spacing w:before="120" w:after="120" w:line="240" w:lineRule="exact"/>
        <w:ind w:left="283" w:hanging="283"/>
        <w:jc w:val="both"/>
        <w:rPr>
          <w:rFonts w:ascii="FrankRuehl" w:hAnsi="FrankRuehl" w:cs="FrankRuehl"/>
          <w:rtl/>
        </w:rPr>
      </w:pPr>
      <w:r w:rsidRPr="003D6B3D">
        <w:rPr>
          <w:rFonts w:ascii="FrankRuehl" w:hAnsi="FrankRuehl" w:cs="FrankRuehl"/>
          <w:rtl/>
        </w:rPr>
        <w:t xml:space="preserve">חקיקה שאוזכרה: </w:t>
      </w:r>
    </w:p>
    <w:p w14:paraId="38E71DEE" w14:textId="77777777" w:rsidR="003D6B3D" w:rsidRPr="003D6B3D" w:rsidRDefault="003D6B3D" w:rsidP="003D6B3D">
      <w:pPr>
        <w:spacing w:before="120" w:after="120" w:line="240" w:lineRule="exact"/>
        <w:ind w:left="283" w:hanging="283"/>
        <w:jc w:val="both"/>
        <w:rPr>
          <w:rFonts w:ascii="FrankRuehl" w:hAnsi="FrankRuehl" w:cs="FrankRuehl"/>
          <w:rtl/>
        </w:rPr>
      </w:pPr>
      <w:hyperlink r:id="rId8" w:history="1">
        <w:r w:rsidRPr="003D6B3D">
          <w:rPr>
            <w:rFonts w:ascii="FrankRuehl" w:hAnsi="FrankRuehl" w:cs="FrankRuehl"/>
            <w:color w:val="0000FF"/>
            <w:rtl/>
          </w:rPr>
          <w:t>פקודת הסמים המסוכנים [נוסח חדש], תשל"ג-1973</w:t>
        </w:r>
      </w:hyperlink>
      <w:r w:rsidRPr="003D6B3D">
        <w:rPr>
          <w:rFonts w:ascii="FrankRuehl" w:hAnsi="FrankRuehl" w:cs="FrankRuehl"/>
          <w:rtl/>
        </w:rPr>
        <w:t xml:space="preserve">: סע'  </w:t>
      </w:r>
      <w:hyperlink r:id="rId9" w:history="1">
        <w:r w:rsidRPr="003D6B3D">
          <w:rPr>
            <w:rFonts w:ascii="FrankRuehl" w:hAnsi="FrankRuehl" w:cs="FrankRuehl"/>
            <w:color w:val="0000FF"/>
            <w:rtl/>
          </w:rPr>
          <w:t>7.א.</w:t>
        </w:r>
      </w:hyperlink>
      <w:r w:rsidRPr="003D6B3D">
        <w:rPr>
          <w:rFonts w:ascii="FrankRuehl" w:hAnsi="FrankRuehl" w:cs="FrankRuehl"/>
          <w:rtl/>
        </w:rPr>
        <w:t xml:space="preserve">, </w:t>
      </w:r>
      <w:hyperlink r:id="rId10" w:history="1">
        <w:r w:rsidRPr="003D6B3D">
          <w:rPr>
            <w:rFonts w:ascii="FrankRuehl" w:hAnsi="FrankRuehl" w:cs="FrankRuehl"/>
            <w:color w:val="0000FF"/>
            <w:rtl/>
          </w:rPr>
          <w:t>7.ג</w:t>
        </w:r>
      </w:hyperlink>
    </w:p>
    <w:p w14:paraId="1574067C" w14:textId="77777777" w:rsidR="003D6B3D" w:rsidRPr="003D6B3D" w:rsidRDefault="003D6B3D" w:rsidP="003D6B3D">
      <w:pPr>
        <w:spacing w:before="120" w:after="120" w:line="240" w:lineRule="exact"/>
        <w:ind w:left="283" w:hanging="283"/>
        <w:jc w:val="both"/>
        <w:rPr>
          <w:rFonts w:ascii="FrankRuehl" w:hAnsi="FrankRuehl" w:cs="FrankRuehl"/>
          <w:rtl/>
        </w:rPr>
      </w:pPr>
      <w:hyperlink r:id="rId11" w:history="1">
        <w:r w:rsidRPr="003D6B3D">
          <w:rPr>
            <w:rFonts w:ascii="FrankRuehl" w:hAnsi="FrankRuehl" w:cs="FrankRuehl"/>
            <w:color w:val="0000FF"/>
            <w:rtl/>
          </w:rPr>
          <w:t>חוק העונשין, תשל"ז-1977</w:t>
        </w:r>
      </w:hyperlink>
      <w:r w:rsidRPr="003D6B3D">
        <w:rPr>
          <w:rFonts w:ascii="FrankRuehl" w:hAnsi="FrankRuehl" w:cs="FrankRuehl"/>
          <w:rtl/>
        </w:rPr>
        <w:t xml:space="preserve">: סע'  </w:t>
      </w:r>
      <w:hyperlink r:id="rId12" w:history="1">
        <w:r w:rsidRPr="003D6B3D">
          <w:rPr>
            <w:rFonts w:ascii="FrankRuehl" w:hAnsi="FrankRuehl" w:cs="FrankRuehl"/>
            <w:color w:val="0000FF"/>
            <w:rtl/>
          </w:rPr>
          <w:t>40ט'</w:t>
        </w:r>
      </w:hyperlink>
      <w:r w:rsidRPr="003D6B3D">
        <w:rPr>
          <w:rFonts w:ascii="FrankRuehl" w:hAnsi="FrankRuehl" w:cs="FrankRuehl"/>
          <w:rtl/>
        </w:rPr>
        <w:t xml:space="preserve">, </w:t>
      </w:r>
      <w:hyperlink r:id="rId13" w:history="1">
        <w:r w:rsidRPr="003D6B3D">
          <w:rPr>
            <w:rFonts w:ascii="FrankRuehl" w:hAnsi="FrankRuehl" w:cs="FrankRuehl"/>
            <w:color w:val="0000FF"/>
            <w:rtl/>
          </w:rPr>
          <w:t>40יא</w:t>
        </w:r>
      </w:hyperlink>
    </w:p>
    <w:p w14:paraId="1F29806A" w14:textId="77777777" w:rsidR="003D6B3D" w:rsidRPr="003D6B3D" w:rsidRDefault="003D6B3D" w:rsidP="003D6B3D">
      <w:pPr>
        <w:rPr>
          <w:rtl/>
        </w:rPr>
      </w:pPr>
      <w:bookmarkStart w:id="4" w:name="LawTable_End"/>
      <w:bookmarkEnd w:id="4"/>
    </w:p>
    <w:p w14:paraId="16303349" w14:textId="77777777" w:rsidR="002B0A98" w:rsidRPr="000C234F" w:rsidRDefault="002B0A98" w:rsidP="000C234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0A98" w14:paraId="4E8D08CE" w14:textId="77777777" w:rsidTr="002B0A98">
        <w:trPr>
          <w:trHeight w:val="355"/>
          <w:jc w:val="center"/>
        </w:trPr>
        <w:tc>
          <w:tcPr>
            <w:tcW w:w="8820" w:type="dxa"/>
            <w:tcBorders>
              <w:top w:val="nil"/>
              <w:left w:val="nil"/>
              <w:bottom w:val="nil"/>
              <w:right w:val="nil"/>
            </w:tcBorders>
            <w:shd w:val="clear" w:color="auto" w:fill="auto"/>
          </w:tcPr>
          <w:p w14:paraId="522C23A7" w14:textId="77777777" w:rsidR="001A0B3D" w:rsidRPr="001A0B3D" w:rsidRDefault="001A0B3D" w:rsidP="001A0B3D">
            <w:pPr>
              <w:jc w:val="center"/>
              <w:rPr>
                <w:rFonts w:ascii="Arial" w:hAnsi="Arial" w:cs="FrankRuehl"/>
                <w:b/>
                <w:bCs/>
                <w:sz w:val="32"/>
                <w:szCs w:val="32"/>
                <w:u w:val="single"/>
                <w:rtl/>
              </w:rPr>
            </w:pPr>
            <w:bookmarkStart w:id="5" w:name="PsakDin" w:colFirst="0" w:colLast="0"/>
            <w:bookmarkEnd w:id="0"/>
            <w:r w:rsidRPr="001A0B3D">
              <w:rPr>
                <w:rFonts w:ascii="Arial" w:hAnsi="Arial" w:cs="FrankRuehl"/>
                <w:b/>
                <w:bCs/>
                <w:sz w:val="32"/>
                <w:szCs w:val="32"/>
                <w:u w:val="single"/>
                <w:rtl/>
              </w:rPr>
              <w:t>גזר דין   תוך ביטול הרשעה</w:t>
            </w:r>
          </w:p>
          <w:p w14:paraId="026096FD" w14:textId="77777777" w:rsidR="002B0A98" w:rsidRPr="001A0B3D" w:rsidRDefault="002B0A98" w:rsidP="001A0B3D">
            <w:pPr>
              <w:jc w:val="center"/>
              <w:rPr>
                <w:rFonts w:ascii="Arial" w:hAnsi="Arial" w:cs="FrankRuehl"/>
                <w:bCs/>
                <w:sz w:val="32"/>
                <w:szCs w:val="32"/>
                <w:u w:val="single"/>
                <w:rtl/>
              </w:rPr>
            </w:pPr>
          </w:p>
        </w:tc>
      </w:tr>
      <w:bookmarkEnd w:id="5"/>
    </w:tbl>
    <w:p w14:paraId="139796B7" w14:textId="77777777" w:rsidR="002B0A98" w:rsidRPr="00B05847" w:rsidRDefault="002B0A98" w:rsidP="002B0A98">
      <w:pPr>
        <w:rPr>
          <w:rFonts w:ascii="Arial" w:hAnsi="Arial"/>
          <w:rtl/>
        </w:rPr>
      </w:pPr>
    </w:p>
    <w:p w14:paraId="397DA6B9" w14:textId="77777777" w:rsidR="002B0A98" w:rsidRPr="00B05847" w:rsidRDefault="002B0A98" w:rsidP="002B0A98">
      <w:pPr>
        <w:rPr>
          <w:rFonts w:ascii="Arial" w:hAnsi="Arial"/>
          <w:rtl/>
        </w:rPr>
      </w:pPr>
    </w:p>
    <w:p w14:paraId="2471E28C" w14:textId="77777777" w:rsidR="002B0A98" w:rsidRPr="00B05847" w:rsidRDefault="002B0A98" w:rsidP="002B0A98">
      <w:pPr>
        <w:rPr>
          <w:rtl/>
        </w:rPr>
      </w:pPr>
    </w:p>
    <w:p w14:paraId="400CD872" w14:textId="77777777" w:rsidR="002B0A98" w:rsidRDefault="002B0A98" w:rsidP="002B0A98">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w:t>
      </w:r>
    </w:p>
    <w:p w14:paraId="47D8611C" w14:textId="77777777" w:rsidR="002B0A98" w:rsidRDefault="002B0A98" w:rsidP="002B0A98">
      <w:pPr>
        <w:spacing w:line="360" w:lineRule="auto"/>
        <w:jc w:val="both"/>
        <w:rPr>
          <w:rFonts w:cs="FrankRuehl"/>
          <w:sz w:val="28"/>
          <w:szCs w:val="28"/>
        </w:rPr>
      </w:pPr>
      <w:bookmarkStart w:id="6" w:name="ABSTRACT_START"/>
      <w:bookmarkEnd w:id="6"/>
      <w:r>
        <w:rPr>
          <w:rFonts w:cs="FrankRuehl"/>
          <w:sz w:val="28"/>
          <w:szCs w:val="28"/>
          <w:rtl/>
        </w:rPr>
        <w:t>הנאשם הורשע על פי הודאתו בעבירות ובעובדות המנויות בכתב האישום</w:t>
      </w:r>
      <w:r>
        <w:rPr>
          <w:rFonts w:cs="FrankRuehl" w:hint="cs"/>
          <w:sz w:val="28"/>
          <w:szCs w:val="28"/>
          <w:rtl/>
        </w:rPr>
        <w:t xml:space="preserve"> המתוקן</w:t>
      </w:r>
      <w:r>
        <w:rPr>
          <w:rFonts w:cs="FrankRuehl"/>
          <w:sz w:val="28"/>
          <w:szCs w:val="28"/>
          <w:rtl/>
        </w:rPr>
        <w:t>, בכך ש</w:t>
      </w:r>
      <w:r>
        <w:rPr>
          <w:rFonts w:cs="FrankRuehl" w:hint="cs"/>
          <w:sz w:val="28"/>
          <w:szCs w:val="28"/>
          <w:rtl/>
        </w:rPr>
        <w:t xml:space="preserve">ביום 17.5.2018 החזיק ברכבו קנביס במשקל 180 גרם נטו מחולק לשתי שקיות, וכן החזיק ברכב שני משקלים שחורים ושקיות ניילון הניתנות לאיטום, וכסף מזומן בסכום כולל של 2,934 ₪. בגין כך הורשע הנאשם בביצוע עבירה של </w:t>
      </w:r>
      <w:r w:rsidRPr="00660D39">
        <w:rPr>
          <w:rFonts w:cs="FrankRuehl" w:hint="cs"/>
          <w:b/>
          <w:bCs/>
          <w:sz w:val="28"/>
          <w:szCs w:val="28"/>
          <w:rtl/>
        </w:rPr>
        <w:t>החזקת סם שלא לצריכה עצמית</w:t>
      </w:r>
      <w:r>
        <w:rPr>
          <w:rFonts w:cs="FrankRuehl" w:hint="cs"/>
          <w:sz w:val="28"/>
          <w:szCs w:val="28"/>
          <w:rtl/>
        </w:rPr>
        <w:t xml:space="preserve">, לפי סעיפים </w:t>
      </w:r>
      <w:hyperlink r:id="rId14" w:history="1">
        <w:r w:rsidR="001A06BE" w:rsidRPr="001A06BE">
          <w:rPr>
            <w:rStyle w:val="Hyperlink"/>
            <w:rFonts w:cs="FrankRuehl"/>
            <w:sz w:val="28"/>
            <w:szCs w:val="28"/>
            <w:rtl/>
          </w:rPr>
          <w:t>7(א) ו-(ג)</w:t>
        </w:r>
      </w:hyperlink>
      <w:r>
        <w:rPr>
          <w:rFonts w:cs="FrankRuehl" w:hint="cs"/>
          <w:sz w:val="28"/>
          <w:szCs w:val="28"/>
          <w:rtl/>
        </w:rPr>
        <w:t xml:space="preserve"> רישא ל</w:t>
      </w:r>
      <w:hyperlink r:id="rId15" w:history="1">
        <w:r w:rsidR="001A0B3D" w:rsidRPr="001A0B3D">
          <w:rPr>
            <w:rFonts w:cs="FrankRuehl"/>
            <w:color w:val="0000FF"/>
            <w:sz w:val="28"/>
            <w:szCs w:val="28"/>
            <w:u w:val="single"/>
            <w:rtl/>
          </w:rPr>
          <w:t>פקודת הסמים המסוכנים</w:t>
        </w:r>
      </w:hyperlink>
      <w:r>
        <w:rPr>
          <w:rFonts w:cs="FrankRuehl" w:hint="cs"/>
          <w:sz w:val="28"/>
          <w:szCs w:val="28"/>
          <w:rtl/>
        </w:rPr>
        <w:t>.</w:t>
      </w:r>
    </w:p>
    <w:p w14:paraId="531244E4" w14:textId="77777777" w:rsidR="002B0A98" w:rsidRPr="0060354F" w:rsidRDefault="002B0A98" w:rsidP="002B0A98">
      <w:pPr>
        <w:spacing w:line="360" w:lineRule="auto"/>
        <w:jc w:val="both"/>
        <w:rPr>
          <w:rFonts w:cs="FrankRuehl"/>
          <w:b/>
          <w:bCs/>
          <w:sz w:val="28"/>
          <w:szCs w:val="28"/>
          <w:u w:val="single"/>
        </w:rPr>
      </w:pPr>
      <w:bookmarkStart w:id="7" w:name="ABSTRACT_END"/>
      <w:bookmarkEnd w:id="7"/>
    </w:p>
    <w:p w14:paraId="7EE9B0DF" w14:textId="77777777" w:rsidR="002B0A98" w:rsidRDefault="002B0A98" w:rsidP="002B0A98">
      <w:pPr>
        <w:spacing w:line="360" w:lineRule="auto"/>
        <w:jc w:val="both"/>
        <w:rPr>
          <w:rFonts w:cs="FrankRuehl"/>
          <w:b/>
          <w:bCs/>
          <w:sz w:val="28"/>
          <w:szCs w:val="28"/>
          <w:u w:val="single"/>
        </w:rPr>
      </w:pPr>
      <w:r>
        <w:rPr>
          <w:rFonts w:cs="FrankRuehl"/>
          <w:b/>
          <w:bCs/>
          <w:sz w:val="28"/>
          <w:szCs w:val="28"/>
          <w:u w:val="single"/>
          <w:rtl/>
        </w:rPr>
        <w:t>מהלך הדיון</w:t>
      </w:r>
    </w:p>
    <w:p w14:paraId="6633573E" w14:textId="77777777" w:rsidR="002B0A98" w:rsidRDefault="002B0A98" w:rsidP="002B0A98">
      <w:pPr>
        <w:spacing w:line="360" w:lineRule="auto"/>
        <w:jc w:val="both"/>
        <w:rPr>
          <w:rFonts w:cs="FrankRuehl"/>
          <w:sz w:val="28"/>
          <w:szCs w:val="28"/>
        </w:rPr>
      </w:pPr>
      <w:r>
        <w:rPr>
          <w:rFonts w:cs="FrankRuehl" w:hint="cs"/>
          <w:sz w:val="28"/>
          <w:szCs w:val="28"/>
          <w:rtl/>
        </w:rPr>
        <w:t>הצדדים הגיעו להסדר דיוני ללא הסכמה עונשית, תוך שהוסכם על שליחת הנאשם לשירות המבחן לצורך עריכת תסקיר בעניינו. הנאשם עתר לבחון גם את שאלת ביטול הרשעתו כשעמדת המאשימה היא להרשעתו בכל מקרה ואף להטלת מאסר בפועל.</w:t>
      </w:r>
    </w:p>
    <w:p w14:paraId="5AA6C5A8" w14:textId="77777777" w:rsidR="002B0A98" w:rsidRPr="00660D39" w:rsidRDefault="002B0A98" w:rsidP="002B0A98">
      <w:pPr>
        <w:spacing w:line="360" w:lineRule="auto"/>
        <w:jc w:val="both"/>
        <w:rPr>
          <w:rFonts w:cs="FrankRuehl"/>
          <w:b/>
          <w:bCs/>
          <w:sz w:val="28"/>
          <w:szCs w:val="28"/>
          <w:u w:val="single"/>
        </w:rPr>
      </w:pPr>
    </w:p>
    <w:p w14:paraId="4AF99998" w14:textId="77777777" w:rsidR="002B0A98" w:rsidRDefault="002B0A98" w:rsidP="002B0A98">
      <w:pPr>
        <w:spacing w:line="360" w:lineRule="auto"/>
        <w:jc w:val="both"/>
        <w:rPr>
          <w:rFonts w:cs="FrankRuehl"/>
          <w:b/>
          <w:bCs/>
          <w:sz w:val="28"/>
          <w:szCs w:val="28"/>
          <w:u w:val="single"/>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648634B5" w14:textId="77777777" w:rsidR="002B0A98" w:rsidRDefault="002B0A98" w:rsidP="002B0A98">
      <w:pPr>
        <w:spacing w:line="360" w:lineRule="auto"/>
        <w:jc w:val="both"/>
        <w:rPr>
          <w:rFonts w:cs="FrankRuehl"/>
          <w:sz w:val="28"/>
          <w:szCs w:val="28"/>
          <w:rtl/>
        </w:rPr>
      </w:pPr>
      <w:r>
        <w:rPr>
          <w:rFonts w:cs="FrankRuehl" w:hint="cs"/>
          <w:sz w:val="28"/>
          <w:szCs w:val="28"/>
          <w:rtl/>
        </w:rPr>
        <w:t>בעניינו של הנאשם הוגשו חמישה תסקירים בין חודש מרץ 2020 לחודש מאי 2021.</w:t>
      </w:r>
    </w:p>
    <w:p w14:paraId="0BA0F174" w14:textId="77777777" w:rsidR="002B0A98" w:rsidRDefault="002B0A98" w:rsidP="002B0A98">
      <w:pPr>
        <w:spacing w:line="360" w:lineRule="auto"/>
        <w:jc w:val="both"/>
        <w:rPr>
          <w:rFonts w:cs="FrankRuehl"/>
          <w:sz w:val="28"/>
          <w:szCs w:val="28"/>
          <w:rtl/>
        </w:rPr>
      </w:pPr>
      <w:r>
        <w:rPr>
          <w:rFonts w:cs="FrankRuehl" w:hint="cs"/>
          <w:sz w:val="28"/>
          <w:szCs w:val="28"/>
          <w:rtl/>
        </w:rPr>
        <w:t xml:space="preserve">יצוין, כי הדיון נדחה מעת לעת בשל המלצת שירות המבחן ולבקשת הסניגור, על-מנת שהנאשם יוכל להשתלב במהלך טיפולי. מדובר בצעיר בסוף שנות השלושים לחייו, המגיע מרקע נורמטיבי, סיים השכלה תיכונית, שירת בצבא ואף בצבא קבע כקצין וכסמ"פ והמשיך בשירות מילואים עד מעורבותו בתיק זה. הוא שמר על יציבות תעסוקתית  ועובד בתחום ייעוץ משכנתאות. בשל תיק זה הושעה מתפקידו במילואים עד לסיום ההליכים. כמו כן נמסר ממעסיקיו כי הרשעתו תפגע בעבודתו (הוגש בהקשר זה גם מכתב וכן מכתבי המלצה), המצריכה התקשרות עם גורמים ממסדיים של המדינה. אם בתחילת ההליכים הנאשם התקשה לשתף פעלה, הרי שבתסקיר האחרון שירות המבחן עמד על כך שהנאשם מסר בדיקות שתן נקיות, הגיע לפגישות פרטניות וקיבל אחריות מלאה למעשים. שירות המבחן סבר, כי לנוכח חלוף הזמן, קבלת האחריות, היעדר פתיחת תיקים חדשים, ותפקודו החיובי של הנאשם ביתר תחומי חייו, לרבות זה האישי/משפחתי, פחת הסיכון כי יתפתה לשוב ולבצע עבירות. נוכח הנסיבות שתוארו לעיל, סבר שירות המבחן כי יש מקום לבטל את ההרשעה ולהטיל על הנאשם של"ץ בהיקף 200 שעות. </w:t>
      </w:r>
    </w:p>
    <w:p w14:paraId="385B9F9F" w14:textId="77777777" w:rsidR="002B0A98" w:rsidRDefault="002B0A98" w:rsidP="002B0A98">
      <w:pPr>
        <w:spacing w:line="360" w:lineRule="auto"/>
        <w:jc w:val="both"/>
        <w:rPr>
          <w:rFonts w:cs="FrankRuehl"/>
          <w:b/>
          <w:bCs/>
          <w:sz w:val="28"/>
          <w:szCs w:val="28"/>
          <w:u w:val="single"/>
          <w:rtl/>
        </w:rPr>
      </w:pPr>
    </w:p>
    <w:p w14:paraId="2E075E3F" w14:textId="77777777" w:rsidR="002B0A98" w:rsidRDefault="002B0A98" w:rsidP="002B0A98">
      <w:pPr>
        <w:spacing w:line="360" w:lineRule="auto"/>
        <w:jc w:val="both"/>
        <w:rPr>
          <w:rFonts w:cs="FrankRuehl"/>
          <w:b/>
          <w:bCs/>
          <w:sz w:val="28"/>
          <w:szCs w:val="28"/>
          <w:u w:val="single"/>
          <w:rtl/>
        </w:rPr>
      </w:pPr>
      <w:r>
        <w:rPr>
          <w:rFonts w:cs="FrankRuehl"/>
          <w:b/>
          <w:bCs/>
          <w:sz w:val="28"/>
          <w:szCs w:val="28"/>
          <w:u w:val="single"/>
          <w:rtl/>
        </w:rPr>
        <w:t>טיעונים לעונש</w:t>
      </w:r>
    </w:p>
    <w:p w14:paraId="6BB7554D" w14:textId="77777777" w:rsidR="002B0A98" w:rsidRDefault="002B0A98" w:rsidP="002B0A98">
      <w:pPr>
        <w:spacing w:line="360" w:lineRule="auto"/>
        <w:jc w:val="both"/>
        <w:rPr>
          <w:rFonts w:cs="FrankRuehl"/>
          <w:sz w:val="28"/>
          <w:szCs w:val="28"/>
          <w:rtl/>
        </w:rPr>
      </w:pPr>
      <w:r>
        <w:rPr>
          <w:rFonts w:cs="FrankRuehl"/>
          <w:sz w:val="28"/>
          <w:szCs w:val="28"/>
          <w:rtl/>
        </w:rPr>
        <w:t xml:space="preserve">הצדדים לא הגיעו להסכמה עונשית. מחד, </w:t>
      </w:r>
      <w:r>
        <w:rPr>
          <w:rFonts w:cs="FrankRuehl" w:hint="cs"/>
          <w:sz w:val="28"/>
          <w:szCs w:val="28"/>
          <w:rtl/>
        </w:rPr>
        <w:t xml:space="preserve">ב"כ </w:t>
      </w:r>
      <w:r>
        <w:rPr>
          <w:rFonts w:cs="FrankRuehl"/>
          <w:sz w:val="28"/>
          <w:szCs w:val="28"/>
          <w:rtl/>
        </w:rPr>
        <w:t xml:space="preserve">המאשימה </w:t>
      </w:r>
      <w:r>
        <w:rPr>
          <w:rFonts w:cs="FrankRuehl" w:hint="cs"/>
          <w:sz w:val="28"/>
          <w:szCs w:val="28"/>
          <w:rtl/>
        </w:rPr>
        <w:t xml:space="preserve">טענה </w:t>
      </w:r>
      <w:r>
        <w:rPr>
          <w:rFonts w:cs="FrankRuehl"/>
          <w:sz w:val="28"/>
          <w:szCs w:val="28"/>
          <w:rtl/>
        </w:rPr>
        <w:t xml:space="preserve">כי יש להטיל על הנאשם </w:t>
      </w:r>
      <w:r>
        <w:rPr>
          <w:rFonts w:cs="FrankRuehl" w:hint="cs"/>
          <w:sz w:val="28"/>
          <w:szCs w:val="28"/>
          <w:rtl/>
        </w:rPr>
        <w:t xml:space="preserve">מאסר על בסיס מתחם שבין 10 ל-24 חודשי מאסר. </w:t>
      </w:r>
      <w:r>
        <w:rPr>
          <w:rFonts w:cs="FrankRuehl"/>
          <w:sz w:val="28"/>
          <w:szCs w:val="28"/>
          <w:rtl/>
        </w:rPr>
        <w:t xml:space="preserve">מאידך, הסניגור </w:t>
      </w:r>
      <w:r>
        <w:rPr>
          <w:rFonts w:cs="FrankRuehl" w:hint="cs"/>
          <w:sz w:val="28"/>
          <w:szCs w:val="28"/>
          <w:rtl/>
        </w:rPr>
        <w:t xml:space="preserve">טען לביטול ההרשעה ואימוץ המלצת שירות המבחן תוך הפניה לנזק שייגרם מהותרת ההרשעה על כנה והפניה לפסיקה. </w:t>
      </w:r>
    </w:p>
    <w:p w14:paraId="73505093" w14:textId="77777777" w:rsidR="002B0A98" w:rsidRDefault="002B0A98" w:rsidP="002B0A98">
      <w:pPr>
        <w:spacing w:line="360" w:lineRule="auto"/>
        <w:jc w:val="both"/>
        <w:rPr>
          <w:rFonts w:cs="FrankRuehl"/>
          <w:b/>
          <w:bCs/>
          <w:sz w:val="28"/>
          <w:szCs w:val="28"/>
          <w:u w:val="single"/>
          <w:rtl/>
        </w:rPr>
      </w:pPr>
    </w:p>
    <w:p w14:paraId="6B2FFCEE" w14:textId="77777777" w:rsidR="002B0A98" w:rsidRDefault="002B0A98" w:rsidP="002B0A98">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B071519" w14:textId="77777777" w:rsidR="002B0A98" w:rsidRDefault="002B0A98" w:rsidP="002B0A98">
      <w:pPr>
        <w:spacing w:line="360" w:lineRule="auto"/>
        <w:jc w:val="both"/>
        <w:rPr>
          <w:rFonts w:cs="FrankRuehl"/>
          <w:b/>
          <w:bCs/>
          <w:sz w:val="28"/>
          <w:szCs w:val="28"/>
          <w:u w:val="single"/>
          <w:rtl/>
        </w:rPr>
      </w:pPr>
    </w:p>
    <w:p w14:paraId="49C12371" w14:textId="77777777" w:rsidR="002B0A98" w:rsidRDefault="002B0A98" w:rsidP="002B0A98">
      <w:pPr>
        <w:spacing w:line="360" w:lineRule="auto"/>
        <w:jc w:val="both"/>
        <w:rPr>
          <w:rFonts w:cs="FrankRuehl"/>
          <w:sz w:val="28"/>
          <w:szCs w:val="28"/>
          <w:rtl/>
        </w:rPr>
      </w:pPr>
      <w:r>
        <w:rPr>
          <w:rFonts w:cs="FrankRuehl"/>
          <w:b/>
          <w:bCs/>
          <w:sz w:val="28"/>
          <w:szCs w:val="28"/>
          <w:u w:val="single"/>
          <w:rtl/>
        </w:rPr>
        <w:lastRenderedPageBreak/>
        <w:t xml:space="preserve">אשר לערך המוגן </w:t>
      </w:r>
      <w:r>
        <w:rPr>
          <w:rFonts w:cs="FrankRuehl"/>
          <w:sz w:val="28"/>
          <w:szCs w:val="28"/>
          <w:rtl/>
        </w:rPr>
        <w:t xml:space="preserve">– העבירות אותן עבר הנאשם פוגעות בערך המוגן של </w:t>
      </w:r>
      <w:r>
        <w:rPr>
          <w:rFonts w:cs="FrankRuehl" w:hint="cs"/>
          <w:sz w:val="28"/>
          <w:szCs w:val="28"/>
          <w:rtl/>
        </w:rPr>
        <w:t>שלום הציבור ובבריאותו. נגע הסמים הוא נרחב, ופושה בחברה על כל רבדיה. בענייננו מדובר בכמות לא קטנה של קנביס, המוגדר "סם קל", כשהנאשם טוען שמדובר בסם לצריכתו העצמית למרות אינדיקציות שונות (מציאת מאזניים, הכסף שנמצא). לכן מידת הפגיעה בערך המוגן בינונית נמוכה.</w:t>
      </w:r>
    </w:p>
    <w:p w14:paraId="11798B35" w14:textId="77777777" w:rsidR="002B0A98" w:rsidRDefault="002B0A98" w:rsidP="002B0A98">
      <w:pPr>
        <w:spacing w:line="360" w:lineRule="auto"/>
        <w:jc w:val="both"/>
        <w:rPr>
          <w:rFonts w:cs="FrankRuehl"/>
          <w:b/>
          <w:bCs/>
          <w:sz w:val="28"/>
          <w:szCs w:val="28"/>
          <w:rtl/>
        </w:rPr>
      </w:pPr>
    </w:p>
    <w:p w14:paraId="7EDE2BF8" w14:textId="77777777" w:rsidR="002B0A98" w:rsidRDefault="002B0A98" w:rsidP="002B0A98">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16" w:history="1">
        <w:r w:rsidR="001A06BE" w:rsidRPr="001A06BE">
          <w:rPr>
            <w:rStyle w:val="Hyperlink"/>
            <w:rFonts w:cs="FrankRuehl"/>
            <w:b/>
            <w:bCs/>
            <w:sz w:val="28"/>
            <w:szCs w:val="28"/>
            <w:rtl/>
          </w:rPr>
          <w:t>סעיף 40ט'</w:t>
        </w:r>
      </w:hyperlink>
      <w:r>
        <w:rPr>
          <w:rFonts w:cs="FrankRuehl"/>
          <w:b/>
          <w:bCs/>
          <w:sz w:val="28"/>
          <w:szCs w:val="28"/>
          <w:u w:val="single"/>
          <w:rtl/>
        </w:rPr>
        <w:t xml:space="preserve"> ל</w:t>
      </w:r>
      <w:hyperlink r:id="rId17" w:history="1">
        <w:r w:rsidR="001A0B3D" w:rsidRPr="001A0B3D">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כאמור, מדובר בעבירה מתוכננת, כשהנסיבות מלמדות, כי אכן אין מדובר בצריכה עצמית בניגוד לדברי הנאשם לשירות המבחן. עוד לחומרא, תפיסת הסמים ברכב. עם זאת מדובר ב'סמים קלים' ויש לתת לכך משקל; מדובר באדם בגיר ללא עבר פלילי שהחזיק בתפקידים אחראיים בחייו, וצריך היה לנהוג  טוב יותר, ולהימנע מן העבירה לה הוא האחראי באופן בלעדי; הנזק הוא בעיקר לנאשם.</w:t>
      </w:r>
    </w:p>
    <w:p w14:paraId="2C49C062" w14:textId="77777777" w:rsidR="002B0A98" w:rsidRDefault="002B0A98" w:rsidP="002B0A98">
      <w:pPr>
        <w:spacing w:line="360" w:lineRule="auto"/>
        <w:jc w:val="both"/>
        <w:rPr>
          <w:rFonts w:cs="FrankRuehl"/>
          <w:b/>
          <w:bCs/>
          <w:sz w:val="28"/>
          <w:szCs w:val="28"/>
          <w:u w:val="single"/>
          <w:rtl/>
        </w:rPr>
      </w:pPr>
    </w:p>
    <w:p w14:paraId="246629AC" w14:textId="77777777" w:rsidR="002B0A98" w:rsidRDefault="002B0A98" w:rsidP="002B0A98">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cs="FrankRuehl"/>
          <w:sz w:val="28"/>
          <w:szCs w:val="28"/>
          <w:rtl/>
        </w:rPr>
        <w:t xml:space="preserve">סקירת הפסיקה בנסיבות דומות מלמדת על טווח עונשי רחב המוטל על נאשמים. </w:t>
      </w:r>
      <w:r>
        <w:rPr>
          <w:rFonts w:cs="FrankRuehl" w:hint="cs"/>
          <w:sz w:val="28"/>
          <w:szCs w:val="28"/>
          <w:rtl/>
        </w:rPr>
        <w:t xml:space="preserve">עם זאת ניתן ללמוד כי עונשי מאסר נשמרים לנסיבות בהן מדובר בכמויות גדולות של סם </w:t>
      </w:r>
      <w:r>
        <w:rPr>
          <w:rFonts w:cs="FrankRuehl"/>
          <w:sz w:val="28"/>
          <w:szCs w:val="28"/>
          <w:rtl/>
        </w:rPr>
        <w:t>–</w:t>
      </w:r>
      <w:r>
        <w:rPr>
          <w:rFonts w:cs="FrankRuehl" w:hint="cs"/>
          <w:sz w:val="28"/>
          <w:szCs w:val="28"/>
          <w:rtl/>
        </w:rPr>
        <w:t xml:space="preserve"> ר' לדוגמה </w:t>
      </w:r>
      <w:hyperlink r:id="rId18" w:history="1">
        <w:r w:rsidR="001A0B3D" w:rsidRPr="001A0B3D">
          <w:rPr>
            <w:rFonts w:cs="FrankRuehl"/>
            <w:color w:val="0000FF"/>
            <w:sz w:val="28"/>
            <w:szCs w:val="28"/>
            <w:u w:val="single"/>
            <w:rtl/>
          </w:rPr>
          <w:t>רע"פ 8237/15</w:t>
        </w:r>
      </w:hyperlink>
      <w:r>
        <w:rPr>
          <w:rFonts w:cs="FrankRuehl" w:hint="cs"/>
          <w:sz w:val="28"/>
          <w:szCs w:val="28"/>
          <w:rtl/>
        </w:rPr>
        <w:t xml:space="preserve"> </w:t>
      </w:r>
      <w:r w:rsidRPr="005A3971">
        <w:rPr>
          <w:rFonts w:cs="FrankRuehl" w:hint="cs"/>
          <w:b/>
          <w:bCs/>
          <w:sz w:val="28"/>
          <w:szCs w:val="28"/>
          <w:u w:val="single"/>
          <w:rtl/>
        </w:rPr>
        <w:t>בן זקן</w:t>
      </w:r>
      <w:r>
        <w:rPr>
          <w:rFonts w:cs="FrankRuehl" w:hint="cs"/>
          <w:sz w:val="28"/>
          <w:szCs w:val="28"/>
          <w:rtl/>
        </w:rPr>
        <w:t xml:space="preserve"> נ' </w:t>
      </w:r>
      <w:r w:rsidRPr="005A3971">
        <w:rPr>
          <w:rFonts w:cs="FrankRuehl" w:hint="cs"/>
          <w:b/>
          <w:bCs/>
          <w:sz w:val="28"/>
          <w:szCs w:val="28"/>
          <w:u w:val="single"/>
          <w:rtl/>
        </w:rPr>
        <w:t>מ"י</w:t>
      </w:r>
      <w:r>
        <w:rPr>
          <w:rFonts w:cs="FrankRuehl" w:hint="cs"/>
          <w:sz w:val="28"/>
          <w:szCs w:val="28"/>
          <w:rtl/>
        </w:rPr>
        <w:t xml:space="preserve"> (מיום 2.12.2015) שם אושר עונש מאסר של 7 חודשים, על בסיס מתחם שבין של"ץ ומאסר על-תנאי ועד 24 חודשים בנסיבות של גידול 8.4 קנביס, לאדם עם עבר. ממקרה זה ניתן לגזור לקולא. לצד זאת ניתן למצוא מקרים המסתיימים בשל"ץ או בעבודות שירות </w:t>
      </w:r>
      <w:r>
        <w:rPr>
          <w:rFonts w:cs="FrankRuehl"/>
          <w:sz w:val="28"/>
          <w:szCs w:val="28"/>
          <w:rtl/>
        </w:rPr>
        <w:t>–</w:t>
      </w:r>
      <w:r>
        <w:rPr>
          <w:rFonts w:cs="FrankRuehl" w:hint="cs"/>
          <w:sz w:val="28"/>
          <w:szCs w:val="28"/>
          <w:rtl/>
        </w:rPr>
        <w:t xml:space="preserve"> ר' לדוגמה: </w:t>
      </w:r>
      <w:hyperlink r:id="rId19" w:history="1">
        <w:r w:rsidR="001A0B3D" w:rsidRPr="001A0B3D">
          <w:rPr>
            <w:rFonts w:cs="FrankRuehl"/>
            <w:color w:val="0000FF"/>
            <w:sz w:val="28"/>
            <w:szCs w:val="28"/>
            <w:u w:val="single"/>
            <w:rtl/>
          </w:rPr>
          <w:t>עפ"ג (ב"ש) 47987-06-13</w:t>
        </w:r>
      </w:hyperlink>
      <w:r>
        <w:rPr>
          <w:rFonts w:cs="FrankRuehl" w:hint="cs"/>
          <w:sz w:val="28"/>
          <w:szCs w:val="28"/>
          <w:rtl/>
        </w:rPr>
        <w:t xml:space="preserve"> </w:t>
      </w:r>
      <w:r w:rsidRPr="005A3971">
        <w:rPr>
          <w:rFonts w:cs="FrankRuehl" w:hint="cs"/>
          <w:b/>
          <w:bCs/>
          <w:sz w:val="28"/>
          <w:szCs w:val="28"/>
          <w:u w:val="single"/>
          <w:rtl/>
        </w:rPr>
        <w:t>מולטיסנטי</w:t>
      </w:r>
      <w:r>
        <w:rPr>
          <w:rFonts w:cs="FrankRuehl" w:hint="cs"/>
          <w:sz w:val="28"/>
          <w:szCs w:val="28"/>
          <w:rtl/>
        </w:rPr>
        <w:t xml:space="preserve"> נ' </w:t>
      </w:r>
      <w:r w:rsidRPr="005A3971">
        <w:rPr>
          <w:rFonts w:cs="FrankRuehl" w:hint="cs"/>
          <w:b/>
          <w:bCs/>
          <w:sz w:val="28"/>
          <w:szCs w:val="28"/>
          <w:u w:val="single"/>
          <w:rtl/>
        </w:rPr>
        <w:t>מ"י</w:t>
      </w:r>
      <w:r>
        <w:rPr>
          <w:rFonts w:cs="FrankRuehl" w:hint="cs"/>
          <w:sz w:val="28"/>
          <w:szCs w:val="28"/>
          <w:rtl/>
        </w:rPr>
        <w:t xml:space="preserve"> (מיום 16.10.2013) שם הסתיים תיק ב-250 שעות של"ץ וענישה נלווית בנסיבות של גידול והחזקה  20 גרם קנביס; </w:t>
      </w:r>
      <w:hyperlink r:id="rId20" w:history="1">
        <w:r w:rsidR="001A0B3D" w:rsidRPr="001A0B3D">
          <w:rPr>
            <w:rFonts w:cs="FrankRuehl"/>
            <w:color w:val="0000FF"/>
            <w:sz w:val="28"/>
            <w:szCs w:val="28"/>
            <w:u w:val="single"/>
            <w:rtl/>
          </w:rPr>
          <w:t>רע"פ 8146/17</w:t>
        </w:r>
      </w:hyperlink>
      <w:r>
        <w:rPr>
          <w:rFonts w:cs="FrankRuehl" w:hint="cs"/>
          <w:sz w:val="28"/>
          <w:szCs w:val="28"/>
          <w:rtl/>
        </w:rPr>
        <w:t xml:space="preserve"> </w:t>
      </w:r>
      <w:r w:rsidRPr="005A3971">
        <w:rPr>
          <w:rFonts w:cs="FrankRuehl" w:hint="cs"/>
          <w:b/>
          <w:bCs/>
          <w:sz w:val="28"/>
          <w:szCs w:val="28"/>
          <w:u w:val="single"/>
          <w:rtl/>
        </w:rPr>
        <w:t>אבישלום</w:t>
      </w:r>
      <w:r>
        <w:rPr>
          <w:rFonts w:cs="FrankRuehl" w:hint="cs"/>
          <w:sz w:val="28"/>
          <w:szCs w:val="28"/>
          <w:rtl/>
        </w:rPr>
        <w:t xml:space="preserve"> נ' </w:t>
      </w:r>
      <w:r w:rsidRPr="005A3971">
        <w:rPr>
          <w:rFonts w:cs="FrankRuehl" w:hint="cs"/>
          <w:b/>
          <w:bCs/>
          <w:sz w:val="28"/>
          <w:szCs w:val="28"/>
          <w:u w:val="single"/>
          <w:rtl/>
        </w:rPr>
        <w:t>מ"י</w:t>
      </w:r>
      <w:r>
        <w:rPr>
          <w:rFonts w:cs="FrankRuehl" w:hint="cs"/>
          <w:sz w:val="28"/>
          <w:szCs w:val="28"/>
          <w:rtl/>
        </w:rPr>
        <w:t xml:space="preserve"> (מיום 14.11.2017) שם אושר מאסר בן 50 בעבודות שירות רק משום שעונש עבודות השירות שנשקל לא היה ישים, בנסיבות של החזקת 300 גרם קנביס. ב</w:t>
      </w:r>
      <w:hyperlink r:id="rId21" w:history="1">
        <w:r w:rsidR="001A0B3D" w:rsidRPr="001A0B3D">
          <w:rPr>
            <w:rFonts w:cs="FrankRuehl"/>
            <w:color w:val="0000FF"/>
            <w:sz w:val="28"/>
            <w:szCs w:val="28"/>
            <w:u w:val="single"/>
            <w:rtl/>
          </w:rPr>
          <w:t>ת"פ 15676-07-16</w:t>
        </w:r>
      </w:hyperlink>
      <w:r>
        <w:rPr>
          <w:rFonts w:cs="FrankRuehl" w:hint="cs"/>
          <w:sz w:val="28"/>
          <w:szCs w:val="28"/>
          <w:rtl/>
        </w:rPr>
        <w:t xml:space="preserve"> </w:t>
      </w:r>
      <w:r w:rsidRPr="005A3971">
        <w:rPr>
          <w:rFonts w:cs="FrankRuehl" w:hint="cs"/>
          <w:b/>
          <w:bCs/>
          <w:sz w:val="28"/>
          <w:szCs w:val="28"/>
          <w:u w:val="single"/>
          <w:rtl/>
        </w:rPr>
        <w:t>מ"י</w:t>
      </w:r>
      <w:r>
        <w:rPr>
          <w:rFonts w:cs="FrankRuehl" w:hint="cs"/>
          <w:sz w:val="28"/>
          <w:szCs w:val="28"/>
          <w:rtl/>
        </w:rPr>
        <w:t xml:space="preserve"> נ' </w:t>
      </w:r>
      <w:r w:rsidRPr="005A3971">
        <w:rPr>
          <w:rFonts w:cs="FrankRuehl" w:hint="cs"/>
          <w:b/>
          <w:bCs/>
          <w:sz w:val="28"/>
          <w:szCs w:val="28"/>
          <w:u w:val="single"/>
          <w:rtl/>
        </w:rPr>
        <w:t>ירט</w:t>
      </w:r>
      <w:r>
        <w:rPr>
          <w:rFonts w:cs="FrankRuehl" w:hint="cs"/>
          <w:sz w:val="28"/>
          <w:szCs w:val="28"/>
          <w:rtl/>
        </w:rPr>
        <w:t xml:space="preserve"> (26.2.2020) הסתיים התיק ב-45 ימי עבודות שירות וענישה נלווית, בנסיבות של החזקת מעבדה של 25 שתילי קנביס במשקל למעלה מק"ג וחצי. שם קבעתי מתחם שבין חודש ועד 12 חודשי מאסר. </w:t>
      </w:r>
      <w:r w:rsidRPr="00B36D62">
        <w:rPr>
          <w:rFonts w:cs="FrankRuehl" w:hint="cs"/>
          <w:sz w:val="28"/>
          <w:szCs w:val="28"/>
          <w:rtl/>
        </w:rPr>
        <w:t xml:space="preserve">לא הוגש ערעור על </w:t>
      </w:r>
      <w:r>
        <w:rPr>
          <w:rFonts w:cs="FrankRuehl" w:hint="cs"/>
          <w:sz w:val="28"/>
          <w:szCs w:val="28"/>
          <w:rtl/>
        </w:rPr>
        <w:t>גזר הדין</w:t>
      </w:r>
      <w:r w:rsidRPr="00B36D62">
        <w:rPr>
          <w:rFonts w:cs="FrankRuehl" w:hint="cs"/>
          <w:sz w:val="28"/>
          <w:szCs w:val="28"/>
          <w:rtl/>
        </w:rPr>
        <w:t>.</w:t>
      </w:r>
      <w:r>
        <w:rPr>
          <w:rFonts w:cs="FrankRuehl" w:hint="cs"/>
          <w:sz w:val="28"/>
          <w:szCs w:val="28"/>
          <w:rtl/>
        </w:rPr>
        <w:t xml:space="preserve"> ב</w:t>
      </w:r>
      <w:hyperlink r:id="rId22" w:history="1">
        <w:r w:rsidR="001A0B3D" w:rsidRPr="001A0B3D">
          <w:rPr>
            <w:rFonts w:cs="FrankRuehl"/>
            <w:color w:val="0000FF"/>
            <w:sz w:val="28"/>
            <w:szCs w:val="28"/>
            <w:u w:val="single"/>
            <w:rtl/>
          </w:rPr>
          <w:t>ת"פ 11409-07-19</w:t>
        </w:r>
      </w:hyperlink>
      <w:r>
        <w:rPr>
          <w:rFonts w:cs="FrankRuehl" w:hint="cs"/>
          <w:sz w:val="28"/>
          <w:szCs w:val="28"/>
          <w:rtl/>
        </w:rPr>
        <w:t xml:space="preserve"> </w:t>
      </w:r>
      <w:r w:rsidRPr="005A3971">
        <w:rPr>
          <w:rFonts w:cs="FrankRuehl" w:hint="cs"/>
          <w:b/>
          <w:bCs/>
          <w:sz w:val="28"/>
          <w:szCs w:val="28"/>
          <w:u w:val="single"/>
          <w:rtl/>
        </w:rPr>
        <w:t>מ"י</w:t>
      </w:r>
      <w:r>
        <w:rPr>
          <w:rFonts w:cs="FrankRuehl" w:hint="cs"/>
          <w:sz w:val="28"/>
          <w:szCs w:val="28"/>
          <w:rtl/>
        </w:rPr>
        <w:t xml:space="preserve"> נ' </w:t>
      </w:r>
      <w:r w:rsidRPr="005A3971">
        <w:rPr>
          <w:rFonts w:cs="FrankRuehl" w:hint="cs"/>
          <w:b/>
          <w:bCs/>
          <w:sz w:val="28"/>
          <w:szCs w:val="28"/>
          <w:u w:val="single"/>
          <w:rtl/>
        </w:rPr>
        <w:t>קובלסקי</w:t>
      </w:r>
      <w:r>
        <w:rPr>
          <w:rFonts w:cs="FrankRuehl" w:hint="cs"/>
          <w:sz w:val="28"/>
          <w:szCs w:val="28"/>
          <w:rtl/>
        </w:rPr>
        <w:t xml:space="preserve"> (מיום 7.5.2020) קבעתי מתחם שבין של"ץ ל-6 חודשי מאסר, בנסיבות של החזקת קנביס במשקל 125 גרם. התיק הסתיים במאסר מותנה, קנס והתחייבות. לא הוגש ערעור על גזר הדין. </w:t>
      </w:r>
    </w:p>
    <w:p w14:paraId="7E597C8E" w14:textId="77777777" w:rsidR="002B0A98" w:rsidRDefault="002B0A98" w:rsidP="002B0A98">
      <w:pPr>
        <w:spacing w:line="360" w:lineRule="auto"/>
        <w:jc w:val="both"/>
        <w:rPr>
          <w:rFonts w:cs="FrankRuehl"/>
          <w:sz w:val="28"/>
          <w:szCs w:val="28"/>
          <w:u w:val="single"/>
          <w:rtl/>
        </w:rPr>
      </w:pPr>
    </w:p>
    <w:p w14:paraId="4A0C41F4" w14:textId="77777777" w:rsidR="002B0A98" w:rsidRDefault="002B0A98" w:rsidP="002B0A98">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w:t>
      </w:r>
      <w:r>
        <w:rPr>
          <w:rFonts w:cs="FrankRuehl" w:hint="cs"/>
          <w:sz w:val="28"/>
          <w:szCs w:val="28"/>
          <w:rtl/>
        </w:rPr>
        <w:t xml:space="preserve">של"ץ נרחב ועד </w:t>
      </w:r>
      <w:r>
        <w:rPr>
          <w:rFonts w:cs="FrankRuehl"/>
          <w:sz w:val="28"/>
          <w:szCs w:val="28"/>
          <w:rtl/>
        </w:rPr>
        <w:t>–</w:t>
      </w:r>
      <w:r>
        <w:rPr>
          <w:rFonts w:cs="FrankRuehl" w:hint="cs"/>
          <w:sz w:val="28"/>
          <w:szCs w:val="28"/>
          <w:rtl/>
        </w:rPr>
        <w:t xml:space="preserve"> 9 חודשי מאסר לרבות בעבודות שירות וענישה נלווית. </w:t>
      </w:r>
    </w:p>
    <w:p w14:paraId="534B1CE9" w14:textId="77777777" w:rsidR="002B0A98" w:rsidRDefault="002B0A98" w:rsidP="002B0A98">
      <w:pPr>
        <w:spacing w:line="360" w:lineRule="auto"/>
        <w:jc w:val="both"/>
        <w:rPr>
          <w:rFonts w:cs="FrankRuehl"/>
          <w:b/>
          <w:bCs/>
          <w:sz w:val="28"/>
          <w:szCs w:val="28"/>
          <w:rtl/>
        </w:rPr>
      </w:pPr>
    </w:p>
    <w:p w14:paraId="03A0E65F" w14:textId="77777777" w:rsidR="002B0A98" w:rsidRDefault="002B0A98" w:rsidP="002B0A98">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3" w:history="1">
        <w:r w:rsidR="001A06BE" w:rsidRPr="001A06BE">
          <w:rPr>
            <w:rStyle w:val="Hyperlink"/>
            <w:rFonts w:cs="FrankRuehl"/>
            <w:b/>
            <w:bCs/>
            <w:sz w:val="28"/>
            <w:szCs w:val="28"/>
            <w:rtl/>
          </w:rPr>
          <w:t>סעיף 40י"א</w:t>
        </w:r>
      </w:hyperlink>
      <w:r>
        <w:rPr>
          <w:rFonts w:cs="FrankRuehl"/>
          <w:b/>
          <w:bCs/>
          <w:sz w:val="28"/>
          <w:szCs w:val="28"/>
          <w:u w:val="single"/>
          <w:rtl/>
        </w:rPr>
        <w:t xml:space="preserve"> ל</w:t>
      </w:r>
      <w:hyperlink r:id="rId24" w:history="1">
        <w:r w:rsidR="001A0B3D" w:rsidRPr="001A0B3D">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צעיר יחסית ללא עבר פלילי; עד למקרה הנוכחי תפקד הנאשם באופן חיובי ומועיל לחברה, עבד בשתי עבודות, שירת שירות צבאי מלא ואף שימש קצין קרבי בקבע ובמילואים; בעקבות ההליך הושעה  משירות המילואים ואף מעסיקיו הסבירו לשירות המבחן, כי צפויה פגיעה בהמשך העסקתו אם תיוותר ההרשעה על כנה. למרות תהליך שידע עליות ומורדות מול שירות המבחן, הצליח הנאשם, בסופו של יום לשפר את שיתוף הפעולה עם השירות, קיבל אחריות מלאה למעשים, מסר בדיקות שתן נקיות ולא נפתחו לו תיקים חדשים.</w:t>
      </w:r>
    </w:p>
    <w:p w14:paraId="4EB2882D" w14:textId="77777777" w:rsidR="002B0A98" w:rsidRDefault="002B0A98" w:rsidP="002B0A98">
      <w:pPr>
        <w:spacing w:line="360" w:lineRule="auto"/>
        <w:jc w:val="both"/>
        <w:rPr>
          <w:rFonts w:cs="FrankRuehl"/>
          <w:b/>
          <w:bCs/>
          <w:sz w:val="28"/>
          <w:szCs w:val="28"/>
          <w:u w:val="single"/>
          <w:rtl/>
        </w:rPr>
      </w:pPr>
    </w:p>
    <w:p w14:paraId="321F12FF" w14:textId="77777777" w:rsidR="002B0A98" w:rsidRDefault="002B0A98" w:rsidP="002B0A98">
      <w:pPr>
        <w:spacing w:line="360" w:lineRule="auto"/>
        <w:jc w:val="both"/>
        <w:rPr>
          <w:rFonts w:cs="FrankRuehl"/>
          <w:sz w:val="28"/>
          <w:szCs w:val="28"/>
          <w:rtl/>
        </w:rPr>
      </w:pPr>
      <w:r>
        <w:rPr>
          <w:rFonts w:cs="FrankRuehl" w:hint="cs"/>
          <w:b/>
          <w:bCs/>
          <w:sz w:val="28"/>
          <w:szCs w:val="28"/>
          <w:u w:val="single"/>
          <w:rtl/>
        </w:rPr>
        <w:t>ביטול ה</w:t>
      </w:r>
      <w:r>
        <w:rPr>
          <w:rFonts w:cs="FrankRuehl"/>
          <w:b/>
          <w:bCs/>
          <w:sz w:val="28"/>
          <w:szCs w:val="28"/>
          <w:u w:val="single"/>
          <w:rtl/>
        </w:rPr>
        <w:t>הרשעה</w:t>
      </w:r>
      <w:r>
        <w:rPr>
          <w:rFonts w:cs="FrankRuehl"/>
          <w:sz w:val="28"/>
          <w:szCs w:val="28"/>
          <w:rtl/>
        </w:rPr>
        <w:t xml:space="preserve"> – בידוע, שעה שנמצא כי נאשם ביצע את העבירות המיוחסות לו, יש להרשיעו. זהו הכלל. אי-הרשעה הוא היוצא מן הכלל. ב</w:t>
      </w:r>
      <w:hyperlink r:id="rId25" w:history="1">
        <w:r w:rsidR="001A0B3D" w:rsidRPr="001A0B3D">
          <w:rPr>
            <w:rFonts w:cs="FrankRuehl"/>
            <w:color w:val="0000FF"/>
            <w:sz w:val="28"/>
            <w:szCs w:val="28"/>
            <w:u w:val="single"/>
            <w:rtl/>
          </w:rPr>
          <w:t>ע"פ 2083/96</w:t>
        </w:r>
      </w:hyperlink>
      <w:r>
        <w:rPr>
          <w:rFonts w:cs="FrankRuehl"/>
          <w:sz w:val="28"/>
          <w:szCs w:val="28"/>
          <w:rtl/>
        </w:rPr>
        <w:t xml:space="preserve"> </w:t>
      </w:r>
      <w:r>
        <w:rPr>
          <w:rFonts w:cs="FrankRuehl"/>
          <w:b/>
          <w:bCs/>
          <w:sz w:val="28"/>
          <w:szCs w:val="28"/>
          <w:u w:val="single"/>
          <w:rtl/>
        </w:rPr>
        <w:t>כתב</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6" w:history="1">
        <w:r w:rsidR="001A0B3D" w:rsidRPr="001A0B3D">
          <w:rPr>
            <w:rFonts w:cs="FrankRuehl"/>
            <w:color w:val="0000FF"/>
            <w:sz w:val="28"/>
            <w:szCs w:val="28"/>
            <w:u w:val="single"/>
            <w:rtl/>
          </w:rPr>
          <w:t>ע"פ 5985/13</w:t>
        </w:r>
      </w:hyperlink>
      <w:r>
        <w:rPr>
          <w:rFonts w:cs="FrankRuehl"/>
          <w:sz w:val="28"/>
          <w:szCs w:val="28"/>
          <w:rtl/>
        </w:rPr>
        <w:t xml:space="preserve"> </w:t>
      </w:r>
      <w:r>
        <w:rPr>
          <w:rFonts w:cs="FrankRuehl"/>
          <w:b/>
          <w:bCs/>
          <w:sz w:val="28"/>
          <w:szCs w:val="28"/>
          <w:u w:val="single"/>
          <w:rtl/>
        </w:rPr>
        <w:t>אבן</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2.4.2014) בפסקאות 6 ו-7. </w:t>
      </w:r>
      <w:r>
        <w:rPr>
          <w:rFonts w:cs="FrankRuehl" w:hint="cs"/>
          <w:sz w:val="28"/>
          <w:szCs w:val="28"/>
          <w:rtl/>
        </w:rPr>
        <w:t>אשר לתנאי הראשון, העבירה בנסיבותיה יכולה להצדיק הימנעות מהרשעה [ר' למשל גזר דיני ב</w:t>
      </w:r>
      <w:hyperlink r:id="rId27" w:history="1">
        <w:r w:rsidR="001A0B3D" w:rsidRPr="001A0B3D">
          <w:rPr>
            <w:rFonts w:cs="FrankRuehl"/>
            <w:color w:val="0000FF"/>
            <w:sz w:val="28"/>
            <w:szCs w:val="28"/>
            <w:u w:val="single"/>
            <w:rtl/>
          </w:rPr>
          <w:t>ת"פ 11334-06-19</w:t>
        </w:r>
      </w:hyperlink>
      <w:r>
        <w:rPr>
          <w:rFonts w:cs="FrankRuehl" w:hint="cs"/>
          <w:sz w:val="28"/>
          <w:szCs w:val="28"/>
          <w:rtl/>
        </w:rPr>
        <w:t xml:space="preserve"> </w:t>
      </w:r>
      <w:r w:rsidRPr="005A3971">
        <w:rPr>
          <w:rFonts w:cs="FrankRuehl" w:hint="cs"/>
          <w:b/>
          <w:bCs/>
          <w:sz w:val="28"/>
          <w:szCs w:val="28"/>
          <w:u w:val="single"/>
          <w:rtl/>
        </w:rPr>
        <w:t>מ"י</w:t>
      </w:r>
      <w:r>
        <w:rPr>
          <w:rFonts w:cs="FrankRuehl" w:hint="cs"/>
          <w:sz w:val="28"/>
          <w:szCs w:val="28"/>
          <w:rtl/>
        </w:rPr>
        <w:t xml:space="preserve"> נ' </w:t>
      </w:r>
      <w:r w:rsidRPr="005A3971">
        <w:rPr>
          <w:rFonts w:cs="FrankRuehl" w:hint="cs"/>
          <w:b/>
          <w:bCs/>
          <w:sz w:val="28"/>
          <w:szCs w:val="28"/>
          <w:u w:val="single"/>
          <w:rtl/>
        </w:rPr>
        <w:t>פרדני</w:t>
      </w:r>
      <w:r>
        <w:rPr>
          <w:rFonts w:cs="FrankRuehl" w:hint="cs"/>
          <w:sz w:val="28"/>
          <w:szCs w:val="28"/>
          <w:rtl/>
        </w:rPr>
        <w:t xml:space="preserve"> מיום 7.5.2020) </w:t>
      </w:r>
      <w:r>
        <w:rPr>
          <w:rFonts w:cs="FrankRuehl"/>
          <w:sz w:val="28"/>
          <w:szCs w:val="28"/>
          <w:rtl/>
        </w:rPr>
        <w:t>–</w:t>
      </w:r>
      <w:r>
        <w:rPr>
          <w:rFonts w:cs="FrankRuehl" w:hint="cs"/>
          <w:sz w:val="28"/>
          <w:szCs w:val="28"/>
          <w:rtl/>
        </w:rPr>
        <w:t xml:space="preserve"> לא הוגש ערעור]. אשר לתנאי השני, נדמה שהנאשם עומד גם בתנאי השני, שכן הוא כבר שילם מחירים מוחשיים בשל ההרשעה בהיבט של שירותו במילואים, שירות שמקנה לו תחושת שליחות ומטרה. כמו כן הובהר לשירות המבחן על-ידי מעסיקו של הנאשם, כי הותרת ההרשעה יפגע בהמשך העסקתו ובקידומו כפי שפורט בתסקיר. לפיכך, הנאשם עמד בנטל להוכיח נזק חמור שייגרם לעתידו המקצועי ואף הצבאי שכה חשוב לו. לכן אני מבטל את הרשעתו.</w:t>
      </w:r>
    </w:p>
    <w:p w14:paraId="6D2882A5" w14:textId="77777777" w:rsidR="002B0A98" w:rsidRDefault="002B0A98" w:rsidP="002B0A98">
      <w:pPr>
        <w:spacing w:line="360" w:lineRule="auto"/>
        <w:jc w:val="both"/>
        <w:rPr>
          <w:rFonts w:cs="FrankRuehl"/>
          <w:sz w:val="28"/>
          <w:szCs w:val="28"/>
          <w:rtl/>
        </w:rPr>
      </w:pPr>
    </w:p>
    <w:p w14:paraId="4628F51E" w14:textId="77777777" w:rsidR="002B0A98" w:rsidRDefault="002B0A98" w:rsidP="002B0A98">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במכלול הנסיבות יש למקם את הנאשם בחלק הראשון של המתחם. </w:t>
      </w:r>
    </w:p>
    <w:p w14:paraId="2C505F6F" w14:textId="77777777" w:rsidR="002B0A98" w:rsidRDefault="002B0A98" w:rsidP="002B0A98">
      <w:pPr>
        <w:spacing w:line="360" w:lineRule="auto"/>
        <w:jc w:val="both"/>
        <w:rPr>
          <w:rFonts w:cs="FrankRuehl"/>
          <w:b/>
          <w:bCs/>
          <w:sz w:val="28"/>
          <w:szCs w:val="28"/>
          <w:u w:val="single"/>
          <w:rtl/>
        </w:rPr>
      </w:pPr>
    </w:p>
    <w:p w14:paraId="2269EF81" w14:textId="77777777" w:rsidR="002B0A98" w:rsidRDefault="002B0A98" w:rsidP="002B0A98">
      <w:pPr>
        <w:spacing w:line="360" w:lineRule="auto"/>
        <w:jc w:val="both"/>
        <w:rPr>
          <w:rFonts w:cs="FrankRuehl"/>
          <w:b/>
          <w:bCs/>
          <w:sz w:val="28"/>
          <w:szCs w:val="28"/>
          <w:u w:val="single"/>
          <w:rtl/>
        </w:rPr>
      </w:pPr>
      <w:r>
        <w:rPr>
          <w:rFonts w:cs="FrankRuehl"/>
          <w:b/>
          <w:bCs/>
          <w:sz w:val="28"/>
          <w:szCs w:val="28"/>
          <w:u w:val="single"/>
          <w:rtl/>
        </w:rPr>
        <w:t>גזירת הדין</w:t>
      </w:r>
    </w:p>
    <w:p w14:paraId="5515FAF5" w14:textId="77777777" w:rsidR="002B0A98" w:rsidRDefault="002B0A98" w:rsidP="002B0A98">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474973B4" w14:textId="77777777" w:rsidR="002B0A98" w:rsidRDefault="002B0A98" w:rsidP="002B0A98">
      <w:pPr>
        <w:numPr>
          <w:ilvl w:val="0"/>
          <w:numId w:val="1"/>
        </w:numPr>
        <w:spacing w:after="160" w:line="360" w:lineRule="auto"/>
        <w:contextualSpacing/>
        <w:jc w:val="both"/>
        <w:rPr>
          <w:rFonts w:cs="FrankRuehl"/>
          <w:sz w:val="28"/>
          <w:szCs w:val="28"/>
          <w:rtl/>
        </w:rPr>
      </w:pPr>
      <w:r>
        <w:rPr>
          <w:rFonts w:cs="FrankRuehl" w:hint="cs"/>
          <w:sz w:val="28"/>
          <w:szCs w:val="28"/>
          <w:rtl/>
        </w:rPr>
        <w:t xml:space="preserve">300 </w:t>
      </w:r>
      <w:r>
        <w:rPr>
          <w:rFonts w:cs="FrankRuehl"/>
          <w:sz w:val="28"/>
          <w:szCs w:val="28"/>
          <w:rtl/>
        </w:rPr>
        <w:t xml:space="preserve">שעות שירות לתועלת הציבור (של"ץ), אשר ירוצו החל מיום </w:t>
      </w:r>
      <w:r>
        <w:rPr>
          <w:rFonts w:cs="FrankRuehl" w:hint="cs"/>
          <w:sz w:val="28"/>
          <w:szCs w:val="28"/>
          <w:rtl/>
        </w:rPr>
        <w:t xml:space="preserve">19.7.2021 </w:t>
      </w:r>
      <w:r>
        <w:rPr>
          <w:rFonts w:cs="FrankRuehl"/>
          <w:sz w:val="28"/>
          <w:szCs w:val="28"/>
          <w:rtl/>
        </w:rPr>
        <w:t>ב</w:t>
      </w:r>
      <w:r>
        <w:rPr>
          <w:rFonts w:cs="FrankRuehl" w:hint="cs"/>
          <w:sz w:val="28"/>
          <w:szCs w:val="28"/>
          <w:rtl/>
        </w:rPr>
        <w:t xml:space="preserve">רשת קהילה ופנאי בחולון </w:t>
      </w:r>
      <w:r>
        <w:rPr>
          <w:rFonts w:cs="FrankRuehl"/>
          <w:sz w:val="28"/>
          <w:szCs w:val="28"/>
          <w:rtl/>
        </w:rPr>
        <w:t xml:space="preserve"> על-פי התוכנית שהכין שירות המבחן ובפיקוחו. הנאשם הוזהר כי אי-קיום צו השל"ץ באופן משביע רצון עלול להביא להפקעת הצו ולדיון מחודש בשאלת גזר הדין הראוי לרבות הרשעה והטלת מאסר בפועל;</w:t>
      </w:r>
    </w:p>
    <w:p w14:paraId="67E88D0A" w14:textId="77777777" w:rsidR="002B0A98" w:rsidRDefault="002B0A98" w:rsidP="002B0A98">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 xml:space="preserve"> 12 חודשים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r>
        <w:rPr>
          <w:rFonts w:cs="FrankRuehl" w:hint="cs"/>
          <w:sz w:val="28"/>
          <w:szCs w:val="28"/>
          <w:rtl/>
        </w:rPr>
        <w:t xml:space="preserve"> אני ער לכך ששירות המבחן לא המליץ על צו מבחן, ואולם סברתי כי יש מקום להטילו כגורם מרתיע ומפקח נוסף;</w:t>
      </w:r>
    </w:p>
    <w:p w14:paraId="5F77B1DD" w14:textId="77777777" w:rsidR="002B0A98" w:rsidRDefault="002B0A98" w:rsidP="002B0A98">
      <w:pPr>
        <w:numPr>
          <w:ilvl w:val="0"/>
          <w:numId w:val="1"/>
        </w:numPr>
        <w:spacing w:after="160" w:line="360" w:lineRule="auto"/>
        <w:contextualSpacing/>
        <w:jc w:val="both"/>
        <w:rPr>
          <w:rFonts w:cs="FrankRuehl"/>
          <w:sz w:val="28"/>
          <w:szCs w:val="28"/>
        </w:rPr>
      </w:pPr>
      <w:r>
        <w:rPr>
          <w:rFonts w:cs="FrankRuehl"/>
          <w:sz w:val="28"/>
          <w:szCs w:val="28"/>
          <w:rtl/>
        </w:rPr>
        <w:t>פיצוי ל</w:t>
      </w:r>
      <w:r>
        <w:rPr>
          <w:rFonts w:cs="FrankRuehl" w:hint="cs"/>
          <w:sz w:val="28"/>
          <w:szCs w:val="28"/>
          <w:rtl/>
        </w:rPr>
        <w:t xml:space="preserve">עמותת אל-סם בסך 3,000 ₪. </w:t>
      </w:r>
      <w:r>
        <w:rPr>
          <w:rFonts w:cs="FrankRuehl"/>
          <w:sz w:val="28"/>
          <w:szCs w:val="28"/>
          <w:rtl/>
        </w:rPr>
        <w:t>הפיצוי ישולם ב</w:t>
      </w:r>
      <w:r>
        <w:rPr>
          <w:rFonts w:cs="FrankRuehl" w:hint="cs"/>
          <w:sz w:val="28"/>
          <w:szCs w:val="28"/>
          <w:rtl/>
        </w:rPr>
        <w:t xml:space="preserve">תשלום אחד עד ליום 1.9.2021. </w:t>
      </w:r>
      <w:r>
        <w:rPr>
          <w:rFonts w:cs="FrankRuehl"/>
          <w:sz w:val="28"/>
          <w:szCs w:val="28"/>
          <w:rtl/>
        </w:rPr>
        <w:t xml:space="preserve">אי עמידה בתשלום </w:t>
      </w:r>
      <w:r>
        <w:rPr>
          <w:rFonts w:cs="FrankRuehl" w:hint="cs"/>
          <w:sz w:val="28"/>
          <w:szCs w:val="28"/>
          <w:rtl/>
        </w:rPr>
        <w:t xml:space="preserve">במועד </w:t>
      </w:r>
      <w:r>
        <w:rPr>
          <w:rFonts w:cs="FrankRuehl"/>
          <w:sz w:val="28"/>
          <w:szCs w:val="28"/>
          <w:rtl/>
        </w:rPr>
        <w:t>תביא לפירעון מיידי של הפיצוי ולתוספת הפרשי הצמדה וריבית פיגורים כחוק;</w:t>
      </w:r>
    </w:p>
    <w:p w14:paraId="0DEF6772" w14:textId="77777777" w:rsidR="002B0A98" w:rsidRDefault="002B0A98" w:rsidP="002B0A98">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6,000 </w:t>
      </w:r>
      <w:r>
        <w:rPr>
          <w:rFonts w:cs="FrankRuehl"/>
          <w:sz w:val="28"/>
          <w:szCs w:val="28"/>
          <w:rtl/>
        </w:rPr>
        <w:t xml:space="preserve">₪ שלא לעבור כל עבירה  </w:t>
      </w:r>
      <w:r>
        <w:rPr>
          <w:rFonts w:cs="FrankRuehl" w:hint="cs"/>
          <w:sz w:val="28"/>
          <w:szCs w:val="28"/>
          <w:rtl/>
        </w:rPr>
        <w:t xml:space="preserve">לפי פקודת הסמים </w:t>
      </w:r>
      <w:r>
        <w:rPr>
          <w:rFonts w:cs="FrankRuehl"/>
          <w:sz w:val="28"/>
          <w:szCs w:val="28"/>
          <w:rtl/>
        </w:rPr>
        <w:t xml:space="preserve">במשך </w:t>
      </w:r>
      <w:r>
        <w:rPr>
          <w:rFonts w:cs="FrankRuehl" w:hint="cs"/>
          <w:sz w:val="28"/>
          <w:szCs w:val="28"/>
          <w:rtl/>
        </w:rPr>
        <w:t xml:space="preserve">שנה </w:t>
      </w:r>
      <w:r>
        <w:rPr>
          <w:rFonts w:cs="FrankRuehl"/>
          <w:sz w:val="28"/>
          <w:szCs w:val="28"/>
          <w:rtl/>
        </w:rPr>
        <w:t>מהיום. הובהר לנאשם שמשמעות ההתחייבות היא, כי אם יעבור את העבירה בתוך התקופה שצוינה, בית המשפט שיגזור את הדין יהא חייב לחלט את ההתחייבות כקנס.</w:t>
      </w:r>
    </w:p>
    <w:p w14:paraId="34603311" w14:textId="77777777" w:rsidR="002B0A98" w:rsidRDefault="002B0A98" w:rsidP="002B0A98">
      <w:pPr>
        <w:spacing w:line="360" w:lineRule="auto"/>
        <w:rPr>
          <w:rFonts w:ascii="FrankRuehl" w:hAnsi="FrankRuehl" w:cs="FrankRuehl"/>
          <w:sz w:val="28"/>
          <w:szCs w:val="28"/>
          <w:rtl/>
        </w:rPr>
      </w:pPr>
    </w:p>
    <w:p w14:paraId="6993E4EC" w14:textId="77777777" w:rsidR="002B0A98" w:rsidRDefault="002B0A98" w:rsidP="002B0A98">
      <w:pPr>
        <w:spacing w:line="360" w:lineRule="auto"/>
        <w:rPr>
          <w:rFonts w:ascii="FrankRuehl" w:hAnsi="FrankRuehl" w:cs="FrankRuehl"/>
          <w:sz w:val="28"/>
          <w:szCs w:val="28"/>
          <w:rtl/>
        </w:rPr>
      </w:pPr>
      <w:r>
        <w:rPr>
          <w:rFonts w:ascii="FrankRuehl" w:hAnsi="FrankRuehl" w:cs="FrankRuehl" w:hint="cs"/>
          <w:sz w:val="28"/>
          <w:szCs w:val="28"/>
          <w:rtl/>
        </w:rPr>
        <w:t>בנסיבות העניין לא מצאתי להטיל רכיבי ענישה נוספים לרבות בהקשר לפסילה.</w:t>
      </w:r>
    </w:p>
    <w:p w14:paraId="69C21217" w14:textId="77777777" w:rsidR="002B0A98" w:rsidRDefault="002B0A98" w:rsidP="002B0A98">
      <w:pPr>
        <w:spacing w:line="360" w:lineRule="auto"/>
        <w:rPr>
          <w:rFonts w:ascii="FrankRuehl" w:hAnsi="FrankRuehl" w:cs="FrankRuehl"/>
          <w:sz w:val="28"/>
          <w:szCs w:val="28"/>
          <w:rtl/>
        </w:rPr>
      </w:pPr>
    </w:p>
    <w:p w14:paraId="553CECD2" w14:textId="77777777" w:rsidR="002B0A98" w:rsidRDefault="002B0A98" w:rsidP="002B0A98">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r>
        <w:rPr>
          <w:rFonts w:ascii="FrankRuehl" w:hAnsi="FrankRuehl" w:cs="FrankRuehl" w:hint="cs"/>
          <w:sz w:val="28"/>
          <w:szCs w:val="28"/>
          <w:rtl/>
        </w:rPr>
        <w:t xml:space="preserve"> והמשקל, וחילוט הכספים שנתפסו </w:t>
      </w:r>
      <w:r>
        <w:rPr>
          <w:rFonts w:ascii="FrankRuehl" w:hAnsi="FrankRuehl" w:cs="FrankRuehl"/>
          <w:sz w:val="28"/>
          <w:szCs w:val="28"/>
          <w:rtl/>
        </w:rPr>
        <w:t>.</w:t>
      </w:r>
    </w:p>
    <w:p w14:paraId="1D5626C8" w14:textId="77777777" w:rsidR="002B0A98" w:rsidRDefault="002B0A98" w:rsidP="002B0A98">
      <w:pPr>
        <w:spacing w:line="360" w:lineRule="auto"/>
        <w:rPr>
          <w:rFonts w:ascii="FrankRuehl" w:hAnsi="FrankRuehl" w:cs="FrankRuehl"/>
          <w:sz w:val="28"/>
          <w:szCs w:val="28"/>
          <w:rtl/>
        </w:rPr>
      </w:pPr>
    </w:p>
    <w:p w14:paraId="0D1A8F1E" w14:textId="77777777" w:rsidR="002B0A98" w:rsidRDefault="002B0A98" w:rsidP="002B0A98">
      <w:pPr>
        <w:spacing w:line="360" w:lineRule="auto"/>
        <w:rPr>
          <w:rFonts w:ascii="FrankRuehl" w:hAnsi="FrankRuehl" w:cs="FrankRuehl"/>
          <w:sz w:val="28"/>
          <w:szCs w:val="28"/>
        </w:rPr>
      </w:pPr>
      <w:r>
        <w:rPr>
          <w:rFonts w:ascii="FrankRuehl" w:hAnsi="FrankRuehl" w:cs="FrankRuehl"/>
          <w:sz w:val="28"/>
          <w:szCs w:val="28"/>
          <w:rtl/>
        </w:rPr>
        <w:t>יש לשלוח לשירות המבחן.</w:t>
      </w:r>
    </w:p>
    <w:p w14:paraId="4EF117D0" w14:textId="77777777" w:rsidR="002B0A98" w:rsidRDefault="002B0A98" w:rsidP="002B0A98">
      <w:pPr>
        <w:rPr>
          <w:rFonts w:ascii="FrankRuehl" w:hAnsi="FrankRuehl" w:cs="FrankRuehl"/>
          <w:sz w:val="28"/>
          <w:szCs w:val="28"/>
          <w:rtl/>
        </w:rPr>
      </w:pPr>
    </w:p>
    <w:p w14:paraId="122B5CF5" w14:textId="77777777" w:rsidR="002B0A98" w:rsidRDefault="001A0B3D" w:rsidP="002B0A98">
      <w:pPr>
        <w:rPr>
          <w:rFonts w:ascii="FrankRuehl" w:hAnsi="FrankRuehl" w:cs="FrankRuehl"/>
          <w:sz w:val="28"/>
          <w:szCs w:val="28"/>
          <w:rtl/>
        </w:rPr>
      </w:pPr>
      <w:r w:rsidRPr="001A0B3D">
        <w:rPr>
          <w:rFonts w:ascii="FrankRuehl" w:hAnsi="FrankRuehl" w:cs="FrankRuehl"/>
          <w:color w:val="FFFFFF"/>
          <w:sz w:val="2"/>
          <w:szCs w:val="2"/>
          <w:rtl/>
        </w:rPr>
        <w:t>5129371</w:t>
      </w:r>
      <w:r w:rsidR="002B0A98">
        <w:rPr>
          <w:rFonts w:ascii="FrankRuehl" w:hAnsi="FrankRuehl" w:cs="FrankRuehl"/>
          <w:sz w:val="28"/>
          <w:szCs w:val="28"/>
          <w:rtl/>
        </w:rPr>
        <w:t>זכות ערעור כחוק לבית המשפט המחוזי בירושלים בתוך 45 יום מהיום.</w:t>
      </w:r>
    </w:p>
    <w:p w14:paraId="2499E70A" w14:textId="77777777" w:rsidR="002B0A98" w:rsidRPr="001A0B3D" w:rsidRDefault="001A0B3D" w:rsidP="002B0A98">
      <w:pPr>
        <w:rPr>
          <w:color w:val="FFFFFF"/>
          <w:sz w:val="2"/>
          <w:szCs w:val="2"/>
          <w:rtl/>
        </w:rPr>
      </w:pPr>
      <w:r w:rsidRPr="001A0B3D">
        <w:rPr>
          <w:color w:val="FFFFFF"/>
          <w:sz w:val="2"/>
          <w:szCs w:val="2"/>
          <w:rtl/>
        </w:rPr>
        <w:t>54678313</w:t>
      </w:r>
    </w:p>
    <w:p w14:paraId="3F4141C6" w14:textId="77777777" w:rsidR="002B0A98" w:rsidRPr="00B05847" w:rsidRDefault="002B0A98" w:rsidP="002B0A98">
      <w:pPr>
        <w:rPr>
          <w:rtl/>
        </w:rPr>
      </w:pPr>
    </w:p>
    <w:p w14:paraId="45852C49" w14:textId="77777777" w:rsidR="002B0A98" w:rsidRDefault="001A0B3D" w:rsidP="002B0A98">
      <w:pPr>
        <w:rPr>
          <w:rFonts w:cs="FrankRuehl"/>
          <w:sz w:val="28"/>
          <w:szCs w:val="28"/>
          <w:rtl/>
        </w:rPr>
      </w:pPr>
      <w:bookmarkStart w:id="8" w:name="Nitan"/>
      <w:r>
        <w:rPr>
          <w:rFonts w:ascii="Arial" w:hAnsi="Arial"/>
          <w:rtl/>
        </w:rPr>
        <w:t xml:space="preserve">ניתן היום,  י"ט סיוון תשפ"א, 30 מאי 2021, במעמד הצדדים. </w:t>
      </w:r>
      <w:bookmarkEnd w:id="8"/>
    </w:p>
    <w:p w14:paraId="2100C0D1" w14:textId="77777777" w:rsidR="001A0B3D" w:rsidRDefault="001A0B3D" w:rsidP="001A0B3D">
      <w:pPr>
        <w:rPr>
          <w:rtl/>
        </w:rPr>
      </w:pPr>
    </w:p>
    <w:p w14:paraId="34F1D2AA" w14:textId="77777777" w:rsidR="001A0B3D" w:rsidRDefault="001A0B3D" w:rsidP="001A0B3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C2B9B33" w14:textId="77777777" w:rsidR="001A06BE" w:rsidRPr="001A06BE" w:rsidRDefault="001A06BE" w:rsidP="001A06BE">
      <w:pPr>
        <w:keepNext/>
        <w:rPr>
          <w:rFonts w:ascii="David" w:hAnsi="David"/>
          <w:color w:val="000000"/>
          <w:sz w:val="22"/>
          <w:szCs w:val="22"/>
          <w:rtl/>
        </w:rPr>
      </w:pPr>
    </w:p>
    <w:p w14:paraId="6FEDCC64" w14:textId="77777777" w:rsidR="001A06BE" w:rsidRPr="001A06BE" w:rsidRDefault="001A06BE" w:rsidP="001A06BE">
      <w:pPr>
        <w:keepNext/>
        <w:rPr>
          <w:rFonts w:ascii="David" w:hAnsi="David"/>
          <w:color w:val="000000"/>
          <w:sz w:val="22"/>
          <w:szCs w:val="22"/>
          <w:rtl/>
        </w:rPr>
      </w:pPr>
      <w:r w:rsidRPr="001A06BE">
        <w:rPr>
          <w:rFonts w:ascii="David" w:hAnsi="David"/>
          <w:color w:val="000000"/>
          <w:sz w:val="22"/>
          <w:szCs w:val="22"/>
          <w:rtl/>
        </w:rPr>
        <w:t>דוד שאול גבאי ריכטר 54678313-/</w:t>
      </w:r>
    </w:p>
    <w:p w14:paraId="10C70281" w14:textId="77777777" w:rsidR="001A0B3D" w:rsidRPr="001A0B3D" w:rsidRDefault="001A06BE" w:rsidP="001A06BE">
      <w:pPr>
        <w:rPr>
          <w:color w:val="0000FF"/>
          <w:u w:val="single"/>
        </w:rPr>
      </w:pPr>
      <w:r w:rsidRPr="001A06BE">
        <w:rPr>
          <w:color w:val="000000"/>
          <w:u w:val="single"/>
          <w:rtl/>
        </w:rPr>
        <w:t>נוסח מסמך זה כפוף לשינויי ניסוח ועריכה</w:t>
      </w:r>
    </w:p>
    <w:sectPr w:rsidR="001A0B3D" w:rsidRPr="001A0B3D" w:rsidSect="001A06BE">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242C4" w14:textId="77777777" w:rsidR="006C77F5" w:rsidRDefault="006C77F5" w:rsidP="009D3AA6">
      <w:r>
        <w:separator/>
      </w:r>
    </w:p>
  </w:endnote>
  <w:endnote w:type="continuationSeparator" w:id="0">
    <w:p w14:paraId="4E3456B9" w14:textId="77777777" w:rsidR="006C77F5" w:rsidRDefault="006C77F5" w:rsidP="009D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91E9D" w14:textId="77777777" w:rsidR="001A06BE" w:rsidRDefault="001A06BE" w:rsidP="001A06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082FF3" w14:textId="77777777" w:rsidR="00632742" w:rsidRPr="001A06BE" w:rsidRDefault="001A06BE" w:rsidP="001A06BE">
    <w:pPr>
      <w:pStyle w:val="a5"/>
      <w:pBdr>
        <w:top w:val="single" w:sz="4" w:space="1" w:color="auto"/>
        <w:between w:val="single" w:sz="4" w:space="0" w:color="auto"/>
      </w:pBdr>
      <w:spacing w:after="60"/>
      <w:jc w:val="center"/>
      <w:rPr>
        <w:rFonts w:ascii="FrankRuehl" w:hAnsi="FrankRuehl" w:cs="FrankRuehl"/>
        <w:color w:val="000000"/>
      </w:rPr>
    </w:pPr>
    <w:r w:rsidRPr="001A06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D0035" w14:textId="77777777" w:rsidR="001A06BE" w:rsidRDefault="001A06BE" w:rsidP="001A06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137B">
      <w:rPr>
        <w:rFonts w:ascii="FrankRuehl" w:hAnsi="FrankRuehl" w:cs="FrankRuehl"/>
        <w:noProof/>
        <w:rtl/>
      </w:rPr>
      <w:t>1</w:t>
    </w:r>
    <w:r>
      <w:rPr>
        <w:rFonts w:ascii="FrankRuehl" w:hAnsi="FrankRuehl" w:cs="FrankRuehl"/>
        <w:rtl/>
      </w:rPr>
      <w:fldChar w:fldCharType="end"/>
    </w:r>
  </w:p>
  <w:p w14:paraId="621DBFED" w14:textId="77777777" w:rsidR="00632742" w:rsidRPr="001A06BE" w:rsidRDefault="001A06BE" w:rsidP="001A06BE">
    <w:pPr>
      <w:pStyle w:val="a5"/>
      <w:pBdr>
        <w:top w:val="single" w:sz="4" w:space="1" w:color="auto"/>
        <w:between w:val="single" w:sz="4" w:space="0" w:color="auto"/>
      </w:pBdr>
      <w:spacing w:after="60"/>
      <w:jc w:val="center"/>
      <w:rPr>
        <w:rFonts w:ascii="FrankRuehl" w:hAnsi="FrankRuehl" w:cs="FrankRuehl"/>
        <w:color w:val="000000"/>
      </w:rPr>
    </w:pPr>
    <w:r w:rsidRPr="001A06BE">
      <w:rPr>
        <w:rFonts w:ascii="FrankRuehl" w:hAnsi="FrankRuehl" w:cs="FrankRuehl"/>
        <w:color w:val="000000"/>
      </w:rPr>
      <w:pict w14:anchorId="20CA4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07BAC" w14:textId="77777777" w:rsidR="006C77F5" w:rsidRDefault="006C77F5" w:rsidP="009D3AA6">
      <w:r>
        <w:separator/>
      </w:r>
    </w:p>
  </w:footnote>
  <w:footnote w:type="continuationSeparator" w:id="0">
    <w:p w14:paraId="69530772" w14:textId="77777777" w:rsidR="006C77F5" w:rsidRDefault="006C77F5" w:rsidP="009D3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58D1A" w14:textId="77777777" w:rsidR="001A0B3D" w:rsidRPr="001A06BE" w:rsidRDefault="001A06BE" w:rsidP="001A06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19965-12-18</w:t>
    </w:r>
    <w:r>
      <w:rPr>
        <w:rFonts w:ascii="David" w:hAnsi="David"/>
        <w:color w:val="000000"/>
        <w:sz w:val="22"/>
        <w:szCs w:val="22"/>
        <w:rtl/>
      </w:rPr>
      <w:tab/>
      <w:t xml:space="preserve"> מדינת ישראל נ' נתנאל גמליאל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AD97" w14:textId="77777777" w:rsidR="001A0B3D" w:rsidRPr="001A06BE" w:rsidRDefault="001A06BE" w:rsidP="001A06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19965-12-18</w:t>
    </w:r>
    <w:r>
      <w:rPr>
        <w:rFonts w:ascii="David" w:hAnsi="David"/>
        <w:color w:val="000000"/>
        <w:sz w:val="22"/>
        <w:szCs w:val="22"/>
        <w:rtl/>
      </w:rPr>
      <w:tab/>
      <w:t xml:space="preserve"> מדינת ישראל נ' נתנאל גמליאל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68006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0A98"/>
    <w:rsid w:val="000040CF"/>
    <w:rsid w:val="00050805"/>
    <w:rsid w:val="000C234F"/>
    <w:rsid w:val="001A06BE"/>
    <w:rsid w:val="001A0B3D"/>
    <w:rsid w:val="00240828"/>
    <w:rsid w:val="002B0A98"/>
    <w:rsid w:val="003D6B3D"/>
    <w:rsid w:val="0052685C"/>
    <w:rsid w:val="00632742"/>
    <w:rsid w:val="006C77F5"/>
    <w:rsid w:val="007447D4"/>
    <w:rsid w:val="009A4E4C"/>
    <w:rsid w:val="009D3AA6"/>
    <w:rsid w:val="00AC026E"/>
    <w:rsid w:val="00CE1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E1A92B"/>
  <w15:chartTrackingRefBased/>
  <w15:docId w15:val="{08A469B0-8A46-4647-8798-8DBB621B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0A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0A98"/>
    <w:pPr>
      <w:tabs>
        <w:tab w:val="center" w:pos="4153"/>
        <w:tab w:val="right" w:pos="8306"/>
      </w:tabs>
    </w:pPr>
  </w:style>
  <w:style w:type="character" w:customStyle="1" w:styleId="a4">
    <w:name w:val="כותרת עליונה תו"/>
    <w:link w:val="a3"/>
    <w:rsid w:val="002B0A98"/>
    <w:rPr>
      <w:rFonts w:ascii="Times New Roman" w:eastAsia="Times New Roman" w:hAnsi="Times New Roman" w:cs="David"/>
      <w:sz w:val="24"/>
      <w:szCs w:val="24"/>
    </w:rPr>
  </w:style>
  <w:style w:type="paragraph" w:styleId="a5">
    <w:name w:val="footer"/>
    <w:basedOn w:val="a"/>
    <w:link w:val="a6"/>
    <w:rsid w:val="002B0A98"/>
    <w:pPr>
      <w:tabs>
        <w:tab w:val="center" w:pos="4153"/>
        <w:tab w:val="right" w:pos="8306"/>
      </w:tabs>
    </w:pPr>
  </w:style>
  <w:style w:type="character" w:customStyle="1" w:styleId="a6">
    <w:name w:val="כותרת תחתונה תו"/>
    <w:link w:val="a5"/>
    <w:rsid w:val="002B0A98"/>
    <w:rPr>
      <w:rFonts w:ascii="Times New Roman" w:eastAsia="Times New Roman" w:hAnsi="Times New Roman" w:cs="David"/>
      <w:sz w:val="24"/>
      <w:szCs w:val="24"/>
    </w:rPr>
  </w:style>
  <w:style w:type="table" w:styleId="a7">
    <w:name w:val="Table Grid"/>
    <w:basedOn w:val="a1"/>
    <w:rsid w:val="002B0A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B0A98"/>
  </w:style>
  <w:style w:type="character" w:styleId="Hyperlink">
    <w:name w:val="Hyperlink"/>
    <w:rsid w:val="001A0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0770504" TargetMode="External"/><Relationship Id="rId26" Type="http://schemas.openxmlformats.org/officeDocument/2006/relationships/hyperlink" Target="http://www.nevo.co.il/case/7980179" TargetMode="External"/><Relationship Id="rId3" Type="http://schemas.openxmlformats.org/officeDocument/2006/relationships/settings" Target="settings.xml"/><Relationship Id="rId21" Type="http://schemas.openxmlformats.org/officeDocument/2006/relationships/hyperlink" Target="http://www.nevo.co.il/case/21679831" TargetMode="External"/><Relationship Id="rId34" Type="http://schemas.openxmlformats.org/officeDocument/2006/relationships/theme" Target="theme/theme1.xml"/><Relationship Id="rId7" Type="http://schemas.openxmlformats.org/officeDocument/2006/relationships/hyperlink" Target="http://www.nevo.co.il/case/25215380"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1078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322622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769122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5838831" TargetMode="External"/><Relationship Id="rId27" Type="http://schemas.openxmlformats.org/officeDocument/2006/relationships/hyperlink" Target="http://www.nevo.co.il/case/25757543"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1452</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8697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3539057</vt:i4>
      </vt:variant>
      <vt:variant>
        <vt:i4>60</vt:i4>
      </vt:variant>
      <vt:variant>
        <vt:i4>0</vt:i4>
      </vt:variant>
      <vt:variant>
        <vt:i4>5</vt:i4>
      </vt:variant>
      <vt:variant>
        <vt:lpwstr>http://www.nevo.co.il/case/25757543</vt:lpwstr>
      </vt:variant>
      <vt:variant>
        <vt:lpwstr/>
      </vt:variant>
      <vt:variant>
        <vt:i4>3604602</vt:i4>
      </vt:variant>
      <vt:variant>
        <vt:i4>57</vt:i4>
      </vt:variant>
      <vt:variant>
        <vt:i4>0</vt:i4>
      </vt:variant>
      <vt:variant>
        <vt:i4>5</vt:i4>
      </vt:variant>
      <vt:variant>
        <vt:lpwstr>http://www.nevo.co.il/case/7980179</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3211386</vt:i4>
      </vt:variant>
      <vt:variant>
        <vt:i4>45</vt:i4>
      </vt:variant>
      <vt:variant>
        <vt:i4>0</vt:i4>
      </vt:variant>
      <vt:variant>
        <vt:i4>5</vt:i4>
      </vt:variant>
      <vt:variant>
        <vt:lpwstr>http://www.nevo.co.il/case/25838831</vt:lpwstr>
      </vt:variant>
      <vt:variant>
        <vt:lpwstr/>
      </vt:variant>
      <vt:variant>
        <vt:i4>4063354</vt:i4>
      </vt:variant>
      <vt:variant>
        <vt:i4>42</vt:i4>
      </vt:variant>
      <vt:variant>
        <vt:i4>0</vt:i4>
      </vt:variant>
      <vt:variant>
        <vt:i4>5</vt:i4>
      </vt:variant>
      <vt:variant>
        <vt:lpwstr>http://www.nevo.co.il/case/21679831</vt:lpwstr>
      </vt:variant>
      <vt:variant>
        <vt:lpwstr/>
      </vt:variant>
      <vt:variant>
        <vt:i4>3407991</vt:i4>
      </vt:variant>
      <vt:variant>
        <vt:i4>39</vt:i4>
      </vt:variant>
      <vt:variant>
        <vt:i4>0</vt:i4>
      </vt:variant>
      <vt:variant>
        <vt:i4>5</vt:i4>
      </vt:variant>
      <vt:variant>
        <vt:lpwstr>http://www.nevo.co.il/case/23226226</vt:lpwstr>
      </vt:variant>
      <vt:variant>
        <vt:lpwstr/>
      </vt:variant>
      <vt:variant>
        <vt:i4>4128881</vt:i4>
      </vt:variant>
      <vt:variant>
        <vt:i4>36</vt:i4>
      </vt:variant>
      <vt:variant>
        <vt:i4>0</vt:i4>
      </vt:variant>
      <vt:variant>
        <vt:i4>5</vt:i4>
      </vt:variant>
      <vt:variant>
        <vt:lpwstr>http://www.nevo.co.il/case/7691223</vt:lpwstr>
      </vt:variant>
      <vt:variant>
        <vt:lpwstr/>
      </vt:variant>
      <vt:variant>
        <vt:i4>3473526</vt:i4>
      </vt:variant>
      <vt:variant>
        <vt:i4>33</vt:i4>
      </vt:variant>
      <vt:variant>
        <vt:i4>0</vt:i4>
      </vt:variant>
      <vt:variant>
        <vt:i4>5</vt:i4>
      </vt:variant>
      <vt:variant>
        <vt:lpwstr>http://www.nevo.co.il/case/20770504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3997811</vt:i4>
      </vt:variant>
      <vt:variant>
        <vt:i4>0</vt:i4>
      </vt:variant>
      <vt:variant>
        <vt:i4>0</vt:i4>
      </vt:variant>
      <vt:variant>
        <vt:i4>5</vt:i4>
      </vt:variant>
      <vt:variant>
        <vt:lpwstr>http://www.nevo.co.il/case/25215380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19965</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נתנאל גמליאל</vt:lpwstr>
  </property>
  <property fmtid="{D5CDD505-2E9C-101B-9397-08002B2CF9AE}" pid="10" name="LAWYER">
    <vt:lpwstr>כרמית כהן;ליאור ששון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20210530</vt:lpwstr>
  </property>
  <property fmtid="{D5CDD505-2E9C-101B-9397-08002B2CF9AE}" pid="14" name="TYPE_N_DATE">
    <vt:lpwstr>38020210530</vt:lpwstr>
  </property>
  <property fmtid="{D5CDD505-2E9C-101B-9397-08002B2CF9AE}" pid="15" name="WORDNUMPAGES">
    <vt:lpwstr>5</vt:lpwstr>
  </property>
  <property fmtid="{D5CDD505-2E9C-101B-9397-08002B2CF9AE}" pid="16" name="TYPE_ABS_DATE">
    <vt:lpwstr>380020210530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25215380;20770504;7691223;23226226;21679831;25838831;5810781;7980179;25757543</vt:lpwstr>
  </property>
  <property fmtid="{D5CDD505-2E9C-101B-9397-08002B2CF9AE}" pid="36" name="LAWLISTTMP1">
    <vt:lpwstr>4216/007.a;007.c</vt:lpwstr>
  </property>
  <property fmtid="{D5CDD505-2E9C-101B-9397-08002B2CF9AE}" pid="37" name="LAWLISTTMP2">
    <vt:lpwstr>70301/040i;40ja</vt:lpwstr>
  </property>
</Properties>
</file>