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1E0C54" w:rsidRPr="0007271A" w14:paraId="5463CC37" w14:textId="77777777" w:rsidTr="004C6D56">
        <w:trPr>
          <w:trHeight w:hRule="exact" w:val="418"/>
          <w:jc w:val="center"/>
        </w:trPr>
        <w:tc>
          <w:tcPr>
            <w:tcW w:w="8721" w:type="dxa"/>
            <w:gridSpan w:val="2"/>
          </w:tcPr>
          <w:p w14:paraId="2501E2BA" w14:textId="77777777" w:rsidR="001E0C54" w:rsidRPr="0007271A" w:rsidRDefault="001E0C54" w:rsidP="00597826">
            <w:pPr>
              <w:pStyle w:val="a3"/>
              <w:jc w:val="center"/>
              <w:rPr>
                <w:rFonts w:ascii="Tahoma" w:hAnsi="Tahoma" w:cs="Tahoma"/>
                <w:color w:val="000080"/>
                <w:rtl/>
              </w:rPr>
            </w:pPr>
            <w:bookmarkStart w:id="0" w:name="FirstLawyer"/>
            <w:bookmarkStart w:id="1" w:name="LastJudge"/>
            <w:r w:rsidRPr="0007271A">
              <w:rPr>
                <w:rFonts w:ascii="Tahoma" w:hAnsi="Tahoma" w:cs="Tahoma"/>
                <w:b/>
                <w:bCs/>
                <w:color w:val="000080"/>
                <w:rtl/>
              </w:rPr>
              <w:t>בית משפט השלום בקריית גת</w:t>
            </w:r>
          </w:p>
        </w:tc>
      </w:tr>
      <w:tr w:rsidR="001E0C54" w:rsidRPr="00C02FDB" w14:paraId="2D326300" w14:textId="77777777" w:rsidTr="004C6D56">
        <w:trPr>
          <w:trHeight w:val="337"/>
          <w:jc w:val="center"/>
        </w:trPr>
        <w:tc>
          <w:tcPr>
            <w:tcW w:w="5055" w:type="dxa"/>
          </w:tcPr>
          <w:p w14:paraId="139E413C" w14:textId="77777777" w:rsidR="001E0C54" w:rsidRPr="00C02FDB" w:rsidRDefault="001E0C54" w:rsidP="00597826">
            <w:pPr>
              <w:rPr>
                <w:rFonts w:ascii="David" w:hAnsi="David"/>
                <w:b/>
                <w:bCs/>
                <w:sz w:val="28"/>
                <w:szCs w:val="28"/>
                <w:rtl/>
              </w:rPr>
            </w:pPr>
            <w:r w:rsidRPr="00C02FDB">
              <w:rPr>
                <w:rFonts w:ascii="David" w:hAnsi="David"/>
                <w:b/>
                <w:bCs/>
                <w:sz w:val="28"/>
                <w:szCs w:val="28"/>
                <w:rtl/>
              </w:rPr>
              <w:t>ת"פ 30452-12-18 מדינת ישראל נ' שיינברג</w:t>
            </w:r>
          </w:p>
          <w:p w14:paraId="393959D0" w14:textId="77777777" w:rsidR="001E0C54" w:rsidRPr="00C02FDB" w:rsidRDefault="001E0C54" w:rsidP="00597826">
            <w:pPr>
              <w:pStyle w:val="a3"/>
              <w:rPr>
                <w:rFonts w:ascii="David" w:hAnsi="David"/>
                <w:b/>
                <w:bCs/>
                <w:sz w:val="28"/>
                <w:szCs w:val="28"/>
                <w:rtl/>
              </w:rPr>
            </w:pPr>
          </w:p>
        </w:tc>
        <w:tc>
          <w:tcPr>
            <w:tcW w:w="3666" w:type="dxa"/>
          </w:tcPr>
          <w:p w14:paraId="6837512F" w14:textId="77777777" w:rsidR="001E0C54" w:rsidRPr="00C02FDB" w:rsidRDefault="001E0C54" w:rsidP="00597826">
            <w:pPr>
              <w:pStyle w:val="a3"/>
              <w:jc w:val="right"/>
              <w:rPr>
                <w:rFonts w:ascii="David" w:hAnsi="David"/>
                <w:b/>
                <w:bCs/>
                <w:sz w:val="28"/>
                <w:szCs w:val="28"/>
                <w:rtl/>
              </w:rPr>
            </w:pPr>
          </w:p>
        </w:tc>
      </w:tr>
    </w:tbl>
    <w:p w14:paraId="010CB233" w14:textId="77777777" w:rsidR="001E0C54" w:rsidRPr="00C02FDB" w:rsidRDefault="001E0C54" w:rsidP="001E0C54">
      <w:pPr>
        <w:pStyle w:val="a3"/>
        <w:rPr>
          <w:rFonts w:ascii="David" w:hAnsi="David"/>
          <w:b/>
          <w:bCs/>
          <w:rtl/>
        </w:rPr>
      </w:pPr>
      <w:r w:rsidRPr="00C02FDB">
        <w:rPr>
          <w:rFonts w:ascii="David" w:hAnsi="David"/>
          <w:b/>
          <w:b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1E0C54" w:rsidRPr="00C02FDB" w14:paraId="4EDE3055" w14:textId="77777777" w:rsidTr="00C02FDB">
        <w:trPr>
          <w:trHeight w:val="295"/>
          <w:jc w:val="center"/>
        </w:trPr>
        <w:tc>
          <w:tcPr>
            <w:tcW w:w="945" w:type="dxa"/>
            <w:tcBorders>
              <w:top w:val="nil"/>
              <w:left w:val="nil"/>
              <w:bottom w:val="nil"/>
              <w:right w:val="nil"/>
            </w:tcBorders>
            <w:shd w:val="clear" w:color="auto" w:fill="auto"/>
          </w:tcPr>
          <w:p w14:paraId="5F1CEEAC" w14:textId="77777777" w:rsidR="001E0C54" w:rsidRPr="00C02FDB" w:rsidRDefault="001E0C54" w:rsidP="00C02FDB">
            <w:pPr>
              <w:spacing w:before="120" w:after="120" w:line="240" w:lineRule="exact"/>
              <w:jc w:val="both"/>
              <w:rPr>
                <w:rFonts w:ascii="David" w:hAnsi="David"/>
                <w:b/>
                <w:bCs/>
                <w:sz w:val="28"/>
                <w:szCs w:val="28"/>
              </w:rPr>
            </w:pPr>
            <w:r w:rsidRPr="00C02FDB">
              <w:rPr>
                <w:rFonts w:ascii="David" w:hAnsi="David"/>
                <w:b/>
                <w:bCs/>
                <w:sz w:val="28"/>
                <w:szCs w:val="28"/>
                <w:rtl/>
              </w:rPr>
              <w:t xml:space="preserve">בפני </w:t>
            </w:r>
          </w:p>
        </w:tc>
        <w:tc>
          <w:tcPr>
            <w:tcW w:w="7875" w:type="dxa"/>
            <w:gridSpan w:val="2"/>
            <w:tcBorders>
              <w:top w:val="nil"/>
              <w:left w:val="nil"/>
              <w:bottom w:val="nil"/>
              <w:right w:val="nil"/>
            </w:tcBorders>
            <w:shd w:val="clear" w:color="auto" w:fill="auto"/>
          </w:tcPr>
          <w:p w14:paraId="73FD1366" w14:textId="77777777" w:rsidR="001E0C54" w:rsidRPr="00C02FDB" w:rsidRDefault="001E0C54" w:rsidP="00C02FDB">
            <w:pPr>
              <w:spacing w:before="120" w:after="120" w:line="240" w:lineRule="exact"/>
              <w:rPr>
                <w:rFonts w:ascii="David" w:hAnsi="David" w:hint="cs"/>
                <w:b/>
                <w:bCs/>
                <w:sz w:val="28"/>
                <w:szCs w:val="28"/>
              </w:rPr>
            </w:pPr>
            <w:r w:rsidRPr="00C02FDB">
              <w:rPr>
                <w:rFonts w:ascii="David" w:hAnsi="David"/>
                <w:b/>
                <w:bCs/>
                <w:sz w:val="28"/>
                <w:szCs w:val="28"/>
                <w:rtl/>
              </w:rPr>
              <w:t>כבוד השופטת  טל לחיאני שהם</w:t>
            </w:r>
          </w:p>
        </w:tc>
      </w:tr>
      <w:tr w:rsidR="001E0C54" w:rsidRPr="00C02FDB" w14:paraId="490519F3" w14:textId="77777777" w:rsidTr="00C02FDB">
        <w:trPr>
          <w:trHeight w:val="355"/>
          <w:jc w:val="center"/>
        </w:trPr>
        <w:tc>
          <w:tcPr>
            <w:tcW w:w="945" w:type="dxa"/>
            <w:tcBorders>
              <w:top w:val="nil"/>
              <w:left w:val="nil"/>
              <w:bottom w:val="nil"/>
              <w:right w:val="nil"/>
            </w:tcBorders>
            <w:shd w:val="clear" w:color="auto" w:fill="auto"/>
          </w:tcPr>
          <w:p w14:paraId="3CF10585" w14:textId="77777777" w:rsidR="001E0C54" w:rsidRPr="00C02FDB" w:rsidRDefault="001E0C54" w:rsidP="00C02FDB">
            <w:pPr>
              <w:spacing w:before="120" w:after="120" w:line="240" w:lineRule="exact"/>
              <w:jc w:val="both"/>
              <w:rPr>
                <w:rFonts w:ascii="David" w:hAnsi="David"/>
                <w:b/>
                <w:bCs/>
                <w:sz w:val="28"/>
                <w:szCs w:val="28"/>
              </w:rPr>
            </w:pPr>
            <w:bookmarkStart w:id="2" w:name="FirstAppellant"/>
            <w:r w:rsidRPr="00C02FDB">
              <w:rPr>
                <w:rFonts w:ascii="David" w:hAnsi="David"/>
                <w:b/>
                <w:bCs/>
                <w:sz w:val="28"/>
                <w:szCs w:val="28"/>
                <w:rtl/>
              </w:rPr>
              <w:t>בעניין:</w:t>
            </w:r>
          </w:p>
        </w:tc>
        <w:tc>
          <w:tcPr>
            <w:tcW w:w="4114" w:type="dxa"/>
            <w:tcBorders>
              <w:top w:val="nil"/>
              <w:left w:val="nil"/>
              <w:bottom w:val="nil"/>
              <w:right w:val="nil"/>
            </w:tcBorders>
            <w:shd w:val="clear" w:color="auto" w:fill="auto"/>
          </w:tcPr>
          <w:p w14:paraId="056D9497" w14:textId="77777777" w:rsidR="001E0C54" w:rsidRPr="00C02FDB" w:rsidRDefault="001E0C54" w:rsidP="00C02FDB">
            <w:pPr>
              <w:spacing w:before="120" w:after="120" w:line="240" w:lineRule="exact"/>
              <w:rPr>
                <w:rFonts w:ascii="David" w:hAnsi="David"/>
                <w:b/>
                <w:bCs/>
                <w:sz w:val="28"/>
                <w:szCs w:val="28"/>
              </w:rPr>
            </w:pPr>
            <w:r w:rsidRPr="00C02FDB">
              <w:rPr>
                <w:rFonts w:ascii="David" w:hAnsi="David"/>
                <w:b/>
                <w:bCs/>
                <w:sz w:val="28"/>
                <w:szCs w:val="28"/>
                <w:rtl/>
              </w:rPr>
              <w:t>מדינת ישראל</w:t>
            </w:r>
          </w:p>
        </w:tc>
        <w:tc>
          <w:tcPr>
            <w:tcW w:w="3761" w:type="dxa"/>
            <w:tcBorders>
              <w:top w:val="nil"/>
              <w:left w:val="nil"/>
              <w:bottom w:val="nil"/>
              <w:right w:val="nil"/>
            </w:tcBorders>
            <w:shd w:val="clear" w:color="auto" w:fill="auto"/>
          </w:tcPr>
          <w:p w14:paraId="57EA0D17" w14:textId="77777777" w:rsidR="001E0C54" w:rsidRPr="00C02FDB" w:rsidRDefault="001E0C54" w:rsidP="00C02FDB">
            <w:pPr>
              <w:spacing w:before="120" w:after="120" w:line="240" w:lineRule="exact"/>
              <w:jc w:val="both"/>
              <w:rPr>
                <w:rFonts w:ascii="David" w:hAnsi="David"/>
                <w:b/>
                <w:bCs/>
                <w:sz w:val="28"/>
                <w:szCs w:val="28"/>
              </w:rPr>
            </w:pPr>
          </w:p>
        </w:tc>
      </w:tr>
      <w:bookmarkEnd w:id="2"/>
      <w:tr w:rsidR="001E0C54" w:rsidRPr="00C02FDB" w14:paraId="5DCDB3BA" w14:textId="77777777" w:rsidTr="00C02FDB">
        <w:trPr>
          <w:trHeight w:val="355"/>
          <w:jc w:val="center"/>
        </w:trPr>
        <w:tc>
          <w:tcPr>
            <w:tcW w:w="945" w:type="dxa"/>
            <w:tcBorders>
              <w:top w:val="nil"/>
              <w:left w:val="nil"/>
              <w:bottom w:val="nil"/>
              <w:right w:val="nil"/>
            </w:tcBorders>
            <w:shd w:val="clear" w:color="auto" w:fill="auto"/>
          </w:tcPr>
          <w:p w14:paraId="63C15D03" w14:textId="77777777" w:rsidR="001E0C54" w:rsidRPr="00C02FDB" w:rsidRDefault="001E0C54" w:rsidP="00C02FDB">
            <w:pPr>
              <w:spacing w:before="120" w:after="120" w:line="240" w:lineRule="exact"/>
              <w:jc w:val="both"/>
              <w:rPr>
                <w:rFonts w:ascii="David" w:hAnsi="David"/>
                <w:b/>
                <w:bCs/>
                <w:sz w:val="28"/>
                <w:szCs w:val="28"/>
                <w:rtl/>
              </w:rPr>
            </w:pPr>
          </w:p>
        </w:tc>
        <w:tc>
          <w:tcPr>
            <w:tcW w:w="4114" w:type="dxa"/>
            <w:tcBorders>
              <w:top w:val="nil"/>
              <w:left w:val="nil"/>
              <w:bottom w:val="nil"/>
              <w:right w:val="nil"/>
            </w:tcBorders>
            <w:shd w:val="clear" w:color="auto" w:fill="auto"/>
          </w:tcPr>
          <w:p w14:paraId="0C1A1ED9" w14:textId="77777777" w:rsidR="001E0C54" w:rsidRPr="00C02FDB" w:rsidRDefault="001E0C54" w:rsidP="00C02FDB">
            <w:pPr>
              <w:spacing w:before="120" w:after="120" w:line="240" w:lineRule="exact"/>
              <w:rPr>
                <w:rFonts w:ascii="David" w:hAnsi="David"/>
                <w:b/>
                <w:bCs/>
                <w:sz w:val="28"/>
                <w:szCs w:val="28"/>
                <w:rtl/>
              </w:rPr>
            </w:pPr>
            <w:r w:rsidRPr="00C02FDB">
              <w:rPr>
                <w:rFonts w:ascii="David" w:hAnsi="David"/>
                <w:b/>
                <w:bCs/>
                <w:sz w:val="28"/>
                <w:szCs w:val="28"/>
                <w:rtl/>
              </w:rPr>
              <w:t>באמצעות עו"ד רפי עמוס ומתמחה משה דרעי</w:t>
            </w:r>
          </w:p>
        </w:tc>
        <w:tc>
          <w:tcPr>
            <w:tcW w:w="3761" w:type="dxa"/>
            <w:tcBorders>
              <w:top w:val="nil"/>
              <w:left w:val="nil"/>
              <w:bottom w:val="nil"/>
              <w:right w:val="nil"/>
            </w:tcBorders>
            <w:shd w:val="clear" w:color="auto" w:fill="auto"/>
          </w:tcPr>
          <w:p w14:paraId="611E2DBE" w14:textId="77777777" w:rsidR="001E0C54" w:rsidRPr="00C02FDB" w:rsidRDefault="001E0C54" w:rsidP="00C02FDB">
            <w:pPr>
              <w:spacing w:before="120" w:after="120" w:line="240" w:lineRule="exact"/>
              <w:jc w:val="right"/>
              <w:rPr>
                <w:rFonts w:ascii="David" w:hAnsi="David"/>
                <w:b/>
                <w:bCs/>
                <w:sz w:val="28"/>
                <w:szCs w:val="28"/>
                <w:rtl/>
              </w:rPr>
            </w:pPr>
            <w:r w:rsidRPr="00C02FDB">
              <w:rPr>
                <w:rFonts w:ascii="David" w:hAnsi="David"/>
                <w:b/>
                <w:bCs/>
                <w:sz w:val="28"/>
                <w:szCs w:val="28"/>
                <w:rtl/>
              </w:rPr>
              <w:t>המאשימה</w:t>
            </w:r>
          </w:p>
        </w:tc>
      </w:tr>
      <w:tr w:rsidR="00C02FDB" w:rsidRPr="00C02FDB" w14:paraId="19F714EA" w14:textId="77777777" w:rsidTr="009043D9">
        <w:trPr>
          <w:trHeight w:val="355"/>
          <w:jc w:val="center"/>
        </w:trPr>
        <w:tc>
          <w:tcPr>
            <w:tcW w:w="8820" w:type="dxa"/>
            <w:gridSpan w:val="3"/>
            <w:tcBorders>
              <w:top w:val="nil"/>
              <w:left w:val="nil"/>
              <w:bottom w:val="nil"/>
              <w:right w:val="nil"/>
            </w:tcBorders>
            <w:shd w:val="clear" w:color="auto" w:fill="auto"/>
          </w:tcPr>
          <w:p w14:paraId="3774E161" w14:textId="77777777" w:rsidR="00C02FDB" w:rsidRPr="00C02FDB" w:rsidRDefault="00C02FDB" w:rsidP="00C02FDB">
            <w:pPr>
              <w:spacing w:before="240" w:after="240"/>
              <w:jc w:val="center"/>
              <w:rPr>
                <w:rFonts w:ascii="David" w:hAnsi="David" w:hint="cs"/>
                <w:b/>
                <w:bCs/>
                <w:sz w:val="28"/>
                <w:szCs w:val="28"/>
              </w:rPr>
            </w:pPr>
            <w:r w:rsidRPr="00C02FDB">
              <w:rPr>
                <w:rFonts w:ascii="David" w:hAnsi="David"/>
                <w:b/>
                <w:bCs/>
                <w:sz w:val="28"/>
                <w:szCs w:val="28"/>
                <w:rtl/>
              </w:rPr>
              <w:t>נגד</w:t>
            </w:r>
          </w:p>
        </w:tc>
      </w:tr>
      <w:tr w:rsidR="001E0C54" w:rsidRPr="00C02FDB" w14:paraId="51E0310B" w14:textId="77777777" w:rsidTr="00C02FDB">
        <w:trPr>
          <w:trHeight w:val="355"/>
          <w:jc w:val="center"/>
        </w:trPr>
        <w:tc>
          <w:tcPr>
            <w:tcW w:w="945" w:type="dxa"/>
            <w:tcBorders>
              <w:top w:val="nil"/>
              <w:left w:val="nil"/>
              <w:bottom w:val="nil"/>
              <w:right w:val="nil"/>
            </w:tcBorders>
            <w:shd w:val="clear" w:color="auto" w:fill="auto"/>
          </w:tcPr>
          <w:p w14:paraId="36EA2435" w14:textId="77777777" w:rsidR="001E0C54" w:rsidRPr="00C02FDB" w:rsidRDefault="001E0C54" w:rsidP="00C02FDB">
            <w:pPr>
              <w:spacing w:before="120" w:after="120" w:line="240" w:lineRule="exact"/>
              <w:rPr>
                <w:rFonts w:ascii="David" w:hAnsi="David"/>
                <w:b/>
                <w:bCs/>
                <w:sz w:val="28"/>
                <w:szCs w:val="28"/>
                <w:rtl/>
              </w:rPr>
            </w:pPr>
          </w:p>
        </w:tc>
        <w:tc>
          <w:tcPr>
            <w:tcW w:w="4114" w:type="dxa"/>
            <w:tcBorders>
              <w:top w:val="nil"/>
              <w:left w:val="nil"/>
              <w:bottom w:val="nil"/>
              <w:right w:val="nil"/>
            </w:tcBorders>
            <w:shd w:val="clear" w:color="auto" w:fill="auto"/>
          </w:tcPr>
          <w:p w14:paraId="4F7BDEDE" w14:textId="77777777" w:rsidR="001E0C54" w:rsidRPr="00C02FDB" w:rsidRDefault="001E0C54" w:rsidP="00C02FDB">
            <w:pPr>
              <w:spacing w:before="120" w:after="120" w:line="240" w:lineRule="exact"/>
              <w:rPr>
                <w:rFonts w:ascii="David" w:hAnsi="David"/>
                <w:b/>
                <w:bCs/>
                <w:sz w:val="28"/>
                <w:szCs w:val="28"/>
                <w:rtl/>
              </w:rPr>
            </w:pPr>
            <w:r w:rsidRPr="00C02FDB">
              <w:rPr>
                <w:rFonts w:ascii="David" w:hAnsi="David"/>
                <w:b/>
                <w:bCs/>
                <w:sz w:val="28"/>
                <w:szCs w:val="28"/>
                <w:rtl/>
              </w:rPr>
              <w:t>רון שיינברג</w:t>
            </w:r>
            <w:r w:rsidRPr="00C02FDB">
              <w:rPr>
                <w:rFonts w:ascii="David" w:hAnsi="David"/>
                <w:b/>
                <w:bCs/>
                <w:sz w:val="28"/>
                <w:szCs w:val="28"/>
                <w:rtl/>
              </w:rPr>
              <w:br/>
              <w:t>באמצעות ב"כ עו"ד שרייבר</w:t>
            </w:r>
          </w:p>
        </w:tc>
        <w:tc>
          <w:tcPr>
            <w:tcW w:w="3761" w:type="dxa"/>
            <w:tcBorders>
              <w:top w:val="nil"/>
              <w:left w:val="nil"/>
              <w:bottom w:val="nil"/>
              <w:right w:val="nil"/>
            </w:tcBorders>
            <w:shd w:val="clear" w:color="auto" w:fill="auto"/>
          </w:tcPr>
          <w:p w14:paraId="5E21CDC7" w14:textId="77777777" w:rsidR="001E0C54" w:rsidRPr="00C02FDB" w:rsidRDefault="001E0C54" w:rsidP="00C02FDB">
            <w:pPr>
              <w:spacing w:before="120" w:after="120" w:line="240" w:lineRule="exact"/>
              <w:jc w:val="right"/>
              <w:rPr>
                <w:rFonts w:ascii="David" w:hAnsi="David"/>
                <w:b/>
                <w:bCs/>
                <w:sz w:val="28"/>
                <w:szCs w:val="28"/>
              </w:rPr>
            </w:pPr>
          </w:p>
        </w:tc>
      </w:tr>
      <w:tr w:rsidR="001E0C54" w:rsidRPr="00C02FDB" w14:paraId="2A691134" w14:textId="77777777" w:rsidTr="00C02FDB">
        <w:trPr>
          <w:trHeight w:val="355"/>
          <w:jc w:val="center"/>
        </w:trPr>
        <w:tc>
          <w:tcPr>
            <w:tcW w:w="945" w:type="dxa"/>
            <w:tcBorders>
              <w:top w:val="nil"/>
              <w:left w:val="nil"/>
              <w:bottom w:val="nil"/>
              <w:right w:val="nil"/>
            </w:tcBorders>
            <w:shd w:val="clear" w:color="auto" w:fill="auto"/>
          </w:tcPr>
          <w:p w14:paraId="20C66676" w14:textId="77777777" w:rsidR="001E0C54" w:rsidRPr="00C02FDB" w:rsidRDefault="001E0C54" w:rsidP="00C02FDB">
            <w:pPr>
              <w:spacing w:before="120" w:after="120" w:line="240" w:lineRule="exact"/>
              <w:jc w:val="both"/>
              <w:rPr>
                <w:rFonts w:ascii="David" w:hAnsi="David"/>
                <w:b/>
                <w:bCs/>
                <w:sz w:val="28"/>
                <w:szCs w:val="28"/>
                <w:rtl/>
              </w:rPr>
            </w:pPr>
          </w:p>
        </w:tc>
        <w:tc>
          <w:tcPr>
            <w:tcW w:w="4114" w:type="dxa"/>
            <w:tcBorders>
              <w:top w:val="nil"/>
              <w:left w:val="nil"/>
              <w:bottom w:val="nil"/>
              <w:right w:val="nil"/>
            </w:tcBorders>
            <w:shd w:val="clear" w:color="auto" w:fill="auto"/>
          </w:tcPr>
          <w:p w14:paraId="7655932E" w14:textId="77777777" w:rsidR="001E0C54" w:rsidRPr="00C02FDB" w:rsidRDefault="001E0C54" w:rsidP="00C02FDB">
            <w:pPr>
              <w:spacing w:before="120" w:after="120" w:line="240" w:lineRule="exact"/>
              <w:jc w:val="both"/>
              <w:rPr>
                <w:rFonts w:ascii="David" w:hAnsi="David"/>
                <w:b/>
                <w:bCs/>
                <w:sz w:val="28"/>
                <w:szCs w:val="28"/>
                <w:rtl/>
              </w:rPr>
            </w:pPr>
          </w:p>
        </w:tc>
        <w:tc>
          <w:tcPr>
            <w:tcW w:w="3761" w:type="dxa"/>
            <w:tcBorders>
              <w:top w:val="nil"/>
              <w:left w:val="nil"/>
              <w:bottom w:val="nil"/>
              <w:right w:val="nil"/>
            </w:tcBorders>
            <w:shd w:val="clear" w:color="auto" w:fill="auto"/>
          </w:tcPr>
          <w:p w14:paraId="4BFC5581" w14:textId="77777777" w:rsidR="001E0C54" w:rsidRPr="00C02FDB" w:rsidRDefault="001E0C54" w:rsidP="00C02FDB">
            <w:pPr>
              <w:spacing w:before="120" w:after="120" w:line="240" w:lineRule="exact"/>
              <w:jc w:val="right"/>
              <w:rPr>
                <w:rFonts w:ascii="David" w:hAnsi="David"/>
                <w:b/>
                <w:bCs/>
                <w:sz w:val="28"/>
                <w:szCs w:val="28"/>
              </w:rPr>
            </w:pPr>
            <w:r w:rsidRPr="00C02FDB">
              <w:rPr>
                <w:rFonts w:ascii="David" w:hAnsi="David"/>
                <w:b/>
                <w:bCs/>
                <w:sz w:val="28"/>
                <w:szCs w:val="28"/>
                <w:rtl/>
              </w:rPr>
              <w:t>הנאשם</w:t>
            </w:r>
          </w:p>
        </w:tc>
      </w:tr>
    </w:tbl>
    <w:p w14:paraId="1BC5BB7A" w14:textId="77777777" w:rsidR="004C6D56" w:rsidRPr="004C6D56" w:rsidRDefault="004C6D56" w:rsidP="004C6D56">
      <w:pPr>
        <w:spacing w:before="120" w:after="120" w:line="240" w:lineRule="exact"/>
        <w:ind w:left="283" w:hanging="283"/>
        <w:jc w:val="both"/>
        <w:rPr>
          <w:rFonts w:ascii="FrankRuehl" w:hAnsi="FrankRuehl" w:cs="FrankRuehl"/>
          <w:rtl/>
        </w:rPr>
      </w:pPr>
    </w:p>
    <w:p w14:paraId="0BB60B05" w14:textId="77777777" w:rsidR="00C02FDB" w:rsidRPr="00C02FDB" w:rsidRDefault="00C02FDB" w:rsidP="00C02FDB">
      <w:pPr>
        <w:spacing w:before="120" w:after="120" w:line="240" w:lineRule="exact"/>
        <w:ind w:left="283" w:hanging="283"/>
        <w:jc w:val="both"/>
        <w:rPr>
          <w:rFonts w:ascii="FrankRuehl" w:hAnsi="FrankRuehl" w:cs="FrankRuehl"/>
          <w:rtl/>
        </w:rPr>
      </w:pPr>
      <w:bookmarkStart w:id="3" w:name="LawTable"/>
      <w:bookmarkEnd w:id="3"/>
      <w:r w:rsidRPr="00C02FDB">
        <w:rPr>
          <w:rFonts w:ascii="FrankRuehl" w:hAnsi="FrankRuehl" w:cs="FrankRuehl"/>
          <w:rtl/>
        </w:rPr>
        <w:t xml:space="preserve">חקיקה שאוזכרה: </w:t>
      </w:r>
    </w:p>
    <w:p w14:paraId="61D16E2B" w14:textId="77777777" w:rsidR="00C02FDB" w:rsidRPr="00C02FDB" w:rsidRDefault="00C02FDB" w:rsidP="00C02FDB">
      <w:pPr>
        <w:spacing w:before="120" w:after="120" w:line="240" w:lineRule="exact"/>
        <w:ind w:left="283" w:hanging="283"/>
        <w:jc w:val="both"/>
        <w:rPr>
          <w:rFonts w:ascii="FrankRuehl" w:hAnsi="FrankRuehl" w:cs="FrankRuehl"/>
          <w:color w:val="0000FF"/>
          <w:u w:val="single"/>
          <w:rtl/>
        </w:rPr>
      </w:pPr>
      <w:hyperlink r:id="rId7" w:history="1">
        <w:r w:rsidRPr="00C02FDB">
          <w:rPr>
            <w:rStyle w:val="Hyperlink"/>
            <w:rFonts w:ascii="FrankRuehl" w:hAnsi="FrankRuehl" w:cs="FrankRuehl"/>
            <w:color w:val="0000FF"/>
            <w:rtl/>
          </w:rPr>
          <w:t>פקודת הסמים המסוכנים [נוסח חדש], תשל"ג-1973</w:t>
        </w:r>
      </w:hyperlink>
      <w:r w:rsidRPr="00C02FDB">
        <w:rPr>
          <w:rFonts w:ascii="FrankRuehl" w:hAnsi="FrankRuehl" w:cs="FrankRuehl"/>
          <w:color w:val="0000FF"/>
          <w:u w:val="single"/>
          <w:rtl/>
        </w:rPr>
        <w:t xml:space="preserve">: סע'  </w:t>
      </w:r>
      <w:hyperlink r:id="rId8" w:history="1">
        <w:r w:rsidRPr="00C02FDB">
          <w:rPr>
            <w:rStyle w:val="Hyperlink"/>
            <w:rFonts w:ascii="FrankRuehl" w:hAnsi="FrankRuehl" w:cs="FrankRuehl"/>
            <w:color w:val="0000FF"/>
          </w:rPr>
          <w:t>13</w:t>
        </w:r>
      </w:hyperlink>
    </w:p>
    <w:p w14:paraId="3A7C6008" w14:textId="77777777" w:rsidR="00C02FDB" w:rsidRPr="00C02FDB" w:rsidRDefault="00C02FDB" w:rsidP="00C02FDB">
      <w:pPr>
        <w:spacing w:before="120" w:after="120" w:line="240" w:lineRule="exact"/>
        <w:ind w:left="283" w:hanging="283"/>
        <w:jc w:val="both"/>
        <w:rPr>
          <w:rFonts w:ascii="FrankRuehl" w:hAnsi="FrankRuehl" w:cs="FrankRuehl"/>
          <w:color w:val="0000FF"/>
          <w:u w:val="single"/>
          <w:rtl/>
        </w:rPr>
      </w:pPr>
      <w:hyperlink r:id="rId9" w:history="1">
        <w:r w:rsidRPr="00C02FDB">
          <w:rPr>
            <w:rStyle w:val="Hyperlink"/>
            <w:rFonts w:ascii="FrankRuehl" w:hAnsi="FrankRuehl" w:cs="FrankRuehl"/>
            <w:color w:val="0000FF"/>
            <w:rtl/>
          </w:rPr>
          <w:t>חוק העונשין, תשל"ז-1977</w:t>
        </w:r>
      </w:hyperlink>
      <w:r w:rsidRPr="00C02FDB">
        <w:rPr>
          <w:rFonts w:ascii="FrankRuehl" w:hAnsi="FrankRuehl" w:cs="FrankRuehl"/>
          <w:color w:val="0000FF"/>
          <w:u w:val="single"/>
          <w:rtl/>
        </w:rPr>
        <w:t xml:space="preserve">: סע'  </w:t>
      </w:r>
      <w:hyperlink r:id="rId10" w:history="1">
        <w:r w:rsidRPr="00C02FDB">
          <w:rPr>
            <w:rStyle w:val="Hyperlink"/>
            <w:rFonts w:ascii="FrankRuehl" w:hAnsi="FrankRuehl" w:cs="FrankRuehl"/>
            <w:color w:val="0000FF"/>
          </w:rPr>
          <w:t>40</w:t>
        </w:r>
        <w:r w:rsidRPr="00C02FDB">
          <w:rPr>
            <w:rStyle w:val="Hyperlink"/>
            <w:rFonts w:ascii="FrankRuehl" w:hAnsi="FrankRuehl" w:cs="FrankRuehl"/>
            <w:color w:val="0000FF"/>
            <w:rtl/>
          </w:rPr>
          <w:t>ט</w:t>
        </w:r>
      </w:hyperlink>
      <w:r w:rsidRPr="00C02FDB">
        <w:rPr>
          <w:rFonts w:ascii="FrankRuehl" w:hAnsi="FrankRuehl" w:cs="FrankRuehl"/>
          <w:color w:val="0000FF"/>
          <w:u w:val="single"/>
          <w:rtl/>
        </w:rPr>
        <w:t xml:space="preserve">, </w:t>
      </w:r>
      <w:hyperlink r:id="rId11" w:history="1">
        <w:r w:rsidRPr="00C02FDB">
          <w:rPr>
            <w:rStyle w:val="Hyperlink"/>
            <w:rFonts w:ascii="FrankRuehl" w:hAnsi="FrankRuehl" w:cs="FrankRuehl"/>
            <w:color w:val="0000FF"/>
          </w:rPr>
          <w:t xml:space="preserve">40 </w:t>
        </w:r>
        <w:r w:rsidRPr="00C02FDB">
          <w:rPr>
            <w:rStyle w:val="Hyperlink"/>
            <w:rFonts w:ascii="FrankRuehl" w:hAnsi="FrankRuehl" w:cs="FrankRuehl"/>
            <w:color w:val="0000FF"/>
            <w:rtl/>
          </w:rPr>
          <w:t>יג</w:t>
        </w:r>
      </w:hyperlink>
    </w:p>
    <w:p w14:paraId="507CE8C6" w14:textId="77777777" w:rsidR="001E0C54" w:rsidRDefault="001E0C54" w:rsidP="00C02FDB">
      <w:pPr>
        <w:rPr>
          <w:rFonts w:ascii="David" w:hAnsi="David" w:hint="cs"/>
          <w:sz w:val="28"/>
          <w:szCs w:val="28"/>
          <w:rtl/>
        </w:rPr>
      </w:pPr>
      <w:bookmarkStart w:id="4" w:name="LawTable_End"/>
      <w:bookmarkEnd w:id="4"/>
    </w:p>
    <w:p w14:paraId="62FAD3E9" w14:textId="77777777" w:rsidR="00EF4E1C" w:rsidRDefault="00EF4E1C" w:rsidP="00EF4E1C">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14:paraId="4BA085A2" w14:textId="77777777" w:rsidR="00EF4E1C" w:rsidRPr="00EF4E1C" w:rsidRDefault="00EF4E1C" w:rsidP="00EF4E1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EF4E1C">
        <w:rPr>
          <w:rFonts w:cs="FrankRuehl"/>
          <w:szCs w:val="26"/>
          <w:rtl/>
        </w:rPr>
        <w:t>גזר דין לנאשם שהורשע בהתאם להודאתו בביצוע עבירת סחר בסם מסוכן. בית המשפט קבע שאין לקבל את המלצת שירות המבחן לאי הרשעה.</w:t>
      </w:r>
    </w:p>
    <w:p w14:paraId="68337895" w14:textId="77777777" w:rsidR="00EF4E1C" w:rsidRDefault="00EF4E1C" w:rsidP="00EF4E1C">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עבירות – סמים</w:t>
      </w:r>
    </w:p>
    <w:p w14:paraId="19A5D914" w14:textId="77777777" w:rsidR="00EF4E1C" w:rsidRDefault="00EF4E1C" w:rsidP="00EF4E1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A858BCB" w14:textId="77777777" w:rsidR="00EF4E1C" w:rsidRPr="00EF4E1C" w:rsidRDefault="00EF4E1C" w:rsidP="00EF4E1C">
      <w:pPr>
        <w:pBdr>
          <w:top w:val="single" w:sz="4" w:space="1" w:color="auto"/>
          <w:bottom w:val="single" w:sz="4" w:space="1" w:color="auto"/>
        </w:pBdr>
        <w:spacing w:after="120" w:line="320" w:lineRule="exact"/>
        <w:jc w:val="both"/>
        <w:rPr>
          <w:rFonts w:cs="FrankRuehl"/>
          <w:szCs w:val="26"/>
          <w:rtl/>
        </w:rPr>
      </w:pPr>
      <w:r w:rsidRPr="00EF4E1C">
        <w:rPr>
          <w:rFonts w:cs="FrankRuehl"/>
          <w:szCs w:val="26"/>
          <w:rtl/>
        </w:rPr>
        <w:t xml:space="preserve">הנאשם הורשע בהתאם להודאתו בביצוע עבירת סחר בסם מסוכן, עבירה לפי </w:t>
      </w:r>
      <w:hyperlink r:id="rId12" w:history="1">
        <w:r w:rsidRPr="00EF4E1C">
          <w:rPr>
            <w:rStyle w:val="Hyperlink"/>
            <w:rFonts w:cs="FrankRuehl"/>
            <w:color w:val="auto"/>
            <w:szCs w:val="26"/>
            <w:u w:val="none"/>
            <w:rtl/>
          </w:rPr>
          <w:t>סעיף 13</w:t>
        </w:r>
      </w:hyperlink>
      <w:r w:rsidRPr="00EF4E1C">
        <w:rPr>
          <w:rFonts w:cs="FrankRuehl"/>
          <w:szCs w:val="26"/>
          <w:rtl/>
        </w:rPr>
        <w:t xml:space="preserve"> ל</w:t>
      </w:r>
      <w:hyperlink r:id="rId13" w:history="1">
        <w:r w:rsidRPr="00EF4E1C">
          <w:rPr>
            <w:rFonts w:cs="FrankRuehl"/>
            <w:szCs w:val="26"/>
            <w:rtl/>
          </w:rPr>
          <w:t>פקודת הסמים המסוכנים</w:t>
        </w:r>
      </w:hyperlink>
      <w:r w:rsidRPr="00EF4E1C">
        <w:rPr>
          <w:rFonts w:cs="FrankRuehl"/>
          <w:szCs w:val="26"/>
          <w:rtl/>
        </w:rPr>
        <w:t>.</w:t>
      </w:r>
    </w:p>
    <w:p w14:paraId="40508EB6" w14:textId="77777777" w:rsidR="00EF4E1C" w:rsidRDefault="00EF4E1C" w:rsidP="00EF4E1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6D7FBD26" w14:textId="77777777" w:rsidR="00EF4E1C" w:rsidRPr="00EF4E1C" w:rsidRDefault="00EF4E1C" w:rsidP="00EF4E1C">
      <w:pPr>
        <w:pBdr>
          <w:top w:val="single" w:sz="4" w:space="1" w:color="auto"/>
          <w:bottom w:val="single" w:sz="4" w:space="1" w:color="auto"/>
        </w:pBdr>
        <w:spacing w:after="120" w:line="320" w:lineRule="exact"/>
        <w:jc w:val="both"/>
        <w:rPr>
          <w:rFonts w:cs="FrankRuehl"/>
          <w:szCs w:val="26"/>
          <w:rtl/>
        </w:rPr>
      </w:pPr>
      <w:r w:rsidRPr="00EF4E1C">
        <w:rPr>
          <w:rFonts w:cs="FrankRuehl"/>
          <w:szCs w:val="26"/>
          <w:rtl/>
        </w:rPr>
        <w:t>בית המשפט גזר את דינו כדלקמן:</w:t>
      </w:r>
    </w:p>
    <w:p w14:paraId="58883D42" w14:textId="77777777" w:rsidR="00EF4E1C" w:rsidRPr="00EF4E1C" w:rsidRDefault="00EF4E1C" w:rsidP="00EF4E1C">
      <w:pPr>
        <w:pBdr>
          <w:top w:val="single" w:sz="4" w:space="1" w:color="auto"/>
          <w:bottom w:val="single" w:sz="4" w:space="1" w:color="auto"/>
        </w:pBdr>
        <w:spacing w:after="120" w:line="320" w:lineRule="exact"/>
        <w:jc w:val="both"/>
        <w:rPr>
          <w:rFonts w:cs="FrankRuehl"/>
          <w:szCs w:val="26"/>
          <w:rtl/>
        </w:rPr>
      </w:pPr>
      <w:r w:rsidRPr="00EF4E1C">
        <w:rPr>
          <w:rFonts w:cs="FrankRuehl"/>
          <w:szCs w:val="26"/>
          <w:rtl/>
        </w:rPr>
        <w:t>בית המשפט סבר כי סוג העבירה, נסיבות ביצועה, חומרת העבירה, בשים לב למדיניות הענישה הנוהגת, לצד היעדר פגיעה קונקרטית משמעותית בעתידו של הנאשם – שוכנע בית המשפט כי במקרה זה לא קיימים שיקולים המצדיקים אי הרשעת הנאשם כהמלצתו של שירות המבחן.</w:t>
      </w:r>
    </w:p>
    <w:p w14:paraId="7DA300E3" w14:textId="77777777" w:rsidR="00EF4E1C" w:rsidRPr="00EF4E1C" w:rsidRDefault="00EF4E1C" w:rsidP="00EF4E1C">
      <w:pPr>
        <w:pBdr>
          <w:top w:val="single" w:sz="4" w:space="1" w:color="auto"/>
          <w:bottom w:val="single" w:sz="4" w:space="1" w:color="auto"/>
        </w:pBdr>
        <w:spacing w:after="120" w:line="320" w:lineRule="exact"/>
        <w:jc w:val="both"/>
        <w:rPr>
          <w:rFonts w:cs="FrankRuehl"/>
          <w:szCs w:val="26"/>
          <w:rtl/>
        </w:rPr>
      </w:pPr>
      <w:r w:rsidRPr="00EF4E1C">
        <w:rPr>
          <w:rFonts w:cs="FrankRuehl" w:hint="cs"/>
          <w:szCs w:val="26"/>
          <w:rtl/>
        </w:rPr>
        <w:t xml:space="preserve">יחד עם זאת, </w:t>
      </w:r>
      <w:r w:rsidRPr="00EF4E1C">
        <w:rPr>
          <w:rFonts w:cs="FrankRuehl"/>
          <w:szCs w:val="26"/>
          <w:rtl/>
        </w:rPr>
        <w:t>שוכנע כי הליך השיקום אשר עובר הנאשם, בשים לב אף לגילו הצעיר, מצדיקים סטייה מהמתחם לקולה</w:t>
      </w:r>
      <w:r w:rsidRPr="00EF4E1C">
        <w:rPr>
          <w:rFonts w:cs="FrankRuehl" w:hint="cs"/>
          <w:szCs w:val="26"/>
          <w:rtl/>
        </w:rPr>
        <w:t xml:space="preserve"> </w:t>
      </w:r>
      <w:r w:rsidRPr="00EF4E1C">
        <w:rPr>
          <w:rFonts w:cs="FrankRuehl"/>
          <w:szCs w:val="26"/>
          <w:rtl/>
        </w:rPr>
        <w:t xml:space="preserve">וניתן להסתפק בהטלת מאסר מותנה לצד </w:t>
      </w:r>
      <w:r w:rsidRPr="00EF4E1C">
        <w:rPr>
          <w:rFonts w:cs="FrankRuehl" w:hint="cs"/>
          <w:szCs w:val="26"/>
          <w:rtl/>
        </w:rPr>
        <w:t xml:space="preserve">ענישה נלווית. </w:t>
      </w:r>
    </w:p>
    <w:p w14:paraId="71660497" w14:textId="77777777" w:rsidR="00EF4E1C" w:rsidRDefault="00EF4E1C" w:rsidP="00C02FDB">
      <w:pPr>
        <w:rPr>
          <w:rFonts w:ascii="David" w:hAnsi="David" w:hint="cs"/>
          <w:sz w:val="28"/>
          <w:szCs w:val="28"/>
          <w:rtl/>
        </w:rPr>
      </w:pPr>
      <w:bookmarkStart w:id="6" w:name="ABSTRACT_END"/>
      <w:bookmarkEnd w:id="6"/>
    </w:p>
    <w:p w14:paraId="71CB0612" w14:textId="77777777" w:rsidR="00EF4E1C" w:rsidRPr="00C02FDB" w:rsidRDefault="00EF4E1C" w:rsidP="00C02FDB">
      <w:pPr>
        <w:rPr>
          <w:rFonts w:ascii="David" w:hAnsi="David" w:hint="cs"/>
          <w:sz w:val="28"/>
          <w:szCs w:val="28"/>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E0C54" w14:paraId="219FFE1A" w14:textId="77777777" w:rsidTr="001E0C54">
        <w:trPr>
          <w:trHeight w:val="355"/>
          <w:jc w:val="center"/>
        </w:trPr>
        <w:tc>
          <w:tcPr>
            <w:tcW w:w="8820" w:type="dxa"/>
            <w:tcBorders>
              <w:top w:val="nil"/>
              <w:left w:val="nil"/>
              <w:bottom w:val="nil"/>
              <w:right w:val="nil"/>
            </w:tcBorders>
            <w:shd w:val="clear" w:color="auto" w:fill="auto"/>
          </w:tcPr>
          <w:p w14:paraId="14B4CC10" w14:textId="77777777" w:rsidR="0007271A" w:rsidRPr="0007271A" w:rsidRDefault="0007271A" w:rsidP="0007271A">
            <w:pPr>
              <w:jc w:val="center"/>
              <w:rPr>
                <w:rFonts w:ascii="David" w:hAnsi="David"/>
                <w:b/>
                <w:bCs/>
                <w:sz w:val="32"/>
                <w:szCs w:val="32"/>
                <w:u w:val="single"/>
                <w:rtl/>
              </w:rPr>
            </w:pPr>
            <w:bookmarkStart w:id="7" w:name="PsakDin" w:colFirst="0" w:colLast="0"/>
            <w:bookmarkEnd w:id="0"/>
            <w:bookmarkEnd w:id="1"/>
            <w:r w:rsidRPr="0007271A">
              <w:rPr>
                <w:rFonts w:ascii="David" w:hAnsi="David"/>
                <w:b/>
                <w:bCs/>
                <w:sz w:val="32"/>
                <w:szCs w:val="32"/>
                <w:u w:val="single"/>
                <w:rtl/>
              </w:rPr>
              <w:t>גזר דין</w:t>
            </w:r>
          </w:p>
          <w:p w14:paraId="77054E76" w14:textId="77777777" w:rsidR="001E0C54" w:rsidRPr="0007271A" w:rsidRDefault="001E0C54" w:rsidP="0007271A">
            <w:pPr>
              <w:jc w:val="center"/>
              <w:rPr>
                <w:rFonts w:ascii="David" w:hAnsi="David"/>
                <w:bCs/>
                <w:sz w:val="32"/>
                <w:szCs w:val="32"/>
                <w:u w:val="single"/>
                <w:rtl/>
              </w:rPr>
            </w:pPr>
          </w:p>
        </w:tc>
      </w:tr>
      <w:bookmarkEnd w:id="7"/>
    </w:tbl>
    <w:p w14:paraId="11E40164" w14:textId="77777777" w:rsidR="001E0C54" w:rsidRPr="00B05847" w:rsidRDefault="001E0C54" w:rsidP="001E0C54">
      <w:pPr>
        <w:rPr>
          <w:rFonts w:ascii="Arial" w:hAnsi="Arial"/>
          <w:rtl/>
        </w:rPr>
      </w:pPr>
    </w:p>
    <w:p w14:paraId="731619EA" w14:textId="77777777" w:rsidR="001E0C54" w:rsidRDefault="001E0C54" w:rsidP="001E0C54">
      <w:pPr>
        <w:spacing w:line="360" w:lineRule="auto"/>
        <w:jc w:val="both"/>
        <w:rPr>
          <w:rFonts w:ascii="Calibri" w:hAnsi="Calibri"/>
        </w:rPr>
      </w:pPr>
      <w:r>
        <w:rPr>
          <w:rFonts w:ascii="Calibri" w:hAnsi="Calibri"/>
          <w:b/>
          <w:bCs/>
          <w:rtl/>
        </w:rPr>
        <w:t>1</w:t>
      </w:r>
      <w:r>
        <w:rPr>
          <w:rFonts w:ascii="Calibri" w:hAnsi="Calibri"/>
          <w:rtl/>
        </w:rPr>
        <w:t xml:space="preserve">. הנאשם הורשע בהתאם להודאתו בביצוע עבירת סחר בסם מסוכן, עבירה </w:t>
      </w:r>
      <w:r>
        <w:rPr>
          <w:rFonts w:ascii="Arial" w:hAnsi="Arial"/>
          <w:rtl/>
        </w:rPr>
        <w:t xml:space="preserve">לפי </w:t>
      </w:r>
      <w:hyperlink r:id="rId14" w:history="1">
        <w:r w:rsidR="004C6D56" w:rsidRPr="004C6D56">
          <w:rPr>
            <w:rStyle w:val="Hyperlink"/>
            <w:rFonts w:ascii="Calibri" w:hAnsi="Calibri" w:hint="eastAsia"/>
            <w:b/>
            <w:bCs/>
            <w:color w:val="0000FF"/>
            <w:rtl/>
          </w:rPr>
          <w:t>סעיף</w:t>
        </w:r>
        <w:r w:rsidR="004C6D56" w:rsidRPr="004C6D56">
          <w:rPr>
            <w:rStyle w:val="Hyperlink"/>
            <w:rFonts w:ascii="Calibri" w:hAnsi="Calibri"/>
            <w:b/>
            <w:bCs/>
            <w:color w:val="0000FF"/>
            <w:rtl/>
          </w:rPr>
          <w:t xml:space="preserve"> 13</w:t>
        </w:r>
      </w:hyperlink>
      <w:r>
        <w:rPr>
          <w:rFonts w:ascii="Calibri" w:hAnsi="Calibri"/>
          <w:b/>
          <w:bCs/>
          <w:rtl/>
        </w:rPr>
        <w:t xml:space="preserve"> ל</w:t>
      </w:r>
      <w:hyperlink r:id="rId15" w:history="1">
        <w:r w:rsidR="0007271A" w:rsidRPr="0007271A">
          <w:rPr>
            <w:rFonts w:ascii="Calibri" w:hAnsi="Calibri" w:hint="eastAsia"/>
            <w:b/>
            <w:bCs/>
            <w:color w:val="0000FF"/>
            <w:u w:val="single"/>
            <w:rtl/>
          </w:rPr>
          <w:t>פקודת</w:t>
        </w:r>
        <w:r w:rsidR="0007271A" w:rsidRPr="0007271A">
          <w:rPr>
            <w:rFonts w:ascii="Calibri" w:hAnsi="Calibri"/>
            <w:b/>
            <w:bCs/>
            <w:color w:val="0000FF"/>
            <w:u w:val="single"/>
            <w:rtl/>
          </w:rPr>
          <w:t xml:space="preserve"> </w:t>
        </w:r>
        <w:r w:rsidR="0007271A" w:rsidRPr="0007271A">
          <w:rPr>
            <w:rFonts w:ascii="Calibri" w:hAnsi="Calibri" w:hint="eastAsia"/>
            <w:b/>
            <w:bCs/>
            <w:color w:val="0000FF"/>
            <w:u w:val="single"/>
            <w:rtl/>
          </w:rPr>
          <w:t>הסמים</w:t>
        </w:r>
        <w:r w:rsidR="0007271A" w:rsidRPr="0007271A">
          <w:rPr>
            <w:rFonts w:ascii="Calibri" w:hAnsi="Calibri"/>
            <w:b/>
            <w:bCs/>
            <w:color w:val="0000FF"/>
            <w:u w:val="single"/>
            <w:rtl/>
          </w:rPr>
          <w:t xml:space="preserve"> </w:t>
        </w:r>
        <w:r w:rsidR="0007271A" w:rsidRPr="0007271A">
          <w:rPr>
            <w:rFonts w:ascii="Calibri" w:hAnsi="Calibri" w:hint="eastAsia"/>
            <w:b/>
            <w:bCs/>
            <w:color w:val="0000FF"/>
            <w:u w:val="single"/>
            <w:rtl/>
          </w:rPr>
          <w:t>המסוכנים</w:t>
        </w:r>
      </w:hyperlink>
      <w:r>
        <w:rPr>
          <w:rFonts w:ascii="Calibri" w:hAnsi="Calibri"/>
          <w:b/>
          <w:bCs/>
          <w:rtl/>
        </w:rPr>
        <w:t xml:space="preserve"> [נוסח חדש], התשל"ג-1973</w:t>
      </w:r>
      <w:r>
        <w:rPr>
          <w:rFonts w:ascii="Arial" w:hAnsi="Arial"/>
          <w:b/>
          <w:bCs/>
          <w:rtl/>
        </w:rPr>
        <w:t xml:space="preserve"> </w:t>
      </w:r>
      <w:r>
        <w:rPr>
          <w:rFonts w:ascii="Arial" w:hAnsi="Arial"/>
          <w:rtl/>
        </w:rPr>
        <w:t>(להלן:</w:t>
      </w:r>
      <w:r>
        <w:rPr>
          <w:rFonts w:ascii="Arial" w:hAnsi="Arial"/>
          <w:b/>
          <w:bCs/>
          <w:rtl/>
        </w:rPr>
        <w:t xml:space="preserve"> </w:t>
      </w:r>
      <w:r>
        <w:rPr>
          <w:rFonts w:ascii="Arial" w:hAnsi="Arial"/>
          <w:rtl/>
        </w:rPr>
        <w:t>"</w:t>
      </w:r>
      <w:r>
        <w:rPr>
          <w:rFonts w:ascii="Arial" w:hAnsi="Arial"/>
          <w:b/>
          <w:bCs/>
          <w:rtl/>
        </w:rPr>
        <w:t>הפקודה</w:t>
      </w:r>
      <w:r>
        <w:rPr>
          <w:rFonts w:ascii="Arial" w:hAnsi="Arial"/>
          <w:rtl/>
        </w:rPr>
        <w:t>").</w:t>
      </w:r>
    </w:p>
    <w:p w14:paraId="31ED15E0" w14:textId="77777777" w:rsidR="001E0C54" w:rsidRDefault="001E0C54" w:rsidP="001E0C54">
      <w:pPr>
        <w:spacing w:line="360" w:lineRule="auto"/>
        <w:contextualSpacing/>
        <w:jc w:val="both"/>
        <w:rPr>
          <w:rFonts w:ascii="Calibri" w:hAnsi="Calibri"/>
          <w:rtl/>
        </w:rPr>
      </w:pPr>
    </w:p>
    <w:p w14:paraId="6F6D138E" w14:textId="77777777" w:rsidR="001E0C54" w:rsidRDefault="001E0C54" w:rsidP="001E0C54">
      <w:pPr>
        <w:spacing w:line="360" w:lineRule="auto"/>
        <w:contextualSpacing/>
        <w:jc w:val="both"/>
        <w:rPr>
          <w:rFonts w:ascii="Calibri" w:hAnsi="Calibri" w:cs="Calibri"/>
          <w:b/>
          <w:bCs/>
          <w:rtl/>
        </w:rPr>
      </w:pPr>
      <w:r>
        <w:rPr>
          <w:rFonts w:ascii="Calibri" w:hAnsi="Calibri"/>
          <w:rtl/>
        </w:rPr>
        <w:t xml:space="preserve">מעובדות כתב האישום המתוקן עולה כי בתאריך 13/05/17 בקרית גת, סחר הנאשם בסם מסוכן בכך שמכר </w:t>
      </w:r>
      <w:r>
        <w:rPr>
          <w:rFonts w:ascii="Calibri" w:hAnsi="Calibri" w:hint="cs"/>
          <w:rtl/>
        </w:rPr>
        <w:t>סם מסוכן מסוג קנאביס</w:t>
      </w:r>
      <w:r>
        <w:rPr>
          <w:rFonts w:ascii="Calibri" w:hAnsi="Calibri"/>
          <w:rtl/>
        </w:rPr>
        <w:t xml:space="preserve"> במשקל 27.0895 גרם נטו, וזאת בתמורה ל-1,000 ₪ ומבלי לקבל היתר או רישיון לכך. </w:t>
      </w:r>
    </w:p>
    <w:p w14:paraId="46941EFA" w14:textId="77777777" w:rsidR="001E0C54" w:rsidRDefault="001E0C54" w:rsidP="001E0C54">
      <w:pPr>
        <w:spacing w:line="360" w:lineRule="auto"/>
        <w:contextualSpacing/>
        <w:jc w:val="both"/>
        <w:rPr>
          <w:rFonts w:ascii="David" w:hAnsi="David"/>
          <w:bCs/>
          <w:u w:val="single"/>
          <w:rtl/>
        </w:rPr>
      </w:pPr>
    </w:p>
    <w:p w14:paraId="3B754858" w14:textId="77777777" w:rsidR="001E0C54" w:rsidRPr="008358FB" w:rsidRDefault="001E0C54" w:rsidP="001E0C54">
      <w:pPr>
        <w:spacing w:line="360" w:lineRule="auto"/>
        <w:contextualSpacing/>
        <w:jc w:val="both"/>
        <w:rPr>
          <w:rFonts w:ascii="David" w:hAnsi="David"/>
          <w:bCs/>
          <w:u w:val="single"/>
          <w:rtl/>
        </w:rPr>
      </w:pPr>
      <w:r w:rsidRPr="008358FB">
        <w:rPr>
          <w:rFonts w:ascii="David" w:hAnsi="David" w:hint="cs"/>
          <w:bCs/>
          <w:u w:val="single"/>
          <w:rtl/>
        </w:rPr>
        <w:t xml:space="preserve">הסדר הטיעון </w:t>
      </w:r>
    </w:p>
    <w:p w14:paraId="1D65248C" w14:textId="77777777" w:rsidR="001E0C54" w:rsidRDefault="001E0C54" w:rsidP="001E0C54">
      <w:pPr>
        <w:spacing w:line="360" w:lineRule="auto"/>
        <w:contextualSpacing/>
        <w:jc w:val="both"/>
        <w:rPr>
          <w:rFonts w:ascii="Calibri" w:hAnsi="Calibri" w:cs="Calibri"/>
          <w:b/>
          <w:bCs/>
          <w:rtl/>
        </w:rPr>
      </w:pPr>
      <w:r w:rsidRPr="008358FB">
        <w:rPr>
          <w:rFonts w:ascii="David" w:hAnsi="David" w:hint="cs"/>
          <w:bCs/>
          <w:rtl/>
        </w:rPr>
        <w:t>2</w:t>
      </w:r>
      <w:r>
        <w:rPr>
          <w:rFonts w:ascii="David" w:hAnsi="David" w:hint="cs"/>
          <w:b/>
          <w:rtl/>
        </w:rPr>
        <w:t xml:space="preserve">. </w:t>
      </w:r>
      <w:r>
        <w:rPr>
          <w:rFonts w:ascii="David" w:hAnsi="David"/>
          <w:b/>
          <w:rtl/>
        </w:rPr>
        <w:t xml:space="preserve">במסגרת ההסדר אשר הציגו ב"כ הצדדים ביום 13/02/19 הוסכם כי הנאשם יודה ויורשע, וישלח לקבלת תסקיר. ב"כ המאשימה טענה כי לאחר קבלת התסקיר ישובו הצדדים להידבר, אך </w:t>
      </w:r>
      <w:r>
        <w:rPr>
          <w:rFonts w:ascii="David" w:hAnsi="David" w:hint="cs"/>
          <w:b/>
          <w:rtl/>
        </w:rPr>
        <w:t>איננה מ</w:t>
      </w:r>
      <w:r>
        <w:rPr>
          <w:rFonts w:ascii="David" w:hAnsi="David"/>
          <w:b/>
          <w:rtl/>
        </w:rPr>
        <w:t>תחייבת לקבל המלצות התסקיר</w:t>
      </w:r>
      <w:r>
        <w:rPr>
          <w:rFonts w:ascii="David" w:hAnsi="David" w:hint="cs"/>
          <w:b/>
          <w:rtl/>
        </w:rPr>
        <w:t>.</w:t>
      </w:r>
    </w:p>
    <w:p w14:paraId="4C37DAC3" w14:textId="77777777" w:rsidR="001E0C54" w:rsidRDefault="001E0C54" w:rsidP="001E0C54">
      <w:pPr>
        <w:spacing w:line="360" w:lineRule="auto"/>
        <w:contextualSpacing/>
        <w:jc w:val="both"/>
        <w:rPr>
          <w:rFonts w:ascii="Calibri" w:hAnsi="Calibri" w:cs="Calibri"/>
          <w:b/>
          <w:bCs/>
          <w:rtl/>
        </w:rPr>
      </w:pPr>
    </w:p>
    <w:p w14:paraId="15D044C2" w14:textId="77777777" w:rsidR="001E0C54" w:rsidRDefault="001E0C54" w:rsidP="001E0C54">
      <w:pPr>
        <w:spacing w:line="360" w:lineRule="auto"/>
        <w:jc w:val="both"/>
        <w:rPr>
          <w:rFonts w:ascii="Arial" w:hAnsi="Arial"/>
          <w:b/>
          <w:bCs/>
          <w:u w:val="single"/>
        </w:rPr>
      </w:pPr>
      <w:r>
        <w:rPr>
          <w:rFonts w:ascii="Arial" w:hAnsi="Arial"/>
          <w:b/>
          <w:bCs/>
          <w:u w:val="single"/>
          <w:rtl/>
        </w:rPr>
        <w:t>תסקירי שירות המבחן</w:t>
      </w:r>
    </w:p>
    <w:p w14:paraId="71EA78C0" w14:textId="77777777" w:rsidR="001E0C54" w:rsidRDefault="001E0C54" w:rsidP="001E0C54">
      <w:pPr>
        <w:spacing w:line="360" w:lineRule="auto"/>
        <w:jc w:val="both"/>
        <w:rPr>
          <w:rFonts w:ascii="Arial" w:hAnsi="Arial"/>
          <w:rtl/>
        </w:rPr>
      </w:pPr>
      <w:r>
        <w:rPr>
          <w:rFonts w:ascii="Arial" w:hAnsi="Arial" w:hint="cs"/>
          <w:b/>
          <w:bCs/>
          <w:rtl/>
        </w:rPr>
        <w:t>3</w:t>
      </w:r>
      <w:r>
        <w:rPr>
          <w:rFonts w:ascii="Arial" w:hAnsi="Arial"/>
          <w:rtl/>
        </w:rPr>
        <w:t xml:space="preserve">. מתסקיר שירות המבחן מיום 23/06/19 עלה כי הנאשם בן 24, רווק המתגורר עם הוריו בקרית גת, </w:t>
      </w:r>
      <w:r>
        <w:rPr>
          <w:rFonts w:ascii="Arial" w:hAnsi="Arial" w:hint="cs"/>
          <w:rtl/>
        </w:rPr>
        <w:t>בוגר</w:t>
      </w:r>
      <w:r>
        <w:rPr>
          <w:rFonts w:ascii="Arial" w:hAnsi="Arial"/>
          <w:rtl/>
        </w:rPr>
        <w:t xml:space="preserve"> 12 שנות לימוד</w:t>
      </w:r>
      <w:r>
        <w:rPr>
          <w:rFonts w:ascii="Arial" w:hAnsi="Arial" w:hint="cs"/>
          <w:rtl/>
        </w:rPr>
        <w:t xml:space="preserve"> ושירת שירות צבאי מלא. </w:t>
      </w:r>
      <w:r>
        <w:rPr>
          <w:rFonts w:ascii="Arial" w:hAnsi="Arial"/>
          <w:rtl/>
        </w:rPr>
        <w:t>לאחר שחרורו השתלב הנאשם בעבודה במפעלים שונים, ומזה כשנה עובד כנהג משאית, וכן הציג אישור רישום ללימודי הנדסה במכללת אשקלון.</w:t>
      </w:r>
    </w:p>
    <w:p w14:paraId="4B275962" w14:textId="77777777" w:rsidR="001E0C54" w:rsidRDefault="001E0C54" w:rsidP="001E0C54">
      <w:pPr>
        <w:spacing w:line="360" w:lineRule="auto"/>
        <w:jc w:val="both"/>
        <w:rPr>
          <w:rFonts w:ascii="Arial" w:hAnsi="Arial"/>
          <w:rtl/>
        </w:rPr>
      </w:pPr>
    </w:p>
    <w:p w14:paraId="3F9CD35A" w14:textId="77777777" w:rsidR="001E0C54" w:rsidRDefault="001E0C54" w:rsidP="001E0C54">
      <w:pPr>
        <w:spacing w:line="360" w:lineRule="auto"/>
        <w:jc w:val="both"/>
        <w:rPr>
          <w:rFonts w:ascii="Arial" w:hAnsi="Arial"/>
          <w:rtl/>
        </w:rPr>
      </w:pPr>
      <w:r>
        <w:rPr>
          <w:rFonts w:ascii="Arial" w:hAnsi="Arial"/>
          <w:rtl/>
        </w:rPr>
        <w:t xml:space="preserve">הנאשם טען כי התנסה בעבר, פעמים בודדות, בשימוש בסמים מסוג קנאביס לאחר שהיה חשוף לכך בשגרת יומו עקב שימוש של חבריו בסמים. עם זאת, טען כי מביצוע העבירה עליה נותן את הדין לא עשה כל שימוש בסמים. הנאשם זומן והתייצב 3 פעמים למסירת בדיקות שתן בין החודשים מאי – יוני 2019 אשר נמצאו נקיות משרידי סם. </w:t>
      </w:r>
    </w:p>
    <w:p w14:paraId="7E64F9DC" w14:textId="77777777" w:rsidR="001E0C54" w:rsidRDefault="001E0C54" w:rsidP="001E0C54">
      <w:pPr>
        <w:spacing w:line="360" w:lineRule="auto"/>
        <w:jc w:val="both"/>
        <w:rPr>
          <w:rFonts w:ascii="Arial" w:hAnsi="Arial"/>
          <w:rtl/>
        </w:rPr>
      </w:pPr>
      <w:r>
        <w:rPr>
          <w:rFonts w:ascii="Arial" w:hAnsi="Arial"/>
          <w:rtl/>
        </w:rPr>
        <w:t>שירות המבחן התרשם כי לא קיימת נזקקות טיפולית בתחום הסמים.</w:t>
      </w:r>
    </w:p>
    <w:p w14:paraId="02D268C8" w14:textId="77777777" w:rsidR="001E0C54" w:rsidRDefault="001E0C54" w:rsidP="001E0C54">
      <w:pPr>
        <w:spacing w:line="360" w:lineRule="auto"/>
        <w:jc w:val="both"/>
        <w:rPr>
          <w:rFonts w:ascii="Arial" w:hAnsi="Arial"/>
          <w:rtl/>
        </w:rPr>
      </w:pPr>
    </w:p>
    <w:p w14:paraId="5D0A7DDF" w14:textId="77777777" w:rsidR="001E0C54" w:rsidRDefault="001E0C54" w:rsidP="001E0C54">
      <w:pPr>
        <w:spacing w:line="360" w:lineRule="auto"/>
        <w:jc w:val="both"/>
        <w:rPr>
          <w:rFonts w:ascii="Arial" w:hAnsi="Arial"/>
          <w:rtl/>
        </w:rPr>
      </w:pPr>
      <w:r>
        <w:rPr>
          <w:rFonts w:ascii="Arial" w:hAnsi="Arial"/>
          <w:rtl/>
        </w:rPr>
        <w:t>הנאשם הודה בביצוע העבירה, טען כי בוצעה לאחר שחרורו מהצבא, על רקע של חוסר מעש וללא תעסוקה משמעותית, ומתוך רצון לסייע לחבר אשר לדבריו לא הצליח לרכוש את הסם בעצמו ומשכך ביקש מהנאשם לרכוש אותו עבורו. לדברי הנאשם, לא קיבל תמורה בעד רכישת הסמים והעברתו לחברו. הנאשם טען כי ידע שעובר על החוק בביצוע מעשיו, אך לא חשב על חומרת המעשים והשלכותיהם. הנאשם טען כי התנהלות מסוג זה איננה מאפיינת אותו כלל.</w:t>
      </w:r>
    </w:p>
    <w:p w14:paraId="768BBD36" w14:textId="77777777" w:rsidR="001E0C54" w:rsidRDefault="001E0C54" w:rsidP="001E0C54">
      <w:pPr>
        <w:spacing w:line="360" w:lineRule="auto"/>
        <w:jc w:val="both"/>
        <w:rPr>
          <w:rFonts w:ascii="Arial" w:hAnsi="Arial"/>
          <w:rtl/>
        </w:rPr>
      </w:pPr>
    </w:p>
    <w:p w14:paraId="69E6B25B" w14:textId="77777777" w:rsidR="001E0C54" w:rsidRDefault="001E0C54" w:rsidP="001E0C54">
      <w:pPr>
        <w:spacing w:line="360" w:lineRule="auto"/>
        <w:jc w:val="both"/>
        <w:rPr>
          <w:rFonts w:ascii="Arial" w:hAnsi="Arial"/>
          <w:rtl/>
        </w:rPr>
      </w:pPr>
      <w:r>
        <w:rPr>
          <w:rFonts w:ascii="Arial" w:hAnsi="Arial" w:hint="cs"/>
          <w:rtl/>
        </w:rPr>
        <w:t xml:space="preserve">שירות המבחן התרשם מנאשם בעל רקע ותפקוד נורמטיבי אך בעל קשיים רגשיים שעשויים להוות גורם סיכון להישנות עבירות ועל כן המליץ לדחות הדיון לצורך שילוב הנאשם בטיפול. </w:t>
      </w:r>
    </w:p>
    <w:p w14:paraId="52554312" w14:textId="77777777" w:rsidR="001E0C54" w:rsidRDefault="001E0C54" w:rsidP="001E0C54">
      <w:pPr>
        <w:spacing w:line="360" w:lineRule="auto"/>
        <w:jc w:val="both"/>
        <w:rPr>
          <w:rFonts w:ascii="Arial" w:hAnsi="Arial"/>
          <w:rtl/>
        </w:rPr>
      </w:pPr>
    </w:p>
    <w:p w14:paraId="2BFAE69A" w14:textId="77777777" w:rsidR="001E0C54" w:rsidRDefault="001E0C54" w:rsidP="001E0C54">
      <w:pPr>
        <w:spacing w:line="360" w:lineRule="auto"/>
        <w:jc w:val="both"/>
        <w:rPr>
          <w:rFonts w:ascii="Arial" w:hAnsi="Arial"/>
          <w:rtl/>
        </w:rPr>
      </w:pPr>
      <w:r>
        <w:rPr>
          <w:rFonts w:ascii="Arial" w:hAnsi="Arial" w:hint="cs"/>
          <w:b/>
          <w:bCs/>
          <w:rtl/>
        </w:rPr>
        <w:lastRenderedPageBreak/>
        <w:t>4</w:t>
      </w:r>
      <w:r>
        <w:rPr>
          <w:rFonts w:ascii="Arial" w:hAnsi="Arial"/>
          <w:rtl/>
        </w:rPr>
        <w:t xml:space="preserve">. </w:t>
      </w:r>
      <w:r>
        <w:rPr>
          <w:rFonts w:ascii="Arial" w:hAnsi="Arial" w:hint="cs"/>
          <w:rtl/>
        </w:rPr>
        <w:t xml:space="preserve">בשני תסקירים דווח על נכונות של הנאשם להשתלב בטיפול קבוצתי אשר לא יצא לפועל שלא באשמת הנאשם ועל כן נדחו הדיונים מעת לעת. במהלך תקופה זו החל הנאשם בלימודים אקדמאיים והשתלב בעבודה כטבח. </w:t>
      </w:r>
    </w:p>
    <w:p w14:paraId="536D6C59" w14:textId="77777777" w:rsidR="001E0C54" w:rsidRDefault="001E0C54" w:rsidP="001E0C54">
      <w:pPr>
        <w:spacing w:line="360" w:lineRule="auto"/>
        <w:jc w:val="both"/>
        <w:rPr>
          <w:rFonts w:ascii="Arial" w:hAnsi="Arial"/>
          <w:b/>
          <w:bCs/>
          <w:rtl/>
        </w:rPr>
      </w:pPr>
    </w:p>
    <w:p w14:paraId="27E27A56" w14:textId="77777777" w:rsidR="001E0C54" w:rsidRDefault="001E0C54" w:rsidP="001E0C54">
      <w:pPr>
        <w:spacing w:line="360" w:lineRule="auto"/>
        <w:jc w:val="both"/>
        <w:rPr>
          <w:rFonts w:ascii="Arial" w:hAnsi="Arial"/>
          <w:rtl/>
        </w:rPr>
      </w:pPr>
      <w:r>
        <w:rPr>
          <w:rFonts w:ascii="Arial" w:hAnsi="Arial"/>
          <w:b/>
          <w:bCs/>
          <w:rtl/>
        </w:rPr>
        <w:t>5</w:t>
      </w:r>
      <w:r>
        <w:rPr>
          <w:rFonts w:ascii="Arial" w:hAnsi="Arial"/>
          <w:rtl/>
        </w:rPr>
        <w:t>.  מתסקירו העדכני של שירות המבחן מיום 28/04/20 עלה כי הנאשם החל השתתפותו בקבוצה טיפולית ביום 20/01/20 והשתתף ב-8 מפגשים עד שהופסקה העבודה הקבוצתית בשל התפשטות נגיף הקורונה והנחיות משרד הבריאות. דווח כי הנאשם השתלב בקבוצה באופן תקין, הגיע בעקביות, לקח חלק פעיל בדיונים, שיתף, ואף טען כי בניגוד לחששותיו חש כי המפגש הקבוצתי בעל ערך ויכול לתרום לו. עוד דווח כי לאחר הפסקת מפגשי הקבוצה המשיך הנאשם לעמוד בקשר טלפוני עם שירות המבחן ושיתף כי ממשיך את לימודיו בלמידה מקוונת.</w:t>
      </w:r>
    </w:p>
    <w:p w14:paraId="367BED37" w14:textId="77777777" w:rsidR="001E0C54" w:rsidRDefault="001E0C54" w:rsidP="001E0C54">
      <w:pPr>
        <w:spacing w:line="360" w:lineRule="auto"/>
        <w:jc w:val="both"/>
        <w:rPr>
          <w:rFonts w:ascii="Arial" w:hAnsi="Arial"/>
          <w:rtl/>
        </w:rPr>
      </w:pPr>
    </w:p>
    <w:p w14:paraId="4B4824C1" w14:textId="77777777" w:rsidR="001E0C54" w:rsidRDefault="001E0C54" w:rsidP="001E0C54">
      <w:pPr>
        <w:spacing w:line="360" w:lineRule="auto"/>
        <w:jc w:val="both"/>
        <w:rPr>
          <w:rFonts w:ascii="Arial" w:hAnsi="Arial"/>
          <w:rtl/>
        </w:rPr>
      </w:pPr>
      <w:r>
        <w:rPr>
          <w:rFonts w:ascii="Arial" w:hAnsi="Arial"/>
          <w:rtl/>
        </w:rPr>
        <w:t>נוסף על המפורט, ביום 14/01/20 התבקש הנאשם למסור בדיקת שתן נוספת, אשר גם היא נמצאה נקייה משרידי סם.</w:t>
      </w:r>
    </w:p>
    <w:p w14:paraId="29B6EEC9" w14:textId="77777777" w:rsidR="001E0C54" w:rsidRDefault="001E0C54" w:rsidP="001E0C54">
      <w:pPr>
        <w:spacing w:line="360" w:lineRule="auto"/>
        <w:jc w:val="both"/>
        <w:rPr>
          <w:rFonts w:ascii="Arial" w:hAnsi="Arial"/>
          <w:rtl/>
        </w:rPr>
      </w:pPr>
    </w:p>
    <w:p w14:paraId="69F3535C" w14:textId="77777777" w:rsidR="001E0C54" w:rsidRDefault="001E0C54" w:rsidP="001E0C54">
      <w:pPr>
        <w:spacing w:line="360" w:lineRule="auto"/>
        <w:jc w:val="both"/>
        <w:rPr>
          <w:rFonts w:ascii="Arial" w:hAnsi="Arial"/>
          <w:rtl/>
        </w:rPr>
      </w:pPr>
      <w:r>
        <w:rPr>
          <w:rFonts w:ascii="Arial" w:hAnsi="Arial"/>
          <w:rtl/>
        </w:rPr>
        <w:t xml:space="preserve">במהלך תקופת הדחיה לא פתחו כנגד הנאשם תיקים נוספים. </w:t>
      </w:r>
    </w:p>
    <w:p w14:paraId="36D1CF0F" w14:textId="77777777" w:rsidR="001E0C54" w:rsidRDefault="001E0C54" w:rsidP="001E0C54">
      <w:pPr>
        <w:spacing w:line="360" w:lineRule="auto"/>
        <w:jc w:val="both"/>
        <w:rPr>
          <w:rFonts w:ascii="Arial" w:hAnsi="Arial"/>
          <w:rtl/>
        </w:rPr>
      </w:pPr>
    </w:p>
    <w:p w14:paraId="2A0135BD" w14:textId="77777777" w:rsidR="001E0C54" w:rsidRDefault="001E0C54" w:rsidP="001E0C54">
      <w:pPr>
        <w:spacing w:line="360" w:lineRule="auto"/>
        <w:jc w:val="both"/>
        <w:rPr>
          <w:rFonts w:ascii="Arial" w:hAnsi="Arial"/>
          <w:rtl/>
        </w:rPr>
      </w:pPr>
      <w:r>
        <w:rPr>
          <w:rFonts w:ascii="Arial" w:hAnsi="Arial"/>
          <w:rtl/>
        </w:rPr>
        <w:t>לאור המפורט, בשים לב לשיתוף הפעולה המתמשך עם שירות המבחן, סבר שירות המבחן כי יש להמשיך את ההליך הטיפולי אשר עובר הנאשם במסגרת צו מבחן שבמהלכו יתבקש למסור בדיקות שתן וימשיך השתתפותו בקבוצה טיפולית, וכן כי יש להטיל על הנאשם עונש חינוכי בדמות צו של"צ בהיקף נרחב של 200 שעות, וחתימה על התחייבות. הנאשם הביע הסכמתו להמלצה זו.</w:t>
      </w:r>
    </w:p>
    <w:p w14:paraId="0B774B7C" w14:textId="77777777" w:rsidR="001E0C54" w:rsidRDefault="001E0C54" w:rsidP="001E0C54">
      <w:pPr>
        <w:spacing w:line="360" w:lineRule="auto"/>
        <w:jc w:val="both"/>
        <w:rPr>
          <w:rFonts w:ascii="Arial" w:hAnsi="Arial"/>
          <w:rtl/>
        </w:rPr>
      </w:pPr>
    </w:p>
    <w:p w14:paraId="7A9793E2" w14:textId="77777777" w:rsidR="001E0C54" w:rsidRDefault="001E0C54" w:rsidP="001E0C54">
      <w:pPr>
        <w:spacing w:line="360" w:lineRule="auto"/>
        <w:jc w:val="both"/>
        <w:rPr>
          <w:rFonts w:ascii="Arial" w:hAnsi="Arial"/>
          <w:rtl/>
        </w:rPr>
      </w:pPr>
      <w:r>
        <w:rPr>
          <w:rFonts w:ascii="Arial" w:hAnsi="Arial"/>
          <w:rtl/>
        </w:rPr>
        <w:t xml:space="preserve">כמו כן, באשר לסוגיית אי ההרשעה, לאור גילו הצעיר של הנאשם, היעדר עבר פלילי, שיתוף הפעולה עם השירות כמפורט, תחילת לימודיו ורצונו להשתלב בתעסוקה כהנדסאי חשמל, ומאחר וסבורים כי </w:t>
      </w:r>
      <w:r w:rsidRPr="00265E3E">
        <w:rPr>
          <w:rFonts w:ascii="Arial" w:hAnsi="Arial"/>
          <w:b/>
          <w:bCs/>
          <w:rtl/>
        </w:rPr>
        <w:t xml:space="preserve">"הרשעה בדין עלולה לחסום בפניו אפשרויות תעסוקה ופרנסה רבות בתחום אותו לומד כיום" - </w:t>
      </w:r>
      <w:r>
        <w:rPr>
          <w:rFonts w:ascii="Arial" w:hAnsi="Arial"/>
          <w:rtl/>
        </w:rPr>
        <w:t>המליץ שירות המבחן על ביטול הרשעתו של הנאשם, וזאת בכפוף להטלת צו של"צ וצו מבחן.</w:t>
      </w:r>
    </w:p>
    <w:p w14:paraId="24113C04" w14:textId="77777777" w:rsidR="001E0C54" w:rsidRDefault="001E0C54" w:rsidP="001E0C54">
      <w:pPr>
        <w:spacing w:line="360" w:lineRule="auto"/>
        <w:contextualSpacing/>
        <w:jc w:val="both"/>
        <w:rPr>
          <w:rFonts w:ascii="Calibri" w:hAnsi="Calibri"/>
          <w:b/>
          <w:bCs/>
          <w:u w:val="single"/>
          <w:rtl/>
        </w:rPr>
      </w:pPr>
    </w:p>
    <w:p w14:paraId="4438231F" w14:textId="77777777" w:rsidR="001E0C54" w:rsidRDefault="001E0C54" w:rsidP="001E0C54">
      <w:pPr>
        <w:spacing w:line="360" w:lineRule="auto"/>
        <w:contextualSpacing/>
        <w:jc w:val="both"/>
        <w:rPr>
          <w:rFonts w:ascii="David" w:hAnsi="David"/>
          <w:b/>
          <w:bCs/>
          <w:u w:val="single"/>
          <w:rtl/>
        </w:rPr>
      </w:pPr>
      <w:r>
        <w:rPr>
          <w:rFonts w:ascii="David" w:hAnsi="David"/>
          <w:b/>
          <w:bCs/>
          <w:u w:val="single"/>
          <w:rtl/>
        </w:rPr>
        <w:t xml:space="preserve">טיעוני הצדדים </w:t>
      </w:r>
    </w:p>
    <w:p w14:paraId="38A8228C" w14:textId="77777777" w:rsidR="001E0C54" w:rsidRDefault="001E0C54" w:rsidP="001E0C54">
      <w:pPr>
        <w:spacing w:line="360" w:lineRule="auto"/>
        <w:contextualSpacing/>
        <w:jc w:val="both"/>
        <w:rPr>
          <w:rFonts w:ascii="David" w:hAnsi="David"/>
          <w:b/>
          <w:rtl/>
        </w:rPr>
      </w:pPr>
      <w:r>
        <w:rPr>
          <w:rFonts w:ascii="David" w:hAnsi="David"/>
          <w:b/>
          <w:bCs/>
          <w:rtl/>
        </w:rPr>
        <w:t xml:space="preserve">7. </w:t>
      </w:r>
      <w:r>
        <w:rPr>
          <w:rFonts w:ascii="David" w:hAnsi="David"/>
          <w:b/>
          <w:rtl/>
        </w:rPr>
        <w:t>במועד הטיעונים לעונש טענה ב"כ המאשימה כי מתחם הענישה בגין עבירת הסחר בסמים אשר ביצע הנאשם נע בין מספר חודשי מאסר שיכול וירוצו בעבודות שירות ועד למאסר בפועל מאחורי סורג ובריח לצד ענישה נלווית, והפנתה לערכים המוגנים אשר נפגעו כתוצאה מביצוע העבירה.</w:t>
      </w:r>
    </w:p>
    <w:p w14:paraId="254216E0" w14:textId="77777777" w:rsidR="001E0C54" w:rsidRDefault="001E0C54" w:rsidP="001E0C54">
      <w:pPr>
        <w:spacing w:line="360" w:lineRule="auto"/>
        <w:contextualSpacing/>
        <w:jc w:val="both"/>
        <w:rPr>
          <w:rFonts w:ascii="David" w:hAnsi="David"/>
          <w:b/>
          <w:rtl/>
        </w:rPr>
      </w:pPr>
    </w:p>
    <w:p w14:paraId="737443D2" w14:textId="77777777" w:rsidR="001E0C54" w:rsidRDefault="001E0C54" w:rsidP="001E0C54">
      <w:pPr>
        <w:spacing w:line="360" w:lineRule="auto"/>
        <w:contextualSpacing/>
        <w:jc w:val="both"/>
        <w:rPr>
          <w:rFonts w:ascii="David" w:hAnsi="David"/>
          <w:b/>
          <w:rtl/>
        </w:rPr>
      </w:pPr>
      <w:r>
        <w:rPr>
          <w:rFonts w:ascii="David" w:hAnsi="David"/>
          <w:b/>
          <w:rtl/>
        </w:rPr>
        <w:t xml:space="preserve">בתוככי המתחם עתרה ב"כ המאשימה להטיל על הנאשם ענישה ברף התחתון, אשר כולל מאסר בפועל לריצוי בדרך של עבודות שירות, מאסר מותנה, התחייבות, פסילה בפועל ועל תנאי וקנס, וזאת בשים לב לתסקיר החיובי אשר הוגש בעניינו ובפרט לעובדה כי השתלב בלימודים ומשתף פעולה עם שירות המבחן, ומאידך גיסא לחומרת העבירה ולעברו הפלילי הצבאי של הנאשם. </w:t>
      </w:r>
    </w:p>
    <w:p w14:paraId="4E5AD52F" w14:textId="77777777" w:rsidR="001E0C54" w:rsidRDefault="001E0C54" w:rsidP="001E0C54">
      <w:pPr>
        <w:spacing w:line="360" w:lineRule="auto"/>
        <w:contextualSpacing/>
        <w:jc w:val="both"/>
        <w:rPr>
          <w:rFonts w:ascii="David" w:hAnsi="David"/>
          <w:b/>
          <w:rtl/>
        </w:rPr>
      </w:pPr>
    </w:p>
    <w:p w14:paraId="0DB15CB2" w14:textId="77777777" w:rsidR="001E0C54" w:rsidRDefault="001E0C54" w:rsidP="001E0C54">
      <w:pPr>
        <w:spacing w:line="360" w:lineRule="auto"/>
        <w:contextualSpacing/>
        <w:jc w:val="both"/>
        <w:rPr>
          <w:rFonts w:ascii="David" w:hAnsi="David"/>
          <w:b/>
          <w:rtl/>
        </w:rPr>
      </w:pPr>
      <w:r>
        <w:rPr>
          <w:rFonts w:ascii="David" w:hAnsi="David"/>
          <w:b/>
          <w:rtl/>
        </w:rPr>
        <w:t>ב"כ המאשימה הגישה גיליון ר"פ של הנאשם (</w:t>
      </w:r>
      <w:r>
        <w:rPr>
          <w:rFonts w:ascii="David" w:hAnsi="David"/>
          <w:bCs/>
          <w:rtl/>
        </w:rPr>
        <w:t>ת/1</w:t>
      </w:r>
      <w:r>
        <w:rPr>
          <w:rFonts w:ascii="David" w:hAnsi="David"/>
          <w:b/>
          <w:rtl/>
        </w:rPr>
        <w:t xml:space="preserve">) ממנו עולה כי </w:t>
      </w:r>
      <w:r>
        <w:rPr>
          <w:rFonts w:ascii="Arial" w:hAnsi="Arial"/>
          <w:rtl/>
        </w:rPr>
        <w:t>הנאשם נעדר עבר פלילי למעט הרשעה אחת בגין עבירת רכוש במסגרת שירותו הצבאי אשר בשלה נדון למאסר מותנה, קנס כספי והורדה בדרגה.</w:t>
      </w:r>
    </w:p>
    <w:p w14:paraId="683DCC5D" w14:textId="77777777" w:rsidR="001E0C54" w:rsidRDefault="001E0C54" w:rsidP="001E0C54">
      <w:pPr>
        <w:spacing w:line="360" w:lineRule="auto"/>
        <w:contextualSpacing/>
        <w:jc w:val="both"/>
        <w:rPr>
          <w:rFonts w:ascii="David" w:hAnsi="David"/>
          <w:b/>
          <w:rtl/>
        </w:rPr>
      </w:pPr>
    </w:p>
    <w:p w14:paraId="25D5F25D" w14:textId="77777777" w:rsidR="001E0C54" w:rsidRDefault="001E0C54" w:rsidP="001E0C54">
      <w:pPr>
        <w:spacing w:line="360" w:lineRule="auto"/>
        <w:contextualSpacing/>
        <w:jc w:val="both"/>
        <w:rPr>
          <w:rFonts w:ascii="David" w:hAnsi="David"/>
          <w:b/>
          <w:rtl/>
        </w:rPr>
      </w:pPr>
      <w:r>
        <w:rPr>
          <w:rFonts w:ascii="David" w:hAnsi="David"/>
          <w:b/>
          <w:bCs/>
          <w:rtl/>
        </w:rPr>
        <w:t xml:space="preserve">8. </w:t>
      </w:r>
      <w:r>
        <w:rPr>
          <w:rFonts w:ascii="David" w:hAnsi="David"/>
          <w:b/>
          <w:rtl/>
        </w:rPr>
        <w:t>ב"כ הנאשם עתר לאמץ המלצת שירות המבחן במלואה, הן לעניין סוגיית ההרשעה והן לעניין העונש.</w:t>
      </w:r>
    </w:p>
    <w:p w14:paraId="1BBFA6D0" w14:textId="77777777" w:rsidR="001E0C54" w:rsidRDefault="001E0C54" w:rsidP="001E0C54">
      <w:pPr>
        <w:spacing w:line="360" w:lineRule="auto"/>
        <w:contextualSpacing/>
        <w:jc w:val="both"/>
        <w:rPr>
          <w:rFonts w:ascii="David" w:hAnsi="David"/>
          <w:b/>
          <w:rtl/>
        </w:rPr>
      </w:pPr>
    </w:p>
    <w:p w14:paraId="226F48EA" w14:textId="77777777" w:rsidR="001E0C54" w:rsidRDefault="001E0C54" w:rsidP="001E0C54">
      <w:pPr>
        <w:spacing w:line="360" w:lineRule="auto"/>
        <w:contextualSpacing/>
        <w:jc w:val="both"/>
        <w:rPr>
          <w:rFonts w:ascii="David" w:hAnsi="David"/>
          <w:b/>
          <w:rtl/>
        </w:rPr>
      </w:pPr>
      <w:r>
        <w:rPr>
          <w:rFonts w:ascii="David" w:hAnsi="David"/>
          <w:b/>
          <w:rtl/>
        </w:rPr>
        <w:t xml:space="preserve">ב"כ הנאשם הפנה בטיעוניו להיעדר עבר פלילי ולכך שלא נפתחו תיקים חדשים כנגד הנאשם, וזאת למעט העבר הצבאי, וכן לאורח החיים הנורמטיבי אשר מנהל כיום הנאשם אשר כולל עבודה ולימודים ואף שינוי לטובה בזהות חבריו. </w:t>
      </w:r>
    </w:p>
    <w:p w14:paraId="224CFA33" w14:textId="77777777" w:rsidR="001E0C54" w:rsidRDefault="001E0C54" w:rsidP="001E0C54">
      <w:pPr>
        <w:spacing w:line="360" w:lineRule="auto"/>
        <w:contextualSpacing/>
        <w:jc w:val="both"/>
        <w:rPr>
          <w:rFonts w:ascii="David" w:hAnsi="David"/>
          <w:b/>
          <w:rtl/>
        </w:rPr>
      </w:pPr>
    </w:p>
    <w:p w14:paraId="7E272B0C" w14:textId="77777777" w:rsidR="001E0C54" w:rsidRDefault="001E0C54" w:rsidP="001E0C54">
      <w:pPr>
        <w:spacing w:line="360" w:lineRule="auto"/>
        <w:contextualSpacing/>
        <w:jc w:val="both"/>
        <w:rPr>
          <w:rFonts w:ascii="David" w:hAnsi="David"/>
          <w:b/>
          <w:rtl/>
        </w:rPr>
      </w:pPr>
      <w:r>
        <w:rPr>
          <w:rFonts w:ascii="David" w:hAnsi="David"/>
          <w:b/>
          <w:rtl/>
        </w:rPr>
        <w:t>עוד הפנה ב"כ הנאשם לשיתוף הפעולה המלא עם שירות המבחן כמפורט בתסקירים, לעובדה כי בדיקות שתן אשר מסר נמצאו נקיות משרידי סם, ולכך שהנאשם נעדר דפוסים עבריינים.</w:t>
      </w:r>
    </w:p>
    <w:p w14:paraId="3FAB783A" w14:textId="77777777" w:rsidR="001E0C54" w:rsidRDefault="001E0C54" w:rsidP="001E0C54">
      <w:pPr>
        <w:spacing w:line="360" w:lineRule="auto"/>
        <w:contextualSpacing/>
        <w:jc w:val="both"/>
        <w:rPr>
          <w:rFonts w:ascii="David" w:hAnsi="David"/>
          <w:b/>
          <w:rtl/>
        </w:rPr>
      </w:pPr>
    </w:p>
    <w:p w14:paraId="30300F21" w14:textId="77777777" w:rsidR="001E0C54" w:rsidRDefault="001E0C54" w:rsidP="001E0C54">
      <w:pPr>
        <w:spacing w:line="360" w:lineRule="auto"/>
        <w:contextualSpacing/>
        <w:jc w:val="both"/>
        <w:rPr>
          <w:rFonts w:ascii="David" w:hAnsi="David"/>
          <w:b/>
          <w:rtl/>
        </w:rPr>
      </w:pPr>
      <w:r>
        <w:rPr>
          <w:rFonts w:ascii="David" w:hAnsi="David"/>
          <w:b/>
          <w:rtl/>
        </w:rPr>
        <w:t xml:space="preserve">כמו כן, ב"כ הנאשם טען כי יש לתת משקל אף לכך שכנגד יתר המעורבים באותה הפרשה נסגר התיק, וכן לסוג הסם אשר נסחר. </w:t>
      </w:r>
    </w:p>
    <w:p w14:paraId="3EC13875" w14:textId="77777777" w:rsidR="001E0C54" w:rsidRDefault="001E0C54" w:rsidP="001E0C54">
      <w:pPr>
        <w:spacing w:line="360" w:lineRule="auto"/>
        <w:contextualSpacing/>
        <w:jc w:val="both"/>
        <w:rPr>
          <w:rFonts w:ascii="David" w:hAnsi="David"/>
          <w:b/>
          <w:rtl/>
        </w:rPr>
      </w:pPr>
    </w:p>
    <w:p w14:paraId="159FC7AF" w14:textId="77777777" w:rsidR="001E0C54" w:rsidRDefault="001E0C54" w:rsidP="001E0C54">
      <w:pPr>
        <w:spacing w:line="360" w:lineRule="auto"/>
        <w:contextualSpacing/>
        <w:jc w:val="both"/>
        <w:rPr>
          <w:rFonts w:ascii="David" w:hAnsi="David"/>
          <w:b/>
          <w:rtl/>
        </w:rPr>
      </w:pPr>
      <w:r>
        <w:rPr>
          <w:rFonts w:ascii="David" w:hAnsi="David"/>
          <w:b/>
          <w:rtl/>
        </w:rPr>
        <w:t xml:space="preserve">ב"כ הנאשם טען כי לאור גילו הצעיר של הנאשם כל הרשעה עלולה לפגוע בעתידו ולהוות לו מכשול, וביקש שלא למצות עמו את הדין ולהסתפק </w:t>
      </w:r>
      <w:r>
        <w:rPr>
          <w:rFonts w:ascii="David" w:hAnsi="David" w:hint="cs"/>
          <w:b/>
          <w:rtl/>
        </w:rPr>
        <w:t>ב</w:t>
      </w:r>
      <w:r>
        <w:rPr>
          <w:rFonts w:ascii="David" w:hAnsi="David"/>
          <w:b/>
          <w:rtl/>
        </w:rPr>
        <w:t>ענישה אשר הומלצה על ידי שירות המבחן.</w:t>
      </w:r>
    </w:p>
    <w:p w14:paraId="2DBC3C9F" w14:textId="77777777" w:rsidR="001E0C54" w:rsidRDefault="001E0C54" w:rsidP="001E0C54">
      <w:pPr>
        <w:spacing w:line="360" w:lineRule="auto"/>
        <w:contextualSpacing/>
        <w:jc w:val="both"/>
        <w:rPr>
          <w:rFonts w:ascii="David" w:hAnsi="David"/>
          <w:b/>
          <w:rtl/>
        </w:rPr>
      </w:pPr>
    </w:p>
    <w:p w14:paraId="296E7482" w14:textId="77777777" w:rsidR="001E0C54" w:rsidRDefault="001E0C54" w:rsidP="001E0C54">
      <w:pPr>
        <w:spacing w:line="360" w:lineRule="auto"/>
        <w:contextualSpacing/>
        <w:jc w:val="both"/>
        <w:rPr>
          <w:rFonts w:ascii="David" w:hAnsi="David"/>
          <w:b/>
          <w:rtl/>
        </w:rPr>
      </w:pPr>
      <w:r>
        <w:rPr>
          <w:rFonts w:ascii="David" w:hAnsi="David"/>
          <w:b/>
          <w:bCs/>
          <w:rtl/>
        </w:rPr>
        <w:t xml:space="preserve">9. </w:t>
      </w:r>
      <w:r>
        <w:rPr>
          <w:rFonts w:ascii="David" w:hAnsi="David"/>
          <w:b/>
          <w:rtl/>
        </w:rPr>
        <w:t xml:space="preserve">במועד הדיון טען הנאשם כי מצטער על מעשיו, וכי כיום עובד כטבח ולומד הנדסת חשמל. הנאשם טען כי בשנת הלימודים הקרובה מתכוון לנסות להשתלב בעבודה באינטל במקביל ללימודיו, כפי שעשו חבריו. לשאלת בית המשפט השיב הנאשם כי טרם פנה לאינטל מאחר וממתין לסיום ההליך הפלילי ולקבלת ציוני שנת הלימודים הנוכחית, וכי לא יודע מהם תנאי הקבלה למסלול העבודה בחברה. </w:t>
      </w:r>
    </w:p>
    <w:p w14:paraId="0D78636A" w14:textId="77777777" w:rsidR="001E0C54" w:rsidRDefault="001E0C54" w:rsidP="001E0C54">
      <w:pPr>
        <w:spacing w:line="360" w:lineRule="auto"/>
        <w:contextualSpacing/>
        <w:jc w:val="both"/>
        <w:rPr>
          <w:rFonts w:ascii="David" w:hAnsi="David"/>
          <w:b/>
          <w:rtl/>
        </w:rPr>
      </w:pPr>
    </w:p>
    <w:p w14:paraId="5E8A9839" w14:textId="77777777" w:rsidR="001E0C54" w:rsidRDefault="001E0C54" w:rsidP="001E0C54">
      <w:pPr>
        <w:spacing w:line="360" w:lineRule="auto"/>
        <w:jc w:val="both"/>
        <w:rPr>
          <w:rFonts w:ascii="Arial" w:hAnsi="Arial"/>
          <w:b/>
          <w:bCs/>
          <w:u w:val="single"/>
          <w:rtl/>
        </w:rPr>
      </w:pPr>
      <w:r>
        <w:rPr>
          <w:rFonts w:ascii="Arial" w:hAnsi="Arial"/>
          <w:b/>
          <w:bCs/>
          <w:u w:val="single"/>
          <w:rtl/>
        </w:rPr>
        <w:t>קביעת מתחם העונש ההולם</w:t>
      </w:r>
    </w:p>
    <w:p w14:paraId="05FE9DD3" w14:textId="77777777" w:rsidR="001E0C54" w:rsidRDefault="001E0C54" w:rsidP="001E0C54">
      <w:pPr>
        <w:spacing w:line="360" w:lineRule="auto"/>
        <w:jc w:val="both"/>
        <w:rPr>
          <w:rFonts w:ascii="Arial" w:hAnsi="Arial"/>
          <w:b/>
          <w:bCs/>
          <w:u w:val="single"/>
          <w:rtl/>
        </w:rPr>
      </w:pPr>
      <w:r>
        <w:rPr>
          <w:rFonts w:ascii="Arial" w:hAnsi="Arial"/>
          <w:b/>
          <w:bCs/>
          <w:rtl/>
        </w:rPr>
        <w:t>10.</w:t>
      </w:r>
      <w:r>
        <w:rPr>
          <w:rFonts w:ascii="Arial" w:hAnsi="Arial"/>
          <w:rtl/>
        </w:rPr>
        <w:t xml:space="preserve"> </w:t>
      </w:r>
      <w:r>
        <w:rPr>
          <w:rFonts w:ascii="Arial" w:hAnsi="Arial"/>
          <w:b/>
          <w:bCs/>
          <w:rtl/>
        </w:rPr>
        <w:t>תיקון 113 ל</w:t>
      </w:r>
      <w:hyperlink r:id="rId16" w:history="1">
        <w:r w:rsidR="0007271A" w:rsidRPr="0007271A">
          <w:rPr>
            <w:rFonts w:ascii="Arial" w:hAnsi="Arial"/>
            <w:b/>
            <w:bCs/>
            <w:color w:val="0000FF"/>
            <w:u w:val="single"/>
            <w:rtl/>
          </w:rPr>
          <w:t>חוק העונשין</w:t>
        </w:r>
      </w:hyperlink>
      <w:r>
        <w:rPr>
          <w:rFonts w:ascii="Arial" w:hAnsi="Arial"/>
          <w:rtl/>
        </w:rPr>
        <w:t xml:space="preserve"> קובע מנגנון תלת-שלבי להליך גזירת העונש: בשלב הראשון ייקבע מתחם העונש ההולם בהתחשב בעבירה ובנסיבות הקשורות בביצועה, בשלב השני תבחן התקיימותם של שיקולים חריגים המצדיקים סטייה מן המתחם שנקבע – פוטנציאל שיקום מיוחד או הגנה על שלום הציבור, ובשלב השלישי</w:t>
      </w:r>
      <w:r>
        <w:rPr>
          <w:rFonts w:ascii="Arial" w:hAnsi="Arial" w:hint="cs"/>
          <w:rtl/>
        </w:rPr>
        <w:t>, ככל שבית המשפט לא סטה ממתחם העונש,</w:t>
      </w:r>
      <w:r>
        <w:rPr>
          <w:rFonts w:ascii="Arial" w:hAnsi="Arial"/>
          <w:rtl/>
        </w:rPr>
        <w:t xml:space="preserve"> ייגזר העונש הראוי בתוככי המתחם שנקבע, בהתחשב בנסיבות שאינן קשורות לביצוע העבירה.</w:t>
      </w:r>
    </w:p>
    <w:p w14:paraId="13F95656" w14:textId="77777777" w:rsidR="001E0C54" w:rsidRDefault="001E0C54" w:rsidP="001E0C54">
      <w:pPr>
        <w:spacing w:line="360" w:lineRule="auto"/>
        <w:jc w:val="both"/>
        <w:rPr>
          <w:rFonts w:ascii="David" w:hAnsi="David"/>
        </w:rPr>
      </w:pPr>
    </w:p>
    <w:p w14:paraId="5F71DAEF" w14:textId="77777777" w:rsidR="001E0C54" w:rsidRDefault="001E0C54" w:rsidP="001E0C54">
      <w:pPr>
        <w:spacing w:line="360" w:lineRule="auto"/>
        <w:jc w:val="both"/>
        <w:rPr>
          <w:rFonts w:ascii="David" w:hAnsi="David"/>
          <w:rtl/>
        </w:rPr>
      </w:pPr>
      <w:r>
        <w:rPr>
          <w:rFonts w:ascii="David" w:hAnsi="David"/>
          <w:b/>
          <w:bCs/>
          <w:rtl/>
        </w:rPr>
        <w:t>11.</w:t>
      </w:r>
      <w:r>
        <w:rPr>
          <w:rFonts w:ascii="David" w:hAnsi="David"/>
          <w:rtl/>
        </w:rPr>
        <w:t xml:space="preserve"> במקרה זה מדובר ב</w:t>
      </w:r>
      <w:r w:rsidRPr="008358FB">
        <w:rPr>
          <w:rFonts w:ascii="David" w:hAnsi="David"/>
          <w:b/>
          <w:bCs/>
          <w:rtl/>
        </w:rPr>
        <w:t>אירוע אחד</w:t>
      </w:r>
      <w:r>
        <w:rPr>
          <w:rFonts w:ascii="David" w:hAnsi="David"/>
          <w:rtl/>
        </w:rPr>
        <w:t xml:space="preserve"> אשר בעניינו יש לקבוע מתחם עונש הולם אחד.</w:t>
      </w:r>
    </w:p>
    <w:p w14:paraId="2DE8FDC8" w14:textId="77777777" w:rsidR="001E0C54" w:rsidRDefault="001E0C54" w:rsidP="001E0C54">
      <w:pPr>
        <w:spacing w:line="360" w:lineRule="auto"/>
        <w:jc w:val="both"/>
        <w:rPr>
          <w:rFonts w:ascii="David" w:hAnsi="David"/>
          <w:rtl/>
        </w:rPr>
      </w:pPr>
    </w:p>
    <w:p w14:paraId="5E5CBE44" w14:textId="77777777" w:rsidR="001E0C54" w:rsidRDefault="001E0C54" w:rsidP="001E0C54">
      <w:pPr>
        <w:spacing w:line="360" w:lineRule="auto"/>
        <w:jc w:val="both"/>
        <w:rPr>
          <w:rFonts w:ascii="David" w:hAnsi="David"/>
          <w:rtl/>
        </w:rPr>
      </w:pPr>
      <w:r>
        <w:rPr>
          <w:rFonts w:ascii="David" w:hAnsi="David"/>
          <w:b/>
          <w:bCs/>
          <w:rtl/>
        </w:rPr>
        <w:t>12.</w:t>
      </w:r>
      <w:r>
        <w:rPr>
          <w:rFonts w:ascii="David" w:hAnsi="David"/>
          <w:rtl/>
        </w:rPr>
        <w:t xml:space="preserve"> קביעת מתחם העונש ההולם למעשה העבירה נעשית בהתאם ל</w:t>
      </w:r>
      <w:r>
        <w:rPr>
          <w:rFonts w:ascii="David" w:hAnsi="David"/>
          <w:b/>
          <w:bCs/>
          <w:rtl/>
        </w:rPr>
        <w:t>עקרון ההלימה</w:t>
      </w:r>
      <w:r>
        <w:rPr>
          <w:rFonts w:ascii="David" w:hAnsi="David"/>
          <w:rtl/>
        </w:rPr>
        <w:t>. לשם קביעת מתחם העונש ההולם יש להתחשב בערך החברתי אשר נפגע, במידת הפגיעה בו, במדיניות הענישה הנוהגת ובנסיבות הקשורות בביצוע העבירה.</w:t>
      </w:r>
    </w:p>
    <w:p w14:paraId="26FC2406" w14:textId="77777777" w:rsidR="001E0C54" w:rsidRDefault="001E0C54" w:rsidP="001E0C54">
      <w:pPr>
        <w:spacing w:line="360" w:lineRule="auto"/>
        <w:jc w:val="both"/>
        <w:rPr>
          <w:rFonts w:ascii="David" w:hAnsi="David"/>
          <w:rtl/>
        </w:rPr>
      </w:pPr>
    </w:p>
    <w:p w14:paraId="31FED48B" w14:textId="77777777" w:rsidR="001E0C54" w:rsidRDefault="001E0C54" w:rsidP="001E0C54">
      <w:pPr>
        <w:spacing w:line="360" w:lineRule="auto"/>
        <w:jc w:val="both"/>
        <w:rPr>
          <w:rFonts w:ascii="David" w:hAnsi="David"/>
          <w:rtl/>
        </w:rPr>
      </w:pPr>
      <w:r>
        <w:rPr>
          <w:rFonts w:ascii="David" w:hAnsi="David"/>
          <w:b/>
          <w:bCs/>
          <w:rtl/>
        </w:rPr>
        <w:t>13</w:t>
      </w:r>
      <w:r>
        <w:rPr>
          <w:rFonts w:ascii="David" w:hAnsi="David"/>
          <w:rtl/>
        </w:rPr>
        <w:t xml:space="preserve">. במקרה דנן, </w:t>
      </w:r>
      <w:r>
        <w:rPr>
          <w:rFonts w:ascii="David" w:hAnsi="David"/>
          <w:b/>
          <w:bCs/>
          <w:rtl/>
        </w:rPr>
        <w:t xml:space="preserve">הערכים החברתיים </w:t>
      </w:r>
      <w:r>
        <w:rPr>
          <w:rFonts w:ascii="David" w:hAnsi="David"/>
          <w:rtl/>
        </w:rPr>
        <w:t>אשר נפגעו כתוצאה מעבירת הסמים עליה נותן הנאשם את הדין הוא ההגנה על שלום הציבור, בריאותו ובטחונו, מפני הנזקים הישירים והעקיפים הנגרמים כתוצאה מהפצה ושימוש בסמים.</w:t>
      </w:r>
    </w:p>
    <w:p w14:paraId="182CB496" w14:textId="77777777" w:rsidR="001E0C54" w:rsidRDefault="001E0C54" w:rsidP="001E0C54">
      <w:pPr>
        <w:spacing w:line="360" w:lineRule="auto"/>
        <w:contextualSpacing/>
        <w:jc w:val="both"/>
        <w:rPr>
          <w:rFonts w:ascii="David" w:hAnsi="David"/>
          <w:rtl/>
        </w:rPr>
      </w:pPr>
    </w:p>
    <w:p w14:paraId="06189B0A" w14:textId="77777777" w:rsidR="001E0C54" w:rsidRDefault="001E0C54" w:rsidP="001E0C54">
      <w:pPr>
        <w:spacing w:line="360" w:lineRule="auto"/>
        <w:contextualSpacing/>
        <w:jc w:val="both"/>
        <w:rPr>
          <w:rFonts w:ascii="David" w:hAnsi="David"/>
          <w:rtl/>
        </w:rPr>
      </w:pPr>
      <w:r>
        <w:rPr>
          <w:rFonts w:ascii="David" w:hAnsi="David"/>
          <w:b/>
          <w:bCs/>
          <w:rtl/>
        </w:rPr>
        <w:t>14</w:t>
      </w:r>
      <w:r>
        <w:rPr>
          <w:rFonts w:ascii="David" w:hAnsi="David"/>
          <w:rtl/>
        </w:rPr>
        <w:t xml:space="preserve">. בחינת </w:t>
      </w:r>
      <w:r>
        <w:rPr>
          <w:rFonts w:ascii="David" w:hAnsi="David"/>
          <w:b/>
          <w:bCs/>
          <w:rtl/>
        </w:rPr>
        <w:t>מידת הפגיעה בערך המוגן</w:t>
      </w:r>
      <w:r>
        <w:rPr>
          <w:rFonts w:ascii="David" w:hAnsi="David"/>
          <w:rtl/>
        </w:rPr>
        <w:t xml:space="preserve"> מובילה למסקנה כי הפגיעה בערך המוגן היא ברף הבינוני - נמוך, וזאת בשים</w:t>
      </w:r>
      <w:r>
        <w:rPr>
          <w:rFonts w:ascii="Calibri" w:hAnsi="Calibri"/>
          <w:rtl/>
        </w:rPr>
        <w:t xml:space="preserve"> לב לסוג הסם, כמותו והעובדה כי בוצעה עסקה אחת בלבד.</w:t>
      </w:r>
    </w:p>
    <w:p w14:paraId="7900791D" w14:textId="77777777" w:rsidR="001E0C54" w:rsidRDefault="001E0C54" w:rsidP="001E0C54">
      <w:pPr>
        <w:spacing w:line="360" w:lineRule="auto"/>
        <w:contextualSpacing/>
        <w:jc w:val="both"/>
        <w:rPr>
          <w:rFonts w:ascii="David" w:hAnsi="David"/>
          <w:rtl/>
        </w:rPr>
      </w:pPr>
    </w:p>
    <w:p w14:paraId="22334D5D" w14:textId="77777777" w:rsidR="001E0C54" w:rsidRDefault="001E0C54" w:rsidP="001E0C54">
      <w:pPr>
        <w:spacing w:line="360" w:lineRule="auto"/>
        <w:contextualSpacing/>
        <w:jc w:val="both"/>
        <w:rPr>
          <w:rFonts w:ascii="David" w:hAnsi="David"/>
          <w:rtl/>
        </w:rPr>
      </w:pPr>
      <w:r>
        <w:rPr>
          <w:rFonts w:ascii="David" w:hAnsi="David"/>
          <w:b/>
          <w:bCs/>
          <w:rtl/>
        </w:rPr>
        <w:t>15</w:t>
      </w:r>
      <w:r>
        <w:rPr>
          <w:rFonts w:ascii="David" w:hAnsi="David"/>
          <w:rtl/>
        </w:rPr>
        <w:t xml:space="preserve">. </w:t>
      </w:r>
      <w:r>
        <w:rPr>
          <w:rFonts w:ascii="Calibri" w:hAnsi="Calibri"/>
          <w:rtl/>
        </w:rPr>
        <w:t xml:space="preserve">בחינת </w:t>
      </w:r>
      <w:r>
        <w:rPr>
          <w:rFonts w:ascii="Calibri" w:hAnsi="Calibri"/>
          <w:b/>
          <w:bCs/>
          <w:rtl/>
        </w:rPr>
        <w:t xml:space="preserve">מדיניות הענישה הנוהגת </w:t>
      </w:r>
      <w:r>
        <w:rPr>
          <w:rFonts w:ascii="Calibri" w:hAnsi="Calibri"/>
          <w:rtl/>
        </w:rPr>
        <w:t>בגין עבירת הסחר בסמים אשר ביצע הנאשם</w:t>
      </w:r>
      <w:r>
        <w:rPr>
          <w:rFonts w:ascii="Calibri" w:hAnsi="Calibri"/>
          <w:b/>
          <w:bCs/>
          <w:rtl/>
        </w:rPr>
        <w:t xml:space="preserve"> </w:t>
      </w:r>
      <w:r>
        <w:rPr>
          <w:rFonts w:ascii="Calibri" w:hAnsi="Calibri"/>
          <w:rtl/>
        </w:rPr>
        <w:t>מעלה כי במקרים דומים הוטלו על נאשמים עונשים כמפורט להלן:</w:t>
      </w:r>
    </w:p>
    <w:p w14:paraId="252BBE21" w14:textId="77777777" w:rsidR="001E0C54" w:rsidRDefault="001E0C54" w:rsidP="001E0C54">
      <w:pPr>
        <w:numPr>
          <w:ilvl w:val="0"/>
          <w:numId w:val="1"/>
        </w:numPr>
        <w:spacing w:line="360" w:lineRule="auto"/>
        <w:ind w:left="357" w:hanging="357"/>
        <w:contextualSpacing/>
        <w:jc w:val="both"/>
        <w:rPr>
          <w:rFonts w:ascii="David" w:hAnsi="David"/>
        </w:rPr>
      </w:pPr>
      <w:r>
        <w:rPr>
          <w:rFonts w:ascii="Calibri" w:hAnsi="Calibri"/>
          <w:rtl/>
        </w:rPr>
        <w:t>ב</w:t>
      </w:r>
      <w:hyperlink r:id="rId17" w:history="1">
        <w:r w:rsidR="0007271A" w:rsidRPr="0007271A">
          <w:rPr>
            <w:rFonts w:ascii="Calibri" w:hAnsi="Calibri" w:hint="eastAsia"/>
            <w:b/>
            <w:bCs/>
            <w:color w:val="0000FF"/>
            <w:u w:val="single"/>
            <w:rtl/>
          </w:rPr>
          <w:t>רע</w:t>
        </w:r>
        <w:r w:rsidR="0007271A" w:rsidRPr="0007271A">
          <w:rPr>
            <w:rFonts w:ascii="Calibri" w:hAnsi="Calibri"/>
            <w:b/>
            <w:bCs/>
            <w:color w:val="0000FF"/>
            <w:u w:val="single"/>
            <w:rtl/>
          </w:rPr>
          <w:t>"</w:t>
        </w:r>
        <w:r w:rsidR="0007271A" w:rsidRPr="0007271A">
          <w:rPr>
            <w:rFonts w:ascii="Calibri" w:hAnsi="Calibri" w:hint="eastAsia"/>
            <w:b/>
            <w:bCs/>
            <w:color w:val="0000FF"/>
            <w:u w:val="single"/>
            <w:rtl/>
          </w:rPr>
          <w:t>פ</w:t>
        </w:r>
        <w:r w:rsidR="0007271A" w:rsidRPr="0007271A">
          <w:rPr>
            <w:rFonts w:ascii="Calibri" w:hAnsi="Calibri"/>
            <w:b/>
            <w:bCs/>
            <w:color w:val="0000FF"/>
            <w:u w:val="single"/>
            <w:rtl/>
          </w:rPr>
          <w:t xml:space="preserve"> 3627/13</w:t>
        </w:r>
      </w:hyperlink>
      <w:r>
        <w:rPr>
          <w:rFonts w:ascii="Calibri" w:hAnsi="Calibri"/>
          <w:b/>
          <w:bCs/>
          <w:rtl/>
        </w:rPr>
        <w:t xml:space="preserve"> שדה נגד מדינת ישראל </w:t>
      </w:r>
      <w:r w:rsidR="00C02FDB" w:rsidRPr="00C02FDB">
        <w:rPr>
          <w:sz w:val="22"/>
          <w:rtl/>
        </w:rPr>
        <w:t>[</w:t>
      </w:r>
      <w:r w:rsidR="00C02FDB" w:rsidRPr="00C02FDB">
        <w:rPr>
          <w:rFonts w:hint="eastAsia"/>
          <w:sz w:val="22"/>
          <w:rtl/>
        </w:rPr>
        <w:t>פורסם</w:t>
      </w:r>
      <w:r w:rsidR="00C02FDB" w:rsidRPr="00C02FDB">
        <w:rPr>
          <w:sz w:val="22"/>
          <w:rtl/>
        </w:rPr>
        <w:t xml:space="preserve"> </w:t>
      </w:r>
      <w:r w:rsidR="00C02FDB" w:rsidRPr="00C02FDB">
        <w:rPr>
          <w:rFonts w:hint="eastAsia"/>
          <w:sz w:val="22"/>
          <w:rtl/>
        </w:rPr>
        <w:t>בנבו</w:t>
      </w:r>
      <w:r w:rsidR="00C02FDB" w:rsidRPr="00C02FDB">
        <w:rPr>
          <w:sz w:val="22"/>
          <w:rtl/>
        </w:rPr>
        <w:t xml:space="preserve">] </w:t>
      </w:r>
      <w:r>
        <w:rPr>
          <w:rFonts w:ascii="Calibri" w:hAnsi="Calibri"/>
          <w:b/>
          <w:bCs/>
          <w:rtl/>
        </w:rPr>
        <w:t>(22/05/13)</w:t>
      </w:r>
      <w:r>
        <w:rPr>
          <w:rFonts w:ascii="Calibri" w:hAnsi="Calibri"/>
          <w:rtl/>
        </w:rPr>
        <w:t xml:space="preserve"> דחה בית המשפט העליון את בקשת רשות הערעור מטעם המבקש אשר עתר להקלה בעונשו. בית המשפט אישר עונש של 7 חודשי מאסר בפועל שהושת על נאשם שהורשע על יסוד הודאתו ב-2 עבירות של סחר בסמים מסוג קנבוס במשקל 0.87 גרם תמורת </w:t>
      </w:r>
      <w:r>
        <w:rPr>
          <w:rFonts w:ascii="David" w:hAnsi="David"/>
          <w:rtl/>
        </w:rPr>
        <w:t xml:space="preserve">80 ₪ ו- 1 גרם תמורת 80 ₪ בהזדמנויות שונות. </w:t>
      </w:r>
    </w:p>
    <w:p w14:paraId="1A29CD8F" w14:textId="77777777" w:rsidR="001E0C54" w:rsidRPr="00020E63" w:rsidRDefault="001E0C54" w:rsidP="001E0C54">
      <w:pPr>
        <w:spacing w:line="360" w:lineRule="auto"/>
        <w:ind w:left="357"/>
        <w:contextualSpacing/>
        <w:jc w:val="both"/>
        <w:rPr>
          <w:rFonts w:ascii="David" w:hAnsi="David"/>
          <w:rtl/>
        </w:rPr>
      </w:pPr>
    </w:p>
    <w:p w14:paraId="50BFAB0F" w14:textId="77777777" w:rsidR="001E0C54" w:rsidRDefault="001E0C54" w:rsidP="001E0C54">
      <w:pPr>
        <w:numPr>
          <w:ilvl w:val="0"/>
          <w:numId w:val="1"/>
        </w:numPr>
        <w:spacing w:line="360" w:lineRule="auto"/>
        <w:ind w:left="357" w:hanging="357"/>
        <w:contextualSpacing/>
        <w:jc w:val="both"/>
        <w:rPr>
          <w:rFonts w:ascii="David" w:hAnsi="David"/>
        </w:rPr>
      </w:pPr>
      <w:r>
        <w:rPr>
          <w:rFonts w:ascii="David" w:eastAsia="Calibri" w:hAnsi="David" w:hint="cs"/>
          <w:rtl/>
        </w:rPr>
        <w:t>ב</w:t>
      </w:r>
      <w:hyperlink r:id="rId18" w:history="1">
        <w:r w:rsidR="0007271A" w:rsidRPr="0007271A">
          <w:rPr>
            <w:rFonts w:ascii="David" w:eastAsia="Calibri" w:hAnsi="David"/>
            <w:b/>
            <w:bCs/>
            <w:color w:val="0000FF"/>
            <w:u w:val="single"/>
            <w:rtl/>
          </w:rPr>
          <w:t>ת"פ (י-ם) 9331-09-15</w:t>
        </w:r>
      </w:hyperlink>
      <w:r w:rsidRPr="005C19B5">
        <w:rPr>
          <w:rFonts w:ascii="David" w:eastAsia="Calibri" w:hAnsi="David" w:hint="cs"/>
          <w:b/>
          <w:bCs/>
          <w:rtl/>
        </w:rPr>
        <w:t xml:space="preserve"> מדינת ישראל נגד משולם </w:t>
      </w:r>
      <w:r w:rsidR="00C02FDB" w:rsidRPr="00C02FDB">
        <w:rPr>
          <w:rFonts w:eastAsia="Calibri"/>
          <w:sz w:val="22"/>
          <w:rtl/>
        </w:rPr>
        <w:t xml:space="preserve">[פורסם בנבו] </w:t>
      </w:r>
      <w:r w:rsidRPr="005C19B5">
        <w:rPr>
          <w:rFonts w:ascii="David" w:eastAsia="Calibri" w:hAnsi="David" w:hint="cs"/>
          <w:b/>
          <w:bCs/>
          <w:rtl/>
        </w:rPr>
        <w:t>(03/05/18)</w:t>
      </w:r>
      <w:r>
        <w:rPr>
          <w:rFonts w:ascii="David" w:eastAsia="Calibri" w:hAnsi="David" w:hint="cs"/>
          <w:rtl/>
        </w:rPr>
        <w:t xml:space="preserve"> </w:t>
      </w:r>
      <w:r>
        <w:rPr>
          <w:rFonts w:ascii="David" w:eastAsia="Calibri" w:hAnsi="David"/>
          <w:rtl/>
        </w:rPr>
        <w:t>הורשע הנאשם בהתאם להודאתו בביצוע עבירות של סחר בסמים והחזקת סמים לצריכה עצמית, בכך שמכר סם מסוכן מסוג קנבוס במשקל של 7.5 גרם תמורת 1,200 ₪ והחזיק רבע גרם סם מסוג קנבוס לצריכה עצמית. בית המשפט קבע כי בנסיבותיו הקלות באופן יחסי של תיק זה מתחם הענישה נע בין מא</w:t>
      </w:r>
      <w:r>
        <w:rPr>
          <w:rFonts w:ascii="David" w:eastAsia="Calibri" w:hAnsi="David" w:hint="cs"/>
          <w:rtl/>
        </w:rPr>
        <w:t>ס</w:t>
      </w:r>
      <w:r>
        <w:rPr>
          <w:rFonts w:ascii="David" w:eastAsia="Calibri" w:hAnsi="David"/>
          <w:rtl/>
        </w:rPr>
        <w:t>ר קצר בפועל שיכול וירוצה בעבודות שירות ועד ל-10 חודשי מאסר בפועל. בית המשפט החליט להטיל על הנאשם ענישה ברף התחתון של המתחם, ואף לחרוג ממנו מעט, בשל ההליך הטיפולי בו לקח חלק הנאשם והטיל על הנאשם מאסר לתקופה של 45 יום לריצוי בדרך של עבודות שירות ומאסר מותנה.</w:t>
      </w:r>
    </w:p>
    <w:p w14:paraId="64123C8F" w14:textId="77777777" w:rsidR="001E0C54" w:rsidRDefault="001E0C54" w:rsidP="001E0C54">
      <w:pPr>
        <w:spacing w:line="360" w:lineRule="auto"/>
        <w:jc w:val="both"/>
        <w:rPr>
          <w:rFonts w:ascii="David" w:hAnsi="David"/>
        </w:rPr>
      </w:pPr>
    </w:p>
    <w:p w14:paraId="2AAA192F" w14:textId="77777777" w:rsidR="001E0C54" w:rsidRDefault="001E0C54" w:rsidP="001E0C54">
      <w:pPr>
        <w:spacing w:line="360" w:lineRule="auto"/>
        <w:jc w:val="both"/>
        <w:rPr>
          <w:rFonts w:ascii="David" w:hAnsi="David"/>
        </w:rPr>
      </w:pPr>
      <w:r>
        <w:rPr>
          <w:rFonts w:ascii="David" w:hAnsi="David"/>
          <w:b/>
          <w:bCs/>
          <w:rtl/>
        </w:rPr>
        <w:t>16</w:t>
      </w:r>
      <w:r>
        <w:rPr>
          <w:rFonts w:ascii="David" w:hAnsi="David"/>
          <w:rtl/>
        </w:rPr>
        <w:t xml:space="preserve">. במסגרת </w:t>
      </w:r>
      <w:r>
        <w:rPr>
          <w:rFonts w:ascii="David" w:hAnsi="David"/>
          <w:b/>
          <w:bCs/>
          <w:rtl/>
        </w:rPr>
        <w:t>הנסיבות הקשורות בביצוע העבירה</w:t>
      </w:r>
      <w:r>
        <w:rPr>
          <w:rFonts w:ascii="David" w:hAnsi="David"/>
          <w:rtl/>
        </w:rPr>
        <w:t xml:space="preserve"> (</w:t>
      </w:r>
      <w:hyperlink r:id="rId19" w:history="1">
        <w:r w:rsidR="004C6D56" w:rsidRPr="004C6D56">
          <w:rPr>
            <w:rStyle w:val="Hyperlink"/>
            <w:rFonts w:ascii="David" w:hAnsi="David"/>
            <w:b/>
            <w:bCs/>
            <w:color w:val="0000FF"/>
            <w:rtl/>
          </w:rPr>
          <w:t>סעיף 40ט</w:t>
        </w:r>
      </w:hyperlink>
      <w:r>
        <w:rPr>
          <w:rFonts w:ascii="David" w:hAnsi="David"/>
          <w:b/>
          <w:bCs/>
          <w:rtl/>
        </w:rPr>
        <w:t xml:space="preserve"> לחוק</w:t>
      </w:r>
      <w:r>
        <w:rPr>
          <w:rFonts w:ascii="David" w:hAnsi="David"/>
          <w:rtl/>
        </w:rPr>
        <w:t xml:space="preserve">) יש לתת את הדעת לתכנון אשר קדם לביצוע העבירה, גם אם זה לא היה מורכב במיוחד. </w:t>
      </w:r>
    </w:p>
    <w:p w14:paraId="5A94F4BE" w14:textId="77777777" w:rsidR="001E0C54" w:rsidRDefault="001E0C54" w:rsidP="001E0C54">
      <w:pPr>
        <w:spacing w:line="360" w:lineRule="auto"/>
        <w:jc w:val="both"/>
        <w:rPr>
          <w:rFonts w:ascii="David" w:hAnsi="David"/>
          <w:rtl/>
        </w:rPr>
      </w:pPr>
      <w:r>
        <w:rPr>
          <w:rFonts w:ascii="David" w:hAnsi="David"/>
          <w:rtl/>
        </w:rPr>
        <w:t xml:space="preserve">כמו כן, יש לתת את הדעת לנזק שנגרם מביצוע העבירה ולנזק שהיה צפוי להיגרם מביצוע העבירה. כפי שנכתב רבות בפסיקה, עבירת הסחר בסמים מובילה להפצת הסמים ועשויה לגרום לנזקים ישירים ועקיפים כתוצאה מכך. </w:t>
      </w:r>
    </w:p>
    <w:p w14:paraId="1F7E009B" w14:textId="77777777" w:rsidR="001E0C54" w:rsidRDefault="001E0C54" w:rsidP="001E0C54">
      <w:pPr>
        <w:spacing w:line="360" w:lineRule="auto"/>
        <w:contextualSpacing/>
        <w:jc w:val="both"/>
        <w:rPr>
          <w:rFonts w:ascii="David" w:hAnsi="David"/>
          <w:rtl/>
        </w:rPr>
      </w:pPr>
    </w:p>
    <w:p w14:paraId="3FE9FD25" w14:textId="77777777" w:rsidR="001E0C54" w:rsidRDefault="001E0C54" w:rsidP="001E0C54">
      <w:pPr>
        <w:spacing w:line="360" w:lineRule="auto"/>
        <w:contextualSpacing/>
        <w:jc w:val="both"/>
        <w:rPr>
          <w:rFonts w:ascii="David" w:hAnsi="David"/>
          <w:rtl/>
        </w:rPr>
      </w:pPr>
      <w:r>
        <w:rPr>
          <w:rFonts w:ascii="David" w:hAnsi="David"/>
          <w:b/>
          <w:bCs/>
          <w:rtl/>
        </w:rPr>
        <w:t>17</w:t>
      </w:r>
      <w:r>
        <w:rPr>
          <w:rFonts w:ascii="David" w:hAnsi="David"/>
          <w:rtl/>
        </w:rPr>
        <w:t>. בהתאם לתיקון 113 ל</w:t>
      </w:r>
      <w:hyperlink r:id="rId20" w:history="1">
        <w:r w:rsidR="0007271A" w:rsidRPr="0007271A">
          <w:rPr>
            <w:rFonts w:ascii="David" w:hAnsi="David"/>
            <w:color w:val="0000FF"/>
            <w:u w:val="single"/>
            <w:rtl/>
          </w:rPr>
          <w:t>חוק העונשין</w:t>
        </w:r>
      </w:hyperlink>
      <w:r>
        <w:rPr>
          <w:rFonts w:ascii="David" w:hAnsi="David"/>
          <w:rtl/>
        </w:rPr>
        <w:t xml:space="preserve"> (</w:t>
      </w:r>
      <w:r>
        <w:rPr>
          <w:rFonts w:ascii="David" w:hAnsi="David"/>
          <w:b/>
          <w:bCs/>
          <w:rtl/>
        </w:rPr>
        <w:t xml:space="preserve">סעיף </w:t>
      </w:r>
      <w:hyperlink r:id="rId21" w:history="1">
        <w:r w:rsidR="004C6D56" w:rsidRPr="004C6D56">
          <w:rPr>
            <w:rStyle w:val="Hyperlink"/>
            <w:rFonts w:ascii="David" w:hAnsi="David"/>
            <w:b/>
            <w:bCs/>
            <w:color w:val="0000FF"/>
            <w:rtl/>
          </w:rPr>
          <w:t>40 יג</w:t>
        </w:r>
      </w:hyperlink>
      <w:r>
        <w:rPr>
          <w:rFonts w:ascii="David" w:hAnsi="David"/>
          <w:rtl/>
        </w:rPr>
        <w:t xml:space="preserve">) מצאתי כי </w:t>
      </w:r>
      <w:r w:rsidRPr="00ED0F8D">
        <w:rPr>
          <w:rFonts w:ascii="David" w:hAnsi="David"/>
          <w:b/>
          <w:bCs/>
          <w:rtl/>
        </w:rPr>
        <w:t>מתחם העונש ההולם</w:t>
      </w:r>
      <w:r>
        <w:rPr>
          <w:rFonts w:ascii="David" w:hAnsi="David"/>
          <w:rtl/>
        </w:rPr>
        <w:t xml:space="preserve"> בגין עבירת הסחר בסמים שביצע הנאשם הוא בין מספר חודשי מאסר אשר יכול וירוצו בעבודות שירות ועד ל-10 חודשי מאסר בפועל. </w:t>
      </w:r>
    </w:p>
    <w:p w14:paraId="0EA14F2F" w14:textId="77777777" w:rsidR="001E0C54" w:rsidRDefault="001E0C54" w:rsidP="001E0C54">
      <w:pPr>
        <w:spacing w:line="360" w:lineRule="auto"/>
        <w:contextualSpacing/>
        <w:jc w:val="both"/>
        <w:rPr>
          <w:rFonts w:ascii="David" w:hAnsi="David"/>
        </w:rPr>
      </w:pPr>
    </w:p>
    <w:p w14:paraId="5D677046" w14:textId="77777777" w:rsidR="001E0C54" w:rsidRDefault="001E0C54" w:rsidP="001E0C54">
      <w:pPr>
        <w:spacing w:line="360" w:lineRule="auto"/>
        <w:jc w:val="both"/>
        <w:rPr>
          <w:rFonts w:ascii="David" w:hAnsi="David"/>
          <w:rtl/>
        </w:rPr>
      </w:pPr>
      <w:r>
        <w:rPr>
          <w:rFonts w:ascii="David" w:hAnsi="David"/>
          <w:b/>
          <w:bCs/>
          <w:u w:val="single"/>
          <w:rtl/>
        </w:rPr>
        <w:t>שאלת ההרשעה</w:t>
      </w:r>
    </w:p>
    <w:p w14:paraId="644B2217" w14:textId="77777777" w:rsidR="001E0C54" w:rsidRDefault="001E0C54" w:rsidP="001E0C54">
      <w:pPr>
        <w:spacing w:line="360" w:lineRule="auto"/>
        <w:jc w:val="both"/>
        <w:rPr>
          <w:rFonts w:ascii="David" w:hAnsi="David"/>
        </w:rPr>
      </w:pPr>
      <w:r>
        <w:rPr>
          <w:rFonts w:ascii="David" w:hAnsi="David"/>
          <w:b/>
          <w:bCs/>
          <w:rtl/>
        </w:rPr>
        <w:t>18</w:t>
      </w:r>
      <w:r>
        <w:rPr>
          <w:rFonts w:ascii="David" w:hAnsi="David"/>
          <w:rtl/>
        </w:rPr>
        <w:t xml:space="preserve">. הכלל בהליך הפלילי הוא כי נאשם בגיר, שהוכחה אשמתו - יורשע בדין. </w:t>
      </w:r>
    </w:p>
    <w:p w14:paraId="3167C571" w14:textId="77777777" w:rsidR="001E0C54" w:rsidRDefault="001E0C54" w:rsidP="001E0C54">
      <w:pPr>
        <w:spacing w:line="360" w:lineRule="auto"/>
        <w:jc w:val="both"/>
        <w:rPr>
          <w:rFonts w:ascii="David" w:hAnsi="David"/>
          <w:rtl/>
        </w:rPr>
      </w:pPr>
    </w:p>
    <w:p w14:paraId="750E47E7" w14:textId="77777777" w:rsidR="001E0C54" w:rsidRDefault="001E0C54" w:rsidP="001E0C54">
      <w:pPr>
        <w:spacing w:line="360" w:lineRule="auto"/>
        <w:jc w:val="both"/>
        <w:rPr>
          <w:rFonts w:ascii="David" w:hAnsi="David"/>
          <w:rtl/>
        </w:rPr>
      </w:pPr>
      <w:r>
        <w:rPr>
          <w:rFonts w:ascii="David" w:hAnsi="David"/>
          <w:b/>
          <w:bCs/>
          <w:rtl/>
        </w:rPr>
        <w:t>19</w:t>
      </w:r>
      <w:r>
        <w:rPr>
          <w:rFonts w:ascii="David" w:hAnsi="David"/>
          <w:rtl/>
        </w:rPr>
        <w:t xml:space="preserve">. הימנעות מהרשעה היא חריגה המוצדקת רק במקרים נדירים, בהם לא מתקיים יחס סביר בין הנזק הצפוי לשיקום הנאשם מההרשעה, אשר יש לקבוע כי הוא ממשי וחריף, לבין חומרת העבירה, אשר ניתן להימנע מהרשעת מבצעה מבלי שהדבר יפגע בשיקולי הענישה, באינטרס הציבורי ובערך המוגן. בית המשפט העליון קבע מספר שיקולים מנחים בעניין זה ובהם עברו הפלילי של הנאשם, חומרת העבירה, מידת הפגיעה בקורבנות העבירה, הערכת סיכון, דפוסיו של הנאשם, יחסו של הנאשם לעבירה, השפעת ההרשעה על תחומי פעילותו של הנאשם ועוד. (ראו לעניין זה </w:t>
      </w:r>
      <w:hyperlink r:id="rId22" w:history="1">
        <w:r w:rsidR="0007271A" w:rsidRPr="0007271A">
          <w:rPr>
            <w:rFonts w:ascii="David" w:hAnsi="David"/>
            <w:b/>
            <w:bCs/>
            <w:color w:val="0000FF"/>
            <w:u w:val="single"/>
            <w:rtl/>
          </w:rPr>
          <w:t>ע"פ 2083/96 כתב נגד מדינת ישראל, פד"י נ"ב</w:t>
        </w:r>
      </w:hyperlink>
      <w:r>
        <w:rPr>
          <w:rFonts w:ascii="David" w:hAnsi="David"/>
          <w:rtl/>
        </w:rPr>
        <w:t xml:space="preserve"> (3), 337 ו</w:t>
      </w:r>
      <w:hyperlink r:id="rId23" w:history="1">
        <w:r w:rsidR="0007271A" w:rsidRPr="0007271A">
          <w:rPr>
            <w:rFonts w:ascii="David" w:hAnsi="David"/>
            <w:b/>
            <w:bCs/>
            <w:color w:val="0000FF"/>
            <w:u w:val="single"/>
            <w:rtl/>
          </w:rPr>
          <w:t>ע"פ 43351-08-14</w:t>
        </w:r>
      </w:hyperlink>
      <w:r>
        <w:rPr>
          <w:rFonts w:ascii="David" w:hAnsi="David"/>
          <w:b/>
          <w:bCs/>
          <w:rtl/>
        </w:rPr>
        <w:t xml:space="preserve"> אלמיו נגד מדינת ישראל </w:t>
      </w:r>
      <w:r>
        <w:rPr>
          <w:rFonts w:ascii="David" w:hAnsi="David"/>
          <w:rtl/>
        </w:rPr>
        <w:t xml:space="preserve">פורסם בנבו 24/11/14). </w:t>
      </w:r>
    </w:p>
    <w:p w14:paraId="3FE9708A" w14:textId="77777777" w:rsidR="001E0C54" w:rsidRDefault="001E0C54" w:rsidP="001E0C54">
      <w:pPr>
        <w:spacing w:line="360" w:lineRule="auto"/>
        <w:ind w:left="720"/>
        <w:contextualSpacing/>
        <w:rPr>
          <w:rFonts w:ascii="David" w:hAnsi="David"/>
          <w:rtl/>
        </w:rPr>
      </w:pPr>
    </w:p>
    <w:p w14:paraId="798F2F47" w14:textId="77777777" w:rsidR="001E0C54" w:rsidRDefault="001E0C54" w:rsidP="001E0C54">
      <w:pPr>
        <w:spacing w:line="360" w:lineRule="auto"/>
        <w:jc w:val="both"/>
        <w:rPr>
          <w:rFonts w:ascii="David" w:hAnsi="David"/>
          <w:rtl/>
        </w:rPr>
      </w:pPr>
      <w:r>
        <w:rPr>
          <w:rFonts w:ascii="David" w:hAnsi="David"/>
          <w:b/>
          <w:bCs/>
          <w:rtl/>
        </w:rPr>
        <w:t>20</w:t>
      </w:r>
      <w:r>
        <w:rPr>
          <w:rFonts w:ascii="David" w:hAnsi="David"/>
          <w:rtl/>
        </w:rPr>
        <w:t xml:space="preserve">. במקרה המונח לפני שוכנעתי כי בעניינו של הנאשם לא ניתן להימנע מהרשעה, ואנמק. </w:t>
      </w:r>
    </w:p>
    <w:p w14:paraId="0515AC22" w14:textId="77777777" w:rsidR="001E0C54" w:rsidRDefault="001E0C54" w:rsidP="001E0C54">
      <w:pPr>
        <w:spacing w:line="360" w:lineRule="auto"/>
        <w:jc w:val="both"/>
        <w:rPr>
          <w:rFonts w:ascii="David" w:hAnsi="David"/>
        </w:rPr>
      </w:pPr>
    </w:p>
    <w:p w14:paraId="2B795936" w14:textId="77777777" w:rsidR="001E0C54" w:rsidRDefault="001E0C54" w:rsidP="001E0C54">
      <w:pPr>
        <w:spacing w:line="360" w:lineRule="auto"/>
        <w:jc w:val="both"/>
        <w:rPr>
          <w:rFonts w:ascii="David" w:hAnsi="David"/>
          <w:rtl/>
        </w:rPr>
      </w:pPr>
      <w:r>
        <w:rPr>
          <w:rFonts w:ascii="David" w:hAnsi="David"/>
          <w:b/>
          <w:bCs/>
          <w:rtl/>
        </w:rPr>
        <w:t>21</w:t>
      </w:r>
      <w:r>
        <w:rPr>
          <w:rFonts w:ascii="David" w:hAnsi="David"/>
          <w:rtl/>
        </w:rPr>
        <w:t>.</w:t>
      </w:r>
      <w:r>
        <w:rPr>
          <w:rFonts w:ascii="David" w:hAnsi="David"/>
          <w:u w:val="single"/>
          <w:rtl/>
        </w:rPr>
        <w:t xml:space="preserve"> העבירה ונסיבות ביצועה </w:t>
      </w:r>
      <w:r>
        <w:rPr>
          <w:rFonts w:ascii="David" w:hAnsi="David"/>
          <w:rtl/>
        </w:rPr>
        <w:t xml:space="preserve">– </w:t>
      </w:r>
    </w:p>
    <w:p w14:paraId="696043AF" w14:textId="77777777" w:rsidR="001E0C54" w:rsidRDefault="001E0C54" w:rsidP="001E0C54">
      <w:pPr>
        <w:spacing w:line="360" w:lineRule="auto"/>
        <w:jc w:val="both"/>
        <w:rPr>
          <w:rFonts w:ascii="Arial" w:hAnsi="Arial"/>
          <w:rtl/>
        </w:rPr>
      </w:pPr>
      <w:r>
        <w:rPr>
          <w:rFonts w:ascii="Arial" w:hAnsi="Arial"/>
          <w:rtl/>
        </w:rPr>
        <w:t>על אף שנסיבות ביצוע העבירה במקרה זה אינן מהחמורות במקרה זה, כמפורט לעיל, סוג העבירה אשר ביצע הנאשם חמורה, היא בעלת השלכות חמורות, ובפסיקה נכתב רבות על הצורך בהחמרה בענישה בעבירות מסוג זה.</w:t>
      </w:r>
    </w:p>
    <w:p w14:paraId="2D116CF6" w14:textId="77777777" w:rsidR="001E0C54" w:rsidRDefault="001E0C54" w:rsidP="001E0C54">
      <w:pPr>
        <w:spacing w:line="360" w:lineRule="auto"/>
        <w:contextualSpacing/>
        <w:jc w:val="both"/>
        <w:rPr>
          <w:rFonts w:ascii="David" w:hAnsi="David"/>
        </w:rPr>
      </w:pPr>
    </w:p>
    <w:p w14:paraId="108DF1C9" w14:textId="77777777" w:rsidR="001E0C54" w:rsidRDefault="001E0C54" w:rsidP="001E0C54">
      <w:pPr>
        <w:spacing w:line="360" w:lineRule="auto"/>
        <w:contextualSpacing/>
        <w:jc w:val="both"/>
        <w:rPr>
          <w:rFonts w:ascii="David" w:hAnsi="David"/>
          <w:rtl/>
        </w:rPr>
      </w:pPr>
      <w:r>
        <w:rPr>
          <w:rFonts w:ascii="David" w:hAnsi="David"/>
          <w:rtl/>
        </w:rPr>
        <w:t>כך לדוגמה ב</w:t>
      </w:r>
      <w:hyperlink r:id="rId24" w:history="1">
        <w:r w:rsidR="0007271A" w:rsidRPr="0007271A">
          <w:rPr>
            <w:rFonts w:ascii="David" w:hAnsi="David"/>
            <w:b/>
            <w:bCs/>
            <w:color w:val="0000FF"/>
            <w:u w:val="single"/>
            <w:rtl/>
          </w:rPr>
          <w:t>ע"פ 1654/16</w:t>
        </w:r>
      </w:hyperlink>
      <w:r>
        <w:rPr>
          <w:rFonts w:ascii="David" w:hAnsi="David"/>
          <w:rtl/>
        </w:rPr>
        <w:t xml:space="preserve"> </w:t>
      </w:r>
      <w:r>
        <w:rPr>
          <w:rFonts w:ascii="David" w:hAnsi="David"/>
          <w:b/>
          <w:bCs/>
          <w:rtl/>
        </w:rPr>
        <w:t xml:space="preserve">שרר נגד מדינת ישראל </w:t>
      </w:r>
      <w:r w:rsidR="00C02FDB" w:rsidRPr="00C02FDB">
        <w:rPr>
          <w:sz w:val="22"/>
          <w:rtl/>
        </w:rPr>
        <w:t xml:space="preserve">[פורסם בנבו] </w:t>
      </w:r>
      <w:r>
        <w:rPr>
          <w:rFonts w:ascii="David" w:hAnsi="David"/>
          <w:b/>
          <w:bCs/>
          <w:rtl/>
        </w:rPr>
        <w:t>(27/02/17)</w:t>
      </w:r>
      <w:r>
        <w:rPr>
          <w:rFonts w:ascii="David" w:hAnsi="David"/>
          <w:rtl/>
        </w:rPr>
        <w:t xml:space="preserve"> צוין כי: "</w:t>
      </w:r>
      <w:r>
        <w:rPr>
          <w:rFonts w:ascii="David" w:hAnsi="David"/>
          <w:b/>
          <w:bCs/>
          <w:rtl/>
        </w:rPr>
        <w:t>חומרתן של העבירות שבהן הורשע המערער היא רבה. בית משפט זה עמד לא אחת על הפגיעות הקשות של נגע הסמים בחברה, ועל הצורך בניתוק שרשרת הספקת הסם על ידי נקיטת יד קשה מול הסוחרים</w:t>
      </w:r>
      <w:r>
        <w:rPr>
          <w:rFonts w:ascii="David" w:hAnsi="David"/>
          <w:rtl/>
        </w:rPr>
        <w:t xml:space="preserve">". </w:t>
      </w:r>
    </w:p>
    <w:p w14:paraId="30816C62" w14:textId="77777777" w:rsidR="001E0C54" w:rsidRDefault="001E0C54" w:rsidP="001E0C54">
      <w:pPr>
        <w:spacing w:line="360" w:lineRule="auto"/>
        <w:contextualSpacing/>
        <w:jc w:val="both"/>
        <w:rPr>
          <w:rFonts w:ascii="David" w:hAnsi="David"/>
          <w:rtl/>
        </w:rPr>
      </w:pPr>
    </w:p>
    <w:p w14:paraId="7027C690" w14:textId="77777777" w:rsidR="001E0C54" w:rsidRDefault="001E0C54" w:rsidP="001E0C54">
      <w:pPr>
        <w:spacing w:line="360" w:lineRule="auto"/>
        <w:jc w:val="both"/>
        <w:rPr>
          <w:rFonts w:ascii="Arial" w:hAnsi="Arial"/>
          <w:rtl/>
        </w:rPr>
      </w:pPr>
      <w:r>
        <w:rPr>
          <w:rFonts w:ascii="David" w:hAnsi="David"/>
          <w:rtl/>
        </w:rPr>
        <w:t>כמו כן, ב</w:t>
      </w:r>
      <w:hyperlink r:id="rId25" w:history="1">
        <w:r w:rsidR="0007271A" w:rsidRPr="0007271A">
          <w:rPr>
            <w:rFonts w:ascii="David" w:hAnsi="David"/>
            <w:b/>
            <w:bCs/>
            <w:color w:val="0000FF"/>
            <w:u w:val="single"/>
            <w:rtl/>
          </w:rPr>
          <w:t>ע"פ 6373/06</w:t>
        </w:r>
      </w:hyperlink>
      <w:r>
        <w:rPr>
          <w:rFonts w:ascii="David" w:hAnsi="David"/>
          <w:b/>
          <w:bCs/>
          <w:rtl/>
        </w:rPr>
        <w:t xml:space="preserve"> מדינת ישראל נ' אלנשמי </w:t>
      </w:r>
      <w:r w:rsidR="00C02FDB" w:rsidRPr="00C02FDB">
        <w:rPr>
          <w:sz w:val="22"/>
          <w:rtl/>
        </w:rPr>
        <w:t xml:space="preserve">[פורסם בנבו] </w:t>
      </w:r>
      <w:r>
        <w:rPr>
          <w:rFonts w:ascii="David" w:hAnsi="David"/>
          <w:b/>
          <w:bCs/>
          <w:rtl/>
        </w:rPr>
        <w:t>(06/09/06)</w:t>
      </w:r>
      <w:r>
        <w:rPr>
          <w:rFonts w:ascii="David" w:hAnsi="David"/>
          <w:rtl/>
        </w:rPr>
        <w:t xml:space="preserve"> נקבע כי: "</w:t>
      </w:r>
      <w:r>
        <w:rPr>
          <w:rFonts w:ascii="David" w:hAnsi="David"/>
          <w:b/>
          <w:bCs/>
          <w:rtl/>
        </w:rPr>
        <w:t>כאשר בעבירות סמים עסקינן, לא ניתן להתעלם מהחובה המוטלת עלינו כמערכת וכחברה להיאבק בנגע הסמים. פן חשוב של מאבק זה הינו הטלת עונשים מחמירים על מי שבוחרים לעסוק בסחר בסמים</w:t>
      </w:r>
      <w:r>
        <w:rPr>
          <w:rFonts w:ascii="David" w:hAnsi="David"/>
          <w:rtl/>
        </w:rPr>
        <w:t>...".</w:t>
      </w:r>
    </w:p>
    <w:p w14:paraId="40F96FC8" w14:textId="77777777" w:rsidR="001E0C54" w:rsidRDefault="001E0C54" w:rsidP="001E0C54">
      <w:pPr>
        <w:spacing w:line="360" w:lineRule="auto"/>
        <w:jc w:val="both"/>
        <w:rPr>
          <w:rFonts w:ascii="Arial" w:hAnsi="Arial"/>
          <w:rtl/>
        </w:rPr>
      </w:pPr>
    </w:p>
    <w:p w14:paraId="3C423408" w14:textId="77777777" w:rsidR="001E0C54" w:rsidRDefault="001E0C54" w:rsidP="001E0C54">
      <w:pPr>
        <w:spacing w:line="360" w:lineRule="auto"/>
        <w:jc w:val="both"/>
        <w:rPr>
          <w:rFonts w:ascii="David" w:hAnsi="David"/>
          <w:rtl/>
        </w:rPr>
      </w:pPr>
      <w:r>
        <w:rPr>
          <w:rFonts w:ascii="David" w:hAnsi="David"/>
          <w:rtl/>
        </w:rPr>
        <w:t xml:space="preserve">כשאלה פני הדברים, סבורני כי סוג העבירה, בנסיבות ביצועה כמפורט, מאפשרים אי הרשעת מבצעה רק במקרים בהם יוכח נזק משמעותי וחריג. </w:t>
      </w:r>
    </w:p>
    <w:p w14:paraId="52D2F1B8" w14:textId="77777777" w:rsidR="001E0C54" w:rsidRDefault="001E0C54" w:rsidP="001E0C54">
      <w:pPr>
        <w:spacing w:line="360" w:lineRule="auto"/>
        <w:jc w:val="both"/>
        <w:rPr>
          <w:rFonts w:ascii="Arial" w:hAnsi="Arial"/>
        </w:rPr>
      </w:pPr>
    </w:p>
    <w:p w14:paraId="018FFF62" w14:textId="77777777" w:rsidR="001E0C54" w:rsidRDefault="001E0C54" w:rsidP="001E0C54">
      <w:pPr>
        <w:spacing w:line="360" w:lineRule="auto"/>
        <w:jc w:val="both"/>
        <w:rPr>
          <w:rFonts w:ascii="Arial" w:hAnsi="Arial"/>
          <w:b/>
          <w:bCs/>
          <w:rtl/>
        </w:rPr>
      </w:pPr>
      <w:r>
        <w:rPr>
          <w:rFonts w:ascii="Arial" w:hAnsi="Arial"/>
          <w:b/>
          <w:bCs/>
          <w:rtl/>
        </w:rPr>
        <w:t>22</w:t>
      </w:r>
      <w:r>
        <w:rPr>
          <w:rFonts w:ascii="Arial" w:hAnsi="Arial"/>
          <w:rtl/>
        </w:rPr>
        <w:t>.</w:t>
      </w:r>
      <w:r>
        <w:rPr>
          <w:rFonts w:ascii="Arial" w:hAnsi="Arial"/>
          <w:b/>
          <w:bCs/>
          <w:rtl/>
        </w:rPr>
        <w:t xml:space="preserve"> </w:t>
      </w:r>
      <w:r w:rsidRPr="005C19B5">
        <w:rPr>
          <w:rFonts w:ascii="Arial" w:hAnsi="Arial" w:hint="cs"/>
          <w:u w:val="single"/>
          <w:rtl/>
        </w:rPr>
        <w:t xml:space="preserve">הנזק </w:t>
      </w:r>
      <w:r>
        <w:rPr>
          <w:rFonts w:ascii="Arial" w:hAnsi="Arial" w:hint="cs"/>
          <w:u w:val="single"/>
          <w:rtl/>
        </w:rPr>
        <w:t>העלול להיגרם</w:t>
      </w:r>
      <w:r w:rsidRPr="005C19B5">
        <w:rPr>
          <w:rFonts w:ascii="Arial" w:hAnsi="Arial" w:hint="cs"/>
          <w:u w:val="single"/>
          <w:rtl/>
        </w:rPr>
        <w:t xml:space="preserve"> לנאשם-</w:t>
      </w:r>
    </w:p>
    <w:p w14:paraId="0C44F66C" w14:textId="77777777" w:rsidR="001E0C54" w:rsidRDefault="001E0C54" w:rsidP="001E0C54">
      <w:pPr>
        <w:spacing w:line="360" w:lineRule="auto"/>
        <w:jc w:val="both"/>
        <w:rPr>
          <w:rFonts w:ascii="Arial" w:hAnsi="Arial"/>
          <w:rtl/>
        </w:rPr>
      </w:pPr>
      <w:r>
        <w:rPr>
          <w:rFonts w:ascii="David" w:hAnsi="David"/>
          <w:rtl/>
        </w:rPr>
        <w:t>ב</w:t>
      </w:r>
      <w:hyperlink r:id="rId26" w:history="1">
        <w:r w:rsidR="0007271A" w:rsidRPr="0007271A">
          <w:rPr>
            <w:rFonts w:ascii="David" w:hAnsi="David"/>
            <w:b/>
            <w:bCs/>
            <w:color w:val="0000FF"/>
            <w:u w:val="single"/>
            <w:rtl/>
          </w:rPr>
          <w:t>רע"פ 9118/12</w:t>
        </w:r>
      </w:hyperlink>
      <w:r>
        <w:rPr>
          <w:rFonts w:ascii="David" w:hAnsi="David"/>
          <w:b/>
          <w:bCs/>
          <w:rtl/>
        </w:rPr>
        <w:t xml:space="preserve"> פריגין נ' מדינת ישראל </w:t>
      </w:r>
      <w:r w:rsidR="00C02FDB" w:rsidRPr="00C02FDB">
        <w:rPr>
          <w:sz w:val="22"/>
          <w:rtl/>
        </w:rPr>
        <w:t xml:space="preserve">[פורסם בנבו] </w:t>
      </w:r>
      <w:r>
        <w:rPr>
          <w:rFonts w:ascii="David" w:hAnsi="David"/>
          <w:b/>
          <w:bCs/>
          <w:rtl/>
        </w:rPr>
        <w:t xml:space="preserve">(03/01/13) </w:t>
      </w:r>
      <w:r>
        <w:rPr>
          <w:rFonts w:ascii="David" w:hAnsi="David"/>
          <w:rtl/>
        </w:rPr>
        <w:t>נקבע כי בבוא בית המשפט לבחון את הנזק העלול להיגרם לנאשם, עליו להתייחס לנזק מוחשי קונקרטי, ולא לאפשרויות תיאורטיות לפיהן עלול להיגרם לנאשם נזק בעתיד.</w:t>
      </w:r>
    </w:p>
    <w:p w14:paraId="4CAE39F8" w14:textId="77777777" w:rsidR="001E0C54" w:rsidRDefault="001E0C54" w:rsidP="001E0C54">
      <w:pPr>
        <w:spacing w:line="360" w:lineRule="auto"/>
        <w:ind w:left="357"/>
        <w:contextualSpacing/>
        <w:jc w:val="both"/>
        <w:rPr>
          <w:rFonts w:ascii="David" w:hAnsi="David"/>
          <w:highlight w:val="green"/>
        </w:rPr>
      </w:pPr>
    </w:p>
    <w:p w14:paraId="52F2AEEE" w14:textId="77777777" w:rsidR="001E0C54" w:rsidRDefault="001E0C54" w:rsidP="001E0C54">
      <w:pPr>
        <w:spacing w:line="360" w:lineRule="auto"/>
        <w:jc w:val="both"/>
        <w:rPr>
          <w:rFonts w:ascii="Arial" w:hAnsi="Arial"/>
          <w:rtl/>
        </w:rPr>
      </w:pPr>
      <w:r>
        <w:rPr>
          <w:rFonts w:ascii="Arial" w:hAnsi="Arial"/>
          <w:rtl/>
        </w:rPr>
        <w:t>כמפורט לעיל, בנימוקי שירות המבחן להמלצתו לביטול הרשעתו של הנאשם צוין כי</w:t>
      </w:r>
      <w:r>
        <w:rPr>
          <w:rFonts w:ascii="Arial" w:hAnsi="Arial" w:hint="cs"/>
          <w:rtl/>
        </w:rPr>
        <w:t xml:space="preserve"> </w:t>
      </w:r>
      <w:r>
        <w:rPr>
          <w:rFonts w:ascii="Arial" w:hAnsi="Arial"/>
          <w:rtl/>
        </w:rPr>
        <w:t xml:space="preserve"> "</w:t>
      </w:r>
      <w:r>
        <w:rPr>
          <w:rFonts w:ascii="Arial" w:hAnsi="Arial"/>
          <w:b/>
          <w:bCs/>
          <w:rtl/>
        </w:rPr>
        <w:t>הרשעה בדין עלולה לחסום בפניו אפשרויות תעסוקה ופרנסה רבות בתחום אותו לומד כיום</w:t>
      </w:r>
      <w:r>
        <w:rPr>
          <w:rFonts w:ascii="Arial" w:hAnsi="Arial"/>
          <w:rtl/>
        </w:rPr>
        <w:t>". משמע, לא צוין כל נזק מוחשי קונקרטי עליו ביסס שירות המבחן המלצתו אלא אך אפשרות תאורטית לנזק עתידי.</w:t>
      </w:r>
    </w:p>
    <w:p w14:paraId="432DBBB9" w14:textId="77777777" w:rsidR="001E0C54" w:rsidRDefault="001E0C54" w:rsidP="001E0C54">
      <w:pPr>
        <w:spacing w:line="360" w:lineRule="auto"/>
        <w:jc w:val="both"/>
        <w:rPr>
          <w:rFonts w:ascii="David" w:hAnsi="David"/>
          <w:rtl/>
        </w:rPr>
      </w:pPr>
    </w:p>
    <w:p w14:paraId="4C878B30" w14:textId="77777777" w:rsidR="001E0C54" w:rsidRDefault="001E0C54" w:rsidP="001E0C54">
      <w:pPr>
        <w:spacing w:line="360" w:lineRule="auto"/>
        <w:jc w:val="both"/>
        <w:rPr>
          <w:rFonts w:ascii="David" w:hAnsi="David"/>
          <w:rtl/>
        </w:rPr>
      </w:pPr>
      <w:r>
        <w:rPr>
          <w:rFonts w:ascii="David" w:hAnsi="David"/>
          <w:rtl/>
        </w:rPr>
        <w:t xml:space="preserve">ב"כ הנאשם לא הציג כל מסמך אשר מצביע על נזק קונקרטי אשר יגרם לנאשם באם יורשע או הציג כל פסיקה לתמיכה בעתירתו, וסמך טענתו על גילו הצעיר של הנאשם והתחלת לימודיו האקדמאיים בלבד. </w:t>
      </w:r>
    </w:p>
    <w:p w14:paraId="06F38842" w14:textId="77777777" w:rsidR="001E0C54" w:rsidRDefault="001E0C54" w:rsidP="001E0C54">
      <w:pPr>
        <w:spacing w:line="360" w:lineRule="auto"/>
        <w:jc w:val="both"/>
        <w:rPr>
          <w:rFonts w:ascii="David" w:hAnsi="David"/>
          <w:rtl/>
        </w:rPr>
      </w:pPr>
      <w:r>
        <w:rPr>
          <w:rFonts w:ascii="David" w:hAnsi="David"/>
          <w:rtl/>
        </w:rPr>
        <w:t xml:space="preserve"> </w:t>
      </w:r>
    </w:p>
    <w:p w14:paraId="47BEFAF5" w14:textId="77777777" w:rsidR="001E0C54" w:rsidRDefault="001E0C54" w:rsidP="001E0C54">
      <w:pPr>
        <w:spacing w:line="360" w:lineRule="auto"/>
        <w:jc w:val="both"/>
        <w:rPr>
          <w:rFonts w:ascii="David" w:hAnsi="David"/>
          <w:rtl/>
        </w:rPr>
      </w:pPr>
      <w:r>
        <w:rPr>
          <w:rFonts w:ascii="David" w:hAnsi="David"/>
          <w:rtl/>
        </w:rPr>
        <w:t>לאור המפורט, בשים לב למדיניות הענישה הנוהגת, חומרת העבירה, לצד היעדר פגיעה קונקרטית משמעותית בעתידו של הנאשם - שוכנעתי כי במקרה זה לא קיימים שיקולים המצדיקים אי הרשעת הנאשם.</w:t>
      </w:r>
    </w:p>
    <w:p w14:paraId="04AE5E93" w14:textId="77777777" w:rsidR="001E0C54" w:rsidRPr="00ED0F8D" w:rsidRDefault="001E0C54" w:rsidP="001E0C54">
      <w:pPr>
        <w:spacing w:line="360" w:lineRule="auto"/>
        <w:jc w:val="both"/>
        <w:rPr>
          <w:rFonts w:ascii="Arial" w:hAnsi="Arial"/>
          <w:b/>
          <w:bCs/>
          <w:u w:val="single"/>
          <w:rtl/>
        </w:rPr>
      </w:pPr>
    </w:p>
    <w:p w14:paraId="306EF183" w14:textId="77777777" w:rsidR="001E0C54" w:rsidRPr="00ED0F8D" w:rsidRDefault="001E0C54" w:rsidP="001E0C54">
      <w:pPr>
        <w:spacing w:line="360" w:lineRule="auto"/>
        <w:jc w:val="both"/>
        <w:rPr>
          <w:rFonts w:ascii="Arial" w:hAnsi="Arial"/>
          <w:b/>
          <w:bCs/>
          <w:u w:val="single"/>
          <w:rtl/>
        </w:rPr>
      </w:pPr>
      <w:r w:rsidRPr="00ED0F8D">
        <w:rPr>
          <w:rFonts w:ascii="Arial" w:hAnsi="Arial" w:hint="cs"/>
          <w:b/>
          <w:bCs/>
          <w:u w:val="single"/>
          <w:rtl/>
        </w:rPr>
        <w:t xml:space="preserve">חריגה ממתחם העונש </w:t>
      </w:r>
      <w:r w:rsidRPr="00ED0F8D">
        <w:rPr>
          <w:rFonts w:ascii="Arial" w:hAnsi="Arial"/>
          <w:b/>
          <w:bCs/>
          <w:u w:val="single"/>
          <w:rtl/>
        </w:rPr>
        <w:t>–</w:t>
      </w:r>
      <w:r w:rsidRPr="00ED0F8D">
        <w:rPr>
          <w:rFonts w:ascii="Arial" w:hAnsi="Arial" w:hint="cs"/>
          <w:b/>
          <w:bCs/>
          <w:u w:val="single"/>
          <w:rtl/>
        </w:rPr>
        <w:t xml:space="preserve"> שיקולי שיקום </w:t>
      </w:r>
    </w:p>
    <w:p w14:paraId="2B340CB4" w14:textId="77777777" w:rsidR="001E0C54" w:rsidRDefault="001E0C54" w:rsidP="001E0C54">
      <w:pPr>
        <w:spacing w:line="360" w:lineRule="auto"/>
        <w:jc w:val="both"/>
        <w:rPr>
          <w:rFonts w:ascii="Arial" w:hAnsi="Arial"/>
          <w:rtl/>
        </w:rPr>
      </w:pPr>
      <w:r>
        <w:rPr>
          <w:rFonts w:ascii="Arial" w:hAnsi="Arial"/>
          <w:b/>
          <w:bCs/>
          <w:rtl/>
        </w:rPr>
        <w:t>23</w:t>
      </w:r>
      <w:r>
        <w:rPr>
          <w:rFonts w:ascii="Arial" w:hAnsi="Arial"/>
          <w:rtl/>
        </w:rPr>
        <w:t xml:space="preserve">. </w:t>
      </w:r>
      <w:r>
        <w:rPr>
          <w:rFonts w:ascii="Arial" w:hAnsi="Arial" w:hint="cs"/>
          <w:rtl/>
        </w:rPr>
        <w:t>הגם שקבעתי כי במקרה דנן אין מקום להורות על ביטול ההרשעה</w:t>
      </w:r>
      <w:r>
        <w:rPr>
          <w:rFonts w:ascii="Arial" w:hAnsi="Arial"/>
          <w:rtl/>
        </w:rPr>
        <w:t xml:space="preserve">, שוכנעתי כי הליך השיקום אשר עובר הנאשם, בשים לב אף לגילו הצעיר, מצדיקים </w:t>
      </w:r>
      <w:r>
        <w:rPr>
          <w:rFonts w:ascii="Arial" w:hAnsi="Arial"/>
          <w:b/>
          <w:bCs/>
          <w:rtl/>
        </w:rPr>
        <w:t>סטייה מהמתחם</w:t>
      </w:r>
      <w:r>
        <w:rPr>
          <w:rFonts w:ascii="Arial" w:hAnsi="Arial"/>
          <w:rtl/>
        </w:rPr>
        <w:t xml:space="preserve"> לקולה, ואנמק.</w:t>
      </w:r>
    </w:p>
    <w:p w14:paraId="06D80E44" w14:textId="77777777" w:rsidR="001E0C54" w:rsidRDefault="001E0C54" w:rsidP="001E0C54">
      <w:pPr>
        <w:rPr>
          <w:rFonts w:ascii="Arial" w:hAnsi="Arial"/>
          <w:rtl/>
        </w:rPr>
      </w:pPr>
    </w:p>
    <w:p w14:paraId="29A7F503" w14:textId="77777777" w:rsidR="001E0C54" w:rsidRDefault="001E0C54" w:rsidP="001E0C54">
      <w:pPr>
        <w:spacing w:line="360" w:lineRule="auto"/>
        <w:jc w:val="both"/>
        <w:rPr>
          <w:rFonts w:ascii="Arial" w:hAnsi="Arial"/>
          <w:rtl/>
        </w:rPr>
      </w:pPr>
    </w:p>
    <w:p w14:paraId="2B6F314F" w14:textId="77777777" w:rsidR="001E0C54" w:rsidRDefault="001E0C54" w:rsidP="001E0C54">
      <w:pPr>
        <w:spacing w:line="360" w:lineRule="auto"/>
        <w:jc w:val="both"/>
        <w:rPr>
          <w:rFonts w:ascii="Arial" w:hAnsi="Arial"/>
          <w:rtl/>
        </w:rPr>
      </w:pPr>
      <w:r>
        <w:rPr>
          <w:rFonts w:ascii="Arial" w:hAnsi="Arial"/>
          <w:rtl/>
        </w:rPr>
        <w:t>כפי שעולה מתסקירי שירות המבחן, במקרה המונח לפניי מדובר בנאשם צעיר, נעדר עבר פלילי למעט עברו הצבאי כמפורט, אשר הצליח להתגבר על קשייו באופן שאפשר לו לסיים לימודיו בהצלחה, לשרת שירות מלא בצה"ל, ולהשתלב באופן תקין בתעסוקה.</w:t>
      </w:r>
    </w:p>
    <w:p w14:paraId="63C36689" w14:textId="77777777" w:rsidR="001E0C54" w:rsidRDefault="001E0C54" w:rsidP="001E0C54">
      <w:pPr>
        <w:spacing w:line="360" w:lineRule="auto"/>
        <w:jc w:val="both"/>
        <w:rPr>
          <w:rFonts w:ascii="Arial" w:hAnsi="Arial"/>
          <w:rtl/>
        </w:rPr>
      </w:pPr>
      <w:r>
        <w:rPr>
          <w:rFonts w:ascii="Arial" w:hAnsi="Arial"/>
          <w:rtl/>
        </w:rPr>
        <w:t>הנאשם הודה, לקח אחריות על מעשיו והביע עליהם צער, שיתף פעולה עם שירות המבחן מתחילת ההליך ועד כה, השתלב בהליך הטיפולי אשר הוצע לו, מסר בדיקות שתן נקיות משרידי סם, והביע רצון להמשיך ולהתמיד בהליך הטיפולי בעתיד במסגרת צו מבחן. כמו כן, הנאשם פועל לקידום מצבו ונמצא בימים אלה לקראת סיום שנת הלימודים הראשונה במסלול האקדמי אשר בחר.</w:t>
      </w:r>
    </w:p>
    <w:p w14:paraId="5A417082" w14:textId="77777777" w:rsidR="001E0C54" w:rsidRDefault="001E0C54" w:rsidP="001E0C54">
      <w:pPr>
        <w:spacing w:line="360" w:lineRule="auto"/>
        <w:jc w:val="both"/>
        <w:rPr>
          <w:rFonts w:ascii="Arial" w:hAnsi="Arial"/>
          <w:rtl/>
        </w:rPr>
      </w:pPr>
    </w:p>
    <w:p w14:paraId="1B8603CB" w14:textId="77777777" w:rsidR="001E0C54" w:rsidRDefault="001E0C54" w:rsidP="001E0C54">
      <w:pPr>
        <w:spacing w:line="360" w:lineRule="auto"/>
        <w:jc w:val="both"/>
        <w:rPr>
          <w:rFonts w:ascii="Arial" w:hAnsi="Arial"/>
          <w:rtl/>
        </w:rPr>
      </w:pPr>
      <w:r>
        <w:rPr>
          <w:rFonts w:ascii="Arial" w:hAnsi="Arial"/>
          <w:rtl/>
        </w:rPr>
        <w:t xml:space="preserve">שירות המבחן התרשם מצעיר בעל יכולות וורבלית וקוגניטיביות תקינות, בעל מאפייני אישיות והתנהגות תקינים, ויכולות אישיות ותעסוקתיות טובות. </w:t>
      </w:r>
    </w:p>
    <w:p w14:paraId="7F4C510B" w14:textId="77777777" w:rsidR="001E0C54" w:rsidRDefault="001E0C54" w:rsidP="001E0C54">
      <w:pPr>
        <w:spacing w:line="360" w:lineRule="auto"/>
        <w:jc w:val="both"/>
        <w:rPr>
          <w:rFonts w:ascii="Calibri" w:hAnsi="Calibri"/>
          <w:rtl/>
        </w:rPr>
      </w:pPr>
    </w:p>
    <w:p w14:paraId="2DCE0C15" w14:textId="77777777" w:rsidR="001E0C54" w:rsidRDefault="001E0C54" w:rsidP="001E0C54">
      <w:pPr>
        <w:spacing w:line="360" w:lineRule="auto"/>
        <w:jc w:val="both"/>
        <w:rPr>
          <w:rFonts w:ascii="Arial" w:hAnsi="Arial"/>
          <w:rtl/>
        </w:rPr>
      </w:pPr>
      <w:r>
        <w:rPr>
          <w:rFonts w:ascii="Arial" w:hAnsi="Arial"/>
          <w:rtl/>
        </w:rPr>
        <w:t xml:space="preserve">באיזון בין השיקולים השונים, באתי לכלל מסקנה כי יש לחרוג ממתחם הענישה לקולה וניתן להסתפק בהטלת מאסר מותנה לצד </w:t>
      </w:r>
      <w:r>
        <w:rPr>
          <w:rFonts w:ascii="Arial" w:hAnsi="Arial" w:hint="cs"/>
          <w:rtl/>
        </w:rPr>
        <w:t xml:space="preserve">ענישה נלווית. </w:t>
      </w:r>
    </w:p>
    <w:p w14:paraId="54B2497C" w14:textId="77777777" w:rsidR="001E0C54" w:rsidRDefault="001E0C54" w:rsidP="001E0C54">
      <w:pPr>
        <w:spacing w:line="360" w:lineRule="auto"/>
        <w:jc w:val="both"/>
        <w:rPr>
          <w:rFonts w:ascii="Arial" w:hAnsi="Arial"/>
          <w:rtl/>
        </w:rPr>
      </w:pPr>
    </w:p>
    <w:p w14:paraId="56B9FB4E" w14:textId="77777777" w:rsidR="001E0C54" w:rsidRDefault="001E0C54" w:rsidP="001E0C54">
      <w:pPr>
        <w:spacing w:line="360" w:lineRule="auto"/>
        <w:jc w:val="both"/>
        <w:rPr>
          <w:rFonts w:ascii="Arial" w:hAnsi="Arial"/>
          <w:rtl/>
        </w:rPr>
      </w:pPr>
      <w:r>
        <w:rPr>
          <w:rFonts w:ascii="Arial" w:hAnsi="Arial"/>
          <w:b/>
          <w:bCs/>
          <w:rtl/>
        </w:rPr>
        <w:t>24</w:t>
      </w:r>
      <w:r>
        <w:rPr>
          <w:rFonts w:ascii="Arial" w:hAnsi="Arial"/>
          <w:rtl/>
        </w:rPr>
        <w:t xml:space="preserve">. </w:t>
      </w:r>
      <w:r>
        <w:rPr>
          <w:rFonts w:ascii="Arial" w:hAnsi="Arial"/>
          <w:b/>
          <w:bCs/>
          <w:rtl/>
        </w:rPr>
        <w:t>אשר על כן, אני גוזרת על הנאשם את העונשים הבאים:</w:t>
      </w:r>
    </w:p>
    <w:p w14:paraId="37EAB056" w14:textId="77777777" w:rsidR="001E0C54" w:rsidRDefault="001E0C54" w:rsidP="001E0C54">
      <w:pPr>
        <w:numPr>
          <w:ilvl w:val="0"/>
          <w:numId w:val="2"/>
        </w:numPr>
        <w:spacing w:line="360" w:lineRule="auto"/>
        <w:jc w:val="both"/>
        <w:rPr>
          <w:rFonts w:ascii="Arial" w:hAnsi="Arial"/>
          <w:b/>
          <w:bCs/>
        </w:rPr>
      </w:pPr>
      <w:r>
        <w:rPr>
          <w:rFonts w:ascii="Arial" w:hAnsi="Arial"/>
          <w:rtl/>
        </w:rPr>
        <w:t xml:space="preserve">6 חודשי מאסר על תנאי למשך 3 שנים מהיום שלא יעבור שוב עבירה מסוג פשע לפי </w:t>
      </w:r>
      <w:hyperlink r:id="rId27" w:history="1">
        <w:r w:rsidR="0007271A" w:rsidRPr="0007271A">
          <w:rPr>
            <w:rFonts w:ascii="Arial" w:hAnsi="Arial"/>
            <w:b/>
            <w:bCs/>
            <w:color w:val="0000FF"/>
            <w:u w:val="single"/>
            <w:rtl/>
          </w:rPr>
          <w:t>פקודת הסמים המסוכנים</w:t>
        </w:r>
      </w:hyperlink>
      <w:r>
        <w:rPr>
          <w:rFonts w:ascii="Arial" w:hAnsi="Arial"/>
          <w:b/>
          <w:bCs/>
          <w:rtl/>
        </w:rPr>
        <w:t xml:space="preserve">. </w:t>
      </w:r>
    </w:p>
    <w:p w14:paraId="417B9448" w14:textId="77777777" w:rsidR="001E0C54" w:rsidRDefault="001E0C54" w:rsidP="001E0C54">
      <w:pPr>
        <w:spacing w:line="360" w:lineRule="auto"/>
        <w:ind w:left="720"/>
        <w:jc w:val="both"/>
        <w:rPr>
          <w:rFonts w:ascii="Arial" w:hAnsi="Arial"/>
          <w:b/>
          <w:bCs/>
        </w:rPr>
      </w:pPr>
    </w:p>
    <w:p w14:paraId="3CF45B1C" w14:textId="77777777" w:rsidR="001E0C54" w:rsidRPr="00E93223" w:rsidRDefault="001E0C54" w:rsidP="001E0C54">
      <w:pPr>
        <w:numPr>
          <w:ilvl w:val="0"/>
          <w:numId w:val="2"/>
        </w:numPr>
        <w:spacing w:line="360" w:lineRule="auto"/>
        <w:jc w:val="both"/>
        <w:rPr>
          <w:rFonts w:ascii="Arial" w:hAnsi="Arial"/>
          <w:b/>
          <w:bCs/>
        </w:rPr>
      </w:pPr>
      <w:r w:rsidRPr="00E93223">
        <w:rPr>
          <w:rFonts w:ascii="Arial" w:hAnsi="Arial"/>
          <w:rtl/>
        </w:rPr>
        <w:t>קנס בסך 2,000 ₪ או 20 ימי מאסר תמורת הקנס.</w:t>
      </w:r>
    </w:p>
    <w:p w14:paraId="0558098E" w14:textId="77777777" w:rsidR="001E0C54" w:rsidRDefault="001E0C54" w:rsidP="001E0C54">
      <w:pPr>
        <w:spacing w:line="360" w:lineRule="auto"/>
        <w:ind w:left="720"/>
        <w:jc w:val="both"/>
        <w:rPr>
          <w:rFonts w:ascii="Arial" w:hAnsi="Arial"/>
          <w:rtl/>
        </w:rPr>
      </w:pPr>
      <w:r>
        <w:rPr>
          <w:rFonts w:ascii="Arial" w:hAnsi="Arial"/>
          <w:rtl/>
        </w:rPr>
        <w:t xml:space="preserve">הקנס ישולם ב-5 תשלומים שווים ורצופים. </w:t>
      </w:r>
    </w:p>
    <w:p w14:paraId="1D7351E6" w14:textId="77777777" w:rsidR="001E0C54" w:rsidRDefault="001E0C54" w:rsidP="001E0C54">
      <w:pPr>
        <w:spacing w:line="360" w:lineRule="auto"/>
        <w:ind w:left="720"/>
        <w:jc w:val="both"/>
        <w:rPr>
          <w:rFonts w:ascii="Arial" w:hAnsi="Arial"/>
          <w:rtl/>
        </w:rPr>
      </w:pPr>
      <w:r>
        <w:rPr>
          <w:rFonts w:ascii="Arial" w:hAnsi="Arial"/>
          <w:rtl/>
        </w:rPr>
        <w:t>תשלום ראשון בתוך 30 יום מהיום.</w:t>
      </w:r>
    </w:p>
    <w:p w14:paraId="6C1998B4" w14:textId="77777777" w:rsidR="001E0C54" w:rsidRDefault="001E0C54" w:rsidP="001E0C54">
      <w:pPr>
        <w:spacing w:line="360" w:lineRule="auto"/>
        <w:ind w:left="720"/>
        <w:jc w:val="both"/>
        <w:rPr>
          <w:rFonts w:ascii="Arial" w:hAnsi="Arial"/>
        </w:rPr>
      </w:pPr>
    </w:p>
    <w:p w14:paraId="2D041B6A" w14:textId="77777777" w:rsidR="001E0C54" w:rsidRPr="00E93223" w:rsidRDefault="001E0C54" w:rsidP="001E0C54">
      <w:pPr>
        <w:numPr>
          <w:ilvl w:val="0"/>
          <w:numId w:val="2"/>
        </w:numPr>
        <w:spacing w:line="360" w:lineRule="auto"/>
        <w:jc w:val="both"/>
        <w:rPr>
          <w:rFonts w:ascii="Arial" w:hAnsi="Arial"/>
        </w:rPr>
      </w:pPr>
      <w:r>
        <w:rPr>
          <w:rFonts w:ascii="Arial" w:hAnsi="Arial"/>
          <w:rtl/>
        </w:rPr>
        <w:t xml:space="preserve">התחייבות כספית על סך 1,500 ₪ להימנע במשך 3 שנים מהיום מביצוע עבירת פשע לפי </w:t>
      </w:r>
      <w:hyperlink r:id="rId28" w:history="1">
        <w:r w:rsidR="0007271A" w:rsidRPr="0007271A">
          <w:rPr>
            <w:rFonts w:ascii="Arial" w:hAnsi="Arial"/>
            <w:b/>
            <w:bCs/>
            <w:color w:val="0000FF"/>
            <w:u w:val="single"/>
            <w:rtl/>
          </w:rPr>
          <w:t>פקודת הסמים המסוכנים</w:t>
        </w:r>
      </w:hyperlink>
      <w:r>
        <w:rPr>
          <w:rFonts w:ascii="Arial" w:hAnsi="Arial"/>
          <w:b/>
          <w:bCs/>
          <w:rtl/>
        </w:rPr>
        <w:t>.</w:t>
      </w:r>
    </w:p>
    <w:p w14:paraId="119C8C40" w14:textId="77777777" w:rsidR="001E0C54" w:rsidRDefault="001E0C54" w:rsidP="001E0C54">
      <w:pPr>
        <w:spacing w:line="360" w:lineRule="auto"/>
        <w:ind w:left="720"/>
        <w:jc w:val="both"/>
        <w:rPr>
          <w:rFonts w:ascii="Arial" w:hAnsi="Arial"/>
        </w:rPr>
      </w:pPr>
    </w:p>
    <w:p w14:paraId="3DBD2574" w14:textId="77777777" w:rsidR="001E0C54" w:rsidRDefault="001E0C54" w:rsidP="001E0C54">
      <w:pPr>
        <w:numPr>
          <w:ilvl w:val="0"/>
          <w:numId w:val="2"/>
        </w:numPr>
        <w:spacing w:line="360" w:lineRule="auto"/>
        <w:jc w:val="both"/>
        <w:rPr>
          <w:rFonts w:ascii="David" w:hAnsi="David"/>
        </w:rPr>
      </w:pPr>
      <w:r>
        <w:rPr>
          <w:rFonts w:ascii="David" w:hAnsi="David"/>
          <w:rtl/>
        </w:rPr>
        <w:t>5 חודשי פסילה על-תנאי מלקבל או מלהחזיק רישיון נהיגה, לבל יעבור הנאשם כל עבירה לפי פקודת הסמים, במשך שנתיים מהיום.</w:t>
      </w:r>
    </w:p>
    <w:p w14:paraId="1C52A171" w14:textId="77777777" w:rsidR="001E0C54" w:rsidRDefault="001E0C54" w:rsidP="001E0C54">
      <w:pPr>
        <w:spacing w:line="360" w:lineRule="auto"/>
        <w:ind w:left="720"/>
        <w:jc w:val="both"/>
        <w:rPr>
          <w:rFonts w:ascii="David" w:hAnsi="David"/>
        </w:rPr>
      </w:pPr>
    </w:p>
    <w:p w14:paraId="29083EC6" w14:textId="77777777" w:rsidR="001E0C54" w:rsidRDefault="001E0C54" w:rsidP="001E0C54">
      <w:pPr>
        <w:pStyle w:val="ListParagraph"/>
        <w:numPr>
          <w:ilvl w:val="0"/>
          <w:numId w:val="2"/>
        </w:numPr>
        <w:spacing w:after="0" w:line="360" w:lineRule="auto"/>
        <w:jc w:val="both"/>
        <w:rPr>
          <w:rFonts w:ascii="Arial" w:eastAsia="Times New Roman" w:hAnsi="Arial" w:cs="David"/>
          <w:sz w:val="24"/>
          <w:szCs w:val="24"/>
          <w:rtl/>
        </w:rPr>
      </w:pPr>
      <w:r>
        <w:rPr>
          <w:rFonts w:ascii="Arial" w:eastAsia="Times New Roman" w:hAnsi="Arial" w:cs="David"/>
          <w:sz w:val="24"/>
          <w:szCs w:val="24"/>
          <w:rtl/>
        </w:rPr>
        <w:t>צו מבחן למשך שנה.</w:t>
      </w:r>
    </w:p>
    <w:p w14:paraId="3C5CF9C9" w14:textId="77777777" w:rsidR="001E0C54" w:rsidRDefault="001E0C54" w:rsidP="001E0C54">
      <w:pPr>
        <w:pStyle w:val="ListParagraph"/>
        <w:spacing w:after="0" w:line="360" w:lineRule="auto"/>
        <w:jc w:val="both"/>
        <w:rPr>
          <w:rFonts w:ascii="David" w:eastAsia="Times New Roman" w:hAnsi="David" w:cs="David"/>
          <w:sz w:val="24"/>
          <w:szCs w:val="24"/>
        </w:rPr>
      </w:pPr>
      <w:r>
        <w:rPr>
          <w:rFonts w:ascii="David" w:eastAsia="Times New Roman" w:hAnsi="David" w:cs="David"/>
          <w:sz w:val="24"/>
          <w:szCs w:val="24"/>
          <w:rtl/>
        </w:rPr>
        <w:t>מובהר לנאשם כי אם לא ימלא אחר תנאי צו המבחן ניתן יהיה להפקיעו ולשוב ולגזור את עונשו.</w:t>
      </w:r>
    </w:p>
    <w:p w14:paraId="55E77547" w14:textId="77777777" w:rsidR="001E0C54" w:rsidRDefault="001E0C54" w:rsidP="001E0C54">
      <w:pPr>
        <w:spacing w:line="360" w:lineRule="auto"/>
        <w:jc w:val="both"/>
        <w:rPr>
          <w:rFonts w:ascii="David" w:hAnsi="David"/>
        </w:rPr>
      </w:pPr>
    </w:p>
    <w:p w14:paraId="2B8AF5CB" w14:textId="77777777" w:rsidR="001E0C54" w:rsidRDefault="001E0C54" w:rsidP="001E0C54">
      <w:pPr>
        <w:spacing w:line="360" w:lineRule="auto"/>
        <w:jc w:val="both"/>
        <w:rPr>
          <w:rFonts w:ascii="David" w:hAnsi="David"/>
          <w:rtl/>
        </w:rPr>
      </w:pPr>
      <w:r>
        <w:rPr>
          <w:rFonts w:ascii="David" w:hAnsi="David" w:hint="cs"/>
          <w:rtl/>
        </w:rPr>
        <w:t>הסם יושמד.</w:t>
      </w:r>
    </w:p>
    <w:p w14:paraId="0D042DCA" w14:textId="77777777" w:rsidR="001E0C54" w:rsidRDefault="001E0C54" w:rsidP="001E0C54">
      <w:pPr>
        <w:spacing w:line="360" w:lineRule="auto"/>
        <w:jc w:val="both"/>
        <w:rPr>
          <w:rFonts w:ascii="Arial" w:hAnsi="Arial"/>
          <w:b/>
          <w:bCs/>
          <w:rtl/>
        </w:rPr>
      </w:pPr>
      <w:r>
        <w:rPr>
          <w:rFonts w:ascii="Arial" w:hAnsi="Arial"/>
          <w:b/>
          <w:bCs/>
          <w:rtl/>
        </w:rPr>
        <w:t>זכות ערעור  כחוק.</w:t>
      </w:r>
    </w:p>
    <w:p w14:paraId="745D44F8" w14:textId="77777777" w:rsidR="001E0C54" w:rsidRPr="0007271A" w:rsidRDefault="0007271A" w:rsidP="001E0C54">
      <w:pPr>
        <w:spacing w:line="360" w:lineRule="auto"/>
        <w:jc w:val="both"/>
        <w:rPr>
          <w:rFonts w:ascii="Arial" w:hAnsi="Arial"/>
          <w:b/>
          <w:bCs/>
          <w:color w:val="FFFFFF"/>
          <w:sz w:val="2"/>
          <w:szCs w:val="2"/>
          <w:rtl/>
        </w:rPr>
      </w:pPr>
      <w:r w:rsidRPr="0007271A">
        <w:rPr>
          <w:rFonts w:ascii="Arial" w:hAnsi="Arial"/>
          <w:b/>
          <w:bCs/>
          <w:color w:val="FFFFFF"/>
          <w:sz w:val="2"/>
          <w:szCs w:val="2"/>
          <w:rtl/>
        </w:rPr>
        <w:t>5129371</w:t>
      </w:r>
    </w:p>
    <w:p w14:paraId="392BCCD7" w14:textId="77777777" w:rsidR="001E0C54" w:rsidRPr="00C02FDB" w:rsidRDefault="0007271A" w:rsidP="001E0C54">
      <w:pPr>
        <w:rPr>
          <w:rFonts w:cs="FrankRuehl"/>
          <w:b/>
          <w:bCs/>
          <w:sz w:val="28"/>
          <w:szCs w:val="28"/>
          <w:rtl/>
        </w:rPr>
      </w:pPr>
      <w:bookmarkStart w:id="8" w:name="Nitan"/>
      <w:r w:rsidRPr="00C02FDB">
        <w:rPr>
          <w:rFonts w:ascii="Arial" w:hAnsi="Arial"/>
          <w:b/>
          <w:bCs/>
          <w:color w:val="FFFFFF"/>
          <w:sz w:val="2"/>
          <w:szCs w:val="2"/>
          <w:rtl/>
        </w:rPr>
        <w:t>54678313</w:t>
      </w:r>
      <w:r w:rsidRPr="00C02FDB">
        <w:rPr>
          <w:rFonts w:ascii="Arial" w:hAnsi="Arial"/>
          <w:b/>
          <w:bCs/>
          <w:rtl/>
        </w:rPr>
        <w:t xml:space="preserve">ניתן היום, כ"ז אייר תש"פ, 21 במאי 2020 במעמד הצדדים. </w:t>
      </w:r>
      <w:bookmarkEnd w:id="8"/>
    </w:p>
    <w:p w14:paraId="605E1990" w14:textId="77777777" w:rsidR="001E0C54" w:rsidRDefault="001E0C54" w:rsidP="0007271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50791C4" w14:textId="77777777" w:rsidR="001E0C54" w:rsidRDefault="001E0C54" w:rsidP="001E0C54">
      <w:pPr>
        <w:jc w:val="center"/>
        <w:rPr>
          <w:rFonts w:ascii="Arial" w:hAnsi="Arial" w:cs="FrankRuehl"/>
          <w:sz w:val="28"/>
          <w:szCs w:val="28"/>
          <w:rtl/>
        </w:rPr>
      </w:pPr>
    </w:p>
    <w:p w14:paraId="5E6FC79F" w14:textId="77777777" w:rsidR="001E0C54" w:rsidRDefault="001E0C54" w:rsidP="001E0C54">
      <w:pPr>
        <w:rPr>
          <w:rFonts w:cs="FrankRuehl"/>
          <w:sz w:val="28"/>
          <w:szCs w:val="28"/>
          <w:rtl/>
        </w:rPr>
      </w:pPr>
    </w:p>
    <w:p w14:paraId="0149FA2E" w14:textId="77777777" w:rsidR="001E0C54" w:rsidRPr="004C6D56" w:rsidRDefault="004C6D56" w:rsidP="001E0C54">
      <w:pPr>
        <w:pStyle w:val="a3"/>
        <w:jc w:val="center"/>
        <w:rPr>
          <w:color w:val="FFFFFF"/>
          <w:sz w:val="2"/>
          <w:szCs w:val="2"/>
          <w:rtl/>
        </w:rPr>
      </w:pPr>
      <w:r w:rsidRPr="004C6D56">
        <w:rPr>
          <w:color w:val="FFFFFF"/>
          <w:sz w:val="2"/>
          <w:szCs w:val="2"/>
          <w:rtl/>
        </w:rPr>
        <w:t>5129371</w:t>
      </w:r>
    </w:p>
    <w:p w14:paraId="0E0F5AE8" w14:textId="77777777" w:rsidR="00E472DB" w:rsidRPr="004C6D56" w:rsidRDefault="004C6D56" w:rsidP="0007271A">
      <w:pPr>
        <w:keepNext/>
        <w:rPr>
          <w:rFonts w:ascii="David" w:hAnsi="David"/>
          <w:color w:val="FFFFFF"/>
          <w:sz w:val="2"/>
          <w:szCs w:val="2"/>
          <w:rtl/>
        </w:rPr>
      </w:pPr>
      <w:r w:rsidRPr="004C6D56">
        <w:rPr>
          <w:rFonts w:ascii="David" w:hAnsi="David"/>
          <w:color w:val="FFFFFF"/>
          <w:sz w:val="2"/>
          <w:szCs w:val="2"/>
          <w:rtl/>
        </w:rPr>
        <w:t>54678313</w:t>
      </w:r>
    </w:p>
    <w:p w14:paraId="7E1F1F7D" w14:textId="77777777" w:rsidR="0007271A" w:rsidRDefault="0007271A" w:rsidP="0007271A">
      <w:pPr>
        <w:rPr>
          <w:rtl/>
        </w:rPr>
      </w:pPr>
    </w:p>
    <w:p w14:paraId="0B08065F" w14:textId="77777777" w:rsidR="0007271A" w:rsidRDefault="0007271A" w:rsidP="0007271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4DE9216F" w14:textId="77777777" w:rsidR="004C6D56" w:rsidRPr="004C6D56" w:rsidRDefault="004C6D56" w:rsidP="004C6D56">
      <w:pPr>
        <w:keepNext/>
        <w:rPr>
          <w:rFonts w:ascii="David" w:hAnsi="David"/>
          <w:color w:val="000000"/>
          <w:sz w:val="22"/>
          <w:szCs w:val="22"/>
          <w:rtl/>
        </w:rPr>
      </w:pPr>
    </w:p>
    <w:p w14:paraId="03B47EA3" w14:textId="77777777" w:rsidR="004C6D56" w:rsidRPr="004C6D56" w:rsidRDefault="004C6D56" w:rsidP="004C6D56">
      <w:pPr>
        <w:keepNext/>
        <w:rPr>
          <w:rFonts w:ascii="David" w:hAnsi="David"/>
          <w:color w:val="000000"/>
          <w:sz w:val="22"/>
          <w:szCs w:val="22"/>
          <w:rtl/>
        </w:rPr>
      </w:pPr>
      <w:r w:rsidRPr="004C6D56">
        <w:rPr>
          <w:rFonts w:ascii="David" w:hAnsi="David"/>
          <w:color w:val="000000"/>
          <w:sz w:val="22"/>
          <w:szCs w:val="22"/>
          <w:rtl/>
        </w:rPr>
        <w:t>טל לחיאני שהם 54678313-/</w:t>
      </w:r>
    </w:p>
    <w:p w14:paraId="3E6AE87D" w14:textId="77777777" w:rsidR="0007271A" w:rsidRPr="0007271A" w:rsidRDefault="004C6D56" w:rsidP="004C6D56">
      <w:pPr>
        <w:rPr>
          <w:color w:val="0000FF"/>
          <w:u w:val="single"/>
        </w:rPr>
      </w:pPr>
      <w:r w:rsidRPr="004C6D56">
        <w:rPr>
          <w:color w:val="000000"/>
          <w:u w:val="single"/>
          <w:rtl/>
        </w:rPr>
        <w:t>נוסח מסמך זה כפוף לשינויי ניסוח ועריכה</w:t>
      </w:r>
    </w:p>
    <w:sectPr w:rsidR="0007271A" w:rsidRPr="0007271A" w:rsidSect="004C6D56">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A6364" w14:textId="77777777" w:rsidR="00B7370E" w:rsidRDefault="00B7370E" w:rsidP="00663830">
      <w:r>
        <w:separator/>
      </w:r>
    </w:p>
  </w:endnote>
  <w:endnote w:type="continuationSeparator" w:id="0">
    <w:p w14:paraId="29B690AC" w14:textId="77777777" w:rsidR="00B7370E" w:rsidRDefault="00B7370E" w:rsidP="006638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A694F2" w14:textId="77777777" w:rsidR="004C6D56" w:rsidRDefault="004C6D56" w:rsidP="004C6D5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EACF23D" w14:textId="77777777" w:rsidR="00597826" w:rsidRPr="004C6D56" w:rsidRDefault="004C6D56" w:rsidP="004C6D56">
    <w:pPr>
      <w:pStyle w:val="a5"/>
      <w:pBdr>
        <w:top w:val="single" w:sz="4" w:space="1" w:color="auto"/>
        <w:between w:val="single" w:sz="4" w:space="0" w:color="auto"/>
      </w:pBdr>
      <w:spacing w:after="60"/>
      <w:jc w:val="center"/>
      <w:rPr>
        <w:rFonts w:ascii="FrankRuehl" w:hAnsi="FrankRuehl" w:cs="FrankRuehl"/>
        <w:color w:val="000000"/>
      </w:rPr>
    </w:pPr>
    <w:r w:rsidRPr="004C6D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F4A5B" w14:textId="77777777" w:rsidR="004C6D56" w:rsidRDefault="004C6D56" w:rsidP="004C6D5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064CB">
      <w:rPr>
        <w:rFonts w:ascii="FrankRuehl" w:hAnsi="FrankRuehl" w:cs="FrankRuehl"/>
        <w:noProof/>
        <w:rtl/>
      </w:rPr>
      <w:t>1</w:t>
    </w:r>
    <w:r>
      <w:rPr>
        <w:rFonts w:ascii="FrankRuehl" w:hAnsi="FrankRuehl" w:cs="FrankRuehl"/>
        <w:rtl/>
      </w:rPr>
      <w:fldChar w:fldCharType="end"/>
    </w:r>
  </w:p>
  <w:p w14:paraId="639458FA" w14:textId="77777777" w:rsidR="00597826" w:rsidRPr="004C6D56" w:rsidRDefault="004C6D56" w:rsidP="004C6D56">
    <w:pPr>
      <w:pStyle w:val="a5"/>
      <w:pBdr>
        <w:top w:val="single" w:sz="4" w:space="1" w:color="auto"/>
        <w:between w:val="single" w:sz="4" w:space="0" w:color="auto"/>
      </w:pBdr>
      <w:spacing w:after="60"/>
      <w:jc w:val="center"/>
      <w:rPr>
        <w:rFonts w:ascii="FrankRuehl" w:hAnsi="FrankRuehl" w:cs="FrankRuehl"/>
        <w:color w:val="000000"/>
      </w:rPr>
    </w:pPr>
    <w:r w:rsidRPr="004C6D56">
      <w:rPr>
        <w:rFonts w:ascii="FrankRuehl" w:hAnsi="FrankRuehl" w:cs="FrankRuehl"/>
        <w:color w:val="000000"/>
      </w:rPr>
      <w:pict w14:anchorId="2D3C0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D4839" w14:textId="77777777" w:rsidR="00B7370E" w:rsidRDefault="00B7370E" w:rsidP="00663830">
      <w:r>
        <w:separator/>
      </w:r>
    </w:p>
  </w:footnote>
  <w:footnote w:type="continuationSeparator" w:id="0">
    <w:p w14:paraId="7E200D0E" w14:textId="77777777" w:rsidR="00B7370E" w:rsidRDefault="00B7370E" w:rsidP="006638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FF352" w14:textId="77777777" w:rsidR="0007271A" w:rsidRPr="004C6D56" w:rsidRDefault="004C6D56" w:rsidP="004C6D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30452-12-18</w:t>
    </w:r>
    <w:r>
      <w:rPr>
        <w:rFonts w:ascii="David" w:hAnsi="David"/>
        <w:color w:val="000000"/>
        <w:sz w:val="22"/>
        <w:szCs w:val="22"/>
        <w:rtl/>
      </w:rPr>
      <w:tab/>
      <w:t xml:space="preserve"> מדינת ישראל נ' רון שיינברג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EA0B5" w14:textId="77777777" w:rsidR="0007271A" w:rsidRPr="004C6D56" w:rsidRDefault="004C6D56" w:rsidP="004C6D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30452-12-18</w:t>
    </w:r>
    <w:r>
      <w:rPr>
        <w:rFonts w:ascii="David" w:hAnsi="David"/>
        <w:color w:val="000000"/>
        <w:sz w:val="22"/>
        <w:szCs w:val="22"/>
        <w:rtl/>
      </w:rPr>
      <w:tab/>
      <w:t xml:space="preserve"> מדינת ישראל נ' רון שיינברג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C5838"/>
    <w:multiLevelType w:val="hybridMultilevel"/>
    <w:tmpl w:val="0EC05674"/>
    <w:lvl w:ilvl="0" w:tplc="9478258E">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345317BB"/>
    <w:multiLevelType w:val="hybridMultilevel"/>
    <w:tmpl w:val="09B6E1B2"/>
    <w:lvl w:ilvl="0" w:tplc="284C6AE4">
      <w:start w:val="1"/>
      <w:numFmt w:val="decimal"/>
      <w:lvlText w:val="%1."/>
      <w:lvlJc w:val="left"/>
      <w:pPr>
        <w:ind w:left="720" w:hanging="360"/>
      </w:pPr>
      <w:rPr>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68800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578959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E0C54"/>
    <w:rsid w:val="0007271A"/>
    <w:rsid w:val="001B5A3B"/>
    <w:rsid w:val="001C5670"/>
    <w:rsid w:val="001E0C54"/>
    <w:rsid w:val="004C6D56"/>
    <w:rsid w:val="005653E0"/>
    <w:rsid w:val="00597826"/>
    <w:rsid w:val="00663830"/>
    <w:rsid w:val="00884FC9"/>
    <w:rsid w:val="009043D9"/>
    <w:rsid w:val="00B064CB"/>
    <w:rsid w:val="00B7370E"/>
    <w:rsid w:val="00C02FDB"/>
    <w:rsid w:val="00E472DB"/>
    <w:rsid w:val="00EF4E1C"/>
    <w:rsid w:val="00FD0A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2E1254"/>
  <w15:chartTrackingRefBased/>
  <w15:docId w15:val="{84DEEF62-6537-4331-B921-DF8BF6EC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E0C5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0C54"/>
    <w:pPr>
      <w:tabs>
        <w:tab w:val="center" w:pos="4153"/>
        <w:tab w:val="right" w:pos="8306"/>
      </w:tabs>
    </w:pPr>
  </w:style>
  <w:style w:type="character" w:customStyle="1" w:styleId="a4">
    <w:name w:val="כותרת עליונה תו"/>
    <w:link w:val="a3"/>
    <w:rsid w:val="001E0C54"/>
    <w:rPr>
      <w:rFonts w:ascii="Times New Roman" w:eastAsia="Times New Roman" w:hAnsi="Times New Roman" w:cs="David"/>
      <w:sz w:val="24"/>
      <w:szCs w:val="24"/>
    </w:rPr>
  </w:style>
  <w:style w:type="paragraph" w:styleId="a5">
    <w:name w:val="footer"/>
    <w:basedOn w:val="a"/>
    <w:link w:val="a6"/>
    <w:rsid w:val="001E0C54"/>
    <w:pPr>
      <w:tabs>
        <w:tab w:val="center" w:pos="4153"/>
        <w:tab w:val="right" w:pos="8306"/>
      </w:tabs>
    </w:pPr>
  </w:style>
  <w:style w:type="character" w:customStyle="1" w:styleId="a6">
    <w:name w:val="כותרת תחתונה תו"/>
    <w:link w:val="a5"/>
    <w:rsid w:val="001E0C54"/>
    <w:rPr>
      <w:rFonts w:ascii="Times New Roman" w:eastAsia="Times New Roman" w:hAnsi="Times New Roman" w:cs="David"/>
      <w:sz w:val="24"/>
      <w:szCs w:val="24"/>
    </w:rPr>
  </w:style>
  <w:style w:type="table" w:styleId="a7">
    <w:name w:val="Table Grid"/>
    <w:basedOn w:val="a1"/>
    <w:rsid w:val="001E0C5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E0C54"/>
  </w:style>
  <w:style w:type="paragraph" w:customStyle="1" w:styleId="ListParagraph">
    <w:name w:val="List Paragraph"/>
    <w:basedOn w:val="a"/>
    <w:qFormat/>
    <w:rsid w:val="001E0C54"/>
    <w:pPr>
      <w:spacing w:after="160" w:line="256" w:lineRule="auto"/>
      <w:ind w:left="720"/>
      <w:contextualSpacing/>
    </w:pPr>
    <w:rPr>
      <w:rFonts w:ascii="Calibri" w:eastAsia="Calibri" w:hAnsi="Calibri" w:cs="Arial"/>
      <w:sz w:val="22"/>
      <w:szCs w:val="22"/>
    </w:rPr>
  </w:style>
  <w:style w:type="character" w:styleId="Hyperlink">
    <w:name w:val="Hyperlink"/>
    <w:rsid w:val="0007271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0554181" TargetMode="External"/><Relationship Id="rId26" Type="http://schemas.openxmlformats.org/officeDocument/2006/relationships/hyperlink" Target="http://www.nevo.co.il/case/5611948" TargetMode="External"/><Relationship Id="rId3" Type="http://schemas.openxmlformats.org/officeDocument/2006/relationships/settings" Target="settings.xml"/><Relationship Id="rId21" Type="http://schemas.openxmlformats.org/officeDocument/2006/relationships/hyperlink" Target="http://www.nevo.co.il/law/70301/40jc"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7012287" TargetMode="External"/><Relationship Id="rId25" Type="http://schemas.openxmlformats.org/officeDocument/2006/relationships/hyperlink" Target="http://www.nevo.co.il/case/6062217"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c" TargetMode="External"/><Relationship Id="rId24" Type="http://schemas.openxmlformats.org/officeDocument/2006/relationships/hyperlink" Target="http://www.nevo.co.il/case/21015131"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7990791" TargetMode="External"/><Relationship Id="rId28" Type="http://schemas.openxmlformats.org/officeDocument/2006/relationships/hyperlink" Target="http://www.nevo.co.il/law/4216" TargetMode="External"/><Relationship Id="rId10" Type="http://schemas.openxmlformats.org/officeDocument/2006/relationships/hyperlink" Target="http://www.nevo.co.il/law/70301/40i" TargetMode="External"/><Relationship Id="rId19" Type="http://schemas.openxmlformats.org/officeDocument/2006/relationships/hyperlink" Target="http://www.nevo.co.il/law/70301/40i"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5810781" TargetMode="External"/><Relationship Id="rId27" Type="http://schemas.openxmlformats.org/officeDocument/2006/relationships/hyperlink" Target="http://www.nevo.co.il/law/4216"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2347</Words>
  <Characters>11740</Characters>
  <Application>Microsoft Office Word</Application>
  <DocSecurity>0</DocSecurity>
  <Lines>97</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14059</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3473527</vt:i4>
      </vt:variant>
      <vt:variant>
        <vt:i4>57</vt:i4>
      </vt:variant>
      <vt:variant>
        <vt:i4>0</vt:i4>
      </vt:variant>
      <vt:variant>
        <vt:i4>5</vt:i4>
      </vt:variant>
      <vt:variant>
        <vt:lpwstr>http://www.nevo.co.il/case/5611948</vt:lpwstr>
      </vt:variant>
      <vt:variant>
        <vt:lpwstr/>
      </vt:variant>
      <vt:variant>
        <vt:i4>3473527</vt:i4>
      </vt:variant>
      <vt:variant>
        <vt:i4>54</vt:i4>
      </vt:variant>
      <vt:variant>
        <vt:i4>0</vt:i4>
      </vt:variant>
      <vt:variant>
        <vt:i4>5</vt:i4>
      </vt:variant>
      <vt:variant>
        <vt:lpwstr>http://www.nevo.co.il/case/6062217</vt:lpwstr>
      </vt:variant>
      <vt:variant>
        <vt:lpwstr/>
      </vt:variant>
      <vt:variant>
        <vt:i4>3407989</vt:i4>
      </vt:variant>
      <vt:variant>
        <vt:i4>51</vt:i4>
      </vt:variant>
      <vt:variant>
        <vt:i4>0</vt:i4>
      </vt:variant>
      <vt:variant>
        <vt:i4>5</vt:i4>
      </vt:variant>
      <vt:variant>
        <vt:lpwstr>http://www.nevo.co.il/case/21015131</vt:lpwstr>
      </vt:variant>
      <vt:variant>
        <vt:lpwstr/>
      </vt:variant>
      <vt:variant>
        <vt:i4>3211389</vt:i4>
      </vt:variant>
      <vt:variant>
        <vt:i4>48</vt:i4>
      </vt:variant>
      <vt:variant>
        <vt:i4>0</vt:i4>
      </vt:variant>
      <vt:variant>
        <vt:i4>5</vt:i4>
      </vt:variant>
      <vt:variant>
        <vt:lpwstr>http://www.nevo.co.il/case/17990791</vt:lpwstr>
      </vt:variant>
      <vt:variant>
        <vt:lpwstr/>
      </vt:variant>
      <vt:variant>
        <vt:i4>3276916</vt:i4>
      </vt:variant>
      <vt:variant>
        <vt:i4>45</vt:i4>
      </vt:variant>
      <vt:variant>
        <vt:i4>0</vt:i4>
      </vt:variant>
      <vt:variant>
        <vt:i4>5</vt:i4>
      </vt:variant>
      <vt:variant>
        <vt:lpwstr>http://www.nevo.co.il/case/5810781</vt:lpwstr>
      </vt:variant>
      <vt:variant>
        <vt:lpwstr/>
      </vt:variant>
      <vt:variant>
        <vt:i4>393227</vt:i4>
      </vt:variant>
      <vt:variant>
        <vt:i4>42</vt:i4>
      </vt:variant>
      <vt:variant>
        <vt:i4>0</vt:i4>
      </vt:variant>
      <vt:variant>
        <vt:i4>5</vt:i4>
      </vt:variant>
      <vt:variant>
        <vt:lpwstr>http://www.nevo.co.il/law/70301/40jc</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3866736</vt:i4>
      </vt:variant>
      <vt:variant>
        <vt:i4>33</vt:i4>
      </vt:variant>
      <vt:variant>
        <vt:i4>0</vt:i4>
      </vt:variant>
      <vt:variant>
        <vt:i4>5</vt:i4>
      </vt:variant>
      <vt:variant>
        <vt:lpwstr>http://www.nevo.co.il/case/20554181</vt:lpwstr>
      </vt:variant>
      <vt:variant>
        <vt:lpwstr/>
      </vt:variant>
      <vt:variant>
        <vt:i4>3342462</vt:i4>
      </vt:variant>
      <vt:variant>
        <vt:i4>30</vt:i4>
      </vt:variant>
      <vt:variant>
        <vt:i4>0</vt:i4>
      </vt:variant>
      <vt:variant>
        <vt:i4>5</vt:i4>
      </vt:variant>
      <vt:variant>
        <vt:lpwstr>http://www.nevo.co.il/case/7012287</vt:lpwstr>
      </vt:variant>
      <vt:variant>
        <vt:lpwstr/>
      </vt:variant>
      <vt:variant>
        <vt:i4>7995492</vt:i4>
      </vt:variant>
      <vt:variant>
        <vt:i4>27</vt:i4>
      </vt:variant>
      <vt:variant>
        <vt:i4>0</vt:i4>
      </vt:variant>
      <vt:variant>
        <vt:i4>5</vt:i4>
      </vt:variant>
      <vt:variant>
        <vt:lpwstr>http://www.nevo.co.il/law/70301</vt:lpwstr>
      </vt:variant>
      <vt:variant>
        <vt:lpwstr/>
      </vt:variant>
      <vt:variant>
        <vt:i4>8257637</vt:i4>
      </vt:variant>
      <vt:variant>
        <vt:i4>24</vt:i4>
      </vt:variant>
      <vt:variant>
        <vt:i4>0</vt:i4>
      </vt:variant>
      <vt:variant>
        <vt:i4>5</vt:i4>
      </vt:variant>
      <vt:variant>
        <vt:lpwstr>http://www.nevo.co.il/law/4216</vt:lpwstr>
      </vt:variant>
      <vt:variant>
        <vt:lpwstr/>
      </vt:variant>
      <vt:variant>
        <vt:i4>5177418</vt:i4>
      </vt:variant>
      <vt:variant>
        <vt:i4>21</vt:i4>
      </vt:variant>
      <vt:variant>
        <vt:i4>0</vt:i4>
      </vt:variant>
      <vt:variant>
        <vt:i4>5</vt:i4>
      </vt:variant>
      <vt:variant>
        <vt:lpwstr>http://www.nevo.co.il/law/4216/13</vt:lpwstr>
      </vt:variant>
      <vt:variant>
        <vt:lpwstr/>
      </vt:variant>
      <vt:variant>
        <vt:i4>8257637</vt:i4>
      </vt:variant>
      <vt:variant>
        <vt:i4>18</vt:i4>
      </vt:variant>
      <vt:variant>
        <vt:i4>0</vt:i4>
      </vt:variant>
      <vt:variant>
        <vt:i4>5</vt:i4>
      </vt:variant>
      <vt:variant>
        <vt:lpwstr>http://www.nevo.co.il/law/4216</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393227</vt:i4>
      </vt:variant>
      <vt:variant>
        <vt:i4>12</vt:i4>
      </vt:variant>
      <vt:variant>
        <vt:i4>0</vt:i4>
      </vt:variant>
      <vt:variant>
        <vt:i4>5</vt:i4>
      </vt:variant>
      <vt:variant>
        <vt:lpwstr>http://www.nevo.co.il/law/70301/40jc</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7995492</vt:i4>
      </vt:variant>
      <vt:variant>
        <vt:i4>6</vt:i4>
      </vt:variant>
      <vt:variant>
        <vt:i4>0</vt:i4>
      </vt:variant>
      <vt:variant>
        <vt:i4>5</vt:i4>
      </vt:variant>
      <vt:variant>
        <vt:lpwstr>http://www.nevo.co.il/law/70301</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2025-04-22T23:59:00Z</dcterms:created>
  <dcterms:modified xsi:type="dcterms:W3CDTF">2025-04-22T23:59:00Z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30452</vt:lpwstr>
  </property>
  <property fmtid="{D5CDD505-2E9C-101B-9397-08002B2CF9AE}" pid="6" name="NEWPARTB">
    <vt:lpwstr>12</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רון שיינברג</vt:lpwstr>
  </property>
  <property fmtid="{D5CDD505-2E9C-101B-9397-08002B2CF9AE}" pid="10" name="LAWYER">
    <vt:lpwstr>שרייבר;משה דרעי</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20200521</vt:lpwstr>
  </property>
  <property fmtid="{D5CDD505-2E9C-101B-9397-08002B2CF9AE}" pid="14" name="TYPE_N_DATE">
    <vt:lpwstr>38020200521</vt:lpwstr>
  </property>
  <property fmtid="{D5CDD505-2E9C-101B-9397-08002B2CF9AE}" pid="15" name="WORDNUMPAGES">
    <vt:lpwstr>8</vt:lpwstr>
  </property>
  <property fmtid="{D5CDD505-2E9C-101B-9397-08002B2CF9AE}" pid="16" name="TYPE_ABS_DATE">
    <vt:lpwstr>380120200521</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7012287;20554181;5810781;17990791;21015131;6062217;5611948</vt:lpwstr>
  </property>
  <property fmtid="{D5CDD505-2E9C-101B-9397-08002B2CF9AE}" pid="36" name="LAWLISTTMP1">
    <vt:lpwstr>4216/013</vt:lpwstr>
  </property>
  <property fmtid="{D5CDD505-2E9C-101B-9397-08002B2CF9AE}" pid="37" name="LAWLISTTMP2">
    <vt:lpwstr>70301/040i;40jc</vt:lpwstr>
  </property>
  <property fmtid="{D5CDD505-2E9C-101B-9397-08002B2CF9AE}" pid="38" name="NOSE1ID">
    <vt:lpwstr>77</vt:lpwstr>
  </property>
  <property fmtid="{D5CDD505-2E9C-101B-9397-08002B2CF9AE}" pid="39" name="NOSE2ID">
    <vt:lpwstr>1443</vt:lpwstr>
  </property>
  <property fmtid="{D5CDD505-2E9C-101B-9397-08002B2CF9AE}" pid="40" name="NOSE3ID">
    <vt:lpwstr>8878</vt:lpwstr>
  </property>
  <property fmtid="{D5CDD505-2E9C-101B-9397-08002B2CF9AE}" pid="41" name="NOSE11">
    <vt:lpwstr>עונשין</vt:lpwstr>
  </property>
  <property fmtid="{D5CDD505-2E9C-101B-9397-08002B2CF9AE}" pid="42" name="NOSE21">
    <vt:lpwstr>עבירות</vt:lpwstr>
  </property>
  <property fmtid="{D5CDD505-2E9C-101B-9397-08002B2CF9AE}" pid="43" name="NOSE31">
    <vt:lpwstr>סמים</vt:lpwstr>
  </property>
  <property fmtid="{D5CDD505-2E9C-101B-9397-08002B2CF9AE}" pid="44" name="NOSE12">
    <vt:lpwstr/>
  </property>
  <property fmtid="{D5CDD505-2E9C-101B-9397-08002B2CF9AE}" pid="45" name="NOSE22">
    <vt:lpwstr/>
  </property>
  <property fmtid="{D5CDD505-2E9C-101B-9397-08002B2CF9AE}" pid="46" name="NOSE32">
    <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20200712</vt:lpwstr>
  </property>
  <property fmtid="{D5CDD505-2E9C-101B-9397-08002B2CF9AE}" pid="72" name="METAKZER">
    <vt:lpwstr>שירלי</vt:lpwstr>
  </property>
</Properties>
</file>