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616B3" w:rsidRPr="005E017E" w14:paraId="2BE67C22" w14:textId="77777777" w:rsidTr="007F2413">
        <w:trPr>
          <w:trHeight w:hRule="exact" w:val="418"/>
          <w:jc w:val="center"/>
        </w:trPr>
        <w:tc>
          <w:tcPr>
            <w:tcW w:w="8721" w:type="dxa"/>
            <w:gridSpan w:val="2"/>
          </w:tcPr>
          <w:p w14:paraId="37073E1C" w14:textId="77777777" w:rsidR="008616B3" w:rsidRPr="005E017E" w:rsidRDefault="008616B3" w:rsidP="00E92038">
            <w:pPr>
              <w:pStyle w:val="a3"/>
              <w:jc w:val="center"/>
              <w:rPr>
                <w:rFonts w:ascii="Tahoma" w:hAnsi="Tahoma" w:cs="Tahoma"/>
                <w:color w:val="000080"/>
                <w:rtl/>
              </w:rPr>
            </w:pPr>
            <w:r w:rsidRPr="005E017E">
              <w:rPr>
                <w:rFonts w:ascii="Tahoma" w:hAnsi="Tahoma" w:cs="Tahoma"/>
                <w:b/>
                <w:bCs/>
                <w:color w:val="000080"/>
                <w:rtl/>
              </w:rPr>
              <w:t>בית משפט השלום ברחובות</w:t>
            </w:r>
          </w:p>
        </w:tc>
      </w:tr>
      <w:tr w:rsidR="008616B3" w:rsidRPr="005E017E" w14:paraId="36BB1067" w14:textId="77777777" w:rsidTr="007F2413">
        <w:trPr>
          <w:trHeight w:val="337"/>
          <w:jc w:val="center"/>
        </w:trPr>
        <w:tc>
          <w:tcPr>
            <w:tcW w:w="5054" w:type="dxa"/>
          </w:tcPr>
          <w:p w14:paraId="4434F486" w14:textId="77777777" w:rsidR="008616B3" w:rsidRPr="005E017E" w:rsidRDefault="008616B3" w:rsidP="00E92038">
            <w:pPr>
              <w:rPr>
                <w:rFonts w:cs="FrankRuehl"/>
                <w:sz w:val="28"/>
                <w:szCs w:val="28"/>
                <w:rtl/>
              </w:rPr>
            </w:pPr>
            <w:r w:rsidRPr="005E017E">
              <w:rPr>
                <w:rFonts w:cs="FrankRuehl"/>
                <w:sz w:val="28"/>
                <w:szCs w:val="28"/>
                <w:rtl/>
              </w:rPr>
              <w:t>ת"פ</w:t>
            </w:r>
            <w:r w:rsidRPr="005E017E">
              <w:rPr>
                <w:rFonts w:cs="FrankRuehl" w:hint="cs"/>
                <w:sz w:val="28"/>
                <w:szCs w:val="28"/>
                <w:rtl/>
              </w:rPr>
              <w:t xml:space="preserve"> </w:t>
            </w:r>
            <w:r w:rsidRPr="005E017E">
              <w:rPr>
                <w:rFonts w:cs="FrankRuehl"/>
                <w:sz w:val="28"/>
                <w:szCs w:val="28"/>
                <w:rtl/>
              </w:rPr>
              <w:t>33697-12-18</w:t>
            </w:r>
            <w:r w:rsidRPr="005E017E">
              <w:rPr>
                <w:rFonts w:cs="FrankRuehl" w:hint="cs"/>
                <w:sz w:val="28"/>
                <w:szCs w:val="28"/>
                <w:rtl/>
              </w:rPr>
              <w:t xml:space="preserve"> </w:t>
            </w:r>
            <w:r w:rsidRPr="005E017E">
              <w:rPr>
                <w:rFonts w:cs="FrankRuehl"/>
                <w:sz w:val="28"/>
                <w:szCs w:val="28"/>
                <w:rtl/>
              </w:rPr>
              <w:t>מדינת ישראל נ' וקנין</w:t>
            </w:r>
          </w:p>
          <w:p w14:paraId="3E95A028" w14:textId="77777777" w:rsidR="008616B3" w:rsidRPr="005E017E" w:rsidRDefault="008616B3" w:rsidP="00E92038">
            <w:pPr>
              <w:pStyle w:val="a3"/>
              <w:rPr>
                <w:rFonts w:cs="FrankRuehl"/>
                <w:sz w:val="28"/>
                <w:szCs w:val="28"/>
                <w:rtl/>
              </w:rPr>
            </w:pPr>
          </w:p>
        </w:tc>
        <w:tc>
          <w:tcPr>
            <w:tcW w:w="3667" w:type="dxa"/>
          </w:tcPr>
          <w:p w14:paraId="0D2DF274" w14:textId="77777777" w:rsidR="008616B3" w:rsidRPr="005E017E" w:rsidRDefault="008616B3" w:rsidP="00E92038">
            <w:pPr>
              <w:pStyle w:val="a3"/>
              <w:jc w:val="right"/>
              <w:rPr>
                <w:rFonts w:cs="FrankRuehl"/>
                <w:sz w:val="28"/>
                <w:szCs w:val="28"/>
                <w:rtl/>
              </w:rPr>
            </w:pPr>
          </w:p>
        </w:tc>
      </w:tr>
    </w:tbl>
    <w:p w14:paraId="4171051A" w14:textId="77777777" w:rsidR="008616B3" w:rsidRPr="005E017E" w:rsidRDefault="008616B3" w:rsidP="008616B3">
      <w:pPr>
        <w:pStyle w:val="a3"/>
        <w:rPr>
          <w:rtl/>
        </w:rPr>
      </w:pPr>
      <w:r w:rsidRPr="005E017E">
        <w:rPr>
          <w:rFonts w:hint="cs"/>
          <w:rtl/>
        </w:rPr>
        <w:t xml:space="preserve"> </w:t>
      </w:r>
    </w:p>
    <w:p w14:paraId="27DD8D70" w14:textId="77777777" w:rsidR="008616B3" w:rsidRPr="005E017E" w:rsidRDefault="008616B3" w:rsidP="008616B3">
      <w:pPr>
        <w:rPr>
          <w:rtl/>
        </w:rPr>
      </w:pPr>
    </w:p>
    <w:p w14:paraId="7987D71A" w14:textId="77777777" w:rsidR="008616B3" w:rsidRPr="005E017E" w:rsidRDefault="008616B3" w:rsidP="008616B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8616B3" w:rsidRPr="005E017E" w14:paraId="641CA399" w14:textId="77777777" w:rsidTr="008616B3">
        <w:trPr>
          <w:trHeight w:val="295"/>
          <w:jc w:val="center"/>
        </w:trPr>
        <w:tc>
          <w:tcPr>
            <w:tcW w:w="923" w:type="dxa"/>
            <w:tcBorders>
              <w:top w:val="nil"/>
              <w:left w:val="nil"/>
              <w:bottom w:val="nil"/>
              <w:right w:val="nil"/>
            </w:tcBorders>
            <w:shd w:val="clear" w:color="auto" w:fill="auto"/>
          </w:tcPr>
          <w:p w14:paraId="6B540358" w14:textId="77777777" w:rsidR="008616B3" w:rsidRPr="005E017E" w:rsidRDefault="008616B3" w:rsidP="008616B3">
            <w:pPr>
              <w:jc w:val="both"/>
              <w:rPr>
                <w:rFonts w:ascii="Arial" w:hAnsi="Arial" w:cs="FrankRuehl"/>
                <w:sz w:val="28"/>
                <w:szCs w:val="28"/>
              </w:rPr>
            </w:pPr>
            <w:r w:rsidRPr="005E017E">
              <w:rPr>
                <w:rFonts w:ascii="Arial" w:hAnsi="Arial" w:cs="FrankRuehl" w:hint="cs"/>
                <w:sz w:val="28"/>
                <w:szCs w:val="28"/>
                <w:rtl/>
              </w:rPr>
              <w:t>ב</w:t>
            </w:r>
            <w:r w:rsidRPr="005E017E">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1112D66" w14:textId="77777777" w:rsidR="008616B3" w:rsidRPr="005E017E" w:rsidRDefault="008616B3" w:rsidP="00E92038">
            <w:pPr>
              <w:rPr>
                <w:rFonts w:ascii="Arial" w:hAnsi="Arial"/>
                <w:b/>
                <w:bCs/>
                <w:rtl/>
              </w:rPr>
            </w:pPr>
            <w:r w:rsidRPr="005E017E">
              <w:rPr>
                <w:rFonts w:ascii="Arial" w:hAnsi="Arial" w:hint="cs"/>
                <w:b/>
                <w:bCs/>
                <w:rtl/>
              </w:rPr>
              <w:t>כבוד ה</w:t>
            </w:r>
            <w:r w:rsidRPr="005E017E">
              <w:rPr>
                <w:rFonts w:ascii="Arial" w:hAnsi="Arial"/>
                <w:b/>
                <w:bCs/>
                <w:rtl/>
              </w:rPr>
              <w:t>שופטת, סגנית הנשיאה</w:t>
            </w:r>
            <w:r w:rsidRPr="005E017E">
              <w:rPr>
                <w:rFonts w:ascii="Arial" w:hAnsi="Arial" w:hint="cs"/>
                <w:b/>
                <w:bCs/>
                <w:rtl/>
              </w:rPr>
              <w:t xml:space="preserve">  </w:t>
            </w:r>
            <w:r w:rsidRPr="005E017E">
              <w:rPr>
                <w:rFonts w:ascii="Arial" w:hAnsi="Arial"/>
                <w:b/>
                <w:bCs/>
                <w:rtl/>
              </w:rPr>
              <w:t>אפרת פינק</w:t>
            </w:r>
          </w:p>
          <w:p w14:paraId="5B076138" w14:textId="77777777" w:rsidR="008616B3" w:rsidRPr="005E017E" w:rsidRDefault="008616B3" w:rsidP="00E92038">
            <w:pPr>
              <w:rPr>
                <w:rtl/>
              </w:rPr>
            </w:pPr>
          </w:p>
          <w:p w14:paraId="45297FE7" w14:textId="77777777" w:rsidR="008616B3" w:rsidRPr="005E017E" w:rsidRDefault="008616B3" w:rsidP="008616B3">
            <w:pPr>
              <w:jc w:val="both"/>
              <w:rPr>
                <w:rFonts w:ascii="Arial" w:hAnsi="Arial" w:cs="FrankRuehl"/>
                <w:sz w:val="28"/>
                <w:szCs w:val="28"/>
              </w:rPr>
            </w:pPr>
          </w:p>
        </w:tc>
      </w:tr>
      <w:tr w:rsidR="008616B3" w:rsidRPr="005E017E" w14:paraId="5555FA9F" w14:textId="77777777" w:rsidTr="008616B3">
        <w:trPr>
          <w:trHeight w:val="355"/>
          <w:jc w:val="center"/>
        </w:trPr>
        <w:tc>
          <w:tcPr>
            <w:tcW w:w="923" w:type="dxa"/>
            <w:tcBorders>
              <w:top w:val="nil"/>
              <w:left w:val="nil"/>
              <w:bottom w:val="nil"/>
              <w:right w:val="nil"/>
            </w:tcBorders>
            <w:shd w:val="clear" w:color="auto" w:fill="auto"/>
          </w:tcPr>
          <w:p w14:paraId="39BD06E3" w14:textId="77777777" w:rsidR="008616B3" w:rsidRPr="005E017E" w:rsidRDefault="008616B3" w:rsidP="008616B3">
            <w:pPr>
              <w:jc w:val="both"/>
              <w:rPr>
                <w:rFonts w:ascii="David" w:hAnsi="David"/>
                <w:b/>
                <w:bCs/>
                <w:sz w:val="28"/>
                <w:szCs w:val="28"/>
              </w:rPr>
            </w:pPr>
            <w:bookmarkStart w:id="0" w:name="FirstAppellant"/>
            <w:bookmarkStart w:id="1" w:name="LastJudge"/>
            <w:bookmarkEnd w:id="1"/>
            <w:r w:rsidRPr="005E017E">
              <w:rPr>
                <w:rFonts w:ascii="David" w:hAnsi="David"/>
                <w:b/>
                <w:bCs/>
                <w:sz w:val="28"/>
                <w:szCs w:val="28"/>
                <w:rtl/>
              </w:rPr>
              <w:t>בעניין:</w:t>
            </w:r>
          </w:p>
        </w:tc>
        <w:tc>
          <w:tcPr>
            <w:tcW w:w="4126" w:type="dxa"/>
            <w:tcBorders>
              <w:top w:val="nil"/>
              <w:left w:val="nil"/>
              <w:bottom w:val="nil"/>
              <w:right w:val="nil"/>
            </w:tcBorders>
            <w:shd w:val="clear" w:color="auto" w:fill="auto"/>
          </w:tcPr>
          <w:p w14:paraId="23BE184B" w14:textId="77777777" w:rsidR="008616B3" w:rsidRPr="005E017E" w:rsidRDefault="008616B3" w:rsidP="00E92038">
            <w:pPr>
              <w:rPr>
                <w:rFonts w:ascii="David" w:hAnsi="David"/>
                <w:b/>
                <w:bCs/>
              </w:rPr>
            </w:pPr>
            <w:r w:rsidRPr="005E017E">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4EB6C951" w14:textId="77777777" w:rsidR="008616B3" w:rsidRPr="005E017E" w:rsidRDefault="008616B3" w:rsidP="008616B3">
            <w:pPr>
              <w:jc w:val="both"/>
              <w:rPr>
                <w:rFonts w:ascii="David" w:hAnsi="David"/>
                <w:b/>
                <w:bCs/>
                <w:sz w:val="28"/>
                <w:szCs w:val="28"/>
              </w:rPr>
            </w:pPr>
          </w:p>
        </w:tc>
      </w:tr>
      <w:tr w:rsidR="008616B3" w:rsidRPr="005E017E" w14:paraId="0CDFB494" w14:textId="77777777" w:rsidTr="008616B3">
        <w:trPr>
          <w:trHeight w:val="355"/>
          <w:jc w:val="center"/>
        </w:trPr>
        <w:tc>
          <w:tcPr>
            <w:tcW w:w="923" w:type="dxa"/>
            <w:tcBorders>
              <w:top w:val="nil"/>
              <w:left w:val="nil"/>
              <w:bottom w:val="nil"/>
              <w:right w:val="nil"/>
            </w:tcBorders>
            <w:shd w:val="clear" w:color="auto" w:fill="auto"/>
          </w:tcPr>
          <w:p w14:paraId="5E7C8991" w14:textId="77777777" w:rsidR="008616B3" w:rsidRPr="005E017E" w:rsidRDefault="008616B3" w:rsidP="008616B3">
            <w:pPr>
              <w:jc w:val="both"/>
              <w:rPr>
                <w:rFonts w:ascii="David" w:hAnsi="David"/>
                <w:b/>
                <w:bCs/>
                <w:sz w:val="28"/>
                <w:szCs w:val="28"/>
                <w:rtl/>
              </w:rPr>
            </w:pPr>
            <w:bookmarkStart w:id="2" w:name="FirstLawyer"/>
            <w:bookmarkEnd w:id="0"/>
          </w:p>
        </w:tc>
        <w:tc>
          <w:tcPr>
            <w:tcW w:w="4126" w:type="dxa"/>
            <w:tcBorders>
              <w:top w:val="nil"/>
              <w:left w:val="nil"/>
              <w:bottom w:val="nil"/>
              <w:right w:val="nil"/>
            </w:tcBorders>
            <w:shd w:val="clear" w:color="auto" w:fill="auto"/>
          </w:tcPr>
          <w:p w14:paraId="6AB6576A" w14:textId="77777777" w:rsidR="008616B3" w:rsidRPr="005E017E" w:rsidRDefault="008616B3" w:rsidP="008616B3">
            <w:pPr>
              <w:jc w:val="both"/>
              <w:rPr>
                <w:rFonts w:ascii="David" w:hAnsi="David"/>
                <w:rtl/>
              </w:rPr>
            </w:pPr>
            <w:r w:rsidRPr="005E017E">
              <w:rPr>
                <w:rFonts w:ascii="David" w:hAnsi="David" w:hint="cs"/>
                <w:rtl/>
              </w:rPr>
              <w:t>ע"י ב"כ עו"ד יעל גבעוני</w:t>
            </w:r>
          </w:p>
        </w:tc>
        <w:tc>
          <w:tcPr>
            <w:tcW w:w="3771" w:type="dxa"/>
            <w:tcBorders>
              <w:top w:val="nil"/>
              <w:left w:val="nil"/>
              <w:bottom w:val="nil"/>
              <w:right w:val="nil"/>
            </w:tcBorders>
            <w:shd w:val="clear" w:color="auto" w:fill="auto"/>
          </w:tcPr>
          <w:p w14:paraId="7044723E" w14:textId="77777777" w:rsidR="008616B3" w:rsidRPr="005E017E" w:rsidRDefault="008616B3" w:rsidP="008616B3">
            <w:pPr>
              <w:jc w:val="right"/>
              <w:rPr>
                <w:rFonts w:ascii="David" w:hAnsi="David"/>
                <w:b/>
                <w:bCs/>
                <w:sz w:val="28"/>
                <w:szCs w:val="28"/>
                <w:rtl/>
              </w:rPr>
            </w:pPr>
            <w:r w:rsidRPr="005E017E">
              <w:rPr>
                <w:rFonts w:ascii="David" w:hAnsi="David"/>
                <w:b/>
                <w:bCs/>
                <w:sz w:val="28"/>
                <w:szCs w:val="28"/>
                <w:rtl/>
              </w:rPr>
              <w:t>המאשימה</w:t>
            </w:r>
          </w:p>
        </w:tc>
      </w:tr>
      <w:bookmarkEnd w:id="2"/>
      <w:tr w:rsidR="008616B3" w:rsidRPr="005E017E" w14:paraId="176F2EE9" w14:textId="77777777" w:rsidTr="008616B3">
        <w:trPr>
          <w:trHeight w:val="355"/>
          <w:jc w:val="center"/>
        </w:trPr>
        <w:tc>
          <w:tcPr>
            <w:tcW w:w="923" w:type="dxa"/>
            <w:tcBorders>
              <w:top w:val="nil"/>
              <w:left w:val="nil"/>
              <w:bottom w:val="nil"/>
              <w:right w:val="nil"/>
            </w:tcBorders>
            <w:shd w:val="clear" w:color="auto" w:fill="auto"/>
          </w:tcPr>
          <w:p w14:paraId="7D1F5593" w14:textId="77777777" w:rsidR="008616B3" w:rsidRPr="005E017E" w:rsidRDefault="008616B3" w:rsidP="008616B3">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3622D101" w14:textId="77777777" w:rsidR="008616B3" w:rsidRPr="005E017E" w:rsidRDefault="008616B3" w:rsidP="008616B3">
            <w:pPr>
              <w:jc w:val="center"/>
              <w:rPr>
                <w:rFonts w:ascii="David" w:hAnsi="David"/>
                <w:b/>
                <w:bCs/>
                <w:sz w:val="28"/>
                <w:szCs w:val="28"/>
                <w:rtl/>
              </w:rPr>
            </w:pPr>
          </w:p>
          <w:p w14:paraId="70B8DCB7" w14:textId="77777777" w:rsidR="008616B3" w:rsidRPr="005E017E" w:rsidRDefault="008616B3" w:rsidP="008616B3">
            <w:pPr>
              <w:jc w:val="center"/>
              <w:rPr>
                <w:rFonts w:ascii="David" w:hAnsi="David"/>
                <w:b/>
                <w:bCs/>
                <w:sz w:val="28"/>
                <w:szCs w:val="28"/>
                <w:rtl/>
              </w:rPr>
            </w:pPr>
            <w:r w:rsidRPr="005E017E">
              <w:rPr>
                <w:rFonts w:ascii="David" w:hAnsi="David"/>
                <w:b/>
                <w:bCs/>
                <w:sz w:val="28"/>
                <w:szCs w:val="28"/>
                <w:rtl/>
              </w:rPr>
              <w:t>נגד</w:t>
            </w:r>
          </w:p>
          <w:p w14:paraId="7EF85203" w14:textId="77777777" w:rsidR="008616B3" w:rsidRPr="005E017E" w:rsidRDefault="008616B3" w:rsidP="008616B3">
            <w:pPr>
              <w:jc w:val="both"/>
              <w:rPr>
                <w:rFonts w:ascii="David" w:hAnsi="David"/>
                <w:b/>
                <w:bCs/>
                <w:sz w:val="28"/>
                <w:szCs w:val="28"/>
              </w:rPr>
            </w:pPr>
          </w:p>
        </w:tc>
      </w:tr>
      <w:tr w:rsidR="008616B3" w:rsidRPr="005E017E" w14:paraId="2E4370C6" w14:textId="77777777" w:rsidTr="008616B3">
        <w:trPr>
          <w:trHeight w:val="355"/>
          <w:jc w:val="center"/>
        </w:trPr>
        <w:tc>
          <w:tcPr>
            <w:tcW w:w="923" w:type="dxa"/>
            <w:tcBorders>
              <w:top w:val="nil"/>
              <w:left w:val="nil"/>
              <w:bottom w:val="nil"/>
              <w:right w:val="nil"/>
            </w:tcBorders>
            <w:shd w:val="clear" w:color="auto" w:fill="auto"/>
          </w:tcPr>
          <w:p w14:paraId="1F6750D3" w14:textId="77777777" w:rsidR="008616B3" w:rsidRPr="005E017E" w:rsidRDefault="008616B3" w:rsidP="00E92038">
            <w:pPr>
              <w:rPr>
                <w:rFonts w:ascii="David" w:hAnsi="David"/>
                <w:b/>
                <w:bCs/>
                <w:sz w:val="28"/>
                <w:szCs w:val="28"/>
                <w:rtl/>
              </w:rPr>
            </w:pPr>
          </w:p>
        </w:tc>
        <w:tc>
          <w:tcPr>
            <w:tcW w:w="4126" w:type="dxa"/>
            <w:tcBorders>
              <w:top w:val="nil"/>
              <w:left w:val="nil"/>
              <w:bottom w:val="nil"/>
              <w:right w:val="nil"/>
            </w:tcBorders>
            <w:shd w:val="clear" w:color="auto" w:fill="auto"/>
          </w:tcPr>
          <w:p w14:paraId="5994809F" w14:textId="77777777" w:rsidR="008616B3" w:rsidRPr="005E017E" w:rsidRDefault="008616B3" w:rsidP="00E92038">
            <w:pPr>
              <w:rPr>
                <w:rFonts w:ascii="David" w:hAnsi="David"/>
                <w:b/>
                <w:bCs/>
                <w:rtl/>
              </w:rPr>
            </w:pPr>
            <w:r w:rsidRPr="005E017E">
              <w:rPr>
                <w:rFonts w:ascii="David" w:hAnsi="David"/>
                <w:b/>
                <w:bCs/>
                <w:sz w:val="28"/>
                <w:szCs w:val="28"/>
                <w:rtl/>
              </w:rPr>
              <w:t>יצחק וקנין</w:t>
            </w:r>
            <w:r w:rsidRPr="005E017E">
              <w:rPr>
                <w:rFonts w:ascii="David" w:hAnsi="David" w:hint="cs"/>
                <w:b/>
                <w:bCs/>
                <w:rtl/>
              </w:rPr>
              <w:t xml:space="preserve"> </w:t>
            </w:r>
            <w:r w:rsidRPr="005E017E">
              <w:rPr>
                <w:rFonts w:ascii="David" w:hAnsi="David"/>
                <w:b/>
                <w:bCs/>
                <w:rtl/>
              </w:rPr>
              <w:t>–</w:t>
            </w:r>
            <w:r w:rsidRPr="005E017E">
              <w:rPr>
                <w:rFonts w:ascii="David" w:hAnsi="David" w:hint="cs"/>
                <w:b/>
                <w:bCs/>
                <w:rtl/>
              </w:rPr>
              <w:t xml:space="preserve"> בעצמו</w:t>
            </w:r>
          </w:p>
          <w:p w14:paraId="31174907" w14:textId="77777777" w:rsidR="008616B3" w:rsidRPr="005E017E" w:rsidRDefault="008616B3" w:rsidP="00E92038">
            <w:pPr>
              <w:rPr>
                <w:rFonts w:ascii="David" w:hAnsi="David"/>
                <w:rtl/>
              </w:rPr>
            </w:pPr>
            <w:r w:rsidRPr="005E017E">
              <w:rPr>
                <w:rFonts w:ascii="David" w:hAnsi="David" w:hint="cs"/>
                <w:rtl/>
              </w:rPr>
              <w:t>ע"י ב"כ עו"ד איתי בן נון</w:t>
            </w:r>
          </w:p>
        </w:tc>
        <w:tc>
          <w:tcPr>
            <w:tcW w:w="3771" w:type="dxa"/>
            <w:tcBorders>
              <w:top w:val="nil"/>
              <w:left w:val="nil"/>
              <w:bottom w:val="nil"/>
              <w:right w:val="nil"/>
            </w:tcBorders>
            <w:shd w:val="clear" w:color="auto" w:fill="auto"/>
          </w:tcPr>
          <w:p w14:paraId="65594F48" w14:textId="77777777" w:rsidR="008616B3" w:rsidRPr="005E017E" w:rsidRDefault="008616B3" w:rsidP="008616B3">
            <w:pPr>
              <w:jc w:val="right"/>
              <w:rPr>
                <w:rFonts w:ascii="David" w:hAnsi="David"/>
                <w:b/>
                <w:bCs/>
                <w:sz w:val="28"/>
                <w:szCs w:val="28"/>
              </w:rPr>
            </w:pPr>
          </w:p>
        </w:tc>
      </w:tr>
      <w:tr w:rsidR="008616B3" w:rsidRPr="005E017E" w14:paraId="2CD334C3" w14:textId="77777777" w:rsidTr="008616B3">
        <w:trPr>
          <w:trHeight w:val="355"/>
          <w:jc w:val="center"/>
        </w:trPr>
        <w:tc>
          <w:tcPr>
            <w:tcW w:w="923" w:type="dxa"/>
            <w:tcBorders>
              <w:top w:val="nil"/>
              <w:left w:val="nil"/>
              <w:bottom w:val="nil"/>
              <w:right w:val="nil"/>
            </w:tcBorders>
            <w:shd w:val="clear" w:color="auto" w:fill="auto"/>
          </w:tcPr>
          <w:p w14:paraId="6C4A19D1" w14:textId="77777777" w:rsidR="008616B3" w:rsidRPr="005E017E" w:rsidRDefault="008616B3" w:rsidP="008616B3">
            <w:pPr>
              <w:jc w:val="both"/>
              <w:rPr>
                <w:rFonts w:ascii="David" w:hAnsi="David"/>
                <w:b/>
                <w:bCs/>
                <w:sz w:val="28"/>
                <w:szCs w:val="28"/>
                <w:rtl/>
              </w:rPr>
            </w:pPr>
          </w:p>
        </w:tc>
        <w:tc>
          <w:tcPr>
            <w:tcW w:w="4126" w:type="dxa"/>
            <w:tcBorders>
              <w:top w:val="nil"/>
              <w:left w:val="nil"/>
              <w:bottom w:val="nil"/>
              <w:right w:val="nil"/>
            </w:tcBorders>
            <w:shd w:val="clear" w:color="auto" w:fill="auto"/>
          </w:tcPr>
          <w:p w14:paraId="71CD6879" w14:textId="77777777" w:rsidR="008616B3" w:rsidRPr="005E017E" w:rsidRDefault="008616B3" w:rsidP="008616B3">
            <w:pPr>
              <w:jc w:val="both"/>
              <w:rPr>
                <w:rFonts w:ascii="David" w:hAnsi="David"/>
                <w:b/>
                <w:bCs/>
                <w:rtl/>
              </w:rPr>
            </w:pPr>
          </w:p>
        </w:tc>
        <w:tc>
          <w:tcPr>
            <w:tcW w:w="3771" w:type="dxa"/>
            <w:tcBorders>
              <w:top w:val="nil"/>
              <w:left w:val="nil"/>
              <w:bottom w:val="nil"/>
              <w:right w:val="nil"/>
            </w:tcBorders>
            <w:shd w:val="clear" w:color="auto" w:fill="auto"/>
          </w:tcPr>
          <w:p w14:paraId="702DEC68" w14:textId="77777777" w:rsidR="008616B3" w:rsidRPr="005E017E" w:rsidRDefault="008616B3" w:rsidP="008616B3">
            <w:pPr>
              <w:jc w:val="right"/>
              <w:rPr>
                <w:rFonts w:ascii="David" w:hAnsi="David"/>
                <w:b/>
                <w:bCs/>
                <w:sz w:val="28"/>
                <w:szCs w:val="28"/>
              </w:rPr>
            </w:pPr>
            <w:r w:rsidRPr="005E017E">
              <w:rPr>
                <w:rFonts w:ascii="David" w:hAnsi="David"/>
                <w:b/>
                <w:bCs/>
                <w:sz w:val="28"/>
                <w:szCs w:val="28"/>
                <w:rtl/>
              </w:rPr>
              <w:t>הנאשם</w:t>
            </w:r>
          </w:p>
        </w:tc>
      </w:tr>
    </w:tbl>
    <w:p w14:paraId="3D9BF4BB" w14:textId="77777777" w:rsidR="007F2413" w:rsidRDefault="007F2413" w:rsidP="005E017E">
      <w:pPr>
        <w:rPr>
          <w:rtl/>
        </w:rPr>
      </w:pPr>
    </w:p>
    <w:p w14:paraId="2308863F" w14:textId="77777777" w:rsidR="007F2413" w:rsidRPr="007F2413" w:rsidRDefault="007F2413" w:rsidP="007F2413">
      <w:pPr>
        <w:spacing w:after="120" w:line="240" w:lineRule="exact"/>
        <w:ind w:left="283" w:hanging="283"/>
        <w:jc w:val="both"/>
        <w:rPr>
          <w:rFonts w:ascii="FrankRuehl" w:hAnsi="FrankRuehl" w:cs="FrankRuehl"/>
          <w:rtl/>
        </w:rPr>
      </w:pPr>
    </w:p>
    <w:p w14:paraId="1912F056" w14:textId="77777777" w:rsidR="00A01113" w:rsidRDefault="00A01113" w:rsidP="00A01113">
      <w:pPr>
        <w:rPr>
          <w:rtl/>
        </w:rPr>
      </w:pPr>
      <w:bookmarkStart w:id="3" w:name="LawTable"/>
      <w:bookmarkEnd w:id="3"/>
    </w:p>
    <w:p w14:paraId="069AD7BB" w14:textId="77777777" w:rsidR="00A01113" w:rsidRPr="00A01113" w:rsidRDefault="00A01113" w:rsidP="00A01113">
      <w:pPr>
        <w:spacing w:before="120" w:after="120" w:line="240" w:lineRule="exact"/>
        <w:ind w:left="283" w:hanging="283"/>
        <w:jc w:val="both"/>
        <w:rPr>
          <w:rFonts w:ascii="FrankRuehl" w:hAnsi="FrankRuehl" w:cs="FrankRuehl"/>
          <w:rtl/>
        </w:rPr>
      </w:pPr>
    </w:p>
    <w:p w14:paraId="7D52D528" w14:textId="77777777" w:rsidR="00A01113" w:rsidRPr="00A01113" w:rsidRDefault="00A01113" w:rsidP="00A01113">
      <w:pPr>
        <w:spacing w:before="120" w:after="120" w:line="240" w:lineRule="exact"/>
        <w:ind w:left="283" w:hanging="283"/>
        <w:jc w:val="both"/>
        <w:rPr>
          <w:rFonts w:ascii="FrankRuehl" w:hAnsi="FrankRuehl" w:cs="FrankRuehl"/>
          <w:rtl/>
        </w:rPr>
      </w:pPr>
    </w:p>
    <w:p w14:paraId="6DC85085" w14:textId="77777777" w:rsidR="00A01113" w:rsidRPr="00A01113" w:rsidRDefault="00A01113" w:rsidP="00A01113">
      <w:pPr>
        <w:spacing w:before="120" w:after="120" w:line="240" w:lineRule="exact"/>
        <w:ind w:left="283" w:hanging="283"/>
        <w:jc w:val="both"/>
        <w:rPr>
          <w:rFonts w:ascii="FrankRuehl" w:hAnsi="FrankRuehl" w:cs="FrankRuehl"/>
          <w:rtl/>
        </w:rPr>
      </w:pPr>
      <w:r w:rsidRPr="00A01113">
        <w:rPr>
          <w:rFonts w:ascii="FrankRuehl" w:hAnsi="FrankRuehl" w:cs="FrankRuehl"/>
          <w:rtl/>
        </w:rPr>
        <w:t xml:space="preserve">חקיקה שאוזכרה: </w:t>
      </w:r>
    </w:p>
    <w:p w14:paraId="38C5FB39" w14:textId="77777777" w:rsidR="00A01113" w:rsidRPr="00A01113" w:rsidRDefault="00A01113" w:rsidP="00A01113">
      <w:pPr>
        <w:spacing w:before="120" w:after="120" w:line="240" w:lineRule="exact"/>
        <w:ind w:left="283" w:hanging="283"/>
        <w:jc w:val="both"/>
        <w:rPr>
          <w:rFonts w:ascii="FrankRuehl" w:hAnsi="FrankRuehl" w:cs="FrankRuehl"/>
          <w:rtl/>
        </w:rPr>
      </w:pPr>
      <w:hyperlink r:id="rId7" w:history="1">
        <w:r w:rsidRPr="00A01113">
          <w:rPr>
            <w:rFonts w:ascii="FrankRuehl" w:hAnsi="FrankRuehl" w:cs="FrankRuehl"/>
            <w:color w:val="0000FF"/>
            <w:rtl/>
          </w:rPr>
          <w:t>חוק העונשין, תשל"ז-1977</w:t>
        </w:r>
      </w:hyperlink>
      <w:r w:rsidRPr="00A01113">
        <w:rPr>
          <w:rFonts w:ascii="FrankRuehl" w:hAnsi="FrankRuehl" w:cs="FrankRuehl"/>
          <w:rtl/>
        </w:rPr>
        <w:t xml:space="preserve">: סע'  </w:t>
      </w:r>
      <w:hyperlink r:id="rId8" w:history="1">
        <w:r w:rsidRPr="00A01113">
          <w:rPr>
            <w:rFonts w:ascii="FrankRuehl" w:hAnsi="FrankRuehl" w:cs="FrankRuehl"/>
            <w:color w:val="0000FF"/>
            <w:rtl/>
          </w:rPr>
          <w:t>25</w:t>
        </w:r>
      </w:hyperlink>
      <w:r w:rsidRPr="00A01113">
        <w:rPr>
          <w:rFonts w:ascii="FrankRuehl" w:hAnsi="FrankRuehl" w:cs="FrankRuehl"/>
          <w:rtl/>
        </w:rPr>
        <w:t xml:space="preserve">, </w:t>
      </w:r>
      <w:hyperlink r:id="rId9" w:history="1">
        <w:r w:rsidRPr="00A01113">
          <w:rPr>
            <w:rFonts w:ascii="FrankRuehl" w:hAnsi="FrankRuehl" w:cs="FrankRuehl"/>
            <w:color w:val="0000FF"/>
            <w:rtl/>
          </w:rPr>
          <w:t>406(ב)</w:t>
        </w:r>
      </w:hyperlink>
    </w:p>
    <w:p w14:paraId="1E438BC2" w14:textId="77777777" w:rsidR="00A01113" w:rsidRPr="00A01113" w:rsidRDefault="00A01113" w:rsidP="00A01113">
      <w:pPr>
        <w:spacing w:before="120" w:after="120" w:line="240" w:lineRule="exact"/>
        <w:ind w:left="283" w:hanging="283"/>
        <w:jc w:val="both"/>
        <w:rPr>
          <w:rFonts w:ascii="FrankRuehl" w:hAnsi="FrankRuehl" w:cs="FrankRuehl"/>
          <w:rtl/>
        </w:rPr>
      </w:pPr>
      <w:hyperlink r:id="rId10" w:history="1">
        <w:r w:rsidRPr="00A01113">
          <w:rPr>
            <w:rFonts w:ascii="FrankRuehl" w:hAnsi="FrankRuehl" w:cs="FrankRuehl"/>
            <w:color w:val="0000FF"/>
            <w:rtl/>
          </w:rPr>
          <w:t>פקודת הסמים המסוכנים [נוסח חדש], תשל"ג-1973</w:t>
        </w:r>
      </w:hyperlink>
      <w:r w:rsidRPr="00A01113">
        <w:rPr>
          <w:rFonts w:ascii="FrankRuehl" w:hAnsi="FrankRuehl" w:cs="FrankRuehl"/>
          <w:rtl/>
        </w:rPr>
        <w:t xml:space="preserve">: סע'  </w:t>
      </w:r>
      <w:hyperlink r:id="rId11" w:history="1">
        <w:r w:rsidRPr="00A01113">
          <w:rPr>
            <w:rFonts w:ascii="FrankRuehl" w:hAnsi="FrankRuehl" w:cs="FrankRuehl"/>
            <w:color w:val="0000FF"/>
            <w:rtl/>
          </w:rPr>
          <w:t>7(א)</w:t>
        </w:r>
      </w:hyperlink>
      <w:r w:rsidRPr="00A01113">
        <w:rPr>
          <w:rFonts w:ascii="FrankRuehl" w:hAnsi="FrankRuehl" w:cs="FrankRuehl"/>
          <w:rtl/>
        </w:rPr>
        <w:t xml:space="preserve">, </w:t>
      </w:r>
      <w:hyperlink r:id="rId12" w:history="1">
        <w:r w:rsidRPr="00A01113">
          <w:rPr>
            <w:rFonts w:ascii="FrankRuehl" w:hAnsi="FrankRuehl" w:cs="FrankRuehl"/>
            <w:color w:val="0000FF"/>
            <w:rtl/>
          </w:rPr>
          <w:t>7(ג)</w:t>
        </w:r>
      </w:hyperlink>
    </w:p>
    <w:p w14:paraId="205540FC" w14:textId="77777777" w:rsidR="00A01113" w:rsidRPr="00A01113" w:rsidRDefault="00A01113" w:rsidP="00A01113">
      <w:pPr>
        <w:rPr>
          <w:rtl/>
        </w:rPr>
      </w:pPr>
      <w:bookmarkStart w:id="4" w:name="LawTable_End"/>
      <w:bookmarkEnd w:id="4"/>
    </w:p>
    <w:p w14:paraId="01AABD2C" w14:textId="77777777" w:rsidR="008616B3" w:rsidRPr="005E017E" w:rsidRDefault="008616B3" w:rsidP="008616B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16B3" w14:paraId="6DE34658" w14:textId="77777777" w:rsidTr="008616B3">
        <w:trPr>
          <w:trHeight w:val="355"/>
          <w:jc w:val="center"/>
        </w:trPr>
        <w:tc>
          <w:tcPr>
            <w:tcW w:w="8820" w:type="dxa"/>
            <w:tcBorders>
              <w:top w:val="nil"/>
              <w:left w:val="nil"/>
              <w:bottom w:val="nil"/>
              <w:right w:val="nil"/>
            </w:tcBorders>
            <w:shd w:val="clear" w:color="auto" w:fill="auto"/>
          </w:tcPr>
          <w:p w14:paraId="0E27E840" w14:textId="77777777" w:rsidR="005E017E" w:rsidRPr="005E017E" w:rsidRDefault="005E017E" w:rsidP="005E017E">
            <w:pPr>
              <w:jc w:val="center"/>
              <w:rPr>
                <w:rFonts w:ascii="Arial" w:hAnsi="Arial" w:cs="FrankRuehl"/>
                <w:b/>
                <w:bCs/>
                <w:sz w:val="36"/>
                <w:szCs w:val="36"/>
                <w:u w:val="single"/>
                <w:rtl/>
              </w:rPr>
            </w:pPr>
            <w:bookmarkStart w:id="5" w:name="PsakDin" w:colFirst="0" w:colLast="0"/>
            <w:r w:rsidRPr="005E017E">
              <w:rPr>
                <w:rFonts w:ascii="Arial" w:hAnsi="Arial" w:cs="FrankRuehl"/>
                <w:b/>
                <w:bCs/>
                <w:sz w:val="36"/>
                <w:szCs w:val="36"/>
                <w:u w:val="single"/>
                <w:rtl/>
              </w:rPr>
              <w:t>גזר - דין</w:t>
            </w:r>
          </w:p>
          <w:p w14:paraId="2C05999F" w14:textId="77777777" w:rsidR="008616B3" w:rsidRPr="005E017E" w:rsidRDefault="008616B3" w:rsidP="005E017E">
            <w:pPr>
              <w:jc w:val="center"/>
              <w:rPr>
                <w:rFonts w:ascii="Arial" w:hAnsi="Arial" w:cs="FrankRuehl"/>
                <w:bCs/>
                <w:sz w:val="32"/>
                <w:szCs w:val="32"/>
                <w:u w:val="single"/>
                <w:rtl/>
              </w:rPr>
            </w:pPr>
          </w:p>
        </w:tc>
      </w:tr>
      <w:bookmarkEnd w:id="5"/>
    </w:tbl>
    <w:p w14:paraId="430E9927" w14:textId="77777777" w:rsidR="008616B3" w:rsidRPr="00B05847" w:rsidRDefault="008616B3" w:rsidP="008616B3">
      <w:pPr>
        <w:rPr>
          <w:rFonts w:ascii="Arial" w:hAnsi="Arial"/>
          <w:rtl/>
        </w:rPr>
      </w:pPr>
    </w:p>
    <w:p w14:paraId="22163853" w14:textId="77777777" w:rsidR="008616B3" w:rsidRPr="00B05847" w:rsidRDefault="008616B3" w:rsidP="008616B3">
      <w:pPr>
        <w:rPr>
          <w:rFonts w:ascii="Arial" w:hAnsi="Arial"/>
          <w:rtl/>
        </w:rPr>
      </w:pPr>
    </w:p>
    <w:p w14:paraId="497B82BF" w14:textId="77777777" w:rsidR="008616B3" w:rsidRDefault="008616B3" w:rsidP="008616B3">
      <w:pPr>
        <w:spacing w:line="360" w:lineRule="auto"/>
        <w:jc w:val="both"/>
        <w:rPr>
          <w:rFonts w:ascii="David" w:hAnsi="David"/>
          <w:b/>
          <w:bCs/>
          <w:u w:val="single"/>
        </w:rPr>
      </w:pPr>
      <w:r>
        <w:rPr>
          <w:rFonts w:ascii="David" w:hAnsi="David"/>
          <w:b/>
          <w:bCs/>
          <w:u w:val="single"/>
          <w:rtl/>
        </w:rPr>
        <w:t>מבוא</w:t>
      </w:r>
    </w:p>
    <w:p w14:paraId="2253B4E0" w14:textId="77777777" w:rsidR="008616B3" w:rsidRDefault="008616B3" w:rsidP="008616B3">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בהכרעת דין מיום 7.10.19 הורשע הנאשם, לפי הודאתו בעובדות כתב האישום, בשני אישומים כדלקמן:</w:t>
      </w:r>
    </w:p>
    <w:p w14:paraId="004EC6E7" w14:textId="77777777" w:rsidR="008616B3" w:rsidRDefault="008616B3" w:rsidP="008616B3">
      <w:pPr>
        <w:pStyle w:val="aa"/>
        <w:numPr>
          <w:ilvl w:val="0"/>
          <w:numId w:val="2"/>
        </w:numPr>
        <w:spacing w:after="0" w:line="360" w:lineRule="auto"/>
        <w:jc w:val="both"/>
        <w:rPr>
          <w:rFonts w:ascii="David" w:hAnsi="David" w:cs="David"/>
          <w:sz w:val="24"/>
          <w:szCs w:val="24"/>
          <w:u w:val="single"/>
        </w:rPr>
      </w:pPr>
      <w:r>
        <w:rPr>
          <w:rFonts w:ascii="David" w:hAnsi="David" w:cs="David"/>
          <w:b/>
          <w:bCs/>
          <w:sz w:val="24"/>
          <w:szCs w:val="24"/>
          <w:u w:val="single"/>
          <w:rtl/>
        </w:rPr>
        <w:t>באישום הראשון</w:t>
      </w:r>
      <w:r>
        <w:rPr>
          <w:rFonts w:ascii="David" w:hAnsi="David" w:cs="David"/>
          <w:sz w:val="24"/>
          <w:szCs w:val="24"/>
          <w:rtl/>
        </w:rPr>
        <w:t xml:space="preserve"> – בביצוע עבירה של ניסיון התפרצות למגורים, לפי </w:t>
      </w:r>
      <w:hyperlink r:id="rId13" w:history="1">
        <w:r w:rsidR="007F2413" w:rsidRPr="007F2413">
          <w:rPr>
            <w:rStyle w:val="Hyperlink"/>
            <w:rFonts w:ascii="David" w:hAnsi="David" w:cs="David"/>
            <w:sz w:val="24"/>
            <w:szCs w:val="24"/>
            <w:rtl/>
          </w:rPr>
          <w:t>סעיף 406(ב)</w:t>
        </w:r>
      </w:hyperlink>
      <w:r>
        <w:rPr>
          <w:rFonts w:ascii="David" w:hAnsi="David" w:cs="David"/>
          <w:sz w:val="24"/>
          <w:szCs w:val="24"/>
          <w:rtl/>
        </w:rPr>
        <w:t xml:space="preserve"> ל</w:t>
      </w:r>
      <w:hyperlink r:id="rId14" w:history="1">
        <w:r w:rsidR="005E017E" w:rsidRPr="005E017E">
          <w:rPr>
            <w:rFonts w:ascii="David" w:hAnsi="David" w:cs="David"/>
            <w:color w:val="0000FF"/>
            <w:sz w:val="24"/>
            <w:szCs w:val="24"/>
            <w:u w:val="single"/>
            <w:rtl/>
          </w:rPr>
          <w:t>חוק העונשין</w:t>
        </w:r>
      </w:hyperlink>
      <w:r>
        <w:rPr>
          <w:rFonts w:ascii="David" w:hAnsi="David" w:cs="David"/>
          <w:sz w:val="24"/>
          <w:szCs w:val="24"/>
          <w:rtl/>
        </w:rPr>
        <w:t xml:space="preserve">, התשל"ז – 1977 יחד עם </w:t>
      </w:r>
      <w:hyperlink r:id="rId15" w:history="1">
        <w:r w:rsidR="007F2413" w:rsidRPr="007F2413">
          <w:rPr>
            <w:rStyle w:val="Hyperlink"/>
            <w:rFonts w:ascii="David" w:hAnsi="David" w:cs="David"/>
            <w:sz w:val="24"/>
            <w:szCs w:val="24"/>
            <w:rtl/>
          </w:rPr>
          <w:t>סעיף 25</w:t>
        </w:r>
      </w:hyperlink>
      <w:r>
        <w:rPr>
          <w:rFonts w:ascii="David" w:hAnsi="David" w:cs="David"/>
          <w:sz w:val="24"/>
          <w:szCs w:val="24"/>
          <w:rtl/>
        </w:rPr>
        <w:t xml:space="preserve"> לחוק העונשין.</w:t>
      </w:r>
    </w:p>
    <w:p w14:paraId="69313101" w14:textId="77777777" w:rsidR="008616B3" w:rsidRDefault="008616B3" w:rsidP="008616B3">
      <w:pPr>
        <w:pStyle w:val="aa"/>
        <w:spacing w:after="0" w:line="360" w:lineRule="auto"/>
        <w:ind w:left="869"/>
        <w:jc w:val="both"/>
        <w:rPr>
          <w:rFonts w:ascii="David" w:hAnsi="David" w:cs="David"/>
          <w:sz w:val="24"/>
          <w:szCs w:val="24"/>
        </w:rPr>
      </w:pPr>
      <w:bookmarkStart w:id="7" w:name="ABSTRACT_END"/>
      <w:bookmarkEnd w:id="7"/>
      <w:r>
        <w:rPr>
          <w:rFonts w:ascii="David" w:hAnsi="David" w:cs="David"/>
          <w:sz w:val="24"/>
          <w:szCs w:val="24"/>
          <w:rtl/>
        </w:rPr>
        <w:t xml:space="preserve">לפי האישום הראשון, ביום 31.3.18 לפנות בוקר, שבה המתלוננת לביתה, לאחר שמסרה תלונה במשטרה בנוגע לאירוע פריצה שאירע מספר שעות קודם. המתלוננת נכנסה לדירה ועלתה עם בתה לקומה העליונה. בשלב זה שמעה רעשים מהקומה הראשונה. המתלוננת ירדה לקומה התחתונה והבחינה כי חלון מטבח הדירה פתוח והנאשם יושב כשידיו ורגליו </w:t>
      </w:r>
      <w:r>
        <w:rPr>
          <w:rFonts w:ascii="David" w:hAnsi="David" w:cs="David"/>
          <w:sz w:val="24"/>
          <w:szCs w:val="24"/>
          <w:rtl/>
        </w:rPr>
        <w:lastRenderedPageBreak/>
        <w:t>על אדן חלון המטבח וגופו מופנה כלפי פנים הדירה. בתגובה, צעקה המתלוננת, הדפה את הנאשם בגופו וסגרה את החלון. הנאשם נתלה על עמוד המרזב והחליק לקומת הקרקע.</w:t>
      </w:r>
    </w:p>
    <w:p w14:paraId="1F31F033" w14:textId="77777777" w:rsidR="008616B3" w:rsidRDefault="008616B3" w:rsidP="008616B3">
      <w:pPr>
        <w:pStyle w:val="aa"/>
        <w:numPr>
          <w:ilvl w:val="0"/>
          <w:numId w:val="2"/>
        </w:numPr>
        <w:spacing w:after="0" w:line="360" w:lineRule="auto"/>
        <w:jc w:val="both"/>
        <w:rPr>
          <w:rFonts w:ascii="David" w:hAnsi="David" w:cs="David"/>
          <w:sz w:val="24"/>
          <w:szCs w:val="24"/>
          <w:rtl/>
        </w:rPr>
      </w:pPr>
      <w:r>
        <w:rPr>
          <w:rFonts w:ascii="David" w:hAnsi="David" w:cs="David"/>
          <w:b/>
          <w:bCs/>
          <w:sz w:val="24"/>
          <w:szCs w:val="24"/>
          <w:u w:val="single"/>
          <w:rtl/>
        </w:rPr>
        <w:t>באישום השני</w:t>
      </w:r>
      <w:r>
        <w:rPr>
          <w:rFonts w:ascii="David" w:hAnsi="David" w:cs="David"/>
          <w:sz w:val="24"/>
          <w:szCs w:val="24"/>
          <w:rtl/>
        </w:rPr>
        <w:t xml:space="preserve"> – בביצוע עבירה של החזקת סמים לצריכה עצמית, לפי </w:t>
      </w:r>
      <w:hyperlink r:id="rId16" w:history="1">
        <w:r w:rsidR="007F2413" w:rsidRPr="007F2413">
          <w:rPr>
            <w:rStyle w:val="Hyperlink"/>
            <w:rFonts w:ascii="David" w:hAnsi="David" w:cs="David"/>
            <w:sz w:val="24"/>
            <w:szCs w:val="24"/>
            <w:rtl/>
          </w:rPr>
          <w:t>סעיף 7(א)</w:t>
        </w:r>
      </w:hyperlink>
      <w:r>
        <w:rPr>
          <w:rFonts w:ascii="David" w:hAnsi="David" w:cs="David"/>
          <w:sz w:val="24"/>
          <w:szCs w:val="24"/>
          <w:rtl/>
        </w:rPr>
        <w:t xml:space="preserve"> יחד עם </w:t>
      </w:r>
      <w:hyperlink r:id="rId17" w:history="1">
        <w:r w:rsidR="007F2413" w:rsidRPr="007F2413">
          <w:rPr>
            <w:rStyle w:val="Hyperlink"/>
            <w:rFonts w:ascii="David" w:hAnsi="David" w:cs="David"/>
            <w:sz w:val="24"/>
            <w:szCs w:val="24"/>
            <w:rtl/>
          </w:rPr>
          <w:t>7(ג)</w:t>
        </w:r>
      </w:hyperlink>
      <w:r>
        <w:rPr>
          <w:rFonts w:ascii="David" w:hAnsi="David" w:cs="David"/>
          <w:sz w:val="24"/>
          <w:szCs w:val="24"/>
          <w:rtl/>
        </w:rPr>
        <w:t xml:space="preserve"> סיפא ל</w:t>
      </w:r>
      <w:hyperlink r:id="rId18" w:history="1">
        <w:r w:rsidR="005E017E" w:rsidRPr="005E017E">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w:t>
      </w:r>
    </w:p>
    <w:p w14:paraId="59D8878D" w14:textId="77777777" w:rsidR="008616B3" w:rsidRDefault="008616B3" w:rsidP="008616B3">
      <w:pPr>
        <w:pStyle w:val="aa"/>
        <w:spacing w:after="0" w:line="360" w:lineRule="auto"/>
        <w:ind w:left="869"/>
        <w:jc w:val="both"/>
        <w:rPr>
          <w:rFonts w:ascii="David" w:hAnsi="David" w:cs="David"/>
          <w:sz w:val="24"/>
          <w:szCs w:val="24"/>
        </w:rPr>
      </w:pPr>
      <w:r>
        <w:rPr>
          <w:rFonts w:ascii="David" w:hAnsi="David" w:cs="David"/>
          <w:sz w:val="24"/>
          <w:szCs w:val="24"/>
          <w:rtl/>
        </w:rPr>
        <w:t>לפי האישום השני, בערב יום 1.4.18, ובהמשך למתואר באישום הראשון, נעצר הנאשם על ידי השוטרים. באותה עת הנאשם החזיק בכיס ימני קדמי של מכנסיו, בתוך קופסת סיגריות, סם מסוכן מסוג הרואין במשקל של 0.0814 גרם נטו.</w:t>
      </w:r>
    </w:p>
    <w:p w14:paraId="62D520CF" w14:textId="77777777" w:rsidR="008616B3" w:rsidRDefault="008616B3" w:rsidP="008616B3">
      <w:pPr>
        <w:pStyle w:val="aa"/>
        <w:numPr>
          <w:ilvl w:val="0"/>
          <w:numId w:val="1"/>
        </w:numPr>
        <w:spacing w:after="0" w:line="360" w:lineRule="auto"/>
        <w:ind w:left="509" w:hanging="509"/>
        <w:jc w:val="both"/>
        <w:rPr>
          <w:rFonts w:ascii="David" w:hAnsi="David" w:cs="David"/>
          <w:sz w:val="24"/>
          <w:szCs w:val="24"/>
          <w:rtl/>
        </w:rPr>
      </w:pPr>
      <w:r>
        <w:rPr>
          <w:rFonts w:ascii="David" w:hAnsi="David" w:cs="David"/>
          <w:sz w:val="24"/>
          <w:szCs w:val="24"/>
          <w:rtl/>
        </w:rPr>
        <w:t>לפי הסדר הטיעון, נשלח הנאשם לעריכת תסקיר שירות מבחן בעניינו, ללא הסכמה עונשית.</w:t>
      </w:r>
    </w:p>
    <w:p w14:paraId="25589751" w14:textId="77777777" w:rsidR="008616B3" w:rsidRDefault="008616B3" w:rsidP="008616B3">
      <w:pPr>
        <w:pStyle w:val="aa"/>
        <w:spacing w:after="0" w:line="360" w:lineRule="auto"/>
        <w:ind w:left="509"/>
        <w:jc w:val="both"/>
        <w:rPr>
          <w:rFonts w:ascii="David" w:hAnsi="David" w:cs="David"/>
          <w:sz w:val="24"/>
          <w:szCs w:val="24"/>
        </w:rPr>
      </w:pPr>
    </w:p>
    <w:p w14:paraId="52B1CA67" w14:textId="77777777" w:rsidR="008616B3" w:rsidRDefault="008616B3" w:rsidP="008616B3">
      <w:pPr>
        <w:spacing w:line="360" w:lineRule="auto"/>
        <w:jc w:val="both"/>
        <w:rPr>
          <w:rFonts w:ascii="David" w:hAnsi="David"/>
          <w:b/>
          <w:bCs/>
          <w:u w:val="single"/>
          <w:rtl/>
        </w:rPr>
      </w:pPr>
      <w:r>
        <w:rPr>
          <w:rFonts w:ascii="David" w:hAnsi="David"/>
          <w:b/>
          <w:bCs/>
          <w:u w:val="single"/>
          <w:rtl/>
        </w:rPr>
        <w:t>תסקירי שירות מבחן</w:t>
      </w:r>
    </w:p>
    <w:p w14:paraId="09AEB24E" w14:textId="77777777" w:rsidR="008616B3" w:rsidRPr="008616B3" w:rsidRDefault="008616B3" w:rsidP="008616B3">
      <w:pPr>
        <w:pStyle w:val="aa"/>
        <w:numPr>
          <w:ilvl w:val="0"/>
          <w:numId w:val="1"/>
        </w:numPr>
        <w:spacing w:after="0" w:line="360" w:lineRule="auto"/>
        <w:ind w:left="509" w:hanging="509"/>
        <w:jc w:val="both"/>
        <w:rPr>
          <w:rFonts w:cs="David"/>
          <w:sz w:val="24"/>
          <w:szCs w:val="24"/>
          <w:rtl/>
        </w:rPr>
      </w:pPr>
      <w:r>
        <w:rPr>
          <w:rFonts w:cs="David"/>
          <w:sz w:val="24"/>
          <w:szCs w:val="24"/>
          <w:rtl/>
        </w:rPr>
        <w:t>בעניינו של הנאשם נערכו מספר תסקירים והדיונים נדחו מפעם לפעם לשם שילובו של הנאשם בהליך טיפולי במסגרת שירות המבחן.</w:t>
      </w:r>
    </w:p>
    <w:p w14:paraId="0DFB087F" w14:textId="77777777" w:rsidR="008616B3" w:rsidRDefault="008616B3" w:rsidP="008616B3">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28.7.19, ציין שירות המבחן, כי הנאשם בן 61, גרוש, אב לשני ילדים בגירים, מתגורר ביבנה, אינו עובד ומתקיים מקצבת הבטחת הכנסה. שירות המבחן התרשם מדפוסי צריכת סמים התמכרותיים, ניהול אורח חיים שולי המאופיין בהזנחה עצמית, היעדר תנאי מחיה בסיסיים וקשר מצומצם עם בני משפחה. </w:t>
      </w:r>
      <w:r>
        <w:rPr>
          <w:rFonts w:cs="David"/>
          <w:sz w:val="24"/>
          <w:szCs w:val="24"/>
          <w:rtl/>
        </w:rPr>
        <w:t>הנאשם תיאר מצב בריאותי ירוד, חובות כלכליים וקושי במיצוי זכויותיו. הנאשם הרחיק עצמו מהאירועים ושלל בעיתיות בתחום, ולפיכך לא נמצא מתאים למסלול של בית משפט קהילתי.</w:t>
      </w:r>
    </w:p>
    <w:p w14:paraId="72819F6A" w14:textId="77777777" w:rsidR="008616B3" w:rsidRDefault="008616B3" w:rsidP="008616B3">
      <w:pPr>
        <w:pStyle w:val="aa"/>
        <w:numPr>
          <w:ilvl w:val="0"/>
          <w:numId w:val="1"/>
        </w:numPr>
        <w:spacing w:after="0" w:line="360" w:lineRule="auto"/>
        <w:ind w:left="509" w:hanging="509"/>
        <w:jc w:val="both"/>
        <w:rPr>
          <w:rFonts w:cs="David"/>
          <w:sz w:val="24"/>
          <w:szCs w:val="24"/>
        </w:rPr>
      </w:pPr>
      <w:r>
        <w:rPr>
          <w:rFonts w:cs="David"/>
          <w:sz w:val="24"/>
          <w:szCs w:val="24"/>
          <w:rtl/>
        </w:rPr>
        <w:t>בהודעה מיום 13.2.20 מסר שירות המבחן, כי הנאשם לא התייצב לפגישה שתואמה. בהמשך נקבעה פגישה חלופית, אולם הנאשם לא התייצב פעם נוספת. שירות המבחן ביקש דחייה נוספת.</w:t>
      </w:r>
    </w:p>
    <w:p w14:paraId="71CD96F2" w14:textId="77777777" w:rsidR="008616B3" w:rsidRDefault="008616B3" w:rsidP="008616B3">
      <w:pPr>
        <w:pStyle w:val="aa"/>
        <w:numPr>
          <w:ilvl w:val="0"/>
          <w:numId w:val="1"/>
        </w:numPr>
        <w:spacing w:after="0" w:line="360" w:lineRule="auto"/>
        <w:ind w:left="509" w:hanging="509"/>
        <w:jc w:val="both"/>
        <w:rPr>
          <w:rFonts w:cs="David"/>
          <w:sz w:val="24"/>
          <w:szCs w:val="24"/>
        </w:rPr>
      </w:pPr>
      <w:r>
        <w:rPr>
          <w:rFonts w:cs="David"/>
          <w:sz w:val="24"/>
          <w:szCs w:val="24"/>
          <w:rtl/>
        </w:rPr>
        <w:t xml:space="preserve">שירות המבחן תיאר בתסקירו המשלים מיום 8.6.20, כי הנאשם מכור כבר שנים לסמים מסוגים שונים בניהם קנבוס, הרואין וסמי רחוב. הנאשם מטופל משנת 2018 באמצעות תחליף סם "סבוטקס". בשנת 2003 הנאשם עבר תאונת דרכים ונפצע בחלקים שונים בגופו ומאז חלה נסיגה במצבו הנפשי. הנאשם סובל ממצב רוח ירוד, קשיים בשינה, קשיי ריכוז, ירידה בתאבון, בכי והסתגרות. הנאשם טופל בעבר במרפאה לבריאות הנפש ביבנה, ולהתרשמותם הנאשם סובל מפוסט טראומה. הנאשם טופל תרופתית ומאז 2006 אינו צורך טיפול תרופתי ואינו נמצא במעקב פסיכיאטרי. הנאשם התקשה להרחיב על אודות נסיבות חייו. הנאשם סיים 8 שנות לימוד ומגיל צעיר שהה בפנימייה, הסתובב בחוסר מעש, ללא מסגרת השתייכות  נורמטיבית, התרועע עם חברה שולית, החל לצרוך סמים ולבצע עבירות. הנאשם לא גויס לצבא בשל עברו הפלילי. לאורך השנים בלטו קשיי השתלבות במסגרת תעסוקתית, דפוסים התמכרותיים אשר העמיקו ותפקודו במישורים השונים התדרדרו. הנאשם נישא בגיל 22 ונולדו לו שתי בנות. בני הזוג התגרשו לפני כעשרים שנים על רקע מעורבותו בפלילים והתמכרותו לסמים. הנאשם תיאר נתק עם בנותיו וכיום מתאר קשר רופף עמן. אמו נפטרה לפני כעשרים שנה כתוצאה מדום לב ואביו נפטר לפני 3 שנים. שירות המבחן ציין, כי הנאשם </w:t>
      </w:r>
      <w:r>
        <w:rPr>
          <w:rFonts w:cs="David"/>
          <w:sz w:val="24"/>
          <w:szCs w:val="24"/>
          <w:rtl/>
        </w:rPr>
        <w:lastRenderedPageBreak/>
        <w:t>בעל רקע פלילי מכביד כקטין וכבגיר. הנאשם מסר כי ביצע את העבירות על רקע תקופה משברית בחייו, בה חש בדידות, דיכאון, בלבול וחוסר אונים. פיטוריו בשנת 2017 הגבירו את תחושת המצוקה, תסכול וירידה בערך העצמי. עם זאת, התקשה להסביר את המניעים לביצוע העבירה מושא כתב האישום הראשון, וטען כי הסמים היו שייכים לאחר.</w:t>
      </w:r>
    </w:p>
    <w:p w14:paraId="7724C26A" w14:textId="77777777" w:rsidR="008616B3" w:rsidRDefault="008616B3" w:rsidP="008616B3">
      <w:pPr>
        <w:pStyle w:val="aa"/>
        <w:spacing w:after="0" w:line="360" w:lineRule="auto"/>
        <w:ind w:left="509"/>
        <w:jc w:val="both"/>
        <w:rPr>
          <w:rFonts w:cs="David"/>
          <w:sz w:val="24"/>
          <w:szCs w:val="24"/>
        </w:rPr>
      </w:pPr>
      <w:r>
        <w:rPr>
          <w:rFonts w:cs="David"/>
          <w:sz w:val="24"/>
          <w:szCs w:val="24"/>
          <w:rtl/>
        </w:rPr>
        <w:t xml:space="preserve">הנאשם מצוי בטיפול במרפאה מאז 19.1.15 ונוטל תחליף שם מסוג "סבוטקס". הנאשם מוסר בדיקות שתן  המעידות על שימוש ב"סבוטקס" בלבד. </w:t>
      </w:r>
    </w:p>
    <w:p w14:paraId="58434A20" w14:textId="77777777" w:rsidR="008616B3" w:rsidRDefault="008616B3" w:rsidP="008616B3">
      <w:pPr>
        <w:pStyle w:val="aa"/>
        <w:spacing w:after="0" w:line="360" w:lineRule="auto"/>
        <w:ind w:left="509"/>
        <w:jc w:val="both"/>
        <w:rPr>
          <w:rFonts w:cs="David"/>
          <w:sz w:val="24"/>
          <w:szCs w:val="24"/>
          <w:rtl/>
        </w:rPr>
      </w:pPr>
      <w:r>
        <w:rPr>
          <w:rFonts w:cs="David"/>
          <w:sz w:val="24"/>
          <w:szCs w:val="24"/>
          <w:rtl/>
        </w:rPr>
        <w:t>להתרשמות שירות המבחן, הנאשם סובל מרקע התמכרותי, חי בשולי החברה, בעל כישורים תפקודיים נמוכים, גורמי תמיכה מצומצמים, ויכולת נמוכה להתמודד עם מצוקות. לאור האמור, המליץ שירות המבחן להטיל על הנאשם צו מבחן ומאסר על תנאי. נוכח מצבו של הנאשם לא המליץ שירות המבחן על צו שירות לתועלת הציבור או עבודות שירות.</w:t>
      </w:r>
    </w:p>
    <w:p w14:paraId="287FA3F0" w14:textId="77777777" w:rsidR="008616B3" w:rsidRDefault="008616B3" w:rsidP="008616B3">
      <w:pPr>
        <w:pStyle w:val="aa"/>
        <w:spacing w:after="0" w:line="360" w:lineRule="auto"/>
        <w:ind w:left="509"/>
        <w:jc w:val="both"/>
        <w:rPr>
          <w:rFonts w:cs="David"/>
          <w:sz w:val="24"/>
          <w:szCs w:val="24"/>
          <w:rtl/>
        </w:rPr>
      </w:pPr>
    </w:p>
    <w:p w14:paraId="43C100C2" w14:textId="77777777" w:rsidR="008616B3" w:rsidRDefault="008616B3" w:rsidP="008616B3">
      <w:pPr>
        <w:pStyle w:val="aa"/>
        <w:spacing w:after="0" w:line="360" w:lineRule="auto"/>
        <w:ind w:left="0"/>
        <w:jc w:val="both"/>
        <w:rPr>
          <w:rFonts w:cs="David"/>
          <w:b/>
          <w:bCs/>
          <w:sz w:val="24"/>
          <w:szCs w:val="24"/>
          <w:u w:val="single"/>
        </w:rPr>
      </w:pPr>
      <w:r>
        <w:rPr>
          <w:rFonts w:cs="David"/>
          <w:b/>
          <w:bCs/>
          <w:sz w:val="24"/>
          <w:szCs w:val="24"/>
          <w:u w:val="single"/>
          <w:rtl/>
        </w:rPr>
        <w:t>טענות הצדדים לעונש</w:t>
      </w:r>
    </w:p>
    <w:p w14:paraId="5E46F2C2" w14:textId="77777777" w:rsidR="008616B3" w:rsidRDefault="008616B3" w:rsidP="008616B3">
      <w:pPr>
        <w:pStyle w:val="aa"/>
        <w:numPr>
          <w:ilvl w:val="0"/>
          <w:numId w:val="1"/>
        </w:numPr>
        <w:spacing w:before="120" w:after="120" w:line="360" w:lineRule="auto"/>
        <w:ind w:left="509" w:hanging="567"/>
        <w:jc w:val="both"/>
        <w:rPr>
          <w:rFonts w:cs="David"/>
          <w:sz w:val="24"/>
          <w:szCs w:val="24"/>
          <w:rtl/>
        </w:rPr>
      </w:pPr>
      <w:r>
        <w:rPr>
          <w:rFonts w:cs="David"/>
          <w:sz w:val="24"/>
          <w:szCs w:val="24"/>
          <w:rtl/>
        </w:rPr>
        <w:t>באת כוח התביעה טענה, שכתוצאה מביצוע העבירה מושא האישום הראשון נפגעו הערכים החברתיים של שמירה על קניינו של הפרט, הגנה על שלום הציבור ורכושו והגנה על תחושת הביטחון של הציבור ושלוות נפשו. מידת הפגיעה בערכים החברתיים היא בינונית עד גבוהה. הנאשם ישב על אדם החלון, עת גופו כלפי פנים הדירה ונתפס רגע לפני שנכנס לתוך הדירה. בדירה נכחו המתלוננת ובתה. כתוצאה מביצוע העבירה מושא האישום השני נפגעו הערכים החברתיים של הגנה על בריאות הציבור ונגע הסמים. לטענתה, מידת הפגיעה בערכים החברתיים בהקשר זה היא נמוכה.</w:t>
      </w:r>
    </w:p>
    <w:p w14:paraId="62DBE5F9" w14:textId="77777777" w:rsidR="008616B3" w:rsidRDefault="008616B3" w:rsidP="008616B3">
      <w:pPr>
        <w:pStyle w:val="aa"/>
        <w:numPr>
          <w:ilvl w:val="0"/>
          <w:numId w:val="1"/>
        </w:numPr>
        <w:spacing w:before="120" w:after="120" w:line="360" w:lineRule="auto"/>
        <w:ind w:left="509" w:hanging="567"/>
        <w:jc w:val="both"/>
        <w:rPr>
          <w:rFonts w:cs="David"/>
          <w:sz w:val="24"/>
          <w:szCs w:val="24"/>
          <w:rtl/>
        </w:rPr>
      </w:pPr>
      <w:r>
        <w:rPr>
          <w:rFonts w:cs="David"/>
          <w:sz w:val="24"/>
          <w:szCs w:val="24"/>
          <w:rtl/>
        </w:rPr>
        <w:t>מכאן טענה, כי מתחם העונש ההולם את העבירה מושא האישום הראשון, נע בין מאסר לתקופה של 12 חודשים ובין מאסר לתקופה של 24 חודשים; לטענתה, מתחם העונש ההולם את העבירה מושא כתב האישום השני, נע בין מאסר על תנאי ובין מאסר קצר שיכול ויבוצע בדרך של עבודות שירות.</w:t>
      </w:r>
    </w:p>
    <w:p w14:paraId="29127812"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במיוחס לו וחסך בזמן שיפוטי; לחובתו של הנאשם 29 הרשעות ושני גמרי דין, האחרונה ביניהן משנת 2010; מהתסקיר עולה כי הנאשם אינו עובד ומכור שנים רבות לסמים ומטופל בתחליף סם. הנאשם הופנה לבית משפט קהילתי, אולם שלל בעיתיות. </w:t>
      </w:r>
    </w:p>
    <w:p w14:paraId="4495129F"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לעמדתה של התביעה, המלצת שירות המבחן להסתפק בהטלת צו מבחן ומאסר על תנאי אינה עולה בקנה אחד עם מכלול הנסיבות.</w:t>
      </w:r>
    </w:p>
    <w:p w14:paraId="25F82D90"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התביעה להטיל על הנאשם מאסר בחלק התחתון של המתחם הכולל מאסר לתקופה של 13 חודשים, מאסר על תנאי, קנס ופיצויים.</w:t>
      </w:r>
    </w:p>
    <w:p w14:paraId="3CF8B1F3" w14:textId="77777777" w:rsidR="008616B3" w:rsidRDefault="008616B3" w:rsidP="008616B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התביעה הפנתה לפסיקה מחמירה שאינה מתאימה לנסיבות המקרה.</w:t>
      </w:r>
    </w:p>
    <w:p w14:paraId="2BCF7971" w14:textId="77777777" w:rsidR="008616B3" w:rsidRDefault="008616B3" w:rsidP="008616B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בקביעת מתחם העונש ההולם יש לקחת בחשבון את הנסיבות הבאות הקשורות בביצוע העבירה מושא האישום הראשון: הנאשם ניסה להיכנס דרך חלון המטבח לבית שכנתו. המתלוננת הבחינה בנאשם כשהוא יושב על אדן החלון וגופו מופנה כלפי פנים. מיד לאחר שהמתלוננת צעקה הנאשם החליק מטה לקומת הקרקע. מכאן שמדובר בעבירה של ניסיון במדרג נמוך, ללא כלי פריצה, בהיעדר תכנון ובלא לגרום כל נזק.</w:t>
      </w:r>
    </w:p>
    <w:p w14:paraId="5172A670"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טען, כי בקביעת העונש ההולם בתוך המתחם יש לקחת בחשבון את הנסיבות הבאות שאינן קשורות בביצוע העבירות: הנאשם משתמש בתחליף סם מסוג "סבוטקס"; העבירה בוצעה לפני שנתיים וחצי; הנאשם מתגורר בדירת עמידר, לא עובד, מתקשה בקריאה וכתיבה, ומצבו הנפשי בכי רע.</w:t>
      </w:r>
    </w:p>
    <w:p w14:paraId="3667EDFB"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לטענתו, בנסיבות אלו יש לאמץ את המלצת שירות המבחן ולסיים ההליך באפיק שיקומי. עוד הוסיף, שככל שבית המשפט יקבע מתחם המתחיל בענישה מוחשית, יש לסטות מהמתחם משיקולי צדק.</w:t>
      </w:r>
    </w:p>
    <w:p w14:paraId="4C21811D" w14:textId="77777777" w:rsidR="008616B3" w:rsidRDefault="008616B3" w:rsidP="008616B3">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מסר הנאשם כי עבד במשך 10 שנים, אולם חדל לעבוד משום שלא שילמו לו. לדבריו, אין לו ביטוח, אין לו פנסיה ואין לו כל רכוש.</w:t>
      </w:r>
    </w:p>
    <w:p w14:paraId="3C630197" w14:textId="77777777" w:rsidR="008616B3" w:rsidRDefault="008616B3" w:rsidP="008616B3">
      <w:pPr>
        <w:spacing w:before="120" w:after="120"/>
        <w:ind w:left="-58"/>
        <w:jc w:val="both"/>
      </w:pPr>
    </w:p>
    <w:p w14:paraId="3D40BF58" w14:textId="77777777" w:rsidR="008616B3" w:rsidRDefault="008616B3" w:rsidP="008616B3">
      <w:pPr>
        <w:spacing w:before="120" w:after="120"/>
        <w:ind w:left="-58"/>
        <w:jc w:val="both"/>
        <w:rPr>
          <w:b/>
          <w:bCs/>
          <w:u w:val="single"/>
          <w:rtl/>
        </w:rPr>
      </w:pPr>
      <w:r>
        <w:rPr>
          <w:b/>
          <w:bCs/>
          <w:u w:val="single"/>
          <w:rtl/>
        </w:rPr>
        <w:t>דיון והכרעה</w:t>
      </w:r>
    </w:p>
    <w:p w14:paraId="77F9635D" w14:textId="77777777" w:rsidR="008616B3" w:rsidRDefault="008616B3" w:rsidP="008616B3">
      <w:pPr>
        <w:spacing w:before="120" w:after="120"/>
        <w:ind w:left="-58"/>
        <w:jc w:val="both"/>
        <w:rPr>
          <w:u w:val="single"/>
          <w:rtl/>
        </w:rPr>
      </w:pPr>
      <w:r>
        <w:rPr>
          <w:u w:val="single"/>
          <w:rtl/>
        </w:rPr>
        <w:t>קביעת מתחם הענישה</w:t>
      </w:r>
    </w:p>
    <w:p w14:paraId="3565E32B" w14:textId="77777777" w:rsidR="008616B3" w:rsidRDefault="008616B3" w:rsidP="008616B3">
      <w:pPr>
        <w:pStyle w:val="aa"/>
        <w:numPr>
          <w:ilvl w:val="0"/>
          <w:numId w:val="1"/>
        </w:numPr>
        <w:spacing w:before="120" w:after="120" w:line="360" w:lineRule="auto"/>
        <w:ind w:left="509" w:hanging="567"/>
        <w:jc w:val="both"/>
        <w:rPr>
          <w:rFonts w:cs="David"/>
          <w:sz w:val="24"/>
          <w:szCs w:val="24"/>
          <w:rtl/>
        </w:rPr>
      </w:pPr>
      <w:r>
        <w:rPr>
          <w:rFonts w:cs="David"/>
          <w:sz w:val="24"/>
          <w:szCs w:val="24"/>
          <w:rtl/>
        </w:rPr>
        <w:t>כל אחד מהאישומים הוא בגדר אירוע עצמאי ויש לקבוע עונש הולם נפרד בגינו.</w:t>
      </w:r>
    </w:p>
    <w:p w14:paraId="20C8B02E"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העבירות</w:t>
      </w:r>
      <w:r>
        <w:rPr>
          <w:rFonts w:cs="David"/>
          <w:sz w:val="24"/>
          <w:szCs w:val="24"/>
          <w:rtl/>
        </w:rPr>
        <w:t>.</w:t>
      </w:r>
    </w:p>
    <w:p w14:paraId="4E1B9A18"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כתוצאה מביצוע העבירות מושא כתב האישום נפגעו הערכים החברתיים של הגנה על שלום ובטחון הציבור וכן הגנה על קניינו של הפרט ועל פרטיותו. כן נפגעו הערכים החברתיים של שמירה על בריאותו ושלומו הפיזי והנפשי של הציבור מפני 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9" w:history="1">
        <w:r w:rsidR="005E017E" w:rsidRPr="005E017E">
          <w:rPr>
            <w:rFonts w:cs="David" w:hint="cs"/>
            <w:color w:val="0000FF"/>
            <w:sz w:val="24"/>
            <w:szCs w:val="24"/>
            <w:u w:val="single"/>
            <w:rtl/>
          </w:rPr>
          <w:t>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20" w:history="1">
        <w:r w:rsidR="005E017E" w:rsidRPr="005E017E">
          <w:rPr>
            <w:rFonts w:cs="David" w:hint="cs"/>
            <w:color w:val="0000FF"/>
            <w:sz w:val="24"/>
            <w:szCs w:val="24"/>
            <w:u w:val="single"/>
            <w:rtl/>
          </w:rPr>
          <w:t>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6029/03 </w:t>
        </w:r>
        <w:r w:rsidR="005E017E" w:rsidRPr="005E017E">
          <w:rPr>
            <w:rFonts w:cs="David" w:hint="cs"/>
            <w:color w:val="0000FF"/>
            <w:sz w:val="24"/>
            <w:szCs w:val="24"/>
            <w:u w:val="single"/>
            <w:rtl/>
          </w:rPr>
          <w:t>מדינת</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ישראל</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נ</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שמאי</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פ</w:t>
        </w:r>
        <w:r w:rsidR="005E017E" w:rsidRPr="005E017E">
          <w:rPr>
            <w:rFonts w:cs="David"/>
            <w:color w:val="0000FF"/>
            <w:sz w:val="24"/>
            <w:szCs w:val="24"/>
            <w:u w:val="single"/>
            <w:rtl/>
          </w:rPr>
          <w:t>"</w:t>
        </w:r>
        <w:r w:rsidR="005E017E" w:rsidRPr="005E017E">
          <w:rPr>
            <w:rFonts w:cs="David" w:hint="cs"/>
            <w:color w:val="0000FF"/>
            <w:sz w:val="24"/>
            <w:szCs w:val="24"/>
            <w:u w:val="single"/>
            <w:rtl/>
          </w:rPr>
          <w:t>ד</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נח</w:t>
        </w:r>
      </w:hyperlink>
      <w:r>
        <w:rPr>
          <w:rFonts w:cs="David"/>
          <w:sz w:val="24"/>
          <w:szCs w:val="24"/>
          <w:rtl/>
        </w:rPr>
        <w:t xml:space="preserve"> (2) 734 (9.2.04); </w:t>
      </w:r>
      <w:hyperlink r:id="rId21" w:history="1">
        <w:r w:rsidR="005E017E" w:rsidRPr="005E017E">
          <w:rPr>
            <w:rFonts w:cs="David" w:hint="cs"/>
            <w:color w:val="0000FF"/>
            <w:sz w:val="24"/>
            <w:szCs w:val="24"/>
            <w:u w:val="single"/>
            <w:rtl/>
          </w:rPr>
          <w:t>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6021/95</w:t>
        </w:r>
      </w:hyperlink>
      <w:r>
        <w:rPr>
          <w:rFonts w:cs="David"/>
          <w:sz w:val="24"/>
          <w:szCs w:val="24"/>
          <w:rtl/>
        </w:rPr>
        <w:t xml:space="preserve">, </w:t>
      </w:r>
      <w:hyperlink r:id="rId22" w:history="1">
        <w:r w:rsidR="005227DF" w:rsidRPr="005227DF">
          <w:rPr>
            <w:rFonts w:cs="David"/>
            <w:color w:val="0000FF"/>
            <w:sz w:val="24"/>
            <w:szCs w:val="24"/>
            <w:u w:val="single"/>
            <w:rtl/>
          </w:rPr>
          <w:t xml:space="preserve">4998/95, 5267/95, 5313/95 </w:t>
        </w:r>
      </w:hyperlink>
      <w:r>
        <w:rPr>
          <w:rFonts w:cs="David"/>
          <w:sz w:val="24"/>
          <w:szCs w:val="24"/>
          <w:rtl/>
        </w:rPr>
        <w:t xml:space="preserve"> </w:t>
      </w:r>
      <w:r>
        <w:rPr>
          <w:rFonts w:cs="David"/>
          <w:b/>
          <w:bCs/>
          <w:sz w:val="24"/>
          <w:szCs w:val="24"/>
          <w:rtl/>
        </w:rPr>
        <w:t xml:space="preserve">מדינת ישראל נ' גומז </w:t>
      </w:r>
      <w:r>
        <w:rPr>
          <w:rFonts w:cs="David"/>
          <w:sz w:val="24"/>
          <w:szCs w:val="24"/>
          <w:rtl/>
        </w:rPr>
        <w:t xml:space="preserve">(31.7.97); </w:t>
      </w:r>
      <w:hyperlink r:id="rId23" w:history="1">
        <w:r w:rsidR="005E017E" w:rsidRPr="005E017E">
          <w:rPr>
            <w:rFonts w:cs="David" w:hint="cs"/>
            <w:color w:val="0000FF"/>
            <w:sz w:val="24"/>
            <w:szCs w:val="24"/>
            <w:u w:val="single"/>
            <w:rtl/>
          </w:rPr>
          <w:t>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575/88 </w:t>
        </w:r>
        <w:r w:rsidR="005E017E" w:rsidRPr="005E017E">
          <w:rPr>
            <w:rFonts w:cs="David" w:hint="cs"/>
            <w:color w:val="0000FF"/>
            <w:sz w:val="24"/>
            <w:szCs w:val="24"/>
            <w:u w:val="single"/>
            <w:rtl/>
          </w:rPr>
          <w:t>עודה</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נ</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מדינת</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ישראל</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פ</w:t>
        </w:r>
        <w:r w:rsidR="005E017E" w:rsidRPr="005E017E">
          <w:rPr>
            <w:rFonts w:cs="David"/>
            <w:color w:val="0000FF"/>
            <w:sz w:val="24"/>
            <w:szCs w:val="24"/>
            <w:u w:val="single"/>
            <w:rtl/>
          </w:rPr>
          <w:t>"</w:t>
        </w:r>
        <w:r w:rsidR="005E017E" w:rsidRPr="005E017E">
          <w:rPr>
            <w:rFonts w:cs="David" w:hint="cs"/>
            <w:color w:val="0000FF"/>
            <w:sz w:val="24"/>
            <w:szCs w:val="24"/>
            <w:u w:val="single"/>
            <w:rtl/>
          </w:rPr>
          <w:t>ד</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מב</w:t>
        </w:r>
      </w:hyperlink>
      <w:r>
        <w:rPr>
          <w:rFonts w:cs="David"/>
          <w:sz w:val="24"/>
          <w:szCs w:val="24"/>
          <w:rtl/>
        </w:rPr>
        <w:t xml:space="preserve"> (4) 242 (11.12.88)).</w:t>
      </w:r>
    </w:p>
    <w:p w14:paraId="13F36C34"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מידת הפגיעה בערכים החברתיים כתוצאה מביצוע העבירה מושא האישום הראשון היא  בינונית. הנאשם ניסה להתפרץ לביתה של המתלוננת, שכנתו, ונמצא על ידי המתלוננת עת ישב על אדן החלון כשגופו מוטה כלפי פנים הדירה. המתלוננת צעקה, הדפה את הנאשם וסגרה את החלון. המדובר בניסיון התפרצות לא מתוחכם, ללא כלי פריצה, ומבלי שנגרם כל נזק. עם זאת, לא ניתן להתעלם מהעובדה, כי הניסיון בוצע עת שהו המתלוננת ובתה בבית וניתן לשער את הפחד שאחז בהן בנסיבות אלו. </w:t>
      </w:r>
    </w:p>
    <w:p w14:paraId="7C8AC66D"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מידת הפגיעה בערכים החברתיים כתוצאה מביצוע העבירה מושא האישום השני היא נמוכה. הנאשם נתפס על ידי המשטרה ובמהלך חיפוש על גופו נמצא בכיס מכנסיו סם מסוכן מסוג הירואין במשקל של 0.0814 גרם לצריכה עצמית.</w:t>
      </w:r>
    </w:p>
    <w:p w14:paraId="72EB44FF"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בית המשפט העליון</w:t>
      </w:r>
      <w:r>
        <w:rPr>
          <w:rFonts w:cs="David" w:hint="cs"/>
          <w:sz w:val="24"/>
          <w:szCs w:val="24"/>
        </w:rPr>
        <w:t xml:space="preserve"> </w:t>
      </w:r>
      <w:r>
        <w:rPr>
          <w:rFonts w:cs="David"/>
          <w:sz w:val="24"/>
          <w:szCs w:val="24"/>
          <w:rtl/>
        </w:rPr>
        <w:t>קבע, כי מתחם העונש ההולם עבירה אחת של התפרצות לבית, ללא תחכום מיוחד, לצד גניבה, נע בין מאסר בפועל לתקופה של 6 חודשים, שיכול ויבוצע בדרך של עבודות שירות ובין מאסר לתקופה של 20 חודשים (</w:t>
      </w:r>
      <w:hyperlink r:id="rId24" w:history="1">
        <w:r w:rsidR="005E017E" w:rsidRPr="005E017E">
          <w:rPr>
            <w:rFonts w:cs="David" w:hint="cs"/>
            <w:color w:val="0000FF"/>
            <w:sz w:val="24"/>
            <w:szCs w:val="24"/>
            <w:u w:val="single"/>
            <w:rtl/>
          </w:rPr>
          <w:t>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370/14</w:t>
        </w:r>
      </w:hyperlink>
      <w:r>
        <w:rPr>
          <w:rFonts w:cs="David"/>
          <w:sz w:val="24"/>
          <w:szCs w:val="24"/>
          <w:rtl/>
        </w:rPr>
        <w:t xml:space="preserve"> </w:t>
      </w:r>
      <w:r>
        <w:rPr>
          <w:rFonts w:cs="David"/>
          <w:b/>
          <w:bCs/>
          <w:sz w:val="24"/>
          <w:szCs w:val="24"/>
          <w:rtl/>
        </w:rPr>
        <w:t>סלפיתי נ' מדינת ישראל</w:t>
      </w:r>
      <w:r>
        <w:rPr>
          <w:rFonts w:cs="David"/>
          <w:sz w:val="24"/>
          <w:szCs w:val="24"/>
          <w:rtl/>
        </w:rPr>
        <w:t xml:space="preserve"> (25.8.14); ראו גם: </w:t>
      </w:r>
      <w:hyperlink r:id="rId25" w:history="1">
        <w:r w:rsidR="005E017E" w:rsidRPr="005E017E">
          <w:rPr>
            <w:rFonts w:cs="David" w:hint="cs"/>
            <w:color w:val="0000FF"/>
            <w:sz w:val="24"/>
            <w:szCs w:val="24"/>
            <w:u w:val="single"/>
            <w:rtl/>
          </w:rPr>
          <w:t>רע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638/18</w:t>
        </w:r>
      </w:hyperlink>
      <w:r>
        <w:rPr>
          <w:rFonts w:cs="David"/>
          <w:b/>
          <w:bCs/>
          <w:sz w:val="24"/>
          <w:szCs w:val="24"/>
          <w:rtl/>
        </w:rPr>
        <w:t xml:space="preserve"> גולן נ' מדינת ישראל </w:t>
      </w:r>
      <w:r>
        <w:rPr>
          <w:rFonts w:cs="David"/>
          <w:sz w:val="24"/>
          <w:szCs w:val="24"/>
          <w:rtl/>
        </w:rPr>
        <w:t xml:space="preserve">(1.5.18); </w:t>
      </w:r>
      <w:hyperlink r:id="rId26" w:history="1">
        <w:r w:rsidR="005E017E" w:rsidRPr="005E017E">
          <w:rPr>
            <w:rFonts w:cs="David" w:hint="cs"/>
            <w:color w:val="0000FF"/>
            <w:sz w:val="24"/>
            <w:szCs w:val="24"/>
            <w:u w:val="single"/>
            <w:rtl/>
          </w:rPr>
          <w:t>רע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659/13</w:t>
        </w:r>
      </w:hyperlink>
      <w:r>
        <w:rPr>
          <w:rFonts w:cs="David"/>
          <w:sz w:val="24"/>
          <w:szCs w:val="24"/>
          <w:rtl/>
        </w:rPr>
        <w:t xml:space="preserve"> </w:t>
      </w:r>
      <w:r>
        <w:rPr>
          <w:rFonts w:cs="David"/>
          <w:b/>
          <w:bCs/>
          <w:sz w:val="24"/>
          <w:szCs w:val="24"/>
          <w:rtl/>
        </w:rPr>
        <w:t xml:space="preserve">אביכזר נ' מדינת ישראל </w:t>
      </w:r>
      <w:r>
        <w:rPr>
          <w:rFonts w:cs="David"/>
          <w:sz w:val="24"/>
          <w:szCs w:val="24"/>
          <w:rtl/>
        </w:rPr>
        <w:t xml:space="preserve">(28.1.13)). </w:t>
      </w:r>
    </w:p>
    <w:p w14:paraId="46C2DF26"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מטבע הדברים, המתחם שעניינו בניסיון התפרצות - מקל יותר. על מדיניות הענישה המקובלת והנוהגת שעניינה בעבירה של ניסיון התפרצות לדירה, בנסיבות דומות, ניתן ללמוד מהפסיקה הבאה:</w:t>
      </w:r>
    </w:p>
    <w:p w14:paraId="3CF7A007" w14:textId="77777777" w:rsidR="008616B3" w:rsidRDefault="005E017E" w:rsidP="008616B3">
      <w:pPr>
        <w:pStyle w:val="aa"/>
        <w:numPr>
          <w:ilvl w:val="0"/>
          <w:numId w:val="2"/>
        </w:numPr>
        <w:spacing w:before="120" w:after="120" w:line="360" w:lineRule="auto"/>
        <w:jc w:val="both"/>
        <w:rPr>
          <w:rFonts w:cs="David"/>
          <w:sz w:val="24"/>
          <w:szCs w:val="24"/>
        </w:rPr>
      </w:pPr>
      <w:hyperlink r:id="rId27" w:history="1">
        <w:r w:rsidRPr="005E017E">
          <w:rPr>
            <w:rFonts w:cs="David" w:hint="cs"/>
            <w:color w:val="0000FF"/>
            <w:sz w:val="24"/>
            <w:szCs w:val="24"/>
            <w:u w:val="single"/>
            <w:rtl/>
          </w:rPr>
          <w:t>רע</w:t>
        </w:r>
        <w:r w:rsidRPr="005E017E">
          <w:rPr>
            <w:rFonts w:cs="David"/>
            <w:color w:val="0000FF"/>
            <w:sz w:val="24"/>
            <w:szCs w:val="24"/>
            <w:u w:val="single"/>
            <w:rtl/>
          </w:rPr>
          <w:t>"</w:t>
        </w:r>
        <w:r w:rsidRPr="005E017E">
          <w:rPr>
            <w:rFonts w:cs="David" w:hint="cs"/>
            <w:color w:val="0000FF"/>
            <w:sz w:val="24"/>
            <w:szCs w:val="24"/>
            <w:u w:val="single"/>
            <w:rtl/>
          </w:rPr>
          <w:t>פ</w:t>
        </w:r>
        <w:r w:rsidRPr="005E017E">
          <w:rPr>
            <w:rFonts w:cs="David"/>
            <w:color w:val="0000FF"/>
            <w:sz w:val="24"/>
            <w:szCs w:val="24"/>
            <w:u w:val="single"/>
            <w:rtl/>
          </w:rPr>
          <w:t xml:space="preserve"> 5518/11</w:t>
        </w:r>
      </w:hyperlink>
      <w:r w:rsidR="008616B3">
        <w:rPr>
          <w:rFonts w:cs="David"/>
          <w:sz w:val="24"/>
          <w:szCs w:val="24"/>
          <w:rtl/>
        </w:rPr>
        <w:t xml:space="preserve"> </w:t>
      </w:r>
      <w:r w:rsidR="008616B3">
        <w:rPr>
          <w:rFonts w:cs="David"/>
          <w:b/>
          <w:bCs/>
          <w:sz w:val="24"/>
          <w:szCs w:val="24"/>
          <w:rtl/>
        </w:rPr>
        <w:t>טרגאן נ' מדינת ישראל</w:t>
      </w:r>
      <w:r w:rsidR="008616B3">
        <w:rPr>
          <w:rFonts w:cs="David"/>
          <w:sz w:val="24"/>
          <w:szCs w:val="24"/>
          <w:rtl/>
        </w:rPr>
        <w:t xml:space="preserve"> (26.7.11) - בית משפט השלום הרשיע את הנאשם, לאחר ניהול הוכחות, בעבירה של ניסיון התפרצות לדירה. בית המשפט הטיל על הנאשם מאסר לתקופה של 12 חודשים ומאסר על תנאי. בית המשפט המחוזי דחה את ערעורו של הנאשם. בית המשפט העליון דחה את בקשתו של הנאשם להרשות ערעור;</w:t>
      </w:r>
    </w:p>
    <w:p w14:paraId="02C3039D" w14:textId="77777777" w:rsidR="008616B3" w:rsidRDefault="005E017E" w:rsidP="008616B3">
      <w:pPr>
        <w:pStyle w:val="aa"/>
        <w:numPr>
          <w:ilvl w:val="0"/>
          <w:numId w:val="2"/>
        </w:numPr>
        <w:spacing w:before="120" w:after="120" w:line="360" w:lineRule="auto"/>
        <w:jc w:val="both"/>
        <w:rPr>
          <w:rFonts w:cs="David"/>
          <w:sz w:val="24"/>
          <w:szCs w:val="24"/>
        </w:rPr>
      </w:pPr>
      <w:hyperlink r:id="rId28" w:history="1">
        <w:r w:rsidRPr="005E017E">
          <w:rPr>
            <w:rFonts w:cs="David" w:hint="cs"/>
            <w:color w:val="0000FF"/>
            <w:sz w:val="24"/>
            <w:szCs w:val="24"/>
            <w:u w:val="single"/>
            <w:rtl/>
          </w:rPr>
          <w:t>עפ</w:t>
        </w:r>
        <w:r w:rsidRPr="005E017E">
          <w:rPr>
            <w:rFonts w:cs="David"/>
            <w:color w:val="0000FF"/>
            <w:sz w:val="24"/>
            <w:szCs w:val="24"/>
            <w:u w:val="single"/>
            <w:rtl/>
          </w:rPr>
          <w:t>"</w:t>
        </w:r>
        <w:r w:rsidRPr="005E017E">
          <w:rPr>
            <w:rFonts w:cs="David" w:hint="cs"/>
            <w:color w:val="0000FF"/>
            <w:sz w:val="24"/>
            <w:szCs w:val="24"/>
            <w:u w:val="single"/>
            <w:rtl/>
          </w:rPr>
          <w:t>ג</w:t>
        </w:r>
        <w:r w:rsidRPr="005E017E">
          <w:rPr>
            <w:rFonts w:cs="David"/>
            <w:color w:val="0000FF"/>
            <w:sz w:val="24"/>
            <w:szCs w:val="24"/>
            <w:u w:val="single"/>
            <w:rtl/>
          </w:rPr>
          <w:t xml:space="preserve"> (</w:t>
        </w:r>
        <w:r w:rsidRPr="005E017E">
          <w:rPr>
            <w:rFonts w:cs="David" w:hint="cs"/>
            <w:color w:val="0000FF"/>
            <w:sz w:val="24"/>
            <w:szCs w:val="24"/>
            <w:u w:val="single"/>
            <w:rtl/>
          </w:rPr>
          <w:t>י</w:t>
        </w:r>
        <w:r w:rsidRPr="005E017E">
          <w:rPr>
            <w:rFonts w:cs="David"/>
            <w:color w:val="0000FF"/>
            <w:sz w:val="24"/>
            <w:szCs w:val="24"/>
            <w:u w:val="single"/>
            <w:rtl/>
          </w:rPr>
          <w:t>-</w:t>
        </w:r>
        <w:r w:rsidRPr="005E017E">
          <w:rPr>
            <w:rFonts w:cs="David" w:hint="cs"/>
            <w:color w:val="0000FF"/>
            <w:sz w:val="24"/>
            <w:szCs w:val="24"/>
            <w:u w:val="single"/>
            <w:rtl/>
          </w:rPr>
          <w:t>ם</w:t>
        </w:r>
        <w:r w:rsidRPr="005E017E">
          <w:rPr>
            <w:rFonts w:cs="David"/>
            <w:color w:val="0000FF"/>
            <w:sz w:val="24"/>
            <w:szCs w:val="24"/>
            <w:u w:val="single"/>
            <w:rtl/>
          </w:rPr>
          <w:t>) 30128-06-14</w:t>
        </w:r>
      </w:hyperlink>
      <w:r w:rsidR="008616B3">
        <w:rPr>
          <w:rFonts w:cs="David"/>
          <w:sz w:val="24"/>
          <w:szCs w:val="24"/>
          <w:rtl/>
        </w:rPr>
        <w:t xml:space="preserve"> </w:t>
      </w:r>
      <w:r w:rsidR="008616B3">
        <w:rPr>
          <w:rFonts w:cs="David"/>
          <w:b/>
          <w:bCs/>
          <w:sz w:val="24"/>
          <w:szCs w:val="24"/>
          <w:rtl/>
        </w:rPr>
        <w:t xml:space="preserve">כהן נ' מדינת ישראל </w:t>
      </w:r>
      <w:r w:rsidR="008616B3">
        <w:rPr>
          <w:rFonts w:cs="David"/>
          <w:sz w:val="24"/>
          <w:szCs w:val="24"/>
          <w:rtl/>
        </w:rPr>
        <w:t>(29.3.15) – בית משפט השלום הרשיע את הנאשם, לפי הודאתו, בעבירה של ניסיון להתפרצות. בית המשפט הטיל על הנאשם מאסר לתקופה של 11 חודשים ומאסר על תנאי. בית משפט מחוזי קיבל את הערעור והטיל על הנאשם מאסר לתקופה של 8 חודשים;</w:t>
      </w:r>
    </w:p>
    <w:p w14:paraId="0E6E5410" w14:textId="77777777" w:rsidR="008616B3" w:rsidRDefault="005E017E" w:rsidP="008616B3">
      <w:pPr>
        <w:pStyle w:val="aa"/>
        <w:numPr>
          <w:ilvl w:val="0"/>
          <w:numId w:val="2"/>
        </w:numPr>
        <w:spacing w:before="120" w:after="120" w:line="360" w:lineRule="auto"/>
        <w:jc w:val="both"/>
        <w:rPr>
          <w:rFonts w:cs="David"/>
          <w:sz w:val="24"/>
          <w:szCs w:val="24"/>
        </w:rPr>
      </w:pPr>
      <w:hyperlink r:id="rId29" w:history="1">
        <w:r w:rsidRPr="005E017E">
          <w:rPr>
            <w:rFonts w:cs="David" w:hint="cs"/>
            <w:color w:val="0000FF"/>
            <w:sz w:val="24"/>
            <w:szCs w:val="24"/>
            <w:u w:val="single"/>
            <w:rtl/>
          </w:rPr>
          <w:t>עפ</w:t>
        </w:r>
        <w:r w:rsidRPr="005E017E">
          <w:rPr>
            <w:rFonts w:cs="David"/>
            <w:color w:val="0000FF"/>
            <w:sz w:val="24"/>
            <w:szCs w:val="24"/>
            <w:u w:val="single"/>
            <w:rtl/>
          </w:rPr>
          <w:t>"</w:t>
        </w:r>
        <w:r w:rsidRPr="005E017E">
          <w:rPr>
            <w:rFonts w:cs="David" w:hint="cs"/>
            <w:color w:val="0000FF"/>
            <w:sz w:val="24"/>
            <w:szCs w:val="24"/>
            <w:u w:val="single"/>
            <w:rtl/>
          </w:rPr>
          <w:t>ג</w:t>
        </w:r>
        <w:r w:rsidRPr="005E017E">
          <w:rPr>
            <w:rFonts w:cs="David"/>
            <w:color w:val="0000FF"/>
            <w:sz w:val="24"/>
            <w:szCs w:val="24"/>
            <w:u w:val="single"/>
            <w:rtl/>
          </w:rPr>
          <w:t xml:space="preserve"> (</w:t>
        </w:r>
        <w:r w:rsidRPr="005E017E">
          <w:rPr>
            <w:rFonts w:cs="David" w:hint="cs"/>
            <w:color w:val="0000FF"/>
            <w:sz w:val="24"/>
            <w:szCs w:val="24"/>
            <w:u w:val="single"/>
            <w:rtl/>
          </w:rPr>
          <w:t>י</w:t>
        </w:r>
        <w:r w:rsidRPr="005E017E">
          <w:rPr>
            <w:rFonts w:cs="David"/>
            <w:color w:val="0000FF"/>
            <w:sz w:val="24"/>
            <w:szCs w:val="24"/>
            <w:u w:val="single"/>
            <w:rtl/>
          </w:rPr>
          <w:t>-</w:t>
        </w:r>
        <w:r w:rsidRPr="005E017E">
          <w:rPr>
            <w:rFonts w:cs="David" w:hint="cs"/>
            <w:color w:val="0000FF"/>
            <w:sz w:val="24"/>
            <w:szCs w:val="24"/>
            <w:u w:val="single"/>
            <w:rtl/>
          </w:rPr>
          <w:t>ם</w:t>
        </w:r>
        <w:r w:rsidRPr="005E017E">
          <w:rPr>
            <w:rFonts w:cs="David"/>
            <w:color w:val="0000FF"/>
            <w:sz w:val="24"/>
            <w:szCs w:val="24"/>
            <w:u w:val="single"/>
            <w:rtl/>
          </w:rPr>
          <w:t>) 24997-04-14</w:t>
        </w:r>
      </w:hyperlink>
      <w:r w:rsidR="008616B3">
        <w:rPr>
          <w:rFonts w:cs="David"/>
          <w:sz w:val="24"/>
          <w:szCs w:val="24"/>
          <w:rtl/>
        </w:rPr>
        <w:t xml:space="preserve"> </w:t>
      </w:r>
      <w:r w:rsidR="008616B3">
        <w:rPr>
          <w:rFonts w:cs="David"/>
          <w:b/>
          <w:bCs/>
          <w:sz w:val="24"/>
          <w:szCs w:val="24"/>
          <w:rtl/>
        </w:rPr>
        <w:t>מדינת ישראל נ' בנון</w:t>
      </w:r>
      <w:r w:rsidR="008616B3">
        <w:rPr>
          <w:rFonts w:cs="David"/>
          <w:sz w:val="24"/>
          <w:szCs w:val="24"/>
          <w:rtl/>
        </w:rPr>
        <w:t xml:space="preserve"> (7.7.14) -  בית משפט השלום הרשיע את הנאשם, לפי הודאתו, בעבירה של ניסיון התפרצות לדירה. בית המשפט הטיל על הנאשם מאסר לתקופה של 6 חודשים, הפעיל מאסר על תנאי והטיל מאסר על תנאי. בית המשפט המחוזי קיבל את ערעורה של התביעה והטיל על הנאשם מאסר לתקופה של 9 חודשים.</w:t>
      </w:r>
    </w:p>
    <w:p w14:paraId="399B9BDE"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מדיניות הענישה הרלוונטית לעבירה של אחזקת סמים מסוג הרואין לצריכה עצמית במשקלים קטנים נע בין מאסר על תנאי ובין מאסר לתקופה של מספר חודשים, לצד ענישה נלווית (ראו למשל: </w:t>
      </w:r>
      <w:hyperlink r:id="rId30" w:history="1">
        <w:r w:rsidR="005227DF" w:rsidRPr="005227DF">
          <w:rPr>
            <w:rStyle w:val="Hyperlink"/>
            <w:rFonts w:cs="David" w:hint="cs"/>
            <w:sz w:val="24"/>
            <w:szCs w:val="24"/>
            <w:rtl/>
          </w:rPr>
          <w:t>תפ</w:t>
        </w:r>
        <w:r w:rsidR="005227DF" w:rsidRPr="005227DF">
          <w:rPr>
            <w:rStyle w:val="Hyperlink"/>
            <w:rFonts w:cs="David"/>
            <w:sz w:val="24"/>
            <w:szCs w:val="24"/>
            <w:rtl/>
          </w:rPr>
          <w:t>"</w:t>
        </w:r>
        <w:r w:rsidR="005227DF" w:rsidRPr="005227DF">
          <w:rPr>
            <w:rStyle w:val="Hyperlink"/>
            <w:rFonts w:cs="David" w:hint="cs"/>
            <w:sz w:val="24"/>
            <w:szCs w:val="24"/>
            <w:rtl/>
          </w:rPr>
          <w:t>ק</w:t>
        </w:r>
        <w:r w:rsidR="005227DF" w:rsidRPr="005227DF">
          <w:rPr>
            <w:rStyle w:val="Hyperlink"/>
            <w:rFonts w:cs="David"/>
            <w:sz w:val="24"/>
            <w:szCs w:val="24"/>
            <w:rtl/>
          </w:rPr>
          <w:t xml:space="preserve"> (</w:t>
        </w:r>
        <w:r w:rsidR="005227DF" w:rsidRPr="005227DF">
          <w:rPr>
            <w:rStyle w:val="Hyperlink"/>
            <w:rFonts w:cs="David" w:hint="cs"/>
            <w:sz w:val="24"/>
            <w:szCs w:val="24"/>
            <w:rtl/>
          </w:rPr>
          <w:t>רמ</w:t>
        </w:r>
        <w:r w:rsidR="005227DF" w:rsidRPr="005227DF">
          <w:rPr>
            <w:rStyle w:val="Hyperlink"/>
            <w:rFonts w:cs="David"/>
            <w:sz w:val="24"/>
            <w:szCs w:val="24"/>
            <w:rtl/>
          </w:rPr>
          <w:t xml:space="preserve">') 41272-03-16 </w:t>
        </w:r>
      </w:hyperlink>
      <w:r>
        <w:rPr>
          <w:rFonts w:cs="David"/>
          <w:sz w:val="24"/>
          <w:szCs w:val="24"/>
          <w:rtl/>
        </w:rPr>
        <w:t xml:space="preserve"> </w:t>
      </w:r>
      <w:r>
        <w:rPr>
          <w:rFonts w:cs="David"/>
          <w:b/>
          <w:bCs/>
          <w:sz w:val="24"/>
          <w:szCs w:val="24"/>
          <w:rtl/>
        </w:rPr>
        <w:t xml:space="preserve">משטרת ישראל תביעות שלוחת רמלה נ' אבו כאשף </w:t>
      </w:r>
      <w:r>
        <w:rPr>
          <w:rFonts w:cs="David"/>
          <w:sz w:val="24"/>
          <w:szCs w:val="24"/>
          <w:rtl/>
        </w:rPr>
        <w:t xml:space="preserve">(9.9.19); </w:t>
      </w:r>
      <w:hyperlink r:id="rId31" w:history="1">
        <w:r w:rsidR="005E017E" w:rsidRPr="005E017E">
          <w:rPr>
            <w:rFonts w:cs="David" w:hint="cs"/>
            <w:color w:val="0000FF"/>
            <w:sz w:val="24"/>
            <w:szCs w:val="24"/>
            <w:u w:val="single"/>
            <w:rtl/>
          </w:rPr>
          <w:t>ת</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ק</w:t>
        </w:r>
        <w:r w:rsidR="005E017E" w:rsidRPr="005E017E">
          <w:rPr>
            <w:rFonts w:cs="David"/>
            <w:color w:val="0000FF"/>
            <w:sz w:val="24"/>
            <w:szCs w:val="24"/>
            <w:u w:val="single"/>
            <w:rtl/>
          </w:rPr>
          <w:t>"</w:t>
        </w:r>
        <w:r w:rsidR="005E017E" w:rsidRPr="005E017E">
          <w:rPr>
            <w:rFonts w:cs="David" w:hint="cs"/>
            <w:color w:val="0000FF"/>
            <w:sz w:val="24"/>
            <w:szCs w:val="24"/>
            <w:u w:val="single"/>
            <w:rtl/>
          </w:rPr>
          <w:t>ג</w:t>
        </w:r>
        <w:r w:rsidR="005E017E" w:rsidRPr="005E017E">
          <w:rPr>
            <w:rFonts w:cs="David"/>
            <w:color w:val="0000FF"/>
            <w:sz w:val="24"/>
            <w:szCs w:val="24"/>
            <w:u w:val="single"/>
            <w:rtl/>
          </w:rPr>
          <w:t>) 54499-11-15</w:t>
        </w:r>
      </w:hyperlink>
      <w:r>
        <w:rPr>
          <w:rFonts w:cs="David"/>
          <w:sz w:val="24"/>
          <w:szCs w:val="24"/>
          <w:rtl/>
        </w:rPr>
        <w:t xml:space="preserve"> </w:t>
      </w:r>
      <w:r>
        <w:rPr>
          <w:rFonts w:cs="David"/>
          <w:b/>
          <w:bCs/>
          <w:sz w:val="24"/>
          <w:szCs w:val="24"/>
          <w:rtl/>
        </w:rPr>
        <w:t xml:space="preserve">מדינת ישראל נ' חדאד </w:t>
      </w:r>
      <w:r>
        <w:rPr>
          <w:rFonts w:cs="David"/>
          <w:sz w:val="24"/>
          <w:szCs w:val="24"/>
          <w:rtl/>
        </w:rPr>
        <w:t xml:space="preserve">(5.2.19); </w:t>
      </w:r>
      <w:hyperlink r:id="rId32" w:history="1">
        <w:r w:rsidR="005E017E" w:rsidRPr="005E017E">
          <w:rPr>
            <w:rFonts w:cs="David" w:hint="cs"/>
            <w:color w:val="0000FF"/>
            <w:sz w:val="24"/>
            <w:szCs w:val="24"/>
            <w:u w:val="single"/>
            <w:rtl/>
          </w:rPr>
          <w:t>ת</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רח</w:t>
        </w:r>
        <w:r w:rsidR="005E017E" w:rsidRPr="005E017E">
          <w:rPr>
            <w:rFonts w:cs="David"/>
            <w:color w:val="0000FF"/>
            <w:sz w:val="24"/>
            <w:szCs w:val="24"/>
            <w:u w:val="single"/>
            <w:rtl/>
          </w:rPr>
          <w:t>') 16619-01-18</w:t>
        </w:r>
      </w:hyperlink>
      <w:r>
        <w:rPr>
          <w:rFonts w:cs="David"/>
          <w:sz w:val="24"/>
          <w:szCs w:val="24"/>
          <w:rtl/>
        </w:rPr>
        <w:t xml:space="preserve"> </w:t>
      </w:r>
      <w:r>
        <w:rPr>
          <w:rFonts w:cs="David"/>
          <w:b/>
          <w:bCs/>
          <w:sz w:val="24"/>
          <w:szCs w:val="24"/>
          <w:rtl/>
        </w:rPr>
        <w:t xml:space="preserve">מדינת ישראל נ' פודומסקי </w:t>
      </w:r>
      <w:r>
        <w:rPr>
          <w:rFonts w:cs="David"/>
          <w:sz w:val="24"/>
          <w:szCs w:val="24"/>
          <w:rtl/>
        </w:rPr>
        <w:t xml:space="preserve">(16.1.19); </w:t>
      </w:r>
      <w:hyperlink r:id="rId33" w:history="1">
        <w:r w:rsidR="005E017E" w:rsidRPr="005E017E">
          <w:rPr>
            <w:rFonts w:cs="David" w:hint="cs"/>
            <w:color w:val="0000FF"/>
            <w:sz w:val="24"/>
            <w:szCs w:val="24"/>
            <w:u w:val="single"/>
            <w:rtl/>
          </w:rPr>
          <w:t>ת</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w:t>
        </w:r>
        <w:r w:rsidR="005E017E" w:rsidRPr="005E017E">
          <w:rPr>
            <w:rFonts w:cs="David" w:hint="cs"/>
            <w:color w:val="0000FF"/>
            <w:sz w:val="24"/>
            <w:szCs w:val="24"/>
            <w:u w:val="single"/>
            <w:rtl/>
          </w:rPr>
          <w:t>עכו</w:t>
        </w:r>
        <w:r w:rsidR="005E017E" w:rsidRPr="005E017E">
          <w:rPr>
            <w:rFonts w:cs="David"/>
            <w:color w:val="0000FF"/>
            <w:sz w:val="24"/>
            <w:szCs w:val="24"/>
            <w:u w:val="single"/>
            <w:rtl/>
          </w:rPr>
          <w:t>) 1659-04-19</w:t>
        </w:r>
      </w:hyperlink>
      <w:r>
        <w:rPr>
          <w:rFonts w:cs="David"/>
          <w:sz w:val="24"/>
          <w:szCs w:val="24"/>
          <w:rtl/>
        </w:rPr>
        <w:t xml:space="preserve"> </w:t>
      </w:r>
      <w:r>
        <w:rPr>
          <w:rFonts w:cs="David"/>
          <w:b/>
          <w:bCs/>
          <w:sz w:val="24"/>
          <w:szCs w:val="24"/>
          <w:rtl/>
        </w:rPr>
        <w:t>מדינת ישראל נ' בן שטרית</w:t>
      </w:r>
      <w:r>
        <w:rPr>
          <w:rFonts w:cs="David"/>
          <w:sz w:val="24"/>
          <w:szCs w:val="24"/>
          <w:rtl/>
        </w:rPr>
        <w:t xml:space="preserve"> (14.1.19)</w:t>
      </w:r>
    </w:p>
    <w:p w14:paraId="21B76B04" w14:textId="77777777" w:rsidR="008616B3" w:rsidRDefault="008616B3" w:rsidP="008616B3">
      <w:pPr>
        <w:pStyle w:val="aa"/>
        <w:numPr>
          <w:ilvl w:val="0"/>
          <w:numId w:val="1"/>
        </w:numPr>
        <w:spacing w:before="120" w:after="120" w:line="360" w:lineRule="auto"/>
        <w:ind w:left="509" w:hanging="567"/>
        <w:jc w:val="both"/>
        <w:rPr>
          <w:rFonts w:ascii="David" w:hAnsi="David" w:cs="David"/>
          <w:b/>
          <w:bCs/>
          <w:sz w:val="26"/>
          <w:szCs w:val="26"/>
        </w:rPr>
      </w:pPr>
      <w:r>
        <w:rPr>
          <w:rFonts w:cs="David"/>
          <w:sz w:val="24"/>
          <w:szCs w:val="24"/>
          <w:rtl/>
        </w:rPr>
        <w:t xml:space="preserve">כאן המקום להעיר, כי התביעה הגישה פסיקה הכוללת נסיבות מחמירות בהרבה מענייננו, כמו למשל עבירות של התפרצות לבית לצד קשירת קשר, ביצוע בצוותא וגניבה. פסיקה זו אינה מתאימה למתחם הרלוונטי ולנסיבות העניין שלפניי (ראו למשל: </w:t>
      </w:r>
      <w:hyperlink r:id="rId34" w:history="1">
        <w:r w:rsidR="005E017E" w:rsidRPr="005E017E">
          <w:rPr>
            <w:rFonts w:cs="David" w:hint="cs"/>
            <w:color w:val="0000FF"/>
            <w:sz w:val="24"/>
            <w:szCs w:val="24"/>
            <w:u w:val="single"/>
            <w:rtl/>
          </w:rPr>
          <w:t>רע</w:t>
        </w:r>
        <w:r w:rsidR="005E017E" w:rsidRPr="005E017E">
          <w:rPr>
            <w:rFonts w:cs="David"/>
            <w:color w:val="0000FF"/>
            <w:sz w:val="24"/>
            <w:szCs w:val="24"/>
            <w:u w:val="single"/>
            <w:rtl/>
          </w:rPr>
          <w:t>"</w:t>
        </w:r>
        <w:r w:rsidR="005E017E" w:rsidRPr="005E017E">
          <w:rPr>
            <w:rFonts w:cs="David" w:hint="cs"/>
            <w:color w:val="0000FF"/>
            <w:sz w:val="24"/>
            <w:szCs w:val="24"/>
            <w:u w:val="single"/>
            <w:rtl/>
          </w:rPr>
          <w:t>פ</w:t>
        </w:r>
        <w:r w:rsidR="005E017E" w:rsidRPr="005E017E">
          <w:rPr>
            <w:rFonts w:cs="David"/>
            <w:color w:val="0000FF"/>
            <w:sz w:val="24"/>
            <w:szCs w:val="24"/>
            <w:u w:val="single"/>
            <w:rtl/>
          </w:rPr>
          <w:t xml:space="preserve"> 6210/18</w:t>
        </w:r>
      </w:hyperlink>
      <w:r>
        <w:rPr>
          <w:rFonts w:cs="David"/>
          <w:sz w:val="24"/>
          <w:szCs w:val="24"/>
          <w:rtl/>
        </w:rPr>
        <w:t xml:space="preserve"> </w:t>
      </w:r>
      <w:r>
        <w:rPr>
          <w:rFonts w:cs="David"/>
          <w:b/>
          <w:bCs/>
          <w:sz w:val="24"/>
          <w:szCs w:val="24"/>
          <w:rtl/>
        </w:rPr>
        <w:t>אבו גאנם נ' מדינת ישראל</w:t>
      </w:r>
      <w:r>
        <w:rPr>
          <w:rFonts w:cs="David"/>
          <w:sz w:val="24"/>
          <w:szCs w:val="24"/>
          <w:rtl/>
        </w:rPr>
        <w:t xml:space="preserve"> (3.9.18); רע"פ 8987 </w:t>
      </w:r>
      <w:r>
        <w:rPr>
          <w:rFonts w:ascii="David" w:hAnsi="David" w:cs="David"/>
          <w:b/>
          <w:bCs/>
          <w:sz w:val="24"/>
          <w:szCs w:val="24"/>
          <w:rtl/>
        </w:rPr>
        <w:t xml:space="preserve">אבו חסין נ' מדינת ישראל </w:t>
      </w:r>
      <w:r>
        <w:rPr>
          <w:rFonts w:ascii="David" w:hAnsi="David" w:cs="David"/>
          <w:sz w:val="24"/>
          <w:szCs w:val="24"/>
          <w:rtl/>
        </w:rPr>
        <w:t>(21.11.16)).</w:t>
      </w:r>
    </w:p>
    <w:p w14:paraId="14914A5A" w14:textId="77777777" w:rsidR="008616B3" w:rsidRP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לאור מדיניות הענישה ונסיבות המקרה, אני קובעת כי מתחם העונש ההולם את העבירות מושא </w:t>
      </w:r>
      <w:r>
        <w:rPr>
          <w:rFonts w:cs="David" w:hint="cs"/>
          <w:sz w:val="24"/>
          <w:szCs w:val="24"/>
          <w:rtl/>
        </w:rPr>
        <w:t>האישום הראשון נע בין מאסר קצר ובין מאסר לתקופה של 16 חודשים ואילו המתחם באישום השני נע בין מאסר על תנאי ובין מאסר קצר, והכל לצד ענישה נלווית.</w:t>
      </w:r>
    </w:p>
    <w:p w14:paraId="24DE26A1" w14:textId="77777777" w:rsidR="008616B3" w:rsidRDefault="008616B3" w:rsidP="008616B3">
      <w:pPr>
        <w:spacing w:before="120" w:after="120"/>
        <w:jc w:val="both"/>
      </w:pPr>
      <w:r>
        <w:rPr>
          <w:u w:val="single"/>
          <w:rtl/>
        </w:rPr>
        <w:t>העונש ההולם בתוך המתחם</w:t>
      </w:r>
      <w:r>
        <w:rPr>
          <w:rtl/>
        </w:rPr>
        <w:t xml:space="preserve"> </w:t>
      </w:r>
    </w:p>
    <w:p w14:paraId="797CB059"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3F863992" w14:textId="77777777" w:rsidR="008616B3" w:rsidRDefault="008616B3" w:rsidP="008616B3">
      <w:pPr>
        <w:pStyle w:val="aa"/>
        <w:spacing w:before="120" w:after="120" w:line="360" w:lineRule="auto"/>
        <w:ind w:left="509"/>
        <w:jc w:val="both"/>
        <w:rPr>
          <w:rFonts w:cs="David"/>
          <w:sz w:val="24"/>
          <w:szCs w:val="24"/>
        </w:rPr>
      </w:pPr>
      <w:r>
        <w:rPr>
          <w:rFonts w:cs="David"/>
          <w:sz w:val="24"/>
          <w:szCs w:val="24"/>
          <w:rtl/>
        </w:rPr>
        <w:t xml:space="preserve">לחובתו של הנאשם  עומד עברו הפלילי המכביד. הנאשם ביצע עבירות רבות בין השנים 1974, עוד בהיותו קטין, ועד לשנת 2010, לרבות עבירות רכוש, אלימות וסמים. הנאשם גם נדון, לא אחת, לעונשי מאסר בפועל (עת/1). עם זאת, לא ניתן להתעלם מהעובדה, כי מדובר בעבר ישן יחסית – משמע עד לפני כ-10 שנים - והנאשם לא שב לבצע עבירות מאז ביצוע העבירות מושא כתב האישום; </w:t>
      </w:r>
    </w:p>
    <w:p w14:paraId="1B5B7DF8" w14:textId="77777777" w:rsidR="008616B3" w:rsidRDefault="008616B3" w:rsidP="008616B3">
      <w:pPr>
        <w:pStyle w:val="aa"/>
        <w:spacing w:before="120" w:after="120" w:line="360" w:lineRule="auto"/>
        <w:ind w:left="509"/>
        <w:jc w:val="both"/>
        <w:rPr>
          <w:rFonts w:cs="David"/>
          <w:sz w:val="24"/>
          <w:szCs w:val="24"/>
          <w:rtl/>
        </w:rPr>
      </w:pPr>
      <w:r>
        <w:rPr>
          <w:rFonts w:cs="David"/>
          <w:sz w:val="24"/>
          <w:szCs w:val="24"/>
          <w:rtl/>
        </w:rPr>
        <w:t xml:space="preserve">לזכותו של הנאשם עומדת הודאתו במיוחס לו וחיסכון בשמיעת עדויות; שירות המבחן עמד על נסיבות חייו הלא פשוטות של הנאשם, אשר סיים 8 שנות לימוד בלבד ומגיל 10 שהה בפנימייה, הסתובב בחוסר מעש וחבר לחברה שולית. הנאשם נישא בגיל 22 ונולדו לו שתי בנות. בני הזוג התגרשו לפני כעשרים שנים על רקע מעורבותו בפלילים והתמכרותו לסמים ולנאשם אין קשר עם בנותיו. הנאשם מתגורר בדירת עמידר, לא עובד ומתקיים מקצבת הבטחת הכנסה. הנאשם מכור לסמים ובשנים האחרונות הוא נוטל תחליף סם מסוג "סבוטקס". הנאשם עבר בשנת 2003 תאונת דרכים ונפצע בחלקים שונים בגופו ומאז חלה נסיגה במצבו הנפשי. להתרשמות גורמי הטיפול הנאשם סובל מפוסט טראומה. בשנים האחרונות הנאשם אינו צורך טיפול תרופתי ואינו נמצא במעקב פסיכיאטרי. שירות המבחן הדגיש, כי לאורך השנים בלטו קשיי השתלבות במסגרת תעסוקתית, דפוסים התמכרותיים אשר העמיקו ותפקודו במישורים השונים התדרדרו. </w:t>
      </w:r>
    </w:p>
    <w:p w14:paraId="1FFC4419" w14:textId="77777777" w:rsidR="008616B3" w:rsidRDefault="008616B3" w:rsidP="008616B3">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לא יכולה להיות מחלוקת כי הנאשם זקוק לטיפול של ממש, אולם למרבה הצער, בהיעדר נכונות ויכולת ונוכח עומק התמכרותו לא ניתן לגייס הנאשם להליך טיפולי. </w:t>
      </w:r>
    </w:p>
    <w:p w14:paraId="2BCD44FB" w14:textId="77777777" w:rsidR="008616B3" w:rsidRDefault="008616B3" w:rsidP="008616B3">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באיזון בין הנסיבות לזכותו של הנאשם, משמע הודאתו ונסיבות חייו הלא פשוטות, ובין הנסיבות לחובתו, ובעיקר עברו הפלילי ואי הירתמותו של הנאשם להליך טיפולי, לא ניתן לאמץ את המלצת שירות המבחן לסיים ההליך באפיק שיקומי הכולל אך צו מבחן ומאסר על תנאי. המלצה זו חורגת ממתחם העונש ואינה מתאימה לנסיבות בהן לא היה כל הליך שיקומי בעניינו של הנאשם. </w:t>
      </w:r>
    </w:p>
    <w:p w14:paraId="7CDC191D"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התביעה אמנם עתרה להטיל עונש שהוא בשליש התחתון של המתחם, אולם לעמדתי, מיקום זה אינו משקף את עברו הפלילי של הנאשם והיעדר הירתמות להליך טיפולי.</w:t>
      </w:r>
    </w:p>
    <w:p w14:paraId="22BC55C3"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מכאן, שיש להטיל על הנאשם עונש המצוי מעט מתחת למחצית המתחם והוא כולל מאסר, שיכול ויבוצע בדרך של עבודות שירות ומאסרים על תנאי . בהינתן מצבו הכלכלי של הנאשם לא מצאתי מקום להטיל עליו קנס. עם זאת, יש מקום לפיצוי סמלי של המתלוננת, למרות שלא גרם לה נזק רכושי.</w:t>
      </w:r>
    </w:p>
    <w:p w14:paraId="2E32E6CB" w14:textId="77777777" w:rsidR="008616B3" w:rsidRDefault="008616B3" w:rsidP="008616B3">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לפי חוות דעת הממונה על עבודות שירות מיום 15.9.20, הנאשם לא נמצא מתאים לביצוע עבודות שירות, וזאת בשל סירובו להשתלב בעבודות שירות. לפי חוות דעת הממונה מיום 14.10.20 נמצא הנאשם מתאים לביצוע עבודות שירות במגבלות.</w:t>
      </w:r>
    </w:p>
    <w:p w14:paraId="71CCC220" w14:textId="77777777" w:rsidR="008616B3" w:rsidRPr="008616B3" w:rsidRDefault="008616B3" w:rsidP="008616B3">
      <w:pPr>
        <w:spacing w:before="120" w:after="120"/>
        <w:ind w:left="-58"/>
        <w:jc w:val="both"/>
        <w:rPr>
          <w:rFonts w:ascii="Calibri" w:hAnsi="Calibri"/>
          <w:b/>
          <w:bCs/>
          <w:u w:val="single"/>
        </w:rPr>
      </w:pPr>
    </w:p>
    <w:p w14:paraId="5740314C" w14:textId="77777777" w:rsidR="008616B3" w:rsidRDefault="008616B3" w:rsidP="008616B3">
      <w:pPr>
        <w:spacing w:before="120" w:after="120"/>
        <w:ind w:left="-58"/>
        <w:jc w:val="both"/>
        <w:rPr>
          <w:rtl/>
        </w:rPr>
      </w:pPr>
      <w:r>
        <w:rPr>
          <w:b/>
          <w:bCs/>
          <w:u w:val="single"/>
          <w:rtl/>
        </w:rPr>
        <w:t>סוף דבר</w:t>
      </w:r>
      <w:r>
        <w:rPr>
          <w:rtl/>
        </w:rPr>
        <w:t xml:space="preserve"> </w:t>
      </w:r>
    </w:p>
    <w:p w14:paraId="54B00B32" w14:textId="77777777" w:rsidR="008616B3" w:rsidRDefault="008616B3" w:rsidP="008616B3">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00AA6E29" w14:textId="77777777" w:rsidR="008616B3" w:rsidRDefault="008616B3" w:rsidP="008616B3">
      <w:pPr>
        <w:pStyle w:val="aa"/>
        <w:numPr>
          <w:ilvl w:val="0"/>
          <w:numId w:val="3"/>
        </w:numPr>
        <w:spacing w:before="120" w:after="120" w:line="360" w:lineRule="auto"/>
        <w:jc w:val="both"/>
        <w:rPr>
          <w:rFonts w:cs="David"/>
          <w:sz w:val="24"/>
          <w:szCs w:val="24"/>
        </w:rPr>
      </w:pPr>
      <w:r>
        <w:rPr>
          <w:rFonts w:cs="David"/>
          <w:sz w:val="24"/>
          <w:szCs w:val="24"/>
          <w:rtl/>
        </w:rPr>
        <w:t>מאסר לתקופה של 8 חודשים, שיבוצע בדרך של עבודות שירות, הנאשם יחל את עבודות השירות ביום 24.1.</w:t>
      </w:r>
      <w:r>
        <w:rPr>
          <w:rFonts w:cs="David" w:hint="cs"/>
          <w:sz w:val="24"/>
          <w:szCs w:val="24"/>
          <w:rtl/>
        </w:rPr>
        <w:t>21</w:t>
      </w:r>
      <w:r>
        <w:rPr>
          <w:rFonts w:cs="David"/>
          <w:sz w:val="24"/>
          <w:szCs w:val="24"/>
          <w:rtl/>
        </w:rPr>
        <w:t>. מובהר לנאשם כי כל חריגה מהוראות הממונה עלולה להוביל לנשיאת המאסר בפועל;</w:t>
      </w:r>
    </w:p>
    <w:p w14:paraId="2550CB13" w14:textId="77777777" w:rsidR="008616B3" w:rsidRDefault="008616B3" w:rsidP="008616B3">
      <w:pPr>
        <w:pStyle w:val="aa"/>
        <w:numPr>
          <w:ilvl w:val="0"/>
          <w:numId w:val="3"/>
        </w:numPr>
        <w:spacing w:before="120" w:after="120" w:line="360" w:lineRule="auto"/>
        <w:jc w:val="both"/>
        <w:rPr>
          <w:rFonts w:cs="David"/>
          <w:sz w:val="24"/>
          <w:szCs w:val="24"/>
        </w:rPr>
      </w:pPr>
      <w:r>
        <w:rPr>
          <w:rFonts w:cs="David"/>
          <w:sz w:val="24"/>
          <w:szCs w:val="24"/>
          <w:rtl/>
        </w:rPr>
        <w:t>מאסר על תנאי לתקופה של  6 חודשים, והתנאי הוא שבמשך 3 שנים מהיום לא יעבור כל עבירת רכוש או עבירת סמים - מסוג פשע;</w:t>
      </w:r>
    </w:p>
    <w:p w14:paraId="278B69E0" w14:textId="77777777" w:rsidR="008616B3" w:rsidRDefault="008616B3" w:rsidP="008616B3">
      <w:pPr>
        <w:pStyle w:val="aa"/>
        <w:numPr>
          <w:ilvl w:val="0"/>
          <w:numId w:val="3"/>
        </w:numPr>
        <w:spacing w:before="120" w:after="120" w:line="360" w:lineRule="auto"/>
        <w:jc w:val="both"/>
        <w:rPr>
          <w:rFonts w:cs="David"/>
          <w:sz w:val="24"/>
          <w:szCs w:val="24"/>
        </w:rPr>
      </w:pPr>
      <w:r>
        <w:rPr>
          <w:rFonts w:cs="David"/>
          <w:sz w:val="24"/>
          <w:szCs w:val="24"/>
          <w:rtl/>
        </w:rPr>
        <w:t>מאסר על תנאי לתקופה של 3 חודשים, והתנאי הוא שבמשך שנתיים מהיום לא יעבור כל עבירת רכוש או עבירת סמים - מסוג עוון;</w:t>
      </w:r>
    </w:p>
    <w:p w14:paraId="2A6990C7" w14:textId="77777777" w:rsidR="008616B3" w:rsidRDefault="008616B3" w:rsidP="008616B3">
      <w:pPr>
        <w:pStyle w:val="aa"/>
        <w:numPr>
          <w:ilvl w:val="0"/>
          <w:numId w:val="3"/>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2EE3EEAF" w14:textId="77777777" w:rsidR="008616B3" w:rsidRPr="008616B3" w:rsidRDefault="008616B3" w:rsidP="008616B3">
      <w:pPr>
        <w:pStyle w:val="aa"/>
        <w:spacing w:before="120" w:after="120" w:line="360" w:lineRule="auto"/>
        <w:ind w:left="869"/>
        <w:jc w:val="both"/>
        <w:rPr>
          <w:rFonts w:cs="David"/>
          <w:sz w:val="24"/>
          <w:szCs w:val="24"/>
        </w:rPr>
      </w:pPr>
      <w:r>
        <w:rPr>
          <w:rFonts w:cs="David"/>
          <w:sz w:val="24"/>
          <w:szCs w:val="24"/>
          <w:rtl/>
        </w:rPr>
        <w:t>רשמתי לפני נכונות הנאשם לבצע את צו המבחן. מובהר בזאת, כי כל חריגה מהוראות שירות המבחן עלולה להוביל לביטול גזר דינו וגזירת דינו מחדש;</w:t>
      </w:r>
    </w:p>
    <w:p w14:paraId="79487D3C" w14:textId="77777777" w:rsidR="008616B3" w:rsidRDefault="008616B3" w:rsidP="008616B3">
      <w:pPr>
        <w:pStyle w:val="aa"/>
        <w:numPr>
          <w:ilvl w:val="0"/>
          <w:numId w:val="3"/>
        </w:numPr>
        <w:spacing w:before="120" w:after="120" w:line="360" w:lineRule="auto"/>
        <w:jc w:val="both"/>
        <w:rPr>
          <w:rFonts w:cs="David"/>
          <w:sz w:val="24"/>
          <w:szCs w:val="24"/>
        </w:rPr>
      </w:pPr>
      <w:r>
        <w:rPr>
          <w:rFonts w:cs="David"/>
          <w:sz w:val="24"/>
          <w:szCs w:val="24"/>
          <w:rtl/>
        </w:rPr>
        <w:t>פיצויים בסכום של 500 ₪ למתלוננת, עדת תביעה 1. הנאשם ישלם את הפיצויים ב-2 תשלומים שווים ורצופים הראשון עד ליום 1.12.20 והשני עד ליום 1.1.21.</w:t>
      </w:r>
    </w:p>
    <w:p w14:paraId="6CF95E31" w14:textId="77777777" w:rsidR="008616B3" w:rsidRDefault="008616B3" w:rsidP="008616B3">
      <w:pPr>
        <w:spacing w:before="120" w:after="120"/>
        <w:ind w:left="509" w:hanging="567"/>
        <w:contextualSpacing/>
        <w:jc w:val="both"/>
        <w:rPr>
          <w:b/>
          <w:bCs/>
        </w:rPr>
      </w:pPr>
      <w:r>
        <w:rPr>
          <w:b/>
          <w:bCs/>
          <w:rtl/>
        </w:rPr>
        <w:t>ניתן צו להשמדת הסמים.</w:t>
      </w:r>
    </w:p>
    <w:p w14:paraId="359F7BE8" w14:textId="77777777" w:rsidR="008616B3" w:rsidRDefault="008616B3" w:rsidP="008616B3">
      <w:pPr>
        <w:spacing w:before="120" w:after="120"/>
        <w:ind w:left="509" w:hanging="567"/>
        <w:contextualSpacing/>
        <w:jc w:val="both"/>
        <w:rPr>
          <w:b/>
          <w:bCs/>
          <w:rtl/>
        </w:rPr>
      </w:pPr>
    </w:p>
    <w:p w14:paraId="426141BB" w14:textId="77777777" w:rsidR="008616B3" w:rsidRDefault="008616B3" w:rsidP="008616B3">
      <w:pPr>
        <w:spacing w:before="120" w:after="120"/>
        <w:ind w:left="509" w:hanging="567"/>
        <w:contextualSpacing/>
        <w:jc w:val="both"/>
        <w:rPr>
          <w:b/>
          <w:bCs/>
          <w:rtl/>
        </w:rPr>
      </w:pPr>
      <w:r>
        <w:rPr>
          <w:b/>
          <w:bCs/>
          <w:rtl/>
        </w:rPr>
        <w:t>עותק גזר הדין יועבר לממונה על עבודות שירות ולשירות המבחן.</w:t>
      </w:r>
    </w:p>
    <w:p w14:paraId="28238398" w14:textId="77777777" w:rsidR="008616B3" w:rsidRDefault="008616B3" w:rsidP="008616B3">
      <w:pPr>
        <w:spacing w:before="120" w:after="120"/>
        <w:ind w:left="509" w:hanging="567"/>
        <w:contextualSpacing/>
        <w:jc w:val="both"/>
        <w:rPr>
          <w:b/>
          <w:bCs/>
          <w:rtl/>
        </w:rPr>
      </w:pPr>
    </w:p>
    <w:p w14:paraId="757C1DD4" w14:textId="77777777" w:rsidR="008616B3" w:rsidRDefault="008616B3" w:rsidP="008616B3">
      <w:pPr>
        <w:spacing w:before="120" w:after="120"/>
        <w:ind w:left="-58"/>
        <w:jc w:val="both"/>
        <w:rPr>
          <w:b/>
          <w:bCs/>
          <w:rtl/>
        </w:rPr>
      </w:pPr>
      <w:r>
        <w:rPr>
          <w:b/>
          <w:bCs/>
          <w:rtl/>
        </w:rPr>
        <w:t>זכות ערעור כחוק תוך 45 ימים.</w:t>
      </w:r>
    </w:p>
    <w:p w14:paraId="35915663" w14:textId="77777777" w:rsidR="008616B3" w:rsidRPr="005E017E" w:rsidRDefault="005E017E" w:rsidP="008616B3">
      <w:pPr>
        <w:spacing w:before="120" w:after="120"/>
        <w:ind w:left="-58"/>
        <w:jc w:val="both"/>
        <w:rPr>
          <w:b/>
          <w:bCs/>
          <w:color w:val="FFFFFF"/>
          <w:sz w:val="2"/>
          <w:szCs w:val="2"/>
          <w:rtl/>
        </w:rPr>
      </w:pPr>
      <w:r w:rsidRPr="005E017E">
        <w:rPr>
          <w:b/>
          <w:bCs/>
          <w:color w:val="FFFFFF"/>
          <w:sz w:val="2"/>
          <w:szCs w:val="2"/>
          <w:rtl/>
        </w:rPr>
        <w:t>5129371</w:t>
      </w:r>
    </w:p>
    <w:p w14:paraId="23ABDDEC" w14:textId="77777777" w:rsidR="008616B3" w:rsidRDefault="005E017E" w:rsidP="008616B3">
      <w:pPr>
        <w:rPr>
          <w:rFonts w:cs="FrankRuehl"/>
          <w:sz w:val="28"/>
          <w:szCs w:val="28"/>
          <w:rtl/>
        </w:rPr>
      </w:pPr>
      <w:bookmarkStart w:id="8" w:name="Nitan"/>
      <w:r w:rsidRPr="005E017E">
        <w:rPr>
          <w:rFonts w:ascii="Arial" w:hAnsi="Arial"/>
          <w:color w:val="FFFFFF"/>
          <w:sz w:val="2"/>
          <w:szCs w:val="2"/>
          <w:rtl/>
        </w:rPr>
        <w:t>54678313</w:t>
      </w:r>
      <w:r>
        <w:rPr>
          <w:rFonts w:ascii="Arial" w:hAnsi="Arial"/>
          <w:rtl/>
        </w:rPr>
        <w:t xml:space="preserve">ניתן היום,  ח' חשוון תשפ"א, 26 אוקטובר 2020, במעמד הצדדים. </w:t>
      </w:r>
      <w:bookmarkEnd w:id="8"/>
    </w:p>
    <w:p w14:paraId="136D64EE" w14:textId="77777777" w:rsidR="008616B3" w:rsidRDefault="008616B3" w:rsidP="005E017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6C5A8CB" w14:textId="77777777" w:rsidR="008616B3" w:rsidRDefault="008616B3" w:rsidP="008616B3">
      <w:pPr>
        <w:jc w:val="center"/>
        <w:rPr>
          <w:rFonts w:ascii="Arial" w:hAnsi="Arial" w:cs="FrankRuehl"/>
          <w:sz w:val="28"/>
          <w:szCs w:val="28"/>
          <w:rtl/>
        </w:rPr>
      </w:pPr>
    </w:p>
    <w:p w14:paraId="47E965A3" w14:textId="77777777" w:rsidR="005E017E" w:rsidRDefault="005E017E" w:rsidP="005E017E">
      <w:pPr>
        <w:rPr>
          <w:rtl/>
        </w:rPr>
      </w:pPr>
    </w:p>
    <w:p w14:paraId="5FECFBA6" w14:textId="77777777" w:rsidR="005E017E" w:rsidRDefault="005E017E" w:rsidP="005E017E">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17EFC8D" w14:textId="77777777" w:rsidR="007F2413" w:rsidRPr="007F2413" w:rsidRDefault="007F2413" w:rsidP="007F2413">
      <w:pPr>
        <w:keepNext/>
        <w:rPr>
          <w:rFonts w:ascii="David" w:hAnsi="David"/>
          <w:color w:val="000000"/>
          <w:sz w:val="22"/>
          <w:szCs w:val="22"/>
          <w:rtl/>
        </w:rPr>
      </w:pPr>
    </w:p>
    <w:p w14:paraId="1FAB809F" w14:textId="77777777" w:rsidR="007F2413" w:rsidRPr="007F2413" w:rsidRDefault="007F2413" w:rsidP="007F2413">
      <w:pPr>
        <w:keepNext/>
        <w:rPr>
          <w:rFonts w:ascii="David" w:hAnsi="David"/>
          <w:color w:val="000000"/>
          <w:sz w:val="22"/>
          <w:szCs w:val="22"/>
          <w:rtl/>
        </w:rPr>
      </w:pPr>
      <w:r w:rsidRPr="007F2413">
        <w:rPr>
          <w:rFonts w:ascii="David" w:hAnsi="David"/>
          <w:color w:val="000000"/>
          <w:sz w:val="22"/>
          <w:szCs w:val="22"/>
          <w:rtl/>
        </w:rPr>
        <w:t>אפרת פינק 54678313-/</w:t>
      </w:r>
    </w:p>
    <w:p w14:paraId="11720D9C" w14:textId="77777777" w:rsidR="005E017E" w:rsidRPr="005E017E" w:rsidRDefault="007F2413" w:rsidP="007F2413">
      <w:pPr>
        <w:rPr>
          <w:rFonts w:hint="cs"/>
          <w:color w:val="0000FF"/>
          <w:u w:val="single"/>
        </w:rPr>
      </w:pPr>
      <w:r w:rsidRPr="007F2413">
        <w:rPr>
          <w:color w:val="000000"/>
          <w:u w:val="single"/>
          <w:rtl/>
        </w:rPr>
        <w:t>נוסח מסמך זה כפוף לשינויי ניסוח ועריכה</w:t>
      </w:r>
      <w:r w:rsidR="005227DF">
        <w:rPr>
          <w:rFonts w:hint="cs"/>
          <w:color w:val="0000FF"/>
          <w:u w:val="single"/>
          <w:rtl/>
        </w:rPr>
        <w:t xml:space="preserve"> </w:t>
      </w:r>
    </w:p>
    <w:sectPr w:rsidR="005E017E" w:rsidRPr="005E017E" w:rsidSect="007F2413">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28439" w14:textId="77777777" w:rsidR="0090248C" w:rsidRDefault="0090248C" w:rsidP="00B419A8">
      <w:r>
        <w:separator/>
      </w:r>
    </w:p>
  </w:endnote>
  <w:endnote w:type="continuationSeparator" w:id="0">
    <w:p w14:paraId="218AEDF9" w14:textId="77777777" w:rsidR="0090248C" w:rsidRDefault="0090248C" w:rsidP="00B4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55582" w14:textId="77777777" w:rsidR="007F2413" w:rsidRDefault="007F2413" w:rsidP="007F24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0E0D4D" w14:textId="77777777" w:rsidR="00E92038" w:rsidRPr="007F2413" w:rsidRDefault="007F2413" w:rsidP="007F2413">
    <w:pPr>
      <w:pStyle w:val="a5"/>
      <w:pBdr>
        <w:top w:val="single" w:sz="4" w:space="1" w:color="auto"/>
        <w:between w:val="single" w:sz="4" w:space="0" w:color="auto"/>
      </w:pBdr>
      <w:spacing w:after="60"/>
      <w:jc w:val="center"/>
      <w:rPr>
        <w:rFonts w:ascii="FrankRuehl" w:hAnsi="FrankRuehl" w:cs="FrankRuehl"/>
        <w:color w:val="000000"/>
      </w:rPr>
    </w:pPr>
    <w:r w:rsidRPr="007F241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588DA" w14:textId="77777777" w:rsidR="007F2413" w:rsidRDefault="007F2413" w:rsidP="007F241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1507">
      <w:rPr>
        <w:rFonts w:ascii="FrankRuehl" w:hAnsi="FrankRuehl" w:cs="FrankRuehl"/>
        <w:noProof/>
        <w:rtl/>
      </w:rPr>
      <w:t>1</w:t>
    </w:r>
    <w:r>
      <w:rPr>
        <w:rFonts w:ascii="FrankRuehl" w:hAnsi="FrankRuehl" w:cs="FrankRuehl"/>
        <w:rtl/>
      </w:rPr>
      <w:fldChar w:fldCharType="end"/>
    </w:r>
  </w:p>
  <w:p w14:paraId="618FE35E" w14:textId="77777777" w:rsidR="00E92038" w:rsidRPr="007F2413" w:rsidRDefault="007F2413" w:rsidP="007F2413">
    <w:pPr>
      <w:pStyle w:val="a5"/>
      <w:pBdr>
        <w:top w:val="single" w:sz="4" w:space="1" w:color="auto"/>
        <w:between w:val="single" w:sz="4" w:space="0" w:color="auto"/>
      </w:pBdr>
      <w:spacing w:after="60"/>
      <w:jc w:val="center"/>
      <w:rPr>
        <w:rFonts w:ascii="FrankRuehl" w:hAnsi="FrankRuehl" w:cs="FrankRuehl"/>
        <w:color w:val="000000"/>
      </w:rPr>
    </w:pPr>
    <w:r w:rsidRPr="007F2413">
      <w:rPr>
        <w:rFonts w:ascii="FrankRuehl" w:hAnsi="FrankRuehl" w:cs="FrankRuehl"/>
        <w:color w:val="000000"/>
      </w:rPr>
      <w:pict w14:anchorId="50227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86D79" w14:textId="77777777" w:rsidR="0090248C" w:rsidRDefault="0090248C" w:rsidP="00B419A8">
      <w:r>
        <w:separator/>
      </w:r>
    </w:p>
  </w:footnote>
  <w:footnote w:type="continuationSeparator" w:id="0">
    <w:p w14:paraId="30DD44F0" w14:textId="77777777" w:rsidR="0090248C" w:rsidRDefault="0090248C" w:rsidP="00B4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07789" w14:textId="77777777" w:rsidR="005E017E" w:rsidRPr="007F2413" w:rsidRDefault="007F2413" w:rsidP="007F24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33697-12-18</w:t>
    </w:r>
    <w:r>
      <w:rPr>
        <w:rFonts w:ascii="David" w:hAnsi="David"/>
        <w:color w:val="000000"/>
        <w:sz w:val="22"/>
        <w:szCs w:val="22"/>
        <w:rtl/>
      </w:rPr>
      <w:tab/>
      <w:t xml:space="preserve"> מדינת ישראל נ' יצחק וקנין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EAA72" w14:textId="77777777" w:rsidR="005E017E" w:rsidRPr="007F2413" w:rsidRDefault="007F2413" w:rsidP="007F241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33697-12-18</w:t>
    </w:r>
    <w:r>
      <w:rPr>
        <w:rFonts w:ascii="David" w:hAnsi="David"/>
        <w:color w:val="000000"/>
        <w:sz w:val="22"/>
        <w:szCs w:val="22"/>
        <w:rtl/>
      </w:rPr>
      <w:tab/>
      <w:t xml:space="preserve"> מדינת ישראל נ' יצחק וקנין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64AB3"/>
    <w:multiLevelType w:val="hybridMultilevel"/>
    <w:tmpl w:val="1054BAF4"/>
    <w:lvl w:ilvl="0" w:tplc="E2CEB2FC">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9886308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5460279">
    <w:abstractNumId w:val="0"/>
  </w:num>
  <w:num w:numId="3" w16cid:durableId="400249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16B3"/>
    <w:rsid w:val="000D6025"/>
    <w:rsid w:val="001215DA"/>
    <w:rsid w:val="003457F3"/>
    <w:rsid w:val="003A33AF"/>
    <w:rsid w:val="005227DF"/>
    <w:rsid w:val="00545B8B"/>
    <w:rsid w:val="005E017E"/>
    <w:rsid w:val="007C1507"/>
    <w:rsid w:val="007F2413"/>
    <w:rsid w:val="008616B3"/>
    <w:rsid w:val="0090248C"/>
    <w:rsid w:val="00A01113"/>
    <w:rsid w:val="00B419A8"/>
    <w:rsid w:val="00C34329"/>
    <w:rsid w:val="00D83F9C"/>
    <w:rsid w:val="00E92038"/>
    <w:rsid w:val="00EA3A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34B68"/>
  <w15:chartTrackingRefBased/>
  <w15:docId w15:val="{2F955B01-F6A4-4A04-B650-80B275E7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616B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616B3"/>
    <w:pPr>
      <w:tabs>
        <w:tab w:val="center" w:pos="4153"/>
        <w:tab w:val="right" w:pos="8306"/>
      </w:tabs>
    </w:pPr>
  </w:style>
  <w:style w:type="character" w:customStyle="1" w:styleId="a4">
    <w:name w:val="כותרת עליונה תו"/>
    <w:link w:val="a3"/>
    <w:rsid w:val="008616B3"/>
    <w:rPr>
      <w:rFonts w:ascii="Times New Roman" w:eastAsia="Times New Roman" w:hAnsi="Times New Roman" w:cs="David"/>
      <w:sz w:val="24"/>
      <w:szCs w:val="24"/>
    </w:rPr>
  </w:style>
  <w:style w:type="paragraph" w:styleId="a5">
    <w:name w:val="footer"/>
    <w:basedOn w:val="a"/>
    <w:link w:val="a6"/>
    <w:rsid w:val="008616B3"/>
    <w:pPr>
      <w:tabs>
        <w:tab w:val="center" w:pos="4153"/>
        <w:tab w:val="right" w:pos="8306"/>
      </w:tabs>
    </w:pPr>
  </w:style>
  <w:style w:type="character" w:customStyle="1" w:styleId="a6">
    <w:name w:val="כותרת תחתונה תו"/>
    <w:link w:val="a5"/>
    <w:rsid w:val="008616B3"/>
    <w:rPr>
      <w:rFonts w:ascii="Times New Roman" w:eastAsia="Times New Roman" w:hAnsi="Times New Roman" w:cs="David"/>
      <w:sz w:val="24"/>
      <w:szCs w:val="24"/>
    </w:rPr>
  </w:style>
  <w:style w:type="table" w:styleId="a7">
    <w:name w:val="Table Grid"/>
    <w:basedOn w:val="a1"/>
    <w:rsid w:val="008616B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616B3"/>
  </w:style>
  <w:style w:type="character" w:customStyle="1" w:styleId="a9">
    <w:name w:val="פיסקת רשימה תו"/>
    <w:link w:val="aa"/>
    <w:locked/>
    <w:rsid w:val="008616B3"/>
  </w:style>
  <w:style w:type="paragraph" w:styleId="aa">
    <w:name w:val="List Paragraph"/>
    <w:basedOn w:val="a"/>
    <w:link w:val="a9"/>
    <w:qFormat/>
    <w:rsid w:val="008616B3"/>
    <w:pPr>
      <w:spacing w:after="160" w:line="256" w:lineRule="auto"/>
      <w:ind w:left="720"/>
      <w:contextualSpacing/>
    </w:pPr>
    <w:rPr>
      <w:rFonts w:ascii="Calibri" w:eastAsia="Calibri" w:hAnsi="Calibri" w:cs="Arial"/>
      <w:sz w:val="22"/>
      <w:szCs w:val="22"/>
    </w:rPr>
  </w:style>
  <w:style w:type="character" w:styleId="Hyperlink">
    <w:name w:val="Hyperlink"/>
    <w:rsid w:val="005E0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147223" TargetMode="External"/><Relationship Id="rId39" Type="http://schemas.openxmlformats.org/officeDocument/2006/relationships/footer" Target="footer2.xml"/><Relationship Id="rId21" Type="http://schemas.openxmlformats.org/officeDocument/2006/relationships/hyperlink" Target="http://www.nevo.co.il/case/6045416" TargetMode="External"/><Relationship Id="rId34" Type="http://schemas.openxmlformats.org/officeDocument/2006/relationships/hyperlink" Target="http://www.nevo.co.il/case/24951168"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5786821" TargetMode="External"/><Relationship Id="rId29" Type="http://schemas.openxmlformats.org/officeDocument/2006/relationships/hyperlink" Target="http://www.nevo.co.il/case/1687783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11206073" TargetMode="External"/><Relationship Id="rId32" Type="http://schemas.openxmlformats.org/officeDocument/2006/relationships/hyperlink" Target="http://www.nevo.co.il/case/23529655"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18657082" TargetMode="External"/><Relationship Id="rId36"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20750425" TargetMode="External"/><Relationship Id="rId4" Type="http://schemas.openxmlformats.org/officeDocument/2006/relationships/webSettings" Target="webSettings.xml"/><Relationship Id="rId9" Type="http://schemas.openxmlformats.org/officeDocument/2006/relationships/hyperlink" Target="http://www.nevo.co.il/law/70301/406.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5988308" TargetMode="External"/><Relationship Id="rId27" Type="http://schemas.openxmlformats.org/officeDocument/2006/relationships/hyperlink" Target="http://www.nevo.co.il/case/6017061" TargetMode="External"/><Relationship Id="rId30" Type="http://schemas.openxmlformats.org/officeDocument/2006/relationships/hyperlink" Target="http://www.nevo.co.il/case/2104241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3579006" TargetMode="External"/><Relationship Id="rId33" Type="http://schemas.openxmlformats.org/officeDocument/2006/relationships/hyperlink" Target="http://www.nevo.co.il/case/2558599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2516</Words>
  <Characters>12584</Characters>
  <Application>Microsoft Office Word</Application>
  <DocSecurity>0</DocSecurity>
  <Lines>104</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15070</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3932276</vt:i4>
      </vt:variant>
      <vt:variant>
        <vt:i4>81</vt:i4>
      </vt:variant>
      <vt:variant>
        <vt:i4>0</vt:i4>
      </vt:variant>
      <vt:variant>
        <vt:i4>5</vt:i4>
      </vt:variant>
      <vt:variant>
        <vt:lpwstr>http://www.nevo.co.il/case/24951168</vt:lpwstr>
      </vt:variant>
      <vt:variant>
        <vt:lpwstr/>
      </vt:variant>
      <vt:variant>
        <vt:i4>3866736</vt:i4>
      </vt:variant>
      <vt:variant>
        <vt:i4>78</vt:i4>
      </vt:variant>
      <vt:variant>
        <vt:i4>0</vt:i4>
      </vt:variant>
      <vt:variant>
        <vt:i4>5</vt:i4>
      </vt:variant>
      <vt:variant>
        <vt:lpwstr>http://www.nevo.co.il/case/25585995</vt:lpwstr>
      </vt:variant>
      <vt:variant>
        <vt:lpwstr/>
      </vt:variant>
      <vt:variant>
        <vt:i4>3866739</vt:i4>
      </vt:variant>
      <vt:variant>
        <vt:i4>75</vt:i4>
      </vt:variant>
      <vt:variant>
        <vt:i4>0</vt:i4>
      </vt:variant>
      <vt:variant>
        <vt:i4>5</vt:i4>
      </vt:variant>
      <vt:variant>
        <vt:lpwstr>http://www.nevo.co.il/case/23529655</vt:lpwstr>
      </vt:variant>
      <vt:variant>
        <vt:lpwstr/>
      </vt:variant>
      <vt:variant>
        <vt:i4>3604597</vt:i4>
      </vt:variant>
      <vt:variant>
        <vt:i4>72</vt:i4>
      </vt:variant>
      <vt:variant>
        <vt:i4>0</vt:i4>
      </vt:variant>
      <vt:variant>
        <vt:i4>5</vt:i4>
      </vt:variant>
      <vt:variant>
        <vt:lpwstr>http://www.nevo.co.il/case/20750425</vt:lpwstr>
      </vt:variant>
      <vt:variant>
        <vt:lpwstr/>
      </vt:variant>
      <vt:variant>
        <vt:i4>3211381</vt:i4>
      </vt:variant>
      <vt:variant>
        <vt:i4>69</vt:i4>
      </vt:variant>
      <vt:variant>
        <vt:i4>0</vt:i4>
      </vt:variant>
      <vt:variant>
        <vt:i4>5</vt:i4>
      </vt:variant>
      <vt:variant>
        <vt:lpwstr>http://www.nevo.co.il/case/21042415</vt:lpwstr>
      </vt:variant>
      <vt:variant>
        <vt:lpwstr/>
      </vt:variant>
      <vt:variant>
        <vt:i4>3997821</vt:i4>
      </vt:variant>
      <vt:variant>
        <vt:i4>66</vt:i4>
      </vt:variant>
      <vt:variant>
        <vt:i4>0</vt:i4>
      </vt:variant>
      <vt:variant>
        <vt:i4>5</vt:i4>
      </vt:variant>
      <vt:variant>
        <vt:lpwstr>http://www.nevo.co.il/case/16877838</vt:lpwstr>
      </vt:variant>
      <vt:variant>
        <vt:lpwstr/>
      </vt:variant>
      <vt:variant>
        <vt:i4>3670137</vt:i4>
      </vt:variant>
      <vt:variant>
        <vt:i4>63</vt:i4>
      </vt:variant>
      <vt:variant>
        <vt:i4>0</vt:i4>
      </vt:variant>
      <vt:variant>
        <vt:i4>5</vt:i4>
      </vt:variant>
      <vt:variant>
        <vt:lpwstr>http://www.nevo.co.il/case/18657082</vt:lpwstr>
      </vt:variant>
      <vt:variant>
        <vt:lpwstr/>
      </vt:variant>
      <vt:variant>
        <vt:i4>3539061</vt:i4>
      </vt:variant>
      <vt:variant>
        <vt:i4>60</vt:i4>
      </vt:variant>
      <vt:variant>
        <vt:i4>0</vt:i4>
      </vt:variant>
      <vt:variant>
        <vt:i4>5</vt:i4>
      </vt:variant>
      <vt:variant>
        <vt:lpwstr>http://www.nevo.co.il/case/6017061</vt:lpwstr>
      </vt:variant>
      <vt:variant>
        <vt:lpwstr/>
      </vt:variant>
      <vt:variant>
        <vt:i4>3145840</vt:i4>
      </vt:variant>
      <vt:variant>
        <vt:i4>57</vt:i4>
      </vt:variant>
      <vt:variant>
        <vt:i4>0</vt:i4>
      </vt:variant>
      <vt:variant>
        <vt:i4>5</vt:i4>
      </vt:variant>
      <vt:variant>
        <vt:lpwstr>http://www.nevo.co.il/case/5147223</vt:lpwstr>
      </vt:variant>
      <vt:variant>
        <vt:lpwstr/>
      </vt:variant>
      <vt:variant>
        <vt:i4>4063344</vt:i4>
      </vt:variant>
      <vt:variant>
        <vt:i4>54</vt:i4>
      </vt:variant>
      <vt:variant>
        <vt:i4>0</vt:i4>
      </vt:variant>
      <vt:variant>
        <vt:i4>5</vt:i4>
      </vt:variant>
      <vt:variant>
        <vt:lpwstr>http://www.nevo.co.il/case/23579006</vt:lpwstr>
      </vt:variant>
      <vt:variant>
        <vt:lpwstr/>
      </vt:variant>
      <vt:variant>
        <vt:i4>3276917</vt:i4>
      </vt:variant>
      <vt:variant>
        <vt:i4>51</vt:i4>
      </vt:variant>
      <vt:variant>
        <vt:i4>0</vt:i4>
      </vt:variant>
      <vt:variant>
        <vt:i4>5</vt:i4>
      </vt:variant>
      <vt:variant>
        <vt:lpwstr>http://www.nevo.co.il/case/11206073</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3539061</vt:i4>
      </vt:variant>
      <vt:variant>
        <vt:i4>45</vt:i4>
      </vt:variant>
      <vt:variant>
        <vt:i4>0</vt:i4>
      </vt:variant>
      <vt:variant>
        <vt:i4>5</vt:i4>
      </vt:variant>
      <vt:variant>
        <vt:lpwstr>http://www.nevo.co.il/case/5988308</vt:lpwstr>
      </vt:variant>
      <vt:variant>
        <vt:lpwstr/>
      </vt:variant>
      <vt:variant>
        <vt:i4>3145840</vt:i4>
      </vt:variant>
      <vt:variant>
        <vt:i4>42</vt:i4>
      </vt:variant>
      <vt:variant>
        <vt:i4>0</vt:i4>
      </vt:variant>
      <vt:variant>
        <vt:i4>5</vt:i4>
      </vt:variant>
      <vt:variant>
        <vt:lpwstr>http://www.nevo.co.il/case/6045416</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4915287</vt:i4>
      </vt:variant>
      <vt:variant>
        <vt:i4>18</vt:i4>
      </vt:variant>
      <vt:variant>
        <vt:i4>0</vt:i4>
      </vt:variant>
      <vt:variant>
        <vt:i4>5</vt:i4>
      </vt:variant>
      <vt:variant>
        <vt:lpwstr>http://www.nevo.co.il/law/70301/406.b</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4915287</vt:i4>
      </vt:variant>
      <vt:variant>
        <vt:i4>6</vt:i4>
      </vt:variant>
      <vt:variant>
        <vt:i4>0</vt:i4>
      </vt:variant>
      <vt:variant>
        <vt:i4>5</vt:i4>
      </vt:variant>
      <vt:variant>
        <vt:lpwstr>http://www.nevo.co.il/law/70301/406.b</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33697</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יצחק וקנין</vt:lpwstr>
  </property>
  <property fmtid="{D5CDD505-2E9C-101B-9397-08002B2CF9AE}" pid="10" name="LAWYER">
    <vt:lpwstr>יעל גבעוני;איתי בן נון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20201026</vt:lpwstr>
  </property>
  <property fmtid="{D5CDD505-2E9C-101B-9397-08002B2CF9AE}" pid="14" name="TYPE_N_DATE">
    <vt:lpwstr>38020201026</vt:lpwstr>
  </property>
  <property fmtid="{D5CDD505-2E9C-101B-9397-08002B2CF9AE}" pid="15" name="WORDNUMPAGES">
    <vt:lpwstr>7</vt:lpwstr>
  </property>
  <property fmtid="{D5CDD505-2E9C-101B-9397-08002B2CF9AE}" pid="16" name="TYPE_ABS_DATE">
    <vt:lpwstr>380020201026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5738608;5786821;6045416;5988308;17939812;11206073;23579006;5147223;6017061;18657082;16877838;21042415;20750425;23529655;25585995;24951168</vt:lpwstr>
  </property>
  <property fmtid="{D5CDD505-2E9C-101B-9397-08002B2CF9AE}" pid="36" name="LAWLISTTMP1">
    <vt:lpwstr>70301/406.b;025</vt:lpwstr>
  </property>
  <property fmtid="{D5CDD505-2E9C-101B-9397-08002B2CF9AE}" pid="37" name="LAWLISTTMP2">
    <vt:lpwstr>4216/007.a;007.c</vt:lpwstr>
  </property>
</Properties>
</file>