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9A5161" w:rsidRPr="00B46CB9" w14:paraId="671DF251" w14:textId="77777777" w:rsidTr="00F71B70">
        <w:trPr>
          <w:trHeight w:hRule="exact" w:val="418"/>
          <w:jc w:val="center"/>
        </w:trPr>
        <w:tc>
          <w:tcPr>
            <w:tcW w:w="8523" w:type="dxa"/>
            <w:gridSpan w:val="2"/>
          </w:tcPr>
          <w:p w14:paraId="04AFCB7B" w14:textId="77777777" w:rsidR="009A5161" w:rsidRPr="00186C47" w:rsidRDefault="009A5161" w:rsidP="00796528">
            <w:pPr>
              <w:pStyle w:val="a3"/>
              <w:jc w:val="center"/>
              <w:rPr>
                <w:rFonts w:ascii="Tahoma" w:hAnsi="Tahoma" w:cs="David"/>
                <w:color w:val="000080"/>
                <w:sz w:val="32"/>
                <w:szCs w:val="32"/>
                <w:rtl/>
                <w:lang w:val="en-US" w:eastAsia="en-US"/>
              </w:rPr>
            </w:pPr>
            <w:bookmarkStart w:id="0" w:name="LastJudge"/>
            <w:r w:rsidRPr="00186C47">
              <w:rPr>
                <w:rFonts w:ascii="Tahoma" w:hAnsi="Tahoma" w:cs="David"/>
                <w:b/>
                <w:bCs/>
                <w:color w:val="000080"/>
                <w:sz w:val="32"/>
                <w:szCs w:val="32"/>
                <w:rtl/>
                <w:lang w:val="en-US" w:eastAsia="en-US"/>
              </w:rPr>
              <w:t>בית משפט השלום בתל אביב - יפו</w:t>
            </w:r>
          </w:p>
        </w:tc>
      </w:tr>
      <w:tr w:rsidR="009A5161" w:rsidRPr="00B46CB9" w14:paraId="25B967D7" w14:textId="77777777" w:rsidTr="00F71B70">
        <w:trPr>
          <w:trHeight w:val="337"/>
          <w:jc w:val="center"/>
        </w:trPr>
        <w:tc>
          <w:tcPr>
            <w:tcW w:w="4945" w:type="dxa"/>
          </w:tcPr>
          <w:p w14:paraId="02E5F5F4" w14:textId="77777777" w:rsidR="009A5161" w:rsidRPr="00B46CB9" w:rsidRDefault="009A5161" w:rsidP="00796528">
            <w:pPr>
              <w:rPr>
                <w:sz w:val="26"/>
                <w:szCs w:val="26"/>
                <w:rtl/>
              </w:rPr>
            </w:pPr>
            <w:r w:rsidRPr="00B46CB9">
              <w:rPr>
                <w:sz w:val="26"/>
                <w:szCs w:val="26"/>
                <w:rtl/>
              </w:rPr>
              <w:t>ת"פ</w:t>
            </w:r>
            <w:r w:rsidRPr="00B46CB9">
              <w:rPr>
                <w:rFonts w:hint="cs"/>
                <w:sz w:val="26"/>
                <w:szCs w:val="26"/>
                <w:rtl/>
              </w:rPr>
              <w:t xml:space="preserve"> </w:t>
            </w:r>
            <w:r w:rsidRPr="00B46CB9">
              <w:rPr>
                <w:sz w:val="26"/>
                <w:szCs w:val="26"/>
                <w:rtl/>
              </w:rPr>
              <w:t>37780-12-18</w:t>
            </w:r>
            <w:r w:rsidRPr="00B46CB9">
              <w:rPr>
                <w:rFonts w:hint="cs"/>
                <w:sz w:val="26"/>
                <w:szCs w:val="26"/>
                <w:rtl/>
              </w:rPr>
              <w:t xml:space="preserve"> </w:t>
            </w:r>
            <w:r w:rsidRPr="00B46CB9">
              <w:rPr>
                <w:sz w:val="26"/>
                <w:szCs w:val="26"/>
                <w:rtl/>
              </w:rPr>
              <w:t>מדינת ישראל נ' משאיך</w:t>
            </w:r>
          </w:p>
        </w:tc>
        <w:tc>
          <w:tcPr>
            <w:tcW w:w="3578" w:type="dxa"/>
          </w:tcPr>
          <w:p w14:paraId="4B195407" w14:textId="77777777" w:rsidR="009A5161" w:rsidRPr="00186C47" w:rsidRDefault="009A5161" w:rsidP="00796528">
            <w:pPr>
              <w:pStyle w:val="a3"/>
              <w:jc w:val="right"/>
              <w:rPr>
                <w:rFonts w:cs="FrankRuehl"/>
                <w:sz w:val="28"/>
                <w:szCs w:val="28"/>
                <w:rtl/>
                <w:lang w:val="en-US" w:eastAsia="en-US"/>
              </w:rPr>
            </w:pPr>
          </w:p>
        </w:tc>
      </w:tr>
    </w:tbl>
    <w:p w14:paraId="54D15EAC" w14:textId="77777777" w:rsidR="009A5161" w:rsidRPr="00B46CB9" w:rsidRDefault="009A5161" w:rsidP="009A5161">
      <w:pPr>
        <w:pStyle w:val="a3"/>
        <w:rPr>
          <w:rtl/>
        </w:rPr>
      </w:pPr>
      <w:r w:rsidRPr="00B46CB9">
        <w:rPr>
          <w:rFonts w:hint="cs"/>
          <w:rtl/>
        </w:rPr>
        <w:t xml:space="preserve"> </w:t>
      </w:r>
    </w:p>
    <w:p w14:paraId="7F29D5D4" w14:textId="77777777" w:rsidR="009A5161" w:rsidRPr="00B46CB9" w:rsidRDefault="009A5161" w:rsidP="009A5161">
      <w:pPr>
        <w:rPr>
          <w:rtl/>
        </w:rPr>
      </w:pPr>
    </w:p>
    <w:p w14:paraId="02FD350F" w14:textId="77777777" w:rsidR="009A5161" w:rsidRPr="00B46CB9" w:rsidRDefault="009A5161" w:rsidP="009A516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7"/>
        <w:gridCol w:w="3382"/>
      </w:tblGrid>
      <w:tr w:rsidR="009A5161" w:rsidRPr="00B46CB9" w14:paraId="7A0FAD10" w14:textId="77777777" w:rsidTr="009A5161">
        <w:trPr>
          <w:trHeight w:val="295"/>
          <w:jc w:val="center"/>
        </w:trPr>
        <w:tc>
          <w:tcPr>
            <w:tcW w:w="8820" w:type="dxa"/>
            <w:gridSpan w:val="3"/>
            <w:tcBorders>
              <w:top w:val="nil"/>
              <w:left w:val="nil"/>
              <w:bottom w:val="nil"/>
              <w:right w:val="nil"/>
            </w:tcBorders>
            <w:shd w:val="clear" w:color="auto" w:fill="auto"/>
          </w:tcPr>
          <w:p w14:paraId="46E92A7C" w14:textId="77777777" w:rsidR="009A5161" w:rsidRPr="00B46CB9" w:rsidRDefault="009A5161" w:rsidP="009A5161">
            <w:pPr>
              <w:jc w:val="both"/>
              <w:rPr>
                <w:rFonts w:ascii="Arial" w:hAnsi="Arial"/>
                <w:b/>
                <w:bCs/>
                <w:sz w:val="26"/>
                <w:szCs w:val="26"/>
              </w:rPr>
            </w:pPr>
            <w:r w:rsidRPr="00B46CB9">
              <w:rPr>
                <w:rFonts w:ascii="Arial" w:hAnsi="Arial" w:hint="cs"/>
                <w:b/>
                <w:bCs/>
                <w:sz w:val="26"/>
                <w:szCs w:val="26"/>
                <w:rtl/>
              </w:rPr>
              <w:t>ל</w:t>
            </w:r>
            <w:r w:rsidRPr="00B46CB9">
              <w:rPr>
                <w:rFonts w:ascii="Arial" w:hAnsi="Arial"/>
                <w:b/>
                <w:bCs/>
                <w:sz w:val="26"/>
                <w:szCs w:val="26"/>
                <w:rtl/>
              </w:rPr>
              <w:t xml:space="preserve">פני </w:t>
            </w:r>
            <w:r w:rsidRPr="00B46CB9">
              <w:rPr>
                <w:rFonts w:ascii="Arial" w:hAnsi="Arial" w:hint="cs"/>
                <w:b/>
                <w:bCs/>
                <w:sz w:val="26"/>
                <w:szCs w:val="26"/>
                <w:rtl/>
              </w:rPr>
              <w:t>כבוד ה</w:t>
            </w:r>
            <w:r w:rsidRPr="00B46CB9">
              <w:rPr>
                <w:rFonts w:ascii="Arial" w:hAnsi="Arial"/>
                <w:b/>
                <w:bCs/>
                <w:sz w:val="26"/>
                <w:szCs w:val="26"/>
                <w:rtl/>
              </w:rPr>
              <w:t>שופט</w:t>
            </w:r>
            <w:r w:rsidRPr="00B46CB9">
              <w:rPr>
                <w:rFonts w:ascii="Arial" w:hAnsi="Arial" w:hint="cs"/>
                <w:b/>
                <w:bCs/>
                <w:sz w:val="26"/>
                <w:szCs w:val="26"/>
                <w:rtl/>
              </w:rPr>
              <w:t xml:space="preserve">  </w:t>
            </w:r>
            <w:r w:rsidRPr="00B46CB9">
              <w:rPr>
                <w:rFonts w:ascii="Arial" w:hAnsi="Arial"/>
                <w:b/>
                <w:bCs/>
                <w:sz w:val="26"/>
                <w:szCs w:val="26"/>
                <w:rtl/>
              </w:rPr>
              <w:t>איתי הרמלין</w:t>
            </w:r>
          </w:p>
        </w:tc>
      </w:tr>
      <w:tr w:rsidR="009A5161" w:rsidRPr="00B46CB9" w14:paraId="7BC46F56" w14:textId="77777777" w:rsidTr="009A5161">
        <w:trPr>
          <w:trHeight w:val="355"/>
          <w:jc w:val="center"/>
        </w:trPr>
        <w:tc>
          <w:tcPr>
            <w:tcW w:w="885" w:type="dxa"/>
            <w:tcBorders>
              <w:top w:val="nil"/>
              <w:left w:val="nil"/>
              <w:bottom w:val="nil"/>
              <w:right w:val="nil"/>
            </w:tcBorders>
            <w:shd w:val="clear" w:color="auto" w:fill="auto"/>
          </w:tcPr>
          <w:p w14:paraId="466F43BC" w14:textId="77777777" w:rsidR="009A5161" w:rsidRPr="00B46CB9" w:rsidRDefault="009A5161" w:rsidP="009A5161">
            <w:pPr>
              <w:jc w:val="both"/>
              <w:rPr>
                <w:rFonts w:ascii="Arial" w:hAnsi="Arial"/>
                <w:b/>
                <w:bCs/>
                <w:sz w:val="26"/>
                <w:szCs w:val="26"/>
                <w:rtl/>
              </w:rPr>
            </w:pPr>
            <w:bookmarkStart w:id="1" w:name="FirstAppellant"/>
            <w:bookmarkStart w:id="2" w:name="FirstLawyer"/>
          </w:p>
          <w:p w14:paraId="35866621" w14:textId="77777777" w:rsidR="009A5161" w:rsidRPr="00B46CB9" w:rsidRDefault="009A5161" w:rsidP="009A5161">
            <w:pPr>
              <w:jc w:val="both"/>
              <w:rPr>
                <w:rFonts w:ascii="Arial" w:hAnsi="Arial"/>
                <w:b/>
                <w:bCs/>
                <w:sz w:val="26"/>
                <w:szCs w:val="26"/>
              </w:rPr>
            </w:pPr>
            <w:r w:rsidRPr="00B46CB9">
              <w:rPr>
                <w:rFonts w:ascii="Arial" w:hAnsi="Arial" w:hint="cs"/>
                <w:b/>
                <w:bCs/>
                <w:sz w:val="26"/>
                <w:szCs w:val="26"/>
                <w:rtl/>
              </w:rPr>
              <w:t>ה</w:t>
            </w:r>
            <w:r w:rsidRPr="00B46CB9">
              <w:rPr>
                <w:rFonts w:ascii="Arial" w:hAnsi="Arial"/>
                <w:b/>
                <w:bCs/>
                <w:sz w:val="26"/>
                <w:szCs w:val="26"/>
                <w:rtl/>
              </w:rPr>
              <w:t>מאשימה</w:t>
            </w:r>
          </w:p>
        </w:tc>
        <w:tc>
          <w:tcPr>
            <w:tcW w:w="4384" w:type="dxa"/>
            <w:tcBorders>
              <w:top w:val="nil"/>
              <w:left w:val="nil"/>
              <w:bottom w:val="nil"/>
              <w:right w:val="nil"/>
            </w:tcBorders>
            <w:shd w:val="clear" w:color="auto" w:fill="auto"/>
          </w:tcPr>
          <w:p w14:paraId="0008C9DF" w14:textId="77777777" w:rsidR="009A5161" w:rsidRPr="00B46CB9" w:rsidRDefault="009A5161" w:rsidP="00796528">
            <w:pPr>
              <w:rPr>
                <w:b/>
                <w:bCs/>
                <w:sz w:val="26"/>
                <w:szCs w:val="26"/>
                <w:rtl/>
              </w:rPr>
            </w:pPr>
            <w:r w:rsidRPr="00B46CB9">
              <w:rPr>
                <w:rFonts w:ascii="Arial" w:hAnsi="Arial"/>
                <w:b/>
                <w:bCs/>
                <w:sz w:val="26"/>
                <w:szCs w:val="26"/>
                <w:rtl/>
              </w:rPr>
              <w:br/>
              <w:t>מדינת ישראל</w:t>
            </w:r>
          </w:p>
          <w:p w14:paraId="6C35273B" w14:textId="77777777" w:rsidR="009A5161" w:rsidRPr="00B46CB9" w:rsidRDefault="009A5161" w:rsidP="00796528">
            <w:r w:rsidRPr="00B46CB9">
              <w:rPr>
                <w:rFonts w:hint="cs"/>
                <w:rtl/>
              </w:rPr>
              <w:t>ע"י עו"ד אברהם ישי</w:t>
            </w:r>
          </w:p>
        </w:tc>
        <w:tc>
          <w:tcPr>
            <w:tcW w:w="3551" w:type="dxa"/>
            <w:tcBorders>
              <w:top w:val="nil"/>
              <w:left w:val="nil"/>
              <w:bottom w:val="nil"/>
              <w:right w:val="nil"/>
            </w:tcBorders>
            <w:shd w:val="clear" w:color="auto" w:fill="auto"/>
          </w:tcPr>
          <w:p w14:paraId="4E2EFD9E" w14:textId="77777777" w:rsidR="009A5161" w:rsidRPr="00B46CB9" w:rsidRDefault="009A5161" w:rsidP="009A5161">
            <w:pPr>
              <w:jc w:val="both"/>
              <w:rPr>
                <w:rFonts w:ascii="Arial" w:hAnsi="Arial"/>
                <w:sz w:val="26"/>
                <w:szCs w:val="26"/>
              </w:rPr>
            </w:pPr>
          </w:p>
        </w:tc>
      </w:tr>
      <w:bookmarkEnd w:id="1"/>
      <w:bookmarkEnd w:id="2"/>
      <w:tr w:rsidR="009A5161" w:rsidRPr="00B46CB9" w14:paraId="1CE82715" w14:textId="77777777" w:rsidTr="009A5161">
        <w:trPr>
          <w:trHeight w:val="373"/>
          <w:jc w:val="center"/>
        </w:trPr>
        <w:tc>
          <w:tcPr>
            <w:tcW w:w="885" w:type="dxa"/>
            <w:tcBorders>
              <w:top w:val="nil"/>
              <w:left w:val="nil"/>
              <w:bottom w:val="nil"/>
              <w:right w:val="nil"/>
            </w:tcBorders>
            <w:shd w:val="clear" w:color="auto" w:fill="auto"/>
          </w:tcPr>
          <w:p w14:paraId="39F02762" w14:textId="77777777" w:rsidR="009A5161" w:rsidRPr="00B46CB9" w:rsidRDefault="009A5161" w:rsidP="009A5161">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4D23BF3B" w14:textId="77777777" w:rsidR="009A5161" w:rsidRPr="00B46CB9" w:rsidRDefault="009A5161" w:rsidP="009A5161">
            <w:pPr>
              <w:jc w:val="center"/>
              <w:rPr>
                <w:rFonts w:ascii="Arial" w:hAnsi="Arial"/>
                <w:b/>
                <w:bCs/>
                <w:sz w:val="26"/>
                <w:szCs w:val="26"/>
                <w:rtl/>
              </w:rPr>
            </w:pPr>
          </w:p>
          <w:p w14:paraId="6F6C1219" w14:textId="77777777" w:rsidR="009A5161" w:rsidRPr="00B46CB9" w:rsidRDefault="009A5161" w:rsidP="009A5161">
            <w:pPr>
              <w:jc w:val="center"/>
              <w:rPr>
                <w:rFonts w:ascii="Arial" w:hAnsi="Arial"/>
                <w:b/>
                <w:bCs/>
                <w:sz w:val="26"/>
                <w:szCs w:val="26"/>
                <w:rtl/>
              </w:rPr>
            </w:pPr>
            <w:r w:rsidRPr="00B46CB9">
              <w:rPr>
                <w:rFonts w:ascii="Arial" w:hAnsi="Arial"/>
                <w:b/>
                <w:bCs/>
                <w:sz w:val="26"/>
                <w:szCs w:val="26"/>
                <w:rtl/>
              </w:rPr>
              <w:t>נגד</w:t>
            </w:r>
          </w:p>
          <w:p w14:paraId="1FFF36DB" w14:textId="77777777" w:rsidR="009A5161" w:rsidRPr="00B46CB9" w:rsidRDefault="009A5161" w:rsidP="009A5161">
            <w:pPr>
              <w:jc w:val="both"/>
              <w:rPr>
                <w:rFonts w:ascii="Arial" w:hAnsi="Arial"/>
                <w:sz w:val="26"/>
                <w:szCs w:val="26"/>
              </w:rPr>
            </w:pPr>
          </w:p>
        </w:tc>
      </w:tr>
      <w:tr w:rsidR="009A5161" w:rsidRPr="00B46CB9" w14:paraId="78B4DD06" w14:textId="77777777" w:rsidTr="009A5161">
        <w:trPr>
          <w:trHeight w:val="355"/>
          <w:jc w:val="center"/>
        </w:trPr>
        <w:tc>
          <w:tcPr>
            <w:tcW w:w="885" w:type="dxa"/>
            <w:tcBorders>
              <w:top w:val="nil"/>
              <w:left w:val="nil"/>
              <w:bottom w:val="nil"/>
              <w:right w:val="nil"/>
            </w:tcBorders>
            <w:shd w:val="clear" w:color="auto" w:fill="auto"/>
          </w:tcPr>
          <w:p w14:paraId="11301AF6" w14:textId="77777777" w:rsidR="009A5161" w:rsidRPr="00B46CB9" w:rsidRDefault="009A5161" w:rsidP="00796528">
            <w:pPr>
              <w:rPr>
                <w:rFonts w:ascii="Arial" w:hAnsi="Arial"/>
                <w:b/>
                <w:bCs/>
                <w:sz w:val="26"/>
                <w:szCs w:val="26"/>
                <w:rtl/>
              </w:rPr>
            </w:pPr>
            <w:r w:rsidRPr="00B46CB9">
              <w:rPr>
                <w:rFonts w:ascii="Arial" w:hAnsi="Arial" w:hint="cs"/>
                <w:b/>
                <w:bCs/>
                <w:sz w:val="26"/>
                <w:szCs w:val="26"/>
                <w:rtl/>
              </w:rPr>
              <w:t>ה</w:t>
            </w:r>
            <w:r w:rsidRPr="00B46CB9">
              <w:rPr>
                <w:rFonts w:ascii="Arial" w:hAnsi="Arial"/>
                <w:b/>
                <w:bCs/>
                <w:sz w:val="26"/>
                <w:szCs w:val="26"/>
                <w:rtl/>
              </w:rPr>
              <w:t>נאשם</w:t>
            </w:r>
          </w:p>
        </w:tc>
        <w:tc>
          <w:tcPr>
            <w:tcW w:w="4384" w:type="dxa"/>
            <w:tcBorders>
              <w:top w:val="nil"/>
              <w:left w:val="nil"/>
              <w:bottom w:val="nil"/>
              <w:right w:val="nil"/>
            </w:tcBorders>
            <w:shd w:val="clear" w:color="auto" w:fill="auto"/>
          </w:tcPr>
          <w:p w14:paraId="7D870A08" w14:textId="77777777" w:rsidR="009A5161" w:rsidRPr="00B46CB9" w:rsidRDefault="009A5161" w:rsidP="00796528">
            <w:pPr>
              <w:rPr>
                <w:b/>
                <w:bCs/>
                <w:sz w:val="26"/>
                <w:szCs w:val="26"/>
                <w:rtl/>
              </w:rPr>
            </w:pPr>
            <w:r w:rsidRPr="00B46CB9">
              <w:rPr>
                <w:rFonts w:ascii="Arial" w:hAnsi="Arial"/>
                <w:b/>
                <w:bCs/>
                <w:sz w:val="26"/>
                <w:szCs w:val="26"/>
                <w:rtl/>
              </w:rPr>
              <w:t>אמיר משאיך</w:t>
            </w:r>
          </w:p>
          <w:p w14:paraId="4098DDBA" w14:textId="77777777" w:rsidR="009A5161" w:rsidRPr="00B46CB9" w:rsidRDefault="009A5161" w:rsidP="00796528">
            <w:pPr>
              <w:rPr>
                <w:rtl/>
              </w:rPr>
            </w:pPr>
            <w:r w:rsidRPr="00B46CB9">
              <w:rPr>
                <w:rFonts w:hint="cs"/>
                <w:rtl/>
              </w:rPr>
              <w:t>ע"י עו"ד אדוה אלאב</w:t>
            </w:r>
          </w:p>
        </w:tc>
        <w:tc>
          <w:tcPr>
            <w:tcW w:w="3551" w:type="dxa"/>
            <w:tcBorders>
              <w:top w:val="nil"/>
              <w:left w:val="nil"/>
              <w:bottom w:val="nil"/>
              <w:right w:val="nil"/>
            </w:tcBorders>
            <w:shd w:val="clear" w:color="auto" w:fill="auto"/>
          </w:tcPr>
          <w:p w14:paraId="437EF61F" w14:textId="77777777" w:rsidR="009A5161" w:rsidRPr="00B46CB9" w:rsidRDefault="009A5161" w:rsidP="009A5161">
            <w:pPr>
              <w:jc w:val="right"/>
              <w:rPr>
                <w:rFonts w:ascii="Arial" w:hAnsi="Arial"/>
                <w:sz w:val="26"/>
                <w:szCs w:val="26"/>
              </w:rPr>
            </w:pPr>
          </w:p>
        </w:tc>
      </w:tr>
    </w:tbl>
    <w:p w14:paraId="4D90203F" w14:textId="77777777" w:rsidR="006D5685" w:rsidRDefault="006D5685" w:rsidP="00B46CB9">
      <w:pPr>
        <w:rPr>
          <w:rtl/>
        </w:rPr>
      </w:pPr>
    </w:p>
    <w:p w14:paraId="2D31EE79" w14:textId="77777777" w:rsidR="006D5685" w:rsidRPr="006D5685" w:rsidRDefault="006D5685" w:rsidP="006D5685">
      <w:pPr>
        <w:spacing w:after="120" w:line="240" w:lineRule="exact"/>
        <w:ind w:left="283" w:hanging="283"/>
        <w:jc w:val="both"/>
        <w:rPr>
          <w:rFonts w:ascii="FrankRuehl" w:hAnsi="FrankRuehl" w:cs="FrankRuehl"/>
          <w:rtl/>
        </w:rPr>
      </w:pPr>
    </w:p>
    <w:p w14:paraId="6F966CC6" w14:textId="77777777" w:rsidR="00BC3FA5" w:rsidRDefault="00BC3FA5" w:rsidP="00BC3FA5">
      <w:pPr>
        <w:rPr>
          <w:rtl/>
        </w:rPr>
      </w:pPr>
    </w:p>
    <w:p w14:paraId="78D7D971" w14:textId="77777777" w:rsidR="00BC3FA5" w:rsidRPr="00BC3FA5" w:rsidRDefault="00BC3FA5" w:rsidP="00BC3FA5">
      <w:pPr>
        <w:spacing w:before="120" w:after="120" w:line="240" w:lineRule="exact"/>
        <w:ind w:left="283" w:hanging="283"/>
        <w:jc w:val="both"/>
        <w:rPr>
          <w:rFonts w:ascii="FrankRuehl" w:hAnsi="FrankRuehl" w:cs="FrankRuehl"/>
          <w:rtl/>
        </w:rPr>
      </w:pPr>
    </w:p>
    <w:p w14:paraId="0BBDCB73" w14:textId="77777777" w:rsidR="00BC3FA5" w:rsidRPr="00BC3FA5" w:rsidRDefault="00BC3FA5" w:rsidP="00BC3FA5">
      <w:pPr>
        <w:spacing w:before="120" w:after="120" w:line="240" w:lineRule="exact"/>
        <w:ind w:left="283" w:hanging="283"/>
        <w:jc w:val="both"/>
        <w:rPr>
          <w:rFonts w:ascii="FrankRuehl" w:hAnsi="FrankRuehl" w:cs="FrankRuehl"/>
          <w:rtl/>
        </w:rPr>
      </w:pPr>
    </w:p>
    <w:p w14:paraId="0B32B6F3" w14:textId="77777777" w:rsidR="005363D8" w:rsidRPr="005363D8" w:rsidRDefault="005363D8" w:rsidP="009A5161">
      <w:pPr>
        <w:rPr>
          <w:rtl/>
        </w:rPr>
      </w:pPr>
    </w:p>
    <w:p w14:paraId="33A13649" w14:textId="77777777" w:rsidR="005363D8" w:rsidRPr="005363D8" w:rsidRDefault="005363D8" w:rsidP="005363D8">
      <w:pPr>
        <w:spacing w:after="120" w:line="240" w:lineRule="exact"/>
        <w:ind w:left="283" w:hanging="283"/>
        <w:jc w:val="both"/>
        <w:rPr>
          <w:rFonts w:ascii="FrankRuehl" w:hAnsi="FrankRuehl" w:cs="FrankRuehl"/>
        </w:rPr>
      </w:pPr>
      <w:bookmarkStart w:id="3" w:name="Links_Start"/>
      <w:bookmarkEnd w:id="3"/>
      <w:r w:rsidRPr="005363D8">
        <w:rPr>
          <w:rFonts w:ascii="FrankRuehl" w:hAnsi="FrankRuehl" w:cs="FrankRuehl"/>
          <w:rtl/>
        </w:rPr>
        <w:t>ספרות:</w:t>
      </w:r>
    </w:p>
    <w:p w14:paraId="4AAC563A" w14:textId="77777777" w:rsidR="005363D8" w:rsidRPr="005363D8" w:rsidRDefault="005363D8" w:rsidP="005363D8">
      <w:pPr>
        <w:spacing w:after="120" w:line="240" w:lineRule="exact"/>
        <w:ind w:left="283" w:hanging="283"/>
        <w:jc w:val="both"/>
        <w:rPr>
          <w:rStyle w:val="Hyperlink"/>
          <w:rFonts w:ascii="FrankRuehl" w:hAnsi="FrankRuehl" w:cs="FrankRuehl"/>
          <w:u w:val="none"/>
          <w:rtl/>
        </w:rPr>
      </w:pPr>
      <w:r w:rsidRPr="005363D8">
        <w:rPr>
          <w:rFonts w:ascii="FrankRuehl" w:hAnsi="FrankRuehl" w:cs="FrankRuehl"/>
          <w:color w:val="0000FF"/>
          <w:rtl/>
        </w:rPr>
        <w:fldChar w:fldCharType="begin"/>
      </w:r>
      <w:r w:rsidRPr="005363D8">
        <w:rPr>
          <w:rFonts w:ascii="FrankRuehl" w:hAnsi="FrankRuehl" w:cs="FrankRuehl"/>
          <w:color w:val="0000FF"/>
          <w:rtl/>
        </w:rPr>
        <w:instrText xml:space="preserve"> </w:instrText>
      </w:r>
      <w:r w:rsidRPr="005363D8">
        <w:rPr>
          <w:rFonts w:ascii="FrankRuehl" w:hAnsi="FrankRuehl" w:cs="FrankRuehl"/>
          <w:color w:val="0000FF"/>
        </w:rPr>
        <w:instrText xml:space="preserve">HYPERLINK </w:instrText>
      </w:r>
      <w:r w:rsidRPr="005363D8">
        <w:rPr>
          <w:rFonts w:ascii="FrankRuehl" w:hAnsi="FrankRuehl" w:cs="FrankRuehl"/>
          <w:color w:val="0000FF"/>
          <w:rtl/>
        </w:rPr>
        <w:instrText>"</w:instrText>
      </w:r>
      <w:r w:rsidRPr="005363D8">
        <w:rPr>
          <w:rFonts w:ascii="FrankRuehl" w:hAnsi="FrankRuehl" w:cs="FrankRuehl"/>
          <w:color w:val="0000FF"/>
        </w:rPr>
        <w:instrText>http://www.nevo.co.il/safrut/bookgroup/3985"</w:instrText>
      </w:r>
      <w:r w:rsidRPr="005363D8">
        <w:rPr>
          <w:rFonts w:ascii="FrankRuehl" w:hAnsi="FrankRuehl" w:cs="FrankRuehl"/>
          <w:color w:val="0000FF"/>
          <w:rtl/>
        </w:rPr>
        <w:instrText xml:space="preserve"> </w:instrText>
      </w:r>
      <w:r w:rsidRPr="005363D8">
        <w:rPr>
          <w:rFonts w:ascii="FrankRuehl" w:hAnsi="FrankRuehl" w:cs="FrankRuehl"/>
          <w:color w:val="0000FF"/>
          <w:rtl/>
        </w:rPr>
      </w:r>
      <w:r w:rsidRPr="005363D8">
        <w:rPr>
          <w:rFonts w:ascii="FrankRuehl" w:hAnsi="FrankRuehl" w:cs="FrankRuehl"/>
          <w:color w:val="0000FF"/>
          <w:rtl/>
        </w:rPr>
        <w:fldChar w:fldCharType="separate"/>
      </w:r>
      <w:r w:rsidRPr="005363D8">
        <w:rPr>
          <w:rStyle w:val="Hyperlink"/>
          <w:rFonts w:ascii="FrankRuehl" w:hAnsi="FrankRuehl" w:cs="FrankRuehl"/>
          <w:u w:val="none"/>
          <w:rtl/>
        </w:rPr>
        <w:t xml:space="preserve">יעקב קדמי  </w:t>
      </w:r>
      <w:r w:rsidRPr="005363D8">
        <w:rPr>
          <w:rStyle w:val="Hyperlink"/>
          <w:rFonts w:ascii="FrankRuehl" w:hAnsi="FrankRuehl" w:cs="FrankRuehl"/>
          <w:u w:val="none"/>
        </w:rPr>
        <w:t xml:space="preserve"> </w:t>
      </w:r>
      <w:r w:rsidRPr="005363D8">
        <w:rPr>
          <w:rStyle w:val="Hyperlink"/>
          <w:rFonts w:ascii="FrankRuehl" w:hAnsi="FrankRuehl" w:cs="FrankRuehl"/>
          <w:b/>
          <w:bCs/>
          <w:u w:val="none"/>
          <w:rtl/>
        </w:rPr>
        <w:t xml:space="preserve">על הראיות - חלק שני - הדין בראי הפסיקה </w:t>
      </w:r>
      <w:r w:rsidRPr="005363D8">
        <w:rPr>
          <w:rStyle w:val="Hyperlink"/>
          <w:rFonts w:ascii="FrankRuehl" w:hAnsi="FrankRuehl" w:cs="FrankRuehl"/>
          <w:u w:val="none"/>
        </w:rPr>
        <w:t xml:space="preserve">   (2009)</w:t>
      </w:r>
    </w:p>
    <w:p w14:paraId="5074C264" w14:textId="77777777" w:rsidR="005363D8" w:rsidRDefault="005363D8" w:rsidP="005363D8">
      <w:pPr>
        <w:spacing w:after="120" w:line="240" w:lineRule="exact"/>
        <w:ind w:left="283" w:hanging="283"/>
        <w:jc w:val="both"/>
        <w:rPr>
          <w:color w:val="0000FF"/>
        </w:rPr>
      </w:pPr>
      <w:r w:rsidRPr="005363D8">
        <w:rPr>
          <w:rFonts w:ascii="FrankRuehl" w:hAnsi="FrankRuehl" w:cs="FrankRuehl"/>
          <w:color w:val="0000FF"/>
          <w:rtl/>
        </w:rPr>
        <w:fldChar w:fldCharType="end"/>
      </w:r>
      <w:bookmarkStart w:id="4" w:name="Links_End"/>
      <w:bookmarkStart w:id="5" w:name="LawTable"/>
      <w:bookmarkEnd w:id="4"/>
      <w:bookmarkEnd w:id="5"/>
    </w:p>
    <w:p w14:paraId="2A524F92" w14:textId="77777777" w:rsidR="005363D8" w:rsidRPr="005363D8" w:rsidRDefault="005363D8" w:rsidP="005363D8">
      <w:pPr>
        <w:spacing w:before="120" w:after="120" w:line="240" w:lineRule="exact"/>
        <w:ind w:left="283" w:hanging="283"/>
        <w:jc w:val="both"/>
        <w:rPr>
          <w:rFonts w:ascii="FrankRuehl" w:hAnsi="FrankRuehl" w:cs="FrankRuehl"/>
          <w:color w:val="0000FF"/>
        </w:rPr>
      </w:pPr>
    </w:p>
    <w:p w14:paraId="32C35454" w14:textId="77777777" w:rsidR="005363D8" w:rsidRPr="005363D8" w:rsidRDefault="005363D8" w:rsidP="005363D8">
      <w:pPr>
        <w:spacing w:before="120" w:after="120" w:line="240" w:lineRule="exact"/>
        <w:ind w:left="283" w:hanging="283"/>
        <w:jc w:val="both"/>
        <w:rPr>
          <w:rFonts w:ascii="FrankRuehl" w:hAnsi="FrankRuehl" w:cs="FrankRuehl"/>
          <w:color w:val="0000FF"/>
          <w:rtl/>
        </w:rPr>
      </w:pPr>
    </w:p>
    <w:p w14:paraId="0A86EE84" w14:textId="77777777" w:rsidR="005363D8" w:rsidRPr="005363D8" w:rsidRDefault="005363D8" w:rsidP="005363D8">
      <w:pPr>
        <w:spacing w:before="120" w:after="120" w:line="240" w:lineRule="exact"/>
        <w:ind w:left="283" w:hanging="283"/>
        <w:jc w:val="both"/>
        <w:rPr>
          <w:rFonts w:ascii="FrankRuehl" w:hAnsi="FrankRuehl" w:cs="FrankRuehl"/>
          <w:color w:val="0000FF"/>
        </w:rPr>
      </w:pPr>
      <w:r w:rsidRPr="005363D8">
        <w:rPr>
          <w:rFonts w:ascii="FrankRuehl" w:hAnsi="FrankRuehl" w:cs="FrankRuehl"/>
          <w:color w:val="0000FF"/>
          <w:rtl/>
        </w:rPr>
        <w:t xml:space="preserve">חקיקה שאוזכרה: </w:t>
      </w:r>
    </w:p>
    <w:p w14:paraId="7578E2D1" w14:textId="77777777" w:rsidR="005363D8" w:rsidRPr="005363D8" w:rsidRDefault="005363D8" w:rsidP="005363D8">
      <w:pPr>
        <w:spacing w:before="120" w:after="120" w:line="240" w:lineRule="exact"/>
        <w:ind w:left="283" w:hanging="283"/>
        <w:jc w:val="both"/>
        <w:rPr>
          <w:rFonts w:ascii="FrankRuehl" w:hAnsi="FrankRuehl" w:cs="FrankRuehl"/>
        </w:rPr>
      </w:pPr>
      <w:hyperlink r:id="rId7" w:history="1">
        <w:r w:rsidRPr="005363D8">
          <w:rPr>
            <w:rFonts w:ascii="FrankRuehl" w:hAnsi="FrankRuehl" w:cs="FrankRuehl"/>
            <w:color w:val="0000FF"/>
            <w:rtl/>
          </w:rPr>
          <w:t>פקודת הראיות [נוסח חדש], תשל"א-1971</w:t>
        </w:r>
      </w:hyperlink>
      <w:r w:rsidRPr="005363D8">
        <w:rPr>
          <w:rFonts w:ascii="FrankRuehl" w:hAnsi="FrankRuehl" w:cs="FrankRuehl"/>
        </w:rPr>
        <w:t xml:space="preserve">: </w:t>
      </w:r>
      <w:r w:rsidRPr="005363D8">
        <w:rPr>
          <w:rFonts w:ascii="FrankRuehl" w:hAnsi="FrankRuehl" w:cs="FrankRuehl"/>
          <w:rtl/>
        </w:rPr>
        <w:t>סע</w:t>
      </w:r>
      <w:r w:rsidRPr="005363D8">
        <w:rPr>
          <w:rFonts w:ascii="FrankRuehl" w:hAnsi="FrankRuehl" w:cs="FrankRuehl"/>
        </w:rPr>
        <w:t xml:space="preserve">'  </w:t>
      </w:r>
      <w:hyperlink r:id="rId8" w:history="1">
        <w:r w:rsidRPr="005363D8">
          <w:rPr>
            <w:rFonts w:ascii="FrankRuehl" w:hAnsi="FrankRuehl" w:cs="FrankRuehl"/>
            <w:color w:val="0000FF"/>
          </w:rPr>
          <w:t>12</w:t>
        </w:r>
      </w:hyperlink>
    </w:p>
    <w:p w14:paraId="39A253DA" w14:textId="77777777" w:rsidR="005363D8" w:rsidRPr="005363D8" w:rsidRDefault="005363D8" w:rsidP="005363D8">
      <w:pPr>
        <w:spacing w:before="120" w:after="120" w:line="240" w:lineRule="exact"/>
        <w:ind w:left="283" w:hanging="283"/>
        <w:jc w:val="both"/>
        <w:rPr>
          <w:rFonts w:ascii="FrankRuehl" w:hAnsi="FrankRuehl" w:cs="FrankRuehl"/>
        </w:rPr>
      </w:pPr>
      <w:hyperlink r:id="rId9" w:history="1">
        <w:r w:rsidRPr="005363D8">
          <w:rPr>
            <w:rFonts w:ascii="FrankRuehl" w:hAnsi="FrankRuehl" w:cs="FrankRuehl"/>
            <w:color w:val="0000FF"/>
            <w:rtl/>
          </w:rPr>
          <w:t>חוק המאבק בתופעת השימוש בחומרים מסכנים, תשע"ג-2013</w:t>
        </w:r>
      </w:hyperlink>
    </w:p>
    <w:p w14:paraId="2377A9A4" w14:textId="77777777" w:rsidR="005363D8" w:rsidRPr="005363D8" w:rsidRDefault="005363D8" w:rsidP="005363D8">
      <w:pPr>
        <w:spacing w:before="120" w:after="120" w:line="240" w:lineRule="exact"/>
        <w:ind w:left="283" w:hanging="283"/>
        <w:jc w:val="both"/>
        <w:rPr>
          <w:rFonts w:ascii="FrankRuehl" w:hAnsi="FrankRuehl" w:cs="FrankRuehl"/>
        </w:rPr>
      </w:pPr>
      <w:hyperlink r:id="rId10" w:history="1">
        <w:r w:rsidRPr="005363D8">
          <w:rPr>
            <w:rFonts w:ascii="FrankRuehl" w:hAnsi="FrankRuehl" w:cs="FrankRuehl"/>
            <w:color w:val="0000FF"/>
            <w:rtl/>
          </w:rPr>
          <w:t>פקודת הסמים המסוכנים [נוסח חדש], תשל"ג-1973</w:t>
        </w:r>
      </w:hyperlink>
      <w:r w:rsidRPr="005363D8">
        <w:rPr>
          <w:rFonts w:ascii="FrankRuehl" w:hAnsi="FrankRuehl" w:cs="FrankRuehl"/>
        </w:rPr>
        <w:t xml:space="preserve">: </w:t>
      </w:r>
      <w:r w:rsidRPr="005363D8">
        <w:rPr>
          <w:rFonts w:ascii="FrankRuehl" w:hAnsi="FrankRuehl" w:cs="FrankRuehl"/>
          <w:rtl/>
        </w:rPr>
        <w:t>סע</w:t>
      </w:r>
      <w:r w:rsidRPr="005363D8">
        <w:rPr>
          <w:rFonts w:ascii="FrankRuehl" w:hAnsi="FrankRuehl" w:cs="FrankRuehl"/>
        </w:rPr>
        <w:t xml:space="preserve">'  </w:t>
      </w:r>
      <w:hyperlink r:id="rId11" w:history="1">
        <w:r w:rsidRPr="005363D8">
          <w:rPr>
            <w:rFonts w:ascii="FrankRuehl" w:hAnsi="FrankRuehl" w:cs="FrankRuehl"/>
            <w:color w:val="0000FF"/>
          </w:rPr>
          <w:t>31(6)</w:t>
        </w:r>
      </w:hyperlink>
      <w:r w:rsidRPr="005363D8">
        <w:rPr>
          <w:rFonts w:ascii="FrankRuehl" w:hAnsi="FrankRuehl" w:cs="FrankRuehl"/>
        </w:rPr>
        <w:t xml:space="preserve">, </w:t>
      </w:r>
      <w:hyperlink r:id="rId12" w:history="1">
        <w:r w:rsidRPr="005363D8">
          <w:rPr>
            <w:rFonts w:ascii="FrankRuehl" w:hAnsi="FrankRuehl" w:cs="FrankRuehl"/>
            <w:color w:val="0000FF"/>
          </w:rPr>
          <w:t>36</w:t>
        </w:r>
        <w:r w:rsidRPr="005363D8">
          <w:rPr>
            <w:rFonts w:ascii="FrankRuehl" w:hAnsi="FrankRuehl" w:cs="FrankRuehl"/>
            <w:color w:val="0000FF"/>
            <w:rtl/>
          </w:rPr>
          <w:t>א</w:t>
        </w:r>
      </w:hyperlink>
    </w:p>
    <w:p w14:paraId="40B3AB15" w14:textId="77777777" w:rsidR="005363D8" w:rsidRPr="005363D8" w:rsidRDefault="005363D8" w:rsidP="005363D8">
      <w:pPr>
        <w:spacing w:after="120" w:line="240" w:lineRule="exact"/>
        <w:ind w:left="283" w:hanging="283"/>
        <w:jc w:val="both"/>
      </w:pPr>
      <w:bookmarkStart w:id="6" w:name="LawTable_End"/>
      <w:bookmarkEnd w:id="6"/>
    </w:p>
    <w:p w14:paraId="47B70870" w14:textId="77777777" w:rsidR="009A5161" w:rsidRPr="005363D8" w:rsidRDefault="009A5161" w:rsidP="005363D8">
      <w:pPr>
        <w:spacing w:after="120" w:line="240" w:lineRule="exact"/>
        <w:ind w:left="283" w:hanging="283"/>
        <w:jc w:val="both"/>
        <w:rPr>
          <w:color w:val="0000FF"/>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5161" w14:paraId="3FD27855" w14:textId="77777777" w:rsidTr="009A5161">
        <w:trPr>
          <w:trHeight w:val="355"/>
          <w:jc w:val="center"/>
        </w:trPr>
        <w:tc>
          <w:tcPr>
            <w:tcW w:w="8820" w:type="dxa"/>
            <w:tcBorders>
              <w:top w:val="nil"/>
              <w:left w:val="nil"/>
              <w:bottom w:val="nil"/>
              <w:right w:val="nil"/>
            </w:tcBorders>
            <w:shd w:val="clear" w:color="auto" w:fill="auto"/>
          </w:tcPr>
          <w:p w14:paraId="53CB9949" w14:textId="77777777" w:rsidR="00B46CB9" w:rsidRPr="00B46CB9" w:rsidRDefault="00B46CB9" w:rsidP="00B46CB9">
            <w:pPr>
              <w:jc w:val="center"/>
              <w:rPr>
                <w:rFonts w:ascii="Arial" w:hAnsi="Arial"/>
                <w:b/>
                <w:bCs/>
                <w:sz w:val="28"/>
                <w:szCs w:val="28"/>
                <w:u w:val="single"/>
                <w:rtl/>
              </w:rPr>
            </w:pPr>
            <w:bookmarkStart w:id="7" w:name="PsakDin" w:colFirst="0" w:colLast="0"/>
            <w:bookmarkEnd w:id="0"/>
            <w:r w:rsidRPr="00B46CB9">
              <w:rPr>
                <w:rFonts w:ascii="Arial" w:hAnsi="Arial"/>
                <w:b/>
                <w:bCs/>
                <w:sz w:val="28"/>
                <w:szCs w:val="28"/>
                <w:u w:val="single"/>
                <w:rtl/>
              </w:rPr>
              <w:t>גזר דין</w:t>
            </w:r>
          </w:p>
          <w:p w14:paraId="44C4753D" w14:textId="77777777" w:rsidR="009A5161" w:rsidRPr="00B46CB9" w:rsidRDefault="009A5161" w:rsidP="00B46CB9">
            <w:pPr>
              <w:jc w:val="center"/>
              <w:rPr>
                <w:rFonts w:ascii="Arial" w:hAnsi="Arial"/>
                <w:bCs/>
                <w:sz w:val="28"/>
                <w:szCs w:val="28"/>
                <w:u w:val="single"/>
                <w:rtl/>
              </w:rPr>
            </w:pPr>
          </w:p>
        </w:tc>
      </w:tr>
      <w:bookmarkEnd w:id="7"/>
    </w:tbl>
    <w:p w14:paraId="085F2030" w14:textId="77777777" w:rsidR="009A5161" w:rsidRDefault="009A5161" w:rsidP="009A5161">
      <w:pPr>
        <w:spacing w:line="360" w:lineRule="auto"/>
        <w:jc w:val="both"/>
        <w:rPr>
          <w:rFonts w:ascii="Arial" w:hAnsi="Arial"/>
          <w:rtl/>
        </w:rPr>
      </w:pPr>
    </w:p>
    <w:p w14:paraId="4462739B" w14:textId="77777777" w:rsidR="009A5161" w:rsidRDefault="009A5161" w:rsidP="009A5161">
      <w:pPr>
        <w:pStyle w:val="a9"/>
        <w:numPr>
          <w:ilvl w:val="0"/>
          <w:numId w:val="1"/>
        </w:numPr>
        <w:spacing w:line="360" w:lineRule="auto"/>
        <w:jc w:val="both"/>
        <w:rPr>
          <w:rFonts w:ascii="Arial" w:hAnsi="Arial"/>
        </w:rPr>
      </w:pPr>
      <w:bookmarkStart w:id="8" w:name="ABSTRACT_START"/>
      <w:bookmarkEnd w:id="8"/>
      <w:r>
        <w:rPr>
          <w:rFonts w:ascii="Arial" w:hAnsi="Arial" w:hint="cs"/>
          <w:rtl/>
        </w:rPr>
        <w:t xml:space="preserve">בסיום שמיעת הראיות בתיק זה הרשעתי את הנאשם בעבירה של החזקת סם שלא לצריכה עצמית. כפי שקבעתי בהכרעת הדין, בשעות הערב של 8.12.2018 עוכב הנאשם על ידי שוטרים שראוהו נוהג במכונית בפראות, ובחיפוש שערכו במכונית מצאו קרוב ל-5.5 ק"ג סם מסוג </w:t>
      </w:r>
      <w:r w:rsidRPr="0057687A">
        <w:rPr>
          <w:rFonts w:ascii="Arial" w:hAnsi="Arial"/>
          <w:sz w:val="20"/>
          <w:szCs w:val="20"/>
        </w:rPr>
        <w:t>5F-ADB</w:t>
      </w:r>
      <w:r>
        <w:rPr>
          <w:rFonts w:ascii="Arial" w:hAnsi="Arial" w:hint="cs"/>
          <w:rtl/>
        </w:rPr>
        <w:t xml:space="preserve"> (אחד החומרים הנמכרים תחת השם "נייס גאי") ולצדו ארגז של "שקיות חלוקה". בחיפוש שנערך באותו ערב במקום מגוריו של הנאשם נמצאה כמות קטנה נוספת של אותו חומר וכן שני כדורי אקסטזי (</w:t>
      </w:r>
      <w:r w:rsidRPr="0057687A">
        <w:rPr>
          <w:rFonts w:ascii="Arial" w:hAnsi="Arial" w:hint="cs"/>
          <w:sz w:val="20"/>
          <w:szCs w:val="20"/>
        </w:rPr>
        <w:t>MDMA</w:t>
      </w:r>
      <w:r>
        <w:rPr>
          <w:rFonts w:ascii="Arial" w:hAnsi="Arial" w:hint="cs"/>
          <w:rtl/>
        </w:rPr>
        <w:t xml:space="preserve">). </w:t>
      </w:r>
    </w:p>
    <w:p w14:paraId="0FF9D48F" w14:textId="77777777" w:rsidR="009A5161" w:rsidRDefault="009A5161" w:rsidP="009A5161">
      <w:pPr>
        <w:pStyle w:val="a9"/>
        <w:spacing w:line="360" w:lineRule="auto"/>
        <w:jc w:val="both"/>
        <w:rPr>
          <w:rFonts w:ascii="Arial" w:hAnsi="Arial"/>
        </w:rPr>
      </w:pPr>
    </w:p>
    <w:p w14:paraId="7E5C1DDB" w14:textId="77777777" w:rsidR="009A5161" w:rsidRPr="00A1262A" w:rsidRDefault="009A5161" w:rsidP="009A5161">
      <w:pPr>
        <w:pStyle w:val="a9"/>
        <w:numPr>
          <w:ilvl w:val="0"/>
          <w:numId w:val="1"/>
        </w:numPr>
        <w:spacing w:line="360" w:lineRule="auto"/>
        <w:jc w:val="both"/>
        <w:rPr>
          <w:b/>
          <w:bCs/>
        </w:rPr>
      </w:pPr>
      <w:bookmarkStart w:id="9" w:name="ABSTRACT_END"/>
      <w:bookmarkEnd w:id="9"/>
      <w:r>
        <w:rPr>
          <w:rFonts w:ascii="Arial" w:hAnsi="Arial" w:hint="cs"/>
          <w:rtl/>
        </w:rPr>
        <w:lastRenderedPageBreak/>
        <w:t xml:space="preserve">הנאשם כפר באשמה בשל טענות בדבר אי חוקיות החיפושים שנערכו במכונית ובמקום מגוריו </w:t>
      </w:r>
      <w:r>
        <w:rPr>
          <w:rFonts w:ascii="Arial" w:hAnsi="Arial"/>
          <w:rtl/>
        </w:rPr>
        <w:t>–</w:t>
      </w:r>
      <w:r>
        <w:rPr>
          <w:rFonts w:ascii="Arial" w:hAnsi="Arial" w:hint="cs"/>
          <w:rtl/>
        </w:rPr>
        <w:t xml:space="preserve"> אי חוקיות שהצדיקה לטענת ההגנה פסילת ממצאי החיפושים מלשמש כראיות. אף על פי שלא דחיתי את הטענות הנוגעות לפגמים בחיפוש במכוניתו של הנאשם שנגעו בעיקרן להיעדרו של חשד סביר וכך גם לגבי הפגמים בחיפוש שנערך במקום מגורי הנאשם, החלטתי כי אין בפגמים הנטענים בפעולת המשטרה להביא לפסילת הראיות שנמצאו בחיפושים. לאחר שקיבלתי את הראיות הפיזיות שנתפסו קיבלתי גם את ההודעות שמסר הנאשם בחקירת המשטרה. </w:t>
      </w:r>
      <w:r w:rsidRPr="00A1262A">
        <w:rPr>
          <w:rFonts w:ascii="Arial" w:hAnsi="Arial" w:hint="cs"/>
          <w:b/>
          <w:bCs/>
          <w:rtl/>
        </w:rPr>
        <w:t xml:space="preserve">בשלב הטיעונים לעונש </w:t>
      </w:r>
      <w:r>
        <w:rPr>
          <w:rFonts w:ascii="Arial" w:hAnsi="Arial" w:hint="cs"/>
          <w:b/>
          <w:bCs/>
          <w:rtl/>
        </w:rPr>
        <w:t xml:space="preserve">ההגנה </w:t>
      </w:r>
      <w:r w:rsidRPr="00A1262A">
        <w:rPr>
          <w:rFonts w:ascii="Arial" w:hAnsi="Arial" w:hint="cs"/>
          <w:b/>
          <w:bCs/>
          <w:u w:val="single"/>
          <w:rtl/>
        </w:rPr>
        <w:t>לא</w:t>
      </w:r>
      <w:r w:rsidRPr="00A1262A">
        <w:rPr>
          <w:rFonts w:ascii="Arial" w:hAnsi="Arial" w:hint="cs"/>
          <w:b/>
          <w:bCs/>
          <w:rtl/>
        </w:rPr>
        <w:t xml:space="preserve"> טענה כי לפגמים בפעולת המשטרה שעלי</w:t>
      </w:r>
      <w:r w:rsidRPr="00A1262A">
        <w:rPr>
          <w:rFonts w:hint="cs"/>
          <w:b/>
          <w:bCs/>
          <w:rtl/>
        </w:rPr>
        <w:t>הם הצביעה בשלב בירור האשמה צריכה להיות השלכה על עונשו של הנאשם.</w:t>
      </w:r>
    </w:p>
    <w:p w14:paraId="2EF24555" w14:textId="77777777" w:rsidR="009A5161" w:rsidRDefault="009A5161" w:rsidP="009A5161">
      <w:pPr>
        <w:pStyle w:val="a9"/>
        <w:rPr>
          <w:rtl/>
        </w:rPr>
      </w:pPr>
    </w:p>
    <w:p w14:paraId="1F5AA193" w14:textId="77777777" w:rsidR="009A5161" w:rsidRDefault="009A5161" w:rsidP="009A5161">
      <w:pPr>
        <w:pStyle w:val="a9"/>
        <w:numPr>
          <w:ilvl w:val="0"/>
          <w:numId w:val="1"/>
        </w:numPr>
        <w:spacing w:line="360" w:lineRule="auto"/>
        <w:jc w:val="both"/>
      </w:pPr>
      <w:r>
        <w:rPr>
          <w:rFonts w:hint="cs"/>
          <w:rtl/>
        </w:rPr>
        <w:t xml:space="preserve">אין ספק שהמעשה בגינו הרשעתי את הנאשם עמד בסתירה של ממש למאבקה של המדינה בהפצת חומרים משני תודעה הנמצאים ברשימת הסמים המסוכנים. בהקשר זה יש להזכיר שמדובר בכמות גדולה מאד של סם סינתטי, שהשפעותיו השליליות אינן נתונות במחלוקת מדעית וציבורית כפי שהוא המקרה בכל הנוגע לחשיש ולמריחואנה המופקים מצמח הקנביס </w:t>
      </w:r>
      <w:r>
        <w:rPr>
          <w:rtl/>
        </w:rPr>
        <w:t>–</w:t>
      </w:r>
      <w:r>
        <w:rPr>
          <w:rFonts w:hint="cs"/>
          <w:rtl/>
        </w:rPr>
        <w:t xml:space="preserve"> מחלוקת שאף הביאה לתיקון חקיקה הנוגע לאכיפת החוק על משתמשים בקנביס.</w:t>
      </w:r>
    </w:p>
    <w:p w14:paraId="72F55A1E" w14:textId="77777777" w:rsidR="009A5161" w:rsidRDefault="009A5161" w:rsidP="009A5161">
      <w:pPr>
        <w:pStyle w:val="a9"/>
        <w:rPr>
          <w:rtl/>
        </w:rPr>
      </w:pPr>
    </w:p>
    <w:p w14:paraId="498F294F" w14:textId="77777777" w:rsidR="009A5161" w:rsidRDefault="009A5161" w:rsidP="009A5161">
      <w:pPr>
        <w:pStyle w:val="a9"/>
        <w:numPr>
          <w:ilvl w:val="0"/>
          <w:numId w:val="1"/>
        </w:numPr>
        <w:spacing w:line="360" w:lineRule="auto"/>
        <w:jc w:val="both"/>
      </w:pPr>
      <w:r>
        <w:rPr>
          <w:rFonts w:hint="cs"/>
          <w:rtl/>
        </w:rPr>
        <w:t>התובע התייחס בטיעוניו לעונש לכך שעונשה המרבי של העבירה שבה הורשע הנאשם הוא 20 שנות מאסר וטען כי מתחם העונש ההולם למעשהו של הנאשם נע בין 18-36 חודשי מאסר בפועל.</w:t>
      </w:r>
    </w:p>
    <w:p w14:paraId="143091A5" w14:textId="77777777" w:rsidR="009A5161" w:rsidRDefault="009A5161" w:rsidP="009A5161">
      <w:pPr>
        <w:pStyle w:val="a9"/>
        <w:rPr>
          <w:rtl/>
        </w:rPr>
      </w:pPr>
    </w:p>
    <w:p w14:paraId="26502788" w14:textId="77777777" w:rsidR="009A5161" w:rsidRDefault="009A5161" w:rsidP="009A5161">
      <w:pPr>
        <w:pStyle w:val="a9"/>
        <w:numPr>
          <w:ilvl w:val="0"/>
          <w:numId w:val="1"/>
        </w:numPr>
        <w:spacing w:line="360" w:lineRule="auto"/>
        <w:jc w:val="both"/>
      </w:pPr>
      <w:r>
        <w:rPr>
          <w:rFonts w:hint="cs"/>
          <w:rtl/>
        </w:rPr>
        <w:t>הסניגורית טענה שמתחם העונש ההולם הוא בין 6 חודשי מאסר בפועל שניתן לרצות בעבודות שירות ל-30 חודשי מאסר בפועל. הסניגורית התייחסה בטיעוניה לעונש לגרסתו העובדתית של הנאשם בחקירת המשטרה, שלפיה מצא את הסמים ואת שקיות החלוקה זמן קצר לפני שעוכב על ידי המשטרה. לדבריה, גם אם בית המשפט מפקפק בגרסה זו הרי שאין בפניו גרסה אחרת.</w:t>
      </w:r>
    </w:p>
    <w:p w14:paraId="6C0955E9" w14:textId="77777777" w:rsidR="009A5161" w:rsidRDefault="009A5161" w:rsidP="009A5161">
      <w:pPr>
        <w:pStyle w:val="a9"/>
        <w:rPr>
          <w:rtl/>
        </w:rPr>
      </w:pPr>
    </w:p>
    <w:p w14:paraId="3D31ACC1" w14:textId="77777777" w:rsidR="009A5161" w:rsidRDefault="009A5161" w:rsidP="009A5161">
      <w:pPr>
        <w:pStyle w:val="a9"/>
        <w:numPr>
          <w:ilvl w:val="0"/>
          <w:numId w:val="1"/>
        </w:numPr>
        <w:spacing w:line="360" w:lineRule="auto"/>
        <w:jc w:val="both"/>
      </w:pPr>
      <w:r>
        <w:rPr>
          <w:rFonts w:hint="cs"/>
          <w:rtl/>
        </w:rPr>
        <w:t xml:space="preserve">אשר להסתמכותה של הסניגורית על נסיבות העבירה כפי שהן נטענות בהודעותיו של הנאשם בחקירה המשטרה יש לומר מספר דברים </w:t>
      </w:r>
      <w:r>
        <w:rPr>
          <w:rtl/>
        </w:rPr>
        <w:t>–</w:t>
      </w:r>
      <w:r>
        <w:rPr>
          <w:rFonts w:hint="cs"/>
          <w:rtl/>
        </w:rPr>
        <w:t xml:space="preserve"> ראשית, קבלת ההודעה של הנאשם בחקירה כראיה במשפט כהודאה מכוח </w:t>
      </w:r>
      <w:hyperlink r:id="rId13" w:history="1">
        <w:r w:rsidR="00F71B70" w:rsidRPr="00F71B70">
          <w:rPr>
            <w:rStyle w:val="Hyperlink"/>
            <w:rFonts w:hint="eastAsia"/>
            <w:rtl/>
          </w:rPr>
          <w:t>סעיף</w:t>
        </w:r>
        <w:r w:rsidR="00F71B70" w:rsidRPr="00F71B70">
          <w:rPr>
            <w:rStyle w:val="Hyperlink"/>
            <w:rtl/>
          </w:rPr>
          <w:t xml:space="preserve"> 12</w:t>
        </w:r>
      </w:hyperlink>
      <w:r>
        <w:rPr>
          <w:rFonts w:hint="cs"/>
          <w:rtl/>
        </w:rPr>
        <w:t xml:space="preserve"> ל</w:t>
      </w:r>
      <w:hyperlink r:id="rId14" w:history="1">
        <w:r w:rsidR="00B46CB9" w:rsidRPr="00B46CB9">
          <w:rPr>
            <w:color w:val="0000FF"/>
            <w:u w:val="single"/>
            <w:rtl/>
          </w:rPr>
          <w:t>פקודת הראיות</w:t>
        </w:r>
      </w:hyperlink>
      <w:r>
        <w:rPr>
          <w:rFonts w:hint="cs"/>
          <w:rtl/>
        </w:rPr>
        <w:t xml:space="preserve"> [נוסח חדש], תשל"א-1971, אין משמעותה שיש לקבל את גרסתו בחקירה אשר לנסיבות החזקת הסמים. הכלל הנוהג במשפט הישראלי הוא כידוע שהודאה במשטרה המוגשת במשפט משמשת ראיה לחובת הנאשם בלבד. אם רוצה נאשם להעלות גרסה אודות נסיבות ביצוע העבירה עליו להעיד במשפט (בעניין כלל זה וחריגיו ראו: יעקב </w:t>
      </w:r>
      <w:hyperlink r:id="rId15" w:history="1">
        <w:r w:rsidR="005363D8" w:rsidRPr="005363D8">
          <w:rPr>
            <w:color w:val="0000FF"/>
            <w:u w:val="single"/>
            <w:rtl/>
          </w:rPr>
          <w:t>קדמי, על הראיות, חלק</w:t>
        </w:r>
      </w:hyperlink>
      <w:r>
        <w:rPr>
          <w:rFonts w:hint="cs"/>
          <w:rtl/>
        </w:rPr>
        <w:t xml:space="preserve"> ראשון (מהדורת 2009), עמ' 139-142 והפסיקה הנזכרת שם). הנאשם לא העיד בתיק זה, כיוון שחשש להפליל את עצמו בעדותו בהחזקת הסמים. הסניגורית (ששקלה לעשות כן כפי שעולה מדבריה בישיבת ההקראה) לא ביקשה לפני תחילת שמיעת הראיות שיערך משפט זוטא, כיוון שסמוך לפני תחילת המשפט ביקש הנאשם להחליפה בעורך דין אחר, והיא ביקשה להשתחרר מן הייצוג </w:t>
      </w:r>
      <w:r>
        <w:rPr>
          <w:rtl/>
        </w:rPr>
        <w:t>–</w:t>
      </w:r>
      <w:r>
        <w:rPr>
          <w:rFonts w:hint="cs"/>
          <w:rtl/>
        </w:rPr>
        <w:t xml:space="preserve"> בקשה שסורבה על ידי. גם לאחר שקבעתי שלנוכח </w:t>
      </w:r>
      <w:r>
        <w:rPr>
          <w:rFonts w:hint="cs"/>
          <w:rtl/>
        </w:rPr>
        <w:lastRenderedPageBreak/>
        <w:t>הנסיבות שבהן סירבתי לשחרר את הסניגורית מן הייצוג, לא תישמע עדות הנאשם בישיבה הראשונה, לא ביקשה הסניגורית שיערך משפט זוטא. בנסיבות שבהן ההגנה לא ביקשה פורמאלית שיערך משפט זוטא, קשה לטעון שהייתה מניעה אובייקטיבית לעדותו של הנאשם במשפט. כך או כך, בהכרעת הדין קבעתי ממילא כי הגרסה שמסר הנאשם בחקירה, שלפיה מצא את הכמות הגדולה מאד של הסמים ושקיות החלוקה בגינת כלבים סמוכה לביתו, שם בילה אף על פי שאין לו כלב, היא מופרכת. מכל אלה עולה כי הנסיבות המקלות למעשי הנאשם על פי גרסתו בחקירה, לא הוכחו ואינן יכולות להיות בסיס לקביעת עונשו. אשר לטענות הסניגורית שלפיהן אין בפני בית המשפט גרסה אחרת אשר לנסיבות, יש לומר כי ממצאי החיפוש במכונית ובמקום המגורים מדברים בעד עצמם, שכן מדובר בהחזקת כמות גדולה מאד של סם ובצדה "שקיות חלוקה". נסיבות אלה מלמדות על כוונה ברורה להפצה מסחרית של הסמים.</w:t>
      </w:r>
    </w:p>
    <w:p w14:paraId="35BD2B2D" w14:textId="77777777" w:rsidR="009A5161" w:rsidRDefault="009A5161" w:rsidP="009A5161">
      <w:pPr>
        <w:pStyle w:val="a9"/>
        <w:spacing w:line="360" w:lineRule="auto"/>
        <w:jc w:val="both"/>
      </w:pPr>
    </w:p>
    <w:p w14:paraId="352E26A1" w14:textId="77777777" w:rsidR="009A5161" w:rsidRDefault="009A5161" w:rsidP="009A5161">
      <w:pPr>
        <w:pStyle w:val="a9"/>
        <w:numPr>
          <w:ilvl w:val="0"/>
          <w:numId w:val="1"/>
        </w:numPr>
        <w:spacing w:line="360" w:lineRule="auto"/>
        <w:jc w:val="both"/>
      </w:pPr>
      <w:r>
        <w:rPr>
          <w:rFonts w:hint="cs"/>
          <w:rtl/>
        </w:rPr>
        <w:t>כתמיכה בעמדתו לעניין מתחם העונש ההולם הפנה התובע לשלושה תיקים. ב</w:t>
      </w:r>
      <w:hyperlink r:id="rId16" w:history="1">
        <w:r w:rsidR="00B46CB9" w:rsidRPr="00B46CB9">
          <w:rPr>
            <w:color w:val="0000FF"/>
            <w:u w:val="single"/>
            <w:rtl/>
          </w:rPr>
          <w:t>ע"פ (באר שבע) 11776-09-18</w:t>
        </w:r>
      </w:hyperlink>
      <w:r>
        <w:rPr>
          <w:rFonts w:hint="cs"/>
          <w:rtl/>
        </w:rPr>
        <w:t xml:space="preserve"> </w:t>
      </w:r>
      <w:r>
        <w:rPr>
          <w:rFonts w:hint="cs"/>
          <w:b/>
          <w:bCs/>
          <w:rtl/>
        </w:rPr>
        <w:t xml:space="preserve">מישאל אוחנה נ' מדינת ישראל </w:t>
      </w:r>
      <w:r>
        <w:rPr>
          <w:rFonts w:hint="cs"/>
          <w:rtl/>
        </w:rPr>
        <w:t>(2019) אושר עונש של 13 חודשי מאסר בפועל למי שהחזיק ב-200 אריזות של חומר מקביל לסם שבתיק שבפניי במשקל של 1.666 ק"ג. בפסק הדין צוין שבית המשפט בערכאה הראשונה קבע כי מתחם העונש ההולם נע בין 9 ל-27 חודשי מאסר בפועל. (בקשת רשות ערעור נדחתה ב</w:t>
      </w:r>
      <w:hyperlink r:id="rId17" w:history="1">
        <w:r w:rsidR="00B46CB9" w:rsidRPr="00B46CB9">
          <w:rPr>
            <w:color w:val="0000FF"/>
            <w:u w:val="single"/>
            <w:rtl/>
          </w:rPr>
          <w:t>רע"פ 1281/19</w:t>
        </w:r>
      </w:hyperlink>
      <w:r>
        <w:rPr>
          <w:rFonts w:hint="cs"/>
          <w:rtl/>
        </w:rPr>
        <w:t xml:space="preserve"> </w:t>
      </w:r>
      <w:r>
        <w:rPr>
          <w:rFonts w:hint="cs"/>
          <w:b/>
          <w:bCs/>
          <w:rtl/>
        </w:rPr>
        <w:t>מישאל אוחנה נ' מדינת ישראל</w:t>
      </w:r>
      <w:r>
        <w:rPr>
          <w:rFonts w:hint="cs"/>
          <w:rtl/>
        </w:rPr>
        <w:t xml:space="preserve"> (2019)). ב</w:t>
      </w:r>
      <w:hyperlink r:id="rId18" w:history="1">
        <w:r w:rsidR="00B46CB9" w:rsidRPr="00B46CB9">
          <w:rPr>
            <w:color w:val="0000FF"/>
            <w:u w:val="single"/>
            <w:rtl/>
          </w:rPr>
          <w:t>ע"פ 4915/15</w:t>
        </w:r>
      </w:hyperlink>
      <w:r>
        <w:rPr>
          <w:rFonts w:hint="cs"/>
          <w:rtl/>
        </w:rPr>
        <w:t xml:space="preserve"> </w:t>
      </w:r>
      <w:r>
        <w:rPr>
          <w:rFonts w:hint="cs"/>
          <w:b/>
          <w:bCs/>
          <w:rtl/>
        </w:rPr>
        <w:t>מהאדי ותד נ' מדינת ישראל</w:t>
      </w:r>
      <w:r>
        <w:rPr>
          <w:rFonts w:hint="cs"/>
          <w:rtl/>
        </w:rPr>
        <w:t xml:space="preserve"> (2015) אושרו עונשים שבין 24 ל-28 חודשי מאסר על מי שעברו עבירות של החזקת סם שלא לצריכה עצמית וקשירת קשר לביצוע פשע ב-15 ק"ג של סם מקביל לזה שבתיק שבפניי ("קנבינואיד סינתטי") וזאת מתוך התחשבות בכך שמדובר בסם שנאסר לשימוש חודשים ספורים לפני ביצוע העבירה, כאשר בערכאה הראשונה צוין כי יש להחמיר את הענישה בהדרגה. יש לציין שאחד המערערים באותו תיק הורשע גם בעבירה של עסקה אחרת בסם, ושנסיבות העבירה היו חמורות בהרבה מאשר בתיק שבפניי. בת"פ (באר שבע) </w:t>
      </w:r>
      <w:hyperlink r:id="rId19" w:history="1">
        <w:r w:rsidR="00FB75FD" w:rsidRPr="00FB75FD">
          <w:rPr>
            <w:b/>
            <w:bCs/>
            <w:color w:val="0000FF"/>
            <w:u w:val="single"/>
            <w:rtl/>
          </w:rPr>
          <w:t xml:space="preserve">מדינת ישראל נ' טטיאנה קרבצ'נקו  (2016) </w:t>
        </w:r>
      </w:hyperlink>
      <w:r>
        <w:rPr>
          <w:rFonts w:hint="cs"/>
          <w:rtl/>
        </w:rPr>
        <w:t xml:space="preserve"> נקבע מתחם עונש הולם בין 16 ל-36 חודשי מאסר בפועל למי שהחזיקה בשתי הזדמנויות בהפרש של חודש </w:t>
      </w:r>
      <w:r>
        <w:rPr>
          <w:rtl/>
        </w:rPr>
        <w:t>–</w:t>
      </w:r>
      <w:r>
        <w:rPr>
          <w:rFonts w:hint="cs"/>
          <w:rtl/>
        </w:rPr>
        <w:t xml:space="preserve"> 11 שקיות ו-102 שקיות של סם מקביל לזה שבתיק שלפניי.</w:t>
      </w:r>
    </w:p>
    <w:p w14:paraId="468CBAB1" w14:textId="77777777" w:rsidR="009A5161" w:rsidRDefault="009A5161" w:rsidP="009A5161">
      <w:pPr>
        <w:pStyle w:val="a9"/>
        <w:rPr>
          <w:rtl/>
        </w:rPr>
      </w:pPr>
    </w:p>
    <w:p w14:paraId="1FE2E7BA" w14:textId="77777777" w:rsidR="009A5161" w:rsidRDefault="009A5161" w:rsidP="009A5161">
      <w:pPr>
        <w:pStyle w:val="a9"/>
        <w:numPr>
          <w:ilvl w:val="0"/>
          <w:numId w:val="1"/>
        </w:numPr>
        <w:spacing w:line="360" w:lineRule="auto"/>
        <w:jc w:val="both"/>
      </w:pPr>
      <w:r>
        <w:rPr>
          <w:rFonts w:hint="cs"/>
          <w:rtl/>
        </w:rPr>
        <w:t xml:space="preserve">לתמיכה בעמדתה לעניין מתחם העונש ההולם הפנתה הסניגורית לשורת פסקי דין. אסקור כאן רק את אלה העוסקים בעבירה כזו שבה הורשע הנאשם שבפניי ובסמים דומים ובכמויות דומות, שכן אי אפשר ללמוד לעניינו מתיקים שעניינם בביצוע עבירות בקנביס (לעניין זה ראו פסקה 3 לעיל) או בעבירות לפי </w:t>
      </w:r>
      <w:hyperlink r:id="rId20" w:history="1">
        <w:r w:rsidR="00B46CB9" w:rsidRPr="00B46CB9">
          <w:rPr>
            <w:color w:val="0000FF"/>
            <w:u w:val="single"/>
            <w:rtl/>
          </w:rPr>
          <w:t>חוק המאבק בתופעת השימוש בחומרים מסכנים</w:t>
        </w:r>
      </w:hyperlink>
      <w:r>
        <w:rPr>
          <w:rFonts w:hint="cs"/>
          <w:rtl/>
        </w:rPr>
        <w:t>, תשע"ג-2013 שהעונש המרבי בגינן הוא 3 שנות מאסר בפועל לעומת 20 שנות מאסר בפועל לעבירה שבה הורשע הנאשם שבפניי. ב</w:t>
      </w:r>
      <w:hyperlink r:id="rId21" w:history="1">
        <w:r w:rsidR="00B46CB9" w:rsidRPr="00B46CB9">
          <w:rPr>
            <w:color w:val="0000FF"/>
            <w:u w:val="single"/>
            <w:rtl/>
          </w:rPr>
          <w:t>עפ"ג (מרכז – לוד) 53350-08-16</w:t>
        </w:r>
      </w:hyperlink>
      <w:r>
        <w:rPr>
          <w:rFonts w:hint="cs"/>
          <w:rtl/>
        </w:rPr>
        <w:t xml:space="preserve"> </w:t>
      </w:r>
      <w:r>
        <w:rPr>
          <w:rFonts w:hint="cs"/>
          <w:b/>
          <w:bCs/>
          <w:rtl/>
        </w:rPr>
        <w:t>אודי אלקנה נ' מדינת ישראל</w:t>
      </w:r>
      <w:r>
        <w:rPr>
          <w:rFonts w:hint="cs"/>
          <w:rtl/>
        </w:rPr>
        <w:t xml:space="preserve"> (2017) נקבע מתחם עונש הולם שבין 8 ל-30 חודשי מאסר בפועל בגין החזקת 2.5 ק"ג של חומר מקביל לסם שבתיק שבפניי כאשר צוין שם שיש להחמיר בהדרגה את הענישה בגין עבירות בסמים מעין אלה. בת"פ </w:t>
      </w:r>
      <w:hyperlink r:id="rId22" w:history="1">
        <w:r w:rsidR="00FB75FD" w:rsidRPr="00FB75FD">
          <w:rPr>
            <w:color w:val="0000FF"/>
            <w:u w:val="single"/>
            <w:rtl/>
          </w:rPr>
          <w:t xml:space="preserve">(מחוזי תל אביב) נתנאל ביטון נ' מדינת ישראל (2015) </w:t>
        </w:r>
      </w:hyperlink>
      <w:r>
        <w:rPr>
          <w:rFonts w:hint="cs"/>
          <w:rtl/>
        </w:rPr>
        <w:t xml:space="preserve"> נגזרו 24 ו-34 חודשי מאסר בפועל (במסגרת הסדר טיעון חלקי) על נאשמים שעברו עבירות חמורות בסמים מקבילים לזה שבתיק שבפניי. גם בפסק דין זה הייתה התייחסות לכך שיש להחמיר בהדרגה את הענישה על העבירות בסמים מעין אלה. </w:t>
      </w:r>
    </w:p>
    <w:p w14:paraId="5EE092BA" w14:textId="77777777" w:rsidR="009A5161" w:rsidRDefault="009A5161" w:rsidP="009A5161">
      <w:pPr>
        <w:pStyle w:val="a9"/>
        <w:spacing w:line="360" w:lineRule="auto"/>
        <w:jc w:val="both"/>
      </w:pPr>
    </w:p>
    <w:p w14:paraId="6869C056" w14:textId="77777777" w:rsidR="009A5161" w:rsidRDefault="009A5161" w:rsidP="009A5161">
      <w:pPr>
        <w:pStyle w:val="a9"/>
        <w:numPr>
          <w:ilvl w:val="0"/>
          <w:numId w:val="1"/>
        </w:numPr>
        <w:spacing w:line="360" w:lineRule="auto"/>
        <w:jc w:val="both"/>
      </w:pPr>
      <w:r>
        <w:rPr>
          <w:rFonts w:hint="cs"/>
          <w:rtl/>
        </w:rPr>
        <w:t xml:space="preserve">אכן, כדברי הסניגורית, עיון בפסיקה שהגישו הצדדים מלמד על כך שבשני מקרים לפחות שבהם הוחזקו כמויות גדולות של סמים מסוגים מקבילים לזה שבתיק שבפניי נקבעו מתחמי ענישה שברף התחתון שלהם 8 או 9 חודשי מאסר בפועל. ואולם, בשני המקרים מדובר היה בכמויות קטנות משמעותית מזו שבתיק שלפניי. באחד המקרים 1.66 ק"ג        (כ-30% מהכמות בתיק שבפניי) ובתיק השני 2.5 ק"ג (פחות ממחצית הכמות בתיק שבפניי). יתר על כן, בשני המקרים מדובר בעבירות שנעברו זמן משמעותי לפני שנעברה העבירה שנדונה בתיק שבפניי. חשיבותה של עובדה זו נעוצה בכך שבתי המשפט התחשבו בעבר בכך שמדובר ב"סמים חדשים" כנימוק להקלה בעונש, וכעת, כאשר הסמים כבר אינם חדשים, אין מקום עוד להתחשב בשיקולים אלה. </w:t>
      </w:r>
    </w:p>
    <w:p w14:paraId="3C048A1F" w14:textId="77777777" w:rsidR="009A5161" w:rsidRDefault="009A5161" w:rsidP="009A5161">
      <w:pPr>
        <w:pStyle w:val="a9"/>
        <w:rPr>
          <w:rtl/>
        </w:rPr>
      </w:pPr>
    </w:p>
    <w:p w14:paraId="153389CD" w14:textId="77777777" w:rsidR="009A5161" w:rsidRDefault="009A5161" w:rsidP="009A5161">
      <w:pPr>
        <w:pStyle w:val="a9"/>
        <w:numPr>
          <w:ilvl w:val="0"/>
          <w:numId w:val="1"/>
        </w:numPr>
        <w:spacing w:line="360" w:lineRule="auto"/>
        <w:jc w:val="both"/>
      </w:pPr>
      <w:r>
        <w:rPr>
          <w:rFonts w:hint="cs"/>
          <w:rtl/>
        </w:rPr>
        <w:t>בהתחשב בסוג הסם שהוחזק, בכמותו ובכך שהיה צמוד אליו ארגז של "שקיות חלוקה", שמהן ניתן ללמוד על כוונה להפצה מסחרית של הסמים, וכן ברמת הענישה הנוהגת כפי שתוארה לעיל, בהתאמות המתחייבות מכך שלא ניתן עוד לטעון שמדובר ב"סם חדש", אני קובע כי מתחם העונש ההולם נע בין 13 ל-30 חודשי מאסר בפועל.</w:t>
      </w:r>
    </w:p>
    <w:p w14:paraId="753A3C56" w14:textId="77777777" w:rsidR="009A5161" w:rsidRDefault="009A5161" w:rsidP="009A5161">
      <w:pPr>
        <w:pStyle w:val="a9"/>
        <w:rPr>
          <w:rtl/>
        </w:rPr>
      </w:pPr>
    </w:p>
    <w:p w14:paraId="5629984A" w14:textId="77777777" w:rsidR="009A5161" w:rsidRDefault="009A5161" w:rsidP="009A5161">
      <w:pPr>
        <w:pStyle w:val="a9"/>
        <w:rPr>
          <w:rtl/>
        </w:rPr>
      </w:pPr>
    </w:p>
    <w:p w14:paraId="14C44233" w14:textId="77777777" w:rsidR="009A5161" w:rsidRDefault="009A5161" w:rsidP="009A5161">
      <w:pPr>
        <w:pStyle w:val="a9"/>
        <w:rPr>
          <w:rtl/>
        </w:rPr>
      </w:pPr>
    </w:p>
    <w:p w14:paraId="482C66E8" w14:textId="77777777" w:rsidR="009A5161" w:rsidRDefault="009A5161" w:rsidP="009A5161">
      <w:pPr>
        <w:pStyle w:val="a9"/>
        <w:rPr>
          <w:rtl/>
        </w:rPr>
      </w:pPr>
    </w:p>
    <w:p w14:paraId="6A74BDF3" w14:textId="77777777" w:rsidR="009A5161" w:rsidRDefault="009A5161" w:rsidP="009A5161">
      <w:pPr>
        <w:pStyle w:val="a9"/>
        <w:numPr>
          <w:ilvl w:val="0"/>
          <w:numId w:val="1"/>
        </w:numPr>
        <w:spacing w:line="360" w:lineRule="auto"/>
        <w:jc w:val="both"/>
      </w:pPr>
      <w:r>
        <w:rPr>
          <w:rFonts w:hint="cs"/>
          <w:rtl/>
        </w:rPr>
        <w:t xml:space="preserve"> התביעה הגישה במסגרת הטיעונים לעונש את גיליון הרישום הפלילי של הנאשם. המלמד כי לחובת הנאשם הרשעה אחת בגין עבירות של איומים והתנגדות למעצר שנעברו לפני 6 שנים. בנסיבות אלה ביקש התובע שעונשו של הנאשם ימוקם בשליש התחתון של מתחם העונש ההולם. בצד המאסר בפועל ביקש התובע שיגזרו על הנאשם עונשי מאסר על תנאי וקנס. התובע ביקש שהנאשם יוכרז כסוחר סמים, ויחולטו הכסף ומכשירי הטלפון שנתפסו ברשותו בעת תפיסת הסמים. </w:t>
      </w:r>
    </w:p>
    <w:p w14:paraId="1BA81428" w14:textId="77777777" w:rsidR="009A5161" w:rsidRDefault="009A5161" w:rsidP="009A5161">
      <w:pPr>
        <w:pStyle w:val="a9"/>
        <w:spacing w:line="360" w:lineRule="auto"/>
        <w:jc w:val="both"/>
      </w:pPr>
    </w:p>
    <w:p w14:paraId="1A1A0632" w14:textId="77777777" w:rsidR="009A5161" w:rsidRDefault="009A5161" w:rsidP="009A5161">
      <w:pPr>
        <w:pStyle w:val="a9"/>
        <w:numPr>
          <w:ilvl w:val="0"/>
          <w:numId w:val="1"/>
        </w:numPr>
        <w:spacing w:line="360" w:lineRule="auto"/>
        <w:jc w:val="both"/>
      </w:pPr>
      <w:r>
        <w:rPr>
          <w:rFonts w:hint="cs"/>
          <w:rtl/>
        </w:rPr>
        <w:t>ההגנה לא הגישה ראיות כלשהן לעניין העונש. הנאשם לא העיד לעניין העונש, ואף לא אמר דברים כלשהם במסגרת "דברו האחרון של הנאשם". הסניגורית ציינה שהנאשם בן 33 ומשתתף בגידול בתו בת ה-8 שחיה עם אמה (הנאשם והאם אינם בני זוג). הסניגורית הדגישה כי אין לחובת הנאשם עבר פלילי רלוונטי ושהוא מנהל אורח חיים נורמטיבי בדרך כלל. לטענת הסניגורית, הנאשם "הצר על מעורבותו בסיפור כמעט כל יום. למד את הלקח והפנים את המסר. הוא מבין הכל" (עם זאת, כאמור לעיל, הנאשם עצמו בחר שלא לומר בפניי דברים כלשהם). הסניגורית ביקשה למקם את עונשו של הנאשם בתחתית מתחם העונש ההולם. כאמור לעיל, הסניגורית לא טענה כי לפגמים בחוקיות החיפושים שערכו השוטרים צריכה להיות השפעה על עונשו של הנאשם.</w:t>
      </w:r>
    </w:p>
    <w:p w14:paraId="736C6076" w14:textId="77777777" w:rsidR="009A5161" w:rsidRDefault="009A5161" w:rsidP="009A5161">
      <w:pPr>
        <w:pStyle w:val="a9"/>
        <w:rPr>
          <w:rtl/>
        </w:rPr>
      </w:pPr>
    </w:p>
    <w:p w14:paraId="1FBD86D4" w14:textId="77777777" w:rsidR="009A5161" w:rsidRDefault="009A5161" w:rsidP="009A5161">
      <w:pPr>
        <w:pStyle w:val="a9"/>
        <w:numPr>
          <w:ilvl w:val="0"/>
          <w:numId w:val="1"/>
        </w:numPr>
        <w:spacing w:line="360" w:lineRule="auto"/>
        <w:jc w:val="both"/>
      </w:pPr>
      <w:r>
        <w:rPr>
          <w:rFonts w:hint="cs"/>
          <w:rtl/>
        </w:rPr>
        <w:t xml:space="preserve"> אני מוצא כי הנסיבה החשובה ביותר בקביעת עונשו של הנאשם בתוך מתחם העונש ההולם היא היעדרו של עבר פלילי רלוונטי. אינני מוצא פגם בכך שהנאשם ניהל הוכחות ולא העיד במשפט. ניהול ההוכחות היה מוצדק, והנאשם לא העיד בשל קושי להעיד מבלי להפליל את עצמו בהחזקת הסמים, שביקש לפסול אותם כראיה בשל אופן מציאתם. אילו היה הנאשם מביע בפניי בדברו האחרון (כשאינו חשוף לחקירה נגדית) חרטה על מעשיו, הייתי גוזר עליו עונש בתחתית המתחם ממש. אינני יכול לראות בדבריה של הסניגורית בטיעונים לעונש כתחליף לביטוי של הפנמת אחריות מפיו של הנאשם, ולכן אגזור על הנאשם עונש הקרוב לתחתית המתחם, אך לא בתחתית ממש.</w:t>
      </w:r>
    </w:p>
    <w:p w14:paraId="44EA4583" w14:textId="77777777" w:rsidR="009A5161" w:rsidRDefault="009A5161" w:rsidP="009A5161">
      <w:pPr>
        <w:pStyle w:val="a9"/>
        <w:rPr>
          <w:rtl/>
        </w:rPr>
      </w:pPr>
    </w:p>
    <w:p w14:paraId="6A798BE7" w14:textId="77777777" w:rsidR="009A5161" w:rsidRDefault="009A5161" w:rsidP="009A5161">
      <w:pPr>
        <w:pStyle w:val="a9"/>
        <w:numPr>
          <w:ilvl w:val="0"/>
          <w:numId w:val="1"/>
        </w:numPr>
        <w:spacing w:line="360" w:lineRule="auto"/>
        <w:jc w:val="both"/>
      </w:pPr>
      <w:r>
        <w:rPr>
          <w:rFonts w:hint="cs"/>
          <w:rtl/>
        </w:rPr>
        <w:t>לנוכח האמור לעיל, אני גוזר על הנאשם את העונשים הבאים:</w:t>
      </w:r>
    </w:p>
    <w:p w14:paraId="53F90A8A" w14:textId="77777777" w:rsidR="009A5161" w:rsidRDefault="009A5161" w:rsidP="009A5161">
      <w:pPr>
        <w:pStyle w:val="a9"/>
        <w:rPr>
          <w:rtl/>
        </w:rPr>
      </w:pPr>
    </w:p>
    <w:p w14:paraId="14162002" w14:textId="77777777" w:rsidR="009A5161" w:rsidRDefault="009A5161" w:rsidP="009A5161">
      <w:pPr>
        <w:pStyle w:val="a9"/>
        <w:numPr>
          <w:ilvl w:val="0"/>
          <w:numId w:val="2"/>
        </w:numPr>
        <w:spacing w:line="360" w:lineRule="auto"/>
        <w:jc w:val="both"/>
      </w:pPr>
      <w:r>
        <w:rPr>
          <w:rFonts w:hint="cs"/>
          <w:rtl/>
        </w:rPr>
        <w:t>14 חודשי מאסר בפועל בניכוי חמשת ימי מעצרו.</w:t>
      </w:r>
    </w:p>
    <w:p w14:paraId="2FD6B855" w14:textId="77777777" w:rsidR="009A5161" w:rsidRDefault="009A5161" w:rsidP="009A5161">
      <w:pPr>
        <w:pStyle w:val="a9"/>
        <w:numPr>
          <w:ilvl w:val="0"/>
          <w:numId w:val="2"/>
        </w:numPr>
        <w:spacing w:line="360" w:lineRule="auto"/>
        <w:jc w:val="both"/>
      </w:pPr>
      <w:r>
        <w:rPr>
          <w:rFonts w:hint="cs"/>
          <w:rtl/>
        </w:rPr>
        <w:t>12 חודשי מאסר על תנאי לשלוש שנים שלא ישוב ויעבור עבירת סמים שהיא פשע.</w:t>
      </w:r>
    </w:p>
    <w:p w14:paraId="5B6A52EB" w14:textId="77777777" w:rsidR="009A5161" w:rsidRDefault="009A5161" w:rsidP="009A5161">
      <w:pPr>
        <w:pStyle w:val="a9"/>
        <w:numPr>
          <w:ilvl w:val="0"/>
          <w:numId w:val="2"/>
        </w:numPr>
        <w:spacing w:line="360" w:lineRule="auto"/>
        <w:jc w:val="both"/>
      </w:pPr>
      <w:r>
        <w:rPr>
          <w:rFonts w:hint="cs"/>
          <w:rtl/>
        </w:rPr>
        <w:t xml:space="preserve">5,000 ₪ קנס או 20 ימי מאסר תמורתו. הקנס ישולם ב-10 תשלומים חודשיים, שווים ורצופים החל ביום 1.9.2021. </w:t>
      </w:r>
    </w:p>
    <w:p w14:paraId="18FBEA80" w14:textId="77777777" w:rsidR="009A5161" w:rsidRDefault="009A5161" w:rsidP="009A5161">
      <w:pPr>
        <w:spacing w:line="360" w:lineRule="auto"/>
        <w:jc w:val="both"/>
        <w:rPr>
          <w:rtl/>
        </w:rPr>
      </w:pPr>
    </w:p>
    <w:p w14:paraId="135FDDE9" w14:textId="77777777" w:rsidR="009A5161" w:rsidRDefault="009A5161" w:rsidP="009A5161">
      <w:pPr>
        <w:pStyle w:val="a9"/>
        <w:numPr>
          <w:ilvl w:val="0"/>
          <w:numId w:val="1"/>
        </w:numPr>
        <w:spacing w:line="360" w:lineRule="auto"/>
        <w:jc w:val="both"/>
      </w:pPr>
      <w:r>
        <w:rPr>
          <w:rFonts w:hint="cs"/>
          <w:rtl/>
        </w:rPr>
        <w:t xml:space="preserve">בהתאם להוראות </w:t>
      </w:r>
      <w:hyperlink r:id="rId23" w:history="1">
        <w:r w:rsidR="006D5685" w:rsidRPr="006D5685">
          <w:rPr>
            <w:rStyle w:val="Hyperlink"/>
            <w:rFonts w:hint="eastAsia"/>
            <w:rtl/>
          </w:rPr>
          <w:t>סעיף</w:t>
        </w:r>
        <w:r w:rsidR="006D5685" w:rsidRPr="006D5685">
          <w:rPr>
            <w:rStyle w:val="Hyperlink"/>
            <w:rtl/>
          </w:rPr>
          <w:t xml:space="preserve"> 36א</w:t>
        </w:r>
      </w:hyperlink>
      <w:r>
        <w:rPr>
          <w:rFonts w:hint="cs"/>
          <w:rtl/>
        </w:rPr>
        <w:t xml:space="preserve"> ל</w:t>
      </w:r>
      <w:hyperlink r:id="rId24" w:history="1">
        <w:r w:rsidR="00B46CB9" w:rsidRPr="00B46CB9">
          <w:rPr>
            <w:color w:val="0000FF"/>
            <w:u w:val="single"/>
            <w:rtl/>
          </w:rPr>
          <w:t>פקודת הסמים המסוכנים</w:t>
        </w:r>
      </w:hyperlink>
      <w:r>
        <w:rPr>
          <w:rFonts w:hint="cs"/>
          <w:rtl/>
        </w:rPr>
        <w:t xml:space="preserve"> [נוסח חדש], תשל"ג-1973 והחזקה הקבועה </w:t>
      </w:r>
      <w:hyperlink r:id="rId25" w:history="1">
        <w:r w:rsidR="006D5685" w:rsidRPr="006D5685">
          <w:rPr>
            <w:rStyle w:val="Hyperlink"/>
            <w:rFonts w:hint="eastAsia"/>
            <w:rtl/>
          </w:rPr>
          <w:t>בסעיף</w:t>
        </w:r>
        <w:r w:rsidR="006D5685" w:rsidRPr="006D5685">
          <w:rPr>
            <w:rStyle w:val="Hyperlink"/>
            <w:rtl/>
          </w:rPr>
          <w:t xml:space="preserve"> 31(6)</w:t>
        </w:r>
      </w:hyperlink>
      <w:r>
        <w:rPr>
          <w:rFonts w:hint="cs"/>
          <w:rtl/>
        </w:rPr>
        <w:t xml:space="preserve"> לפקודה, אני מכריז על הנאשם כסוחר סמים, ומורה לחלט את הכסף שנתפס ברשותו. הואיל והטלפונים שנתפסו נראים כחסרי ערך כספי רב ולפי מה שנמסר לי לא נמצאו ראיות לכך שנעשה בהם שימוש לצורך ביצוע העבירה, אני מורה להחזירם לנאשם. </w:t>
      </w:r>
    </w:p>
    <w:p w14:paraId="5FD0E9F7" w14:textId="77777777" w:rsidR="009A5161" w:rsidRDefault="009A5161" w:rsidP="009A5161">
      <w:pPr>
        <w:pStyle w:val="a9"/>
        <w:numPr>
          <w:ilvl w:val="0"/>
          <w:numId w:val="1"/>
        </w:numPr>
        <w:spacing w:line="360" w:lineRule="auto"/>
        <w:jc w:val="both"/>
      </w:pPr>
      <w:r>
        <w:rPr>
          <w:rFonts w:hint="cs"/>
          <w:rtl/>
        </w:rPr>
        <w:t>אני מורה להשמיד את הסמים ושקיות החלוקה שנתפסו.</w:t>
      </w:r>
    </w:p>
    <w:p w14:paraId="6CAC9D04" w14:textId="77777777" w:rsidR="009A5161" w:rsidRDefault="009A5161" w:rsidP="009A5161">
      <w:pPr>
        <w:spacing w:line="360" w:lineRule="auto"/>
        <w:ind w:left="360"/>
        <w:jc w:val="both"/>
        <w:rPr>
          <w:rtl/>
        </w:rPr>
      </w:pPr>
    </w:p>
    <w:p w14:paraId="35109F0F" w14:textId="77777777" w:rsidR="009A5161" w:rsidRPr="00EB6843" w:rsidRDefault="009A5161" w:rsidP="009A5161">
      <w:pPr>
        <w:spacing w:line="360" w:lineRule="auto"/>
        <w:ind w:left="360"/>
        <w:jc w:val="both"/>
        <w:rPr>
          <w:rtl/>
        </w:rPr>
      </w:pPr>
      <w:r>
        <w:rPr>
          <w:rFonts w:hint="cs"/>
          <w:rtl/>
        </w:rPr>
        <w:t xml:space="preserve">זכות ערעור לבית המשפט המחוזי בתוך 45 יום.          </w:t>
      </w:r>
      <w:r w:rsidRPr="00EB6843">
        <w:rPr>
          <w:rFonts w:hint="cs"/>
          <w:rtl/>
        </w:rPr>
        <w:t xml:space="preserve">  </w:t>
      </w:r>
    </w:p>
    <w:p w14:paraId="59B2DEFC" w14:textId="77777777" w:rsidR="009A5161" w:rsidRPr="00B05847" w:rsidRDefault="009A5161" w:rsidP="009A5161">
      <w:pPr>
        <w:rPr>
          <w:rtl/>
        </w:rPr>
      </w:pPr>
    </w:p>
    <w:p w14:paraId="3E214FE6" w14:textId="77777777" w:rsidR="009A5161" w:rsidRPr="00B46CB9" w:rsidRDefault="00B46CB9" w:rsidP="009A5161">
      <w:pPr>
        <w:rPr>
          <w:color w:val="FFFFFF"/>
          <w:sz w:val="2"/>
          <w:szCs w:val="2"/>
          <w:rtl/>
        </w:rPr>
      </w:pPr>
      <w:r w:rsidRPr="00B46CB9">
        <w:rPr>
          <w:color w:val="FFFFFF"/>
          <w:sz w:val="2"/>
          <w:szCs w:val="2"/>
          <w:rtl/>
        </w:rPr>
        <w:t>5129371</w:t>
      </w:r>
    </w:p>
    <w:p w14:paraId="1F03090B" w14:textId="77777777" w:rsidR="009A5161" w:rsidRPr="00250B83" w:rsidRDefault="00B46CB9" w:rsidP="009A5161">
      <w:pPr>
        <w:rPr>
          <w:rtl/>
        </w:rPr>
      </w:pPr>
      <w:bookmarkStart w:id="10" w:name="Nitan"/>
      <w:r w:rsidRPr="00B46CB9">
        <w:rPr>
          <w:rFonts w:ascii="Arial" w:hAnsi="Arial"/>
          <w:color w:val="FFFFFF"/>
          <w:sz w:val="2"/>
          <w:szCs w:val="2"/>
          <w:rtl/>
        </w:rPr>
        <w:t>54678313</w:t>
      </w:r>
      <w:r>
        <w:rPr>
          <w:rFonts w:ascii="Arial" w:hAnsi="Arial"/>
          <w:rtl/>
        </w:rPr>
        <w:t xml:space="preserve">ניתן היום, 7 ביוני 2020, בנוכחות הצדדים. </w:t>
      </w:r>
      <w:bookmarkEnd w:id="10"/>
    </w:p>
    <w:p w14:paraId="527EA058" w14:textId="77777777" w:rsidR="009A5161" w:rsidRPr="00250B83" w:rsidRDefault="009A5161" w:rsidP="00B46CB9">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EDA3665" w14:textId="77777777" w:rsidR="009A5161" w:rsidRPr="00250B83" w:rsidRDefault="009A5161" w:rsidP="009A5161">
      <w:pPr>
        <w:jc w:val="center"/>
        <w:rPr>
          <w:rFonts w:ascii="Arial" w:hAnsi="Arial"/>
          <w:rtl/>
        </w:rPr>
      </w:pPr>
    </w:p>
    <w:p w14:paraId="7465A624" w14:textId="77777777" w:rsidR="009A5161" w:rsidRPr="00250B83" w:rsidRDefault="009A5161" w:rsidP="009A5161">
      <w:pPr>
        <w:rPr>
          <w:rtl/>
        </w:rPr>
      </w:pPr>
    </w:p>
    <w:p w14:paraId="7AA3B108" w14:textId="77777777" w:rsidR="009A5161" w:rsidRDefault="009A5161" w:rsidP="009A5161">
      <w:pPr>
        <w:pStyle w:val="a3"/>
        <w:jc w:val="center"/>
        <w:rPr>
          <w:rtl/>
        </w:rPr>
      </w:pPr>
    </w:p>
    <w:p w14:paraId="74CB66C8" w14:textId="77777777" w:rsidR="00E4050A" w:rsidRPr="00B46CB9" w:rsidRDefault="00E4050A" w:rsidP="00B46CB9">
      <w:pPr>
        <w:keepNext/>
        <w:rPr>
          <w:rFonts w:ascii="David" w:hAnsi="David"/>
          <w:color w:val="000000"/>
          <w:sz w:val="22"/>
          <w:szCs w:val="22"/>
          <w:rtl/>
        </w:rPr>
      </w:pPr>
    </w:p>
    <w:p w14:paraId="3A32EFA2" w14:textId="77777777" w:rsidR="00B46CB9" w:rsidRPr="00B46CB9" w:rsidRDefault="00B46CB9" w:rsidP="00B46CB9">
      <w:pPr>
        <w:keepNext/>
        <w:rPr>
          <w:rFonts w:ascii="David" w:hAnsi="David"/>
          <w:color w:val="000000"/>
          <w:sz w:val="22"/>
          <w:szCs w:val="22"/>
          <w:rtl/>
        </w:rPr>
      </w:pPr>
      <w:r w:rsidRPr="00B46CB9">
        <w:rPr>
          <w:rFonts w:ascii="David" w:hAnsi="David"/>
          <w:color w:val="000000"/>
          <w:sz w:val="22"/>
          <w:szCs w:val="22"/>
          <w:rtl/>
        </w:rPr>
        <w:t>איתי הרמלין 54678313</w:t>
      </w:r>
    </w:p>
    <w:p w14:paraId="4F1FDFC2" w14:textId="77777777" w:rsidR="00B46CB9" w:rsidRDefault="00B46CB9" w:rsidP="00B46CB9">
      <w:r w:rsidRPr="00B46CB9">
        <w:rPr>
          <w:color w:val="000000"/>
          <w:rtl/>
        </w:rPr>
        <w:t>נוסח מסמך זה כפוף לשינויי ניסוח ועריכה</w:t>
      </w:r>
    </w:p>
    <w:p w14:paraId="14D80160" w14:textId="77777777" w:rsidR="00B46CB9" w:rsidRDefault="00B46CB9" w:rsidP="00B46CB9">
      <w:pPr>
        <w:rPr>
          <w:rtl/>
        </w:rPr>
      </w:pPr>
    </w:p>
    <w:p w14:paraId="3DB988EE" w14:textId="77777777" w:rsidR="00B46CB9" w:rsidRDefault="00B46CB9" w:rsidP="00B46CB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11C6F020" w14:textId="77777777" w:rsidR="00B46CB9" w:rsidRPr="00B46CB9" w:rsidRDefault="00B46CB9" w:rsidP="00B46CB9">
      <w:pPr>
        <w:jc w:val="center"/>
        <w:rPr>
          <w:color w:val="0000FF"/>
          <w:u w:val="single"/>
        </w:rPr>
      </w:pPr>
    </w:p>
    <w:sectPr w:rsidR="00B46CB9" w:rsidRPr="00B46CB9" w:rsidSect="00B46CB9">
      <w:headerReference w:type="even" r:id="rId27"/>
      <w:headerReference w:type="default" r:id="rId28"/>
      <w:footerReference w:type="even" r:id="rId29"/>
      <w:footerReference w:type="default" r:id="rId3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85D89" w14:textId="77777777" w:rsidR="004B5F1A" w:rsidRDefault="004B5F1A" w:rsidP="0064254B">
      <w:r>
        <w:separator/>
      </w:r>
    </w:p>
  </w:endnote>
  <w:endnote w:type="continuationSeparator" w:id="0">
    <w:p w14:paraId="4E70D7C7" w14:textId="77777777" w:rsidR="004B5F1A" w:rsidRDefault="004B5F1A" w:rsidP="00642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BB46" w14:textId="77777777" w:rsidR="00B46CB9" w:rsidRDefault="00B46CB9" w:rsidP="00B46C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A03C15" w14:textId="77777777" w:rsidR="00796528" w:rsidRPr="00B46CB9" w:rsidRDefault="00B46CB9" w:rsidP="00B46CB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F68EC" w14:textId="77777777" w:rsidR="00B46CB9" w:rsidRDefault="00B46CB9" w:rsidP="00B46C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1365">
      <w:rPr>
        <w:rFonts w:ascii="FrankRuehl" w:hAnsi="FrankRuehl" w:cs="FrankRuehl"/>
        <w:noProof/>
        <w:rtl/>
      </w:rPr>
      <w:t>1</w:t>
    </w:r>
    <w:r>
      <w:rPr>
        <w:rFonts w:ascii="FrankRuehl" w:hAnsi="FrankRuehl" w:cs="FrankRuehl"/>
        <w:rtl/>
      </w:rPr>
      <w:fldChar w:fldCharType="end"/>
    </w:r>
  </w:p>
  <w:p w14:paraId="1188E760" w14:textId="77777777" w:rsidR="00796528" w:rsidRPr="00B46CB9" w:rsidRDefault="00B46CB9" w:rsidP="00B46CB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664D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306C1" w14:textId="77777777" w:rsidR="004B5F1A" w:rsidRDefault="004B5F1A" w:rsidP="0064254B">
      <w:r>
        <w:separator/>
      </w:r>
    </w:p>
  </w:footnote>
  <w:footnote w:type="continuationSeparator" w:id="0">
    <w:p w14:paraId="66F91C74" w14:textId="77777777" w:rsidR="004B5F1A" w:rsidRDefault="004B5F1A" w:rsidP="00642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B1917" w14:textId="77777777" w:rsidR="00B46CB9" w:rsidRPr="00B46CB9" w:rsidRDefault="00B46CB9" w:rsidP="00B46C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37780-12-18</w:t>
    </w:r>
    <w:r>
      <w:rPr>
        <w:rFonts w:ascii="David" w:hAnsi="David"/>
        <w:color w:val="000000"/>
        <w:sz w:val="22"/>
        <w:szCs w:val="22"/>
        <w:rtl/>
      </w:rPr>
      <w:tab/>
      <w:t xml:space="preserve"> מדינת ישראל נ' אמיר משאיך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75B10" w14:textId="77777777" w:rsidR="00B46CB9" w:rsidRPr="00B46CB9" w:rsidRDefault="00B46CB9" w:rsidP="00B46C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37780-12-18</w:t>
    </w:r>
    <w:r>
      <w:rPr>
        <w:rFonts w:ascii="David" w:hAnsi="David"/>
        <w:color w:val="000000"/>
        <w:sz w:val="22"/>
        <w:szCs w:val="22"/>
        <w:rtl/>
      </w:rPr>
      <w:tab/>
      <w:t xml:space="preserve"> מדינת ישראל נ' אמיר משאיך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8580D"/>
    <w:multiLevelType w:val="hybridMultilevel"/>
    <w:tmpl w:val="8DD0CA10"/>
    <w:lvl w:ilvl="0" w:tplc="843466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A0C0C"/>
    <w:multiLevelType w:val="hybridMultilevel"/>
    <w:tmpl w:val="FB7C4BB6"/>
    <w:lvl w:ilvl="0" w:tplc="2CC26A6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4805776">
    <w:abstractNumId w:val="0"/>
  </w:num>
  <w:num w:numId="2" w16cid:durableId="1225219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5161"/>
    <w:rsid w:val="00186C47"/>
    <w:rsid w:val="001E10F1"/>
    <w:rsid w:val="002D1365"/>
    <w:rsid w:val="004975CC"/>
    <w:rsid w:val="004B5F1A"/>
    <w:rsid w:val="00536335"/>
    <w:rsid w:val="005363D8"/>
    <w:rsid w:val="0064254B"/>
    <w:rsid w:val="006D5685"/>
    <w:rsid w:val="00776A4D"/>
    <w:rsid w:val="00796528"/>
    <w:rsid w:val="009A5161"/>
    <w:rsid w:val="00A159B5"/>
    <w:rsid w:val="00B46CB9"/>
    <w:rsid w:val="00BC3FA5"/>
    <w:rsid w:val="00C101B5"/>
    <w:rsid w:val="00C250AF"/>
    <w:rsid w:val="00C501AB"/>
    <w:rsid w:val="00D52FC4"/>
    <w:rsid w:val="00E31F30"/>
    <w:rsid w:val="00E4050A"/>
    <w:rsid w:val="00F71B70"/>
    <w:rsid w:val="00FB75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C41950"/>
  <w15:chartTrackingRefBased/>
  <w15:docId w15:val="{AF66CC91-942C-46D3-9479-725C5C55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516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5161"/>
    <w:pPr>
      <w:tabs>
        <w:tab w:val="center" w:pos="4153"/>
        <w:tab w:val="right" w:pos="8306"/>
      </w:tabs>
    </w:pPr>
    <w:rPr>
      <w:rFonts w:cs="Times New Roman"/>
      <w:lang w:val="x-none" w:eastAsia="x-none"/>
    </w:rPr>
  </w:style>
  <w:style w:type="character" w:customStyle="1" w:styleId="a4">
    <w:name w:val="כותרת עליונה תו"/>
    <w:link w:val="a3"/>
    <w:rsid w:val="009A5161"/>
    <w:rPr>
      <w:rFonts w:ascii="Times New Roman" w:eastAsia="Times New Roman" w:hAnsi="Times New Roman" w:cs="David"/>
      <w:sz w:val="24"/>
      <w:szCs w:val="24"/>
    </w:rPr>
  </w:style>
  <w:style w:type="paragraph" w:styleId="a5">
    <w:name w:val="footer"/>
    <w:basedOn w:val="a"/>
    <w:link w:val="a6"/>
    <w:rsid w:val="009A5161"/>
    <w:pPr>
      <w:tabs>
        <w:tab w:val="center" w:pos="4153"/>
        <w:tab w:val="right" w:pos="8306"/>
      </w:tabs>
    </w:pPr>
    <w:rPr>
      <w:rFonts w:cs="Times New Roman"/>
      <w:lang w:val="x-none" w:eastAsia="x-none"/>
    </w:rPr>
  </w:style>
  <w:style w:type="character" w:customStyle="1" w:styleId="a6">
    <w:name w:val="כותרת תחתונה תו"/>
    <w:link w:val="a5"/>
    <w:rsid w:val="009A5161"/>
    <w:rPr>
      <w:rFonts w:ascii="Times New Roman" w:eastAsia="Times New Roman" w:hAnsi="Times New Roman" w:cs="David"/>
      <w:sz w:val="24"/>
      <w:szCs w:val="24"/>
    </w:rPr>
  </w:style>
  <w:style w:type="table" w:styleId="a7">
    <w:name w:val="Table Grid"/>
    <w:basedOn w:val="a1"/>
    <w:rsid w:val="009A516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A5161"/>
  </w:style>
  <w:style w:type="paragraph" w:styleId="a9">
    <w:name w:val="List Paragraph"/>
    <w:basedOn w:val="a"/>
    <w:qFormat/>
    <w:rsid w:val="009A5161"/>
    <w:pPr>
      <w:ind w:left="720"/>
      <w:contextualSpacing/>
    </w:pPr>
  </w:style>
  <w:style w:type="character" w:styleId="Hyperlink">
    <w:name w:val="Hyperlink"/>
    <w:rsid w:val="00B46C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8569/12" TargetMode="External"/><Relationship Id="rId13" Type="http://schemas.openxmlformats.org/officeDocument/2006/relationships/hyperlink" Target="http://www.nevo.co.il/law/98569/12" TargetMode="External"/><Relationship Id="rId18" Type="http://schemas.openxmlformats.org/officeDocument/2006/relationships/hyperlink" Target="http://www.nevo.co.il/case/20443128"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1882858" TargetMode="External"/><Relationship Id="rId7" Type="http://schemas.openxmlformats.org/officeDocument/2006/relationships/hyperlink" Target="http://www.nevo.co.il/law/98569" TargetMode="External"/><Relationship Id="rId12" Type="http://schemas.openxmlformats.org/officeDocument/2006/relationships/hyperlink" Target="http://www.nevo.co.il/law/4216/36a" TargetMode="External"/><Relationship Id="rId17" Type="http://schemas.openxmlformats.org/officeDocument/2006/relationships/hyperlink" Target="http://www.nevo.co.il/case/25463674" TargetMode="External"/><Relationship Id="rId25" Type="http://schemas.openxmlformats.org/officeDocument/2006/relationships/hyperlink" Target="http://www.nevo.co.il/law/4216/31.6" TargetMode="External"/><Relationship Id="rId2" Type="http://schemas.openxmlformats.org/officeDocument/2006/relationships/styles" Target="styles.xml"/><Relationship Id="rId16" Type="http://schemas.openxmlformats.org/officeDocument/2006/relationships/hyperlink" Target="http://www.nevo.co.il/case/24971990" TargetMode="External"/><Relationship Id="rId20" Type="http://schemas.openxmlformats.org/officeDocument/2006/relationships/hyperlink" Target="http://www.nevo.co.il/law/12762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1.6"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safrut/bookgroup/3985" TargetMode="External"/><Relationship Id="rId23" Type="http://schemas.openxmlformats.org/officeDocument/2006/relationships/hyperlink" Target="http://www.nevo.co.il/law/4216/36a" TargetMode="External"/><Relationship Id="rId28"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2029798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127622" TargetMode="External"/><Relationship Id="rId14" Type="http://schemas.openxmlformats.org/officeDocument/2006/relationships/hyperlink" Target="http://www.nevo.co.il/law/98569" TargetMode="External"/><Relationship Id="rId22" Type="http://schemas.openxmlformats.org/officeDocument/2006/relationships/hyperlink" Target="http://www.nevo.co.il/case/20011387"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1746</Words>
  <Characters>8733</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10459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6488187</vt:i4>
      </vt:variant>
      <vt:variant>
        <vt:i4>57</vt:i4>
      </vt:variant>
      <vt:variant>
        <vt:i4>0</vt:i4>
      </vt:variant>
      <vt:variant>
        <vt:i4>5</vt:i4>
      </vt:variant>
      <vt:variant>
        <vt:lpwstr>http://www.nevo.co.il/law/4216/31.6</vt:lpwstr>
      </vt:variant>
      <vt:variant>
        <vt:lpwstr/>
      </vt:variant>
      <vt:variant>
        <vt:i4>8257637</vt:i4>
      </vt:variant>
      <vt:variant>
        <vt:i4>54</vt:i4>
      </vt:variant>
      <vt:variant>
        <vt:i4>0</vt:i4>
      </vt:variant>
      <vt:variant>
        <vt:i4>5</vt:i4>
      </vt:variant>
      <vt:variant>
        <vt:lpwstr>http://www.nevo.co.il/law/4216</vt:lpwstr>
      </vt:variant>
      <vt:variant>
        <vt:lpwstr/>
      </vt:variant>
      <vt:variant>
        <vt:i4>2883708</vt:i4>
      </vt:variant>
      <vt:variant>
        <vt:i4>51</vt:i4>
      </vt:variant>
      <vt:variant>
        <vt:i4>0</vt:i4>
      </vt:variant>
      <vt:variant>
        <vt:i4>5</vt:i4>
      </vt:variant>
      <vt:variant>
        <vt:lpwstr>http://www.nevo.co.il/law/4216/36a</vt:lpwstr>
      </vt:variant>
      <vt:variant>
        <vt:lpwstr/>
      </vt:variant>
      <vt:variant>
        <vt:i4>3866742</vt:i4>
      </vt:variant>
      <vt:variant>
        <vt:i4>48</vt:i4>
      </vt:variant>
      <vt:variant>
        <vt:i4>0</vt:i4>
      </vt:variant>
      <vt:variant>
        <vt:i4>5</vt:i4>
      </vt:variant>
      <vt:variant>
        <vt:lpwstr>http://www.nevo.co.il/case/20011387</vt:lpwstr>
      </vt:variant>
      <vt:variant>
        <vt:lpwstr/>
      </vt:variant>
      <vt:variant>
        <vt:i4>3997813</vt:i4>
      </vt:variant>
      <vt:variant>
        <vt:i4>45</vt:i4>
      </vt:variant>
      <vt:variant>
        <vt:i4>0</vt:i4>
      </vt:variant>
      <vt:variant>
        <vt:i4>5</vt:i4>
      </vt:variant>
      <vt:variant>
        <vt:lpwstr>http://www.nevo.co.il/case/21882858</vt:lpwstr>
      </vt:variant>
      <vt:variant>
        <vt:lpwstr/>
      </vt:variant>
      <vt:variant>
        <vt:i4>4980820</vt:i4>
      </vt:variant>
      <vt:variant>
        <vt:i4>42</vt:i4>
      </vt:variant>
      <vt:variant>
        <vt:i4>0</vt:i4>
      </vt:variant>
      <vt:variant>
        <vt:i4>5</vt:i4>
      </vt:variant>
      <vt:variant>
        <vt:lpwstr>http://www.nevo.co.il/law/127622</vt:lpwstr>
      </vt:variant>
      <vt:variant>
        <vt:lpwstr/>
      </vt:variant>
      <vt:variant>
        <vt:i4>4128884</vt:i4>
      </vt:variant>
      <vt:variant>
        <vt:i4>39</vt:i4>
      </vt:variant>
      <vt:variant>
        <vt:i4>0</vt:i4>
      </vt:variant>
      <vt:variant>
        <vt:i4>5</vt:i4>
      </vt:variant>
      <vt:variant>
        <vt:lpwstr>http://www.nevo.co.il/case/20297988</vt:lpwstr>
      </vt:variant>
      <vt:variant>
        <vt:lpwstr/>
      </vt:variant>
      <vt:variant>
        <vt:i4>3604593</vt:i4>
      </vt:variant>
      <vt:variant>
        <vt:i4>36</vt:i4>
      </vt:variant>
      <vt:variant>
        <vt:i4>0</vt:i4>
      </vt:variant>
      <vt:variant>
        <vt:i4>5</vt:i4>
      </vt:variant>
      <vt:variant>
        <vt:lpwstr>http://www.nevo.co.il/case/20443128</vt:lpwstr>
      </vt:variant>
      <vt:variant>
        <vt:lpwstr/>
      </vt:variant>
      <vt:variant>
        <vt:i4>3276913</vt:i4>
      </vt:variant>
      <vt:variant>
        <vt:i4>33</vt:i4>
      </vt:variant>
      <vt:variant>
        <vt:i4>0</vt:i4>
      </vt:variant>
      <vt:variant>
        <vt:i4>5</vt:i4>
      </vt:variant>
      <vt:variant>
        <vt:lpwstr>http://www.nevo.co.il/case/25463674</vt:lpwstr>
      </vt:variant>
      <vt:variant>
        <vt:lpwstr/>
      </vt:variant>
      <vt:variant>
        <vt:i4>3342462</vt:i4>
      </vt:variant>
      <vt:variant>
        <vt:i4>30</vt:i4>
      </vt:variant>
      <vt:variant>
        <vt:i4>0</vt:i4>
      </vt:variant>
      <vt:variant>
        <vt:i4>5</vt:i4>
      </vt:variant>
      <vt:variant>
        <vt:lpwstr>http://www.nevo.co.il/case/24971990</vt:lpwstr>
      </vt:variant>
      <vt:variant>
        <vt:lpwstr/>
      </vt:variant>
      <vt:variant>
        <vt:i4>2949153</vt:i4>
      </vt:variant>
      <vt:variant>
        <vt:i4>27</vt:i4>
      </vt:variant>
      <vt:variant>
        <vt:i4>0</vt:i4>
      </vt:variant>
      <vt:variant>
        <vt:i4>5</vt:i4>
      </vt:variant>
      <vt:variant>
        <vt:lpwstr>http://www.nevo.co.il/safrut/bookgroup/3985</vt:lpwstr>
      </vt:variant>
      <vt:variant>
        <vt:lpwstr/>
      </vt:variant>
      <vt:variant>
        <vt:i4>7602284</vt:i4>
      </vt:variant>
      <vt:variant>
        <vt:i4>24</vt:i4>
      </vt:variant>
      <vt:variant>
        <vt:i4>0</vt:i4>
      </vt:variant>
      <vt:variant>
        <vt:i4>5</vt:i4>
      </vt:variant>
      <vt:variant>
        <vt:lpwstr>http://www.nevo.co.il/law/98569</vt:lpwstr>
      </vt:variant>
      <vt:variant>
        <vt:lpwstr/>
      </vt:variant>
      <vt:variant>
        <vt:i4>6881380</vt:i4>
      </vt:variant>
      <vt:variant>
        <vt:i4>21</vt:i4>
      </vt:variant>
      <vt:variant>
        <vt:i4>0</vt:i4>
      </vt:variant>
      <vt:variant>
        <vt:i4>5</vt:i4>
      </vt:variant>
      <vt:variant>
        <vt:lpwstr>http://www.nevo.co.il/law/98569/12</vt:lpwstr>
      </vt:variant>
      <vt:variant>
        <vt:lpwstr/>
      </vt:variant>
      <vt:variant>
        <vt:i4>2883708</vt:i4>
      </vt:variant>
      <vt:variant>
        <vt:i4>18</vt:i4>
      </vt:variant>
      <vt:variant>
        <vt:i4>0</vt:i4>
      </vt:variant>
      <vt:variant>
        <vt:i4>5</vt:i4>
      </vt:variant>
      <vt:variant>
        <vt:lpwstr>http://www.nevo.co.il/law/4216/36a</vt:lpwstr>
      </vt:variant>
      <vt:variant>
        <vt:lpwstr/>
      </vt:variant>
      <vt:variant>
        <vt:i4>6488187</vt:i4>
      </vt:variant>
      <vt:variant>
        <vt:i4>15</vt:i4>
      </vt:variant>
      <vt:variant>
        <vt:i4>0</vt:i4>
      </vt:variant>
      <vt:variant>
        <vt:i4>5</vt:i4>
      </vt:variant>
      <vt:variant>
        <vt:lpwstr>http://www.nevo.co.il/law/4216/31.6</vt:lpwstr>
      </vt:variant>
      <vt:variant>
        <vt:lpwstr/>
      </vt:variant>
      <vt:variant>
        <vt:i4>8257637</vt:i4>
      </vt:variant>
      <vt:variant>
        <vt:i4>12</vt:i4>
      </vt:variant>
      <vt:variant>
        <vt:i4>0</vt:i4>
      </vt:variant>
      <vt:variant>
        <vt:i4>5</vt:i4>
      </vt:variant>
      <vt:variant>
        <vt:lpwstr>http://www.nevo.co.il/law/4216</vt:lpwstr>
      </vt:variant>
      <vt:variant>
        <vt:lpwstr/>
      </vt:variant>
      <vt:variant>
        <vt:i4>4980820</vt:i4>
      </vt:variant>
      <vt:variant>
        <vt:i4>9</vt:i4>
      </vt:variant>
      <vt:variant>
        <vt:i4>0</vt:i4>
      </vt:variant>
      <vt:variant>
        <vt:i4>5</vt:i4>
      </vt:variant>
      <vt:variant>
        <vt:lpwstr>http://www.nevo.co.il/law/127622</vt:lpwstr>
      </vt:variant>
      <vt:variant>
        <vt:lpwstr/>
      </vt:variant>
      <vt:variant>
        <vt:i4>6881380</vt:i4>
      </vt:variant>
      <vt:variant>
        <vt:i4>6</vt:i4>
      </vt:variant>
      <vt:variant>
        <vt:i4>0</vt:i4>
      </vt:variant>
      <vt:variant>
        <vt:i4>5</vt:i4>
      </vt:variant>
      <vt:variant>
        <vt:lpwstr>http://www.nevo.co.il/law/98569/12</vt:lpwstr>
      </vt:variant>
      <vt:variant>
        <vt:lpwstr/>
      </vt:variant>
      <vt:variant>
        <vt:i4>7602284</vt:i4>
      </vt:variant>
      <vt:variant>
        <vt:i4>3</vt:i4>
      </vt:variant>
      <vt:variant>
        <vt:i4>0</vt:i4>
      </vt:variant>
      <vt:variant>
        <vt:i4>5</vt:i4>
      </vt:variant>
      <vt:variant>
        <vt:lpwstr>http://www.nevo.co.il/law/98569</vt:lpwstr>
      </vt:variant>
      <vt:variant>
        <vt:lpwstr/>
      </vt:variant>
      <vt:variant>
        <vt:i4>2949153</vt:i4>
      </vt:variant>
      <vt:variant>
        <vt:i4>0</vt:i4>
      </vt:variant>
      <vt:variant>
        <vt:i4>0</vt:i4>
      </vt:variant>
      <vt:variant>
        <vt:i4>5</vt:i4>
      </vt:variant>
      <vt:variant>
        <vt:lpwstr>http://www.nevo.co.il/safrut/bookgroup/3985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2025-04-23T00:00:00Z</dcterms:created>
  <dcterms:modified xsi:type="dcterms:W3CDTF">2025-04-23T00:00:00Z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37780</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אמיר משאיך</vt:lpwstr>
  </property>
  <property fmtid="{D5CDD505-2E9C-101B-9397-08002B2CF9AE}" pid="10" name="LAWYER">
    <vt:lpwstr>אברהם ישי;אדוה אלאב</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20200607</vt:lpwstr>
  </property>
  <property fmtid="{D5CDD505-2E9C-101B-9397-08002B2CF9AE}" pid="14" name="TYPE_N_DATE">
    <vt:lpwstr>38020200607</vt:lpwstr>
  </property>
  <property fmtid="{D5CDD505-2E9C-101B-9397-08002B2CF9AE}" pid="15" name="WORDNUMPAGES">
    <vt:lpwstr>5</vt:lpwstr>
  </property>
  <property fmtid="{D5CDD505-2E9C-101B-9397-08002B2CF9AE}" pid="16" name="TYPE_ABS_DATE">
    <vt:lpwstr>380020200607</vt:lpwstr>
  </property>
  <property fmtid="{D5CDD505-2E9C-101B-9397-08002B2CF9AE}" pid="17" name="ISABSTRACT">
    <vt:lpwstr>Y</vt:lpwstr>
  </property>
  <property fmtid="{D5CDD505-2E9C-101B-9397-08002B2CF9AE}" pid="18" name="CASESLISTTMP1">
    <vt:lpwstr>24971990;25463674;20443128;20297988;21882858;20011387</vt:lpwstr>
  </property>
  <property fmtid="{D5CDD505-2E9C-101B-9397-08002B2CF9AE}" pid="19" name="BOOKGROUPTMP1">
    <vt:lpwstr>3985:2</vt:lpwstr>
  </property>
  <property fmtid="{D5CDD505-2E9C-101B-9397-08002B2CF9AE}" pid="20" name="LAWLISTTMP1">
    <vt:lpwstr>98569/012</vt:lpwstr>
  </property>
  <property fmtid="{D5CDD505-2E9C-101B-9397-08002B2CF9AE}" pid="21" name="LAWLISTTMP2">
    <vt:lpwstr>127622</vt:lpwstr>
  </property>
  <property fmtid="{D5CDD505-2E9C-101B-9397-08002B2CF9AE}" pid="22" name="LAWLISTTMP3">
    <vt:lpwstr>4216/036a;031.6</vt:lpwstr>
  </property>
</Properties>
</file>