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F1512" w:rsidRPr="00C630F0" w14:paraId="5FE912CF" w14:textId="77777777" w:rsidTr="00E741FF">
        <w:trPr>
          <w:trHeight w:hRule="exact" w:val="418"/>
          <w:jc w:val="center"/>
        </w:trPr>
        <w:tc>
          <w:tcPr>
            <w:tcW w:w="8721" w:type="dxa"/>
            <w:gridSpan w:val="2"/>
          </w:tcPr>
          <w:p w14:paraId="27F0E760" w14:textId="77777777" w:rsidR="008F1512" w:rsidRPr="00DA050F" w:rsidRDefault="008F1512" w:rsidP="00E617B3">
            <w:pPr>
              <w:pStyle w:val="a3"/>
              <w:jc w:val="center"/>
              <w:rPr>
                <w:rFonts w:ascii="Tahoma" w:hAnsi="Tahoma" w:cs="Tahoma"/>
                <w:b/>
                <w:bCs/>
                <w:color w:val="000080"/>
                <w:rtl/>
              </w:rPr>
            </w:pPr>
            <w:bookmarkStart w:id="0" w:name="LastJudge"/>
            <w:bookmarkStart w:id="1" w:name="LawTable_End"/>
            <w:bookmarkEnd w:id="1"/>
            <w:r w:rsidRPr="00DA050F">
              <w:rPr>
                <w:rFonts w:ascii="Tahoma" w:hAnsi="Tahoma" w:cs="Tahoma"/>
                <w:b/>
                <w:bCs/>
                <w:color w:val="000080"/>
                <w:rtl/>
              </w:rPr>
              <w:t>בית משפט השלום בירושלים</w:t>
            </w:r>
          </w:p>
        </w:tc>
      </w:tr>
      <w:tr w:rsidR="008F1512" w:rsidRPr="00DA050F" w14:paraId="6F4F3286" w14:textId="77777777" w:rsidTr="00E741FF">
        <w:trPr>
          <w:trHeight w:val="337"/>
          <w:jc w:val="center"/>
        </w:trPr>
        <w:tc>
          <w:tcPr>
            <w:tcW w:w="5054" w:type="dxa"/>
          </w:tcPr>
          <w:p w14:paraId="0B836D3D" w14:textId="77777777" w:rsidR="008F1512" w:rsidRPr="00DA050F" w:rsidRDefault="008F1512" w:rsidP="00E617B3">
            <w:pPr>
              <w:rPr>
                <w:rFonts w:ascii="David" w:hAnsi="David"/>
                <w:b/>
                <w:bCs/>
                <w:sz w:val="28"/>
                <w:szCs w:val="28"/>
                <w:rtl/>
              </w:rPr>
            </w:pPr>
            <w:r w:rsidRPr="00DA050F">
              <w:rPr>
                <w:rFonts w:ascii="David" w:hAnsi="David"/>
                <w:b/>
                <w:bCs/>
                <w:sz w:val="28"/>
                <w:szCs w:val="28"/>
                <w:rtl/>
              </w:rPr>
              <w:t>ת"פ 55741-12-18 מדינת ישראל נ' נועמה</w:t>
            </w:r>
          </w:p>
          <w:p w14:paraId="4C026F10" w14:textId="77777777" w:rsidR="008F1512" w:rsidRPr="00DA050F" w:rsidRDefault="008F1512" w:rsidP="00E617B3">
            <w:pPr>
              <w:rPr>
                <w:rFonts w:ascii="David" w:hAnsi="David"/>
                <w:b/>
                <w:bCs/>
                <w:sz w:val="28"/>
                <w:szCs w:val="28"/>
                <w:rtl/>
              </w:rPr>
            </w:pPr>
            <w:r w:rsidRPr="00DA050F">
              <w:rPr>
                <w:rFonts w:ascii="David" w:hAnsi="David"/>
                <w:b/>
                <w:bCs/>
                <w:sz w:val="28"/>
                <w:szCs w:val="28"/>
                <w:rtl/>
              </w:rPr>
              <w:t xml:space="preserve">ת"פ 10185-11-18 </w:t>
            </w:r>
            <w:r w:rsidRPr="00DA050F">
              <w:rPr>
                <w:rFonts w:ascii="David" w:hAnsi="David"/>
                <w:b/>
                <w:bCs/>
                <w:sz w:val="28"/>
                <w:szCs w:val="28"/>
              </w:rPr>
              <w:t xml:space="preserve"> </w:t>
            </w:r>
          </w:p>
          <w:p w14:paraId="146B919B" w14:textId="77777777" w:rsidR="008F1512" w:rsidRPr="00DA050F" w:rsidRDefault="008F1512" w:rsidP="00E617B3">
            <w:pPr>
              <w:pStyle w:val="a3"/>
              <w:rPr>
                <w:rFonts w:ascii="David" w:hAnsi="David"/>
                <w:b/>
                <w:bCs/>
                <w:sz w:val="28"/>
                <w:szCs w:val="28"/>
                <w:rtl/>
              </w:rPr>
            </w:pPr>
          </w:p>
        </w:tc>
        <w:tc>
          <w:tcPr>
            <w:tcW w:w="3667" w:type="dxa"/>
          </w:tcPr>
          <w:p w14:paraId="7DBDA426" w14:textId="77777777" w:rsidR="008F1512" w:rsidRPr="00DA050F" w:rsidRDefault="008F1512" w:rsidP="00E617B3">
            <w:pPr>
              <w:pStyle w:val="a3"/>
              <w:jc w:val="right"/>
              <w:rPr>
                <w:rFonts w:ascii="David" w:hAnsi="David"/>
                <w:b/>
                <w:bCs/>
                <w:sz w:val="28"/>
                <w:szCs w:val="28"/>
                <w:rtl/>
              </w:rPr>
            </w:pPr>
          </w:p>
        </w:tc>
      </w:tr>
    </w:tbl>
    <w:p w14:paraId="4C522E19" w14:textId="77777777" w:rsidR="008F1512" w:rsidRPr="00DA050F" w:rsidRDefault="008F1512" w:rsidP="008F1512">
      <w:pPr>
        <w:pStyle w:val="a3"/>
        <w:rPr>
          <w:rFonts w:ascii="David" w:hAnsi="David"/>
          <w:b/>
          <w:bCs/>
          <w:rtl/>
        </w:rPr>
      </w:pPr>
      <w:r w:rsidRPr="00DA050F">
        <w:rPr>
          <w:rFonts w:ascii="David" w:hAnsi="David"/>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8F1512" w:rsidRPr="00DA050F" w14:paraId="3A9670C1" w14:textId="77777777" w:rsidTr="00DA050F">
        <w:trPr>
          <w:trHeight w:val="295"/>
          <w:jc w:val="center"/>
        </w:trPr>
        <w:tc>
          <w:tcPr>
            <w:tcW w:w="945" w:type="dxa"/>
            <w:tcBorders>
              <w:top w:val="nil"/>
              <w:left w:val="nil"/>
              <w:bottom w:val="nil"/>
              <w:right w:val="nil"/>
            </w:tcBorders>
            <w:shd w:val="clear" w:color="auto" w:fill="auto"/>
          </w:tcPr>
          <w:p w14:paraId="07BF52D2" w14:textId="77777777" w:rsidR="008F1512" w:rsidRPr="00DA050F" w:rsidRDefault="008F1512" w:rsidP="008F1512">
            <w:pPr>
              <w:jc w:val="both"/>
              <w:rPr>
                <w:rFonts w:ascii="David" w:hAnsi="David"/>
                <w:b/>
                <w:bCs/>
                <w:sz w:val="28"/>
                <w:szCs w:val="28"/>
              </w:rPr>
            </w:pPr>
            <w:r w:rsidRPr="00DA050F">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51D8FEAE" w14:textId="77777777" w:rsidR="008F1512" w:rsidRPr="00DA050F" w:rsidRDefault="008F1512" w:rsidP="00E617B3">
            <w:pPr>
              <w:rPr>
                <w:rFonts w:ascii="David" w:hAnsi="David"/>
                <w:b/>
                <w:bCs/>
                <w:sz w:val="28"/>
                <w:szCs w:val="28"/>
                <w:rtl/>
              </w:rPr>
            </w:pPr>
            <w:r w:rsidRPr="00DA050F">
              <w:rPr>
                <w:rFonts w:ascii="David" w:hAnsi="David"/>
                <w:b/>
                <w:bCs/>
                <w:sz w:val="28"/>
                <w:szCs w:val="28"/>
                <w:rtl/>
              </w:rPr>
              <w:t>כבוד השופט  דוד שאול גבאי ריכטר</w:t>
            </w:r>
          </w:p>
          <w:p w14:paraId="0CAF427D" w14:textId="77777777" w:rsidR="008F1512" w:rsidRPr="00DA050F" w:rsidRDefault="008F1512" w:rsidP="008F1512">
            <w:pPr>
              <w:jc w:val="both"/>
              <w:rPr>
                <w:rFonts w:ascii="David" w:hAnsi="David" w:hint="cs"/>
                <w:b/>
                <w:bCs/>
                <w:sz w:val="28"/>
                <w:szCs w:val="28"/>
              </w:rPr>
            </w:pPr>
          </w:p>
        </w:tc>
      </w:tr>
      <w:tr w:rsidR="008F1512" w:rsidRPr="00DA050F" w14:paraId="072B9AC5" w14:textId="77777777" w:rsidTr="00DA050F">
        <w:trPr>
          <w:trHeight w:val="355"/>
          <w:jc w:val="center"/>
        </w:trPr>
        <w:tc>
          <w:tcPr>
            <w:tcW w:w="945" w:type="dxa"/>
            <w:tcBorders>
              <w:top w:val="nil"/>
              <w:left w:val="nil"/>
              <w:bottom w:val="nil"/>
              <w:right w:val="nil"/>
            </w:tcBorders>
            <w:shd w:val="clear" w:color="auto" w:fill="auto"/>
          </w:tcPr>
          <w:p w14:paraId="3870708F" w14:textId="77777777" w:rsidR="008F1512" w:rsidRPr="00DA050F" w:rsidRDefault="008F1512" w:rsidP="00DA050F">
            <w:pPr>
              <w:spacing w:before="120" w:after="120" w:line="240" w:lineRule="exact"/>
              <w:jc w:val="both"/>
              <w:rPr>
                <w:rFonts w:ascii="David" w:hAnsi="David"/>
                <w:b/>
                <w:bCs/>
                <w:sz w:val="28"/>
                <w:szCs w:val="28"/>
              </w:rPr>
            </w:pPr>
            <w:bookmarkStart w:id="2" w:name="FirstAppellant"/>
            <w:r w:rsidRPr="00DA050F">
              <w:rPr>
                <w:rFonts w:ascii="David" w:hAnsi="David"/>
                <w:b/>
                <w:bCs/>
                <w:sz w:val="28"/>
                <w:szCs w:val="28"/>
                <w:rtl/>
              </w:rPr>
              <w:t>בעניין:</w:t>
            </w:r>
          </w:p>
        </w:tc>
        <w:tc>
          <w:tcPr>
            <w:tcW w:w="4114" w:type="dxa"/>
            <w:tcBorders>
              <w:top w:val="nil"/>
              <w:left w:val="nil"/>
              <w:bottom w:val="nil"/>
              <w:right w:val="nil"/>
            </w:tcBorders>
            <w:shd w:val="clear" w:color="auto" w:fill="auto"/>
          </w:tcPr>
          <w:p w14:paraId="4C9AECA0" w14:textId="77777777" w:rsidR="008F1512" w:rsidRPr="00DA050F" w:rsidRDefault="008F1512" w:rsidP="00DA050F">
            <w:pPr>
              <w:spacing w:before="120" w:after="120" w:line="240" w:lineRule="exact"/>
              <w:rPr>
                <w:rFonts w:ascii="David" w:hAnsi="David"/>
                <w:b/>
                <w:bCs/>
                <w:sz w:val="28"/>
                <w:szCs w:val="28"/>
              </w:rPr>
            </w:pPr>
            <w:r w:rsidRPr="00DA050F">
              <w:rPr>
                <w:rFonts w:ascii="David" w:hAnsi="David"/>
                <w:b/>
                <w:bCs/>
                <w:sz w:val="28"/>
                <w:szCs w:val="28"/>
                <w:rtl/>
              </w:rPr>
              <w:t>מדינת ישראל</w:t>
            </w:r>
          </w:p>
        </w:tc>
        <w:tc>
          <w:tcPr>
            <w:tcW w:w="3761" w:type="dxa"/>
            <w:tcBorders>
              <w:top w:val="nil"/>
              <w:left w:val="nil"/>
              <w:bottom w:val="nil"/>
              <w:right w:val="nil"/>
            </w:tcBorders>
            <w:shd w:val="clear" w:color="auto" w:fill="auto"/>
          </w:tcPr>
          <w:p w14:paraId="6E748552" w14:textId="77777777" w:rsidR="008F1512" w:rsidRPr="00DA050F" w:rsidRDefault="008F1512" w:rsidP="00DA050F">
            <w:pPr>
              <w:spacing w:before="120" w:after="120" w:line="240" w:lineRule="exact"/>
              <w:jc w:val="both"/>
              <w:rPr>
                <w:rFonts w:ascii="David" w:hAnsi="David"/>
                <w:b/>
                <w:bCs/>
                <w:sz w:val="28"/>
                <w:szCs w:val="28"/>
              </w:rPr>
            </w:pPr>
          </w:p>
        </w:tc>
      </w:tr>
      <w:bookmarkEnd w:id="2"/>
      <w:tr w:rsidR="008F1512" w:rsidRPr="00DA050F" w14:paraId="21278409" w14:textId="77777777" w:rsidTr="00DA050F">
        <w:trPr>
          <w:trHeight w:val="355"/>
          <w:jc w:val="center"/>
        </w:trPr>
        <w:tc>
          <w:tcPr>
            <w:tcW w:w="945" w:type="dxa"/>
            <w:tcBorders>
              <w:top w:val="nil"/>
              <w:left w:val="nil"/>
              <w:bottom w:val="nil"/>
              <w:right w:val="nil"/>
            </w:tcBorders>
            <w:shd w:val="clear" w:color="auto" w:fill="auto"/>
          </w:tcPr>
          <w:p w14:paraId="2EDD3456" w14:textId="77777777" w:rsidR="008F1512" w:rsidRPr="00DA050F" w:rsidRDefault="008F1512" w:rsidP="00DA050F">
            <w:pPr>
              <w:spacing w:before="120" w:after="120" w:line="240" w:lineRule="exact"/>
              <w:jc w:val="both"/>
              <w:rPr>
                <w:rFonts w:ascii="David" w:hAnsi="David"/>
                <w:b/>
                <w:bCs/>
                <w:sz w:val="28"/>
                <w:szCs w:val="28"/>
                <w:rtl/>
              </w:rPr>
            </w:pPr>
          </w:p>
        </w:tc>
        <w:tc>
          <w:tcPr>
            <w:tcW w:w="4114" w:type="dxa"/>
            <w:tcBorders>
              <w:top w:val="nil"/>
              <w:left w:val="nil"/>
              <w:bottom w:val="nil"/>
              <w:right w:val="nil"/>
            </w:tcBorders>
            <w:shd w:val="clear" w:color="auto" w:fill="auto"/>
          </w:tcPr>
          <w:p w14:paraId="772D86A1" w14:textId="77777777" w:rsidR="008F1512" w:rsidRPr="00DA050F" w:rsidRDefault="008F1512" w:rsidP="00DA050F">
            <w:pPr>
              <w:spacing w:before="120" w:after="120" w:line="240" w:lineRule="exact"/>
              <w:jc w:val="both"/>
              <w:rPr>
                <w:rFonts w:ascii="David" w:hAnsi="David"/>
                <w:b/>
                <w:bCs/>
                <w:sz w:val="28"/>
                <w:szCs w:val="28"/>
                <w:rtl/>
              </w:rPr>
            </w:pPr>
            <w:r w:rsidRPr="00DA050F">
              <w:rPr>
                <w:rFonts w:ascii="David" w:hAnsi="David"/>
                <w:b/>
                <w:bCs/>
                <w:sz w:val="28"/>
                <w:szCs w:val="28"/>
                <w:rtl/>
              </w:rPr>
              <w:t>ע"י תביעות ירושלים</w:t>
            </w:r>
          </w:p>
        </w:tc>
        <w:tc>
          <w:tcPr>
            <w:tcW w:w="3761" w:type="dxa"/>
            <w:tcBorders>
              <w:top w:val="nil"/>
              <w:left w:val="nil"/>
              <w:bottom w:val="nil"/>
              <w:right w:val="nil"/>
            </w:tcBorders>
            <w:shd w:val="clear" w:color="auto" w:fill="auto"/>
          </w:tcPr>
          <w:p w14:paraId="2892C1F4" w14:textId="77777777" w:rsidR="008F1512" w:rsidRPr="00DA050F" w:rsidRDefault="008F1512" w:rsidP="00DA050F">
            <w:pPr>
              <w:spacing w:before="120" w:after="120" w:line="240" w:lineRule="exact"/>
              <w:jc w:val="right"/>
              <w:rPr>
                <w:rFonts w:ascii="David" w:hAnsi="David"/>
                <w:b/>
                <w:bCs/>
                <w:sz w:val="28"/>
                <w:szCs w:val="28"/>
                <w:rtl/>
              </w:rPr>
            </w:pPr>
            <w:r w:rsidRPr="00DA050F">
              <w:rPr>
                <w:rFonts w:ascii="David" w:hAnsi="David"/>
                <w:b/>
                <w:bCs/>
                <w:sz w:val="28"/>
                <w:szCs w:val="28"/>
                <w:rtl/>
              </w:rPr>
              <w:t>המאשימה</w:t>
            </w:r>
          </w:p>
        </w:tc>
      </w:tr>
      <w:tr w:rsidR="00DA050F" w:rsidRPr="00DA050F" w14:paraId="1D15B425" w14:textId="77777777" w:rsidTr="00087FB0">
        <w:trPr>
          <w:trHeight w:val="355"/>
          <w:jc w:val="center"/>
        </w:trPr>
        <w:tc>
          <w:tcPr>
            <w:tcW w:w="8820" w:type="dxa"/>
            <w:gridSpan w:val="3"/>
            <w:tcBorders>
              <w:top w:val="nil"/>
              <w:left w:val="nil"/>
              <w:bottom w:val="nil"/>
              <w:right w:val="nil"/>
            </w:tcBorders>
            <w:shd w:val="clear" w:color="auto" w:fill="auto"/>
          </w:tcPr>
          <w:p w14:paraId="0401114F" w14:textId="77777777" w:rsidR="00DA050F" w:rsidRPr="00DA050F" w:rsidRDefault="00DA050F" w:rsidP="008F1512">
            <w:pPr>
              <w:jc w:val="center"/>
              <w:rPr>
                <w:rFonts w:ascii="David" w:hAnsi="David"/>
                <w:b/>
                <w:bCs/>
                <w:sz w:val="28"/>
                <w:szCs w:val="28"/>
                <w:rtl/>
              </w:rPr>
            </w:pPr>
          </w:p>
          <w:p w14:paraId="3801B47A" w14:textId="77777777" w:rsidR="00DA050F" w:rsidRPr="00DA050F" w:rsidRDefault="00DA050F" w:rsidP="008F1512">
            <w:pPr>
              <w:jc w:val="center"/>
              <w:rPr>
                <w:rFonts w:ascii="David" w:hAnsi="David"/>
                <w:b/>
                <w:bCs/>
                <w:sz w:val="28"/>
                <w:szCs w:val="28"/>
                <w:rtl/>
              </w:rPr>
            </w:pPr>
            <w:r w:rsidRPr="00DA050F">
              <w:rPr>
                <w:rFonts w:ascii="David" w:hAnsi="David"/>
                <w:b/>
                <w:bCs/>
                <w:sz w:val="28"/>
                <w:szCs w:val="28"/>
                <w:rtl/>
              </w:rPr>
              <w:t>נגד</w:t>
            </w:r>
          </w:p>
          <w:p w14:paraId="34758FAD" w14:textId="77777777" w:rsidR="00DA050F" w:rsidRPr="00DA050F" w:rsidRDefault="00DA050F" w:rsidP="008F1512">
            <w:pPr>
              <w:jc w:val="both"/>
              <w:rPr>
                <w:rFonts w:ascii="David" w:hAnsi="David"/>
                <w:b/>
                <w:bCs/>
                <w:sz w:val="28"/>
                <w:szCs w:val="28"/>
              </w:rPr>
            </w:pPr>
          </w:p>
        </w:tc>
      </w:tr>
      <w:tr w:rsidR="008F1512" w:rsidRPr="00DA050F" w14:paraId="40487614" w14:textId="77777777" w:rsidTr="00DA050F">
        <w:trPr>
          <w:trHeight w:val="355"/>
          <w:jc w:val="center"/>
        </w:trPr>
        <w:tc>
          <w:tcPr>
            <w:tcW w:w="945" w:type="dxa"/>
            <w:tcBorders>
              <w:top w:val="nil"/>
              <w:left w:val="nil"/>
              <w:bottom w:val="nil"/>
              <w:right w:val="nil"/>
            </w:tcBorders>
            <w:shd w:val="clear" w:color="auto" w:fill="auto"/>
          </w:tcPr>
          <w:p w14:paraId="64ACB02D" w14:textId="77777777" w:rsidR="008F1512" w:rsidRPr="00DA050F" w:rsidRDefault="008F1512" w:rsidP="00DA050F">
            <w:pPr>
              <w:spacing w:before="120" w:after="120" w:line="240" w:lineRule="exact"/>
              <w:rPr>
                <w:rFonts w:ascii="David" w:hAnsi="David"/>
                <w:b/>
                <w:bCs/>
                <w:sz w:val="28"/>
                <w:szCs w:val="28"/>
                <w:rtl/>
              </w:rPr>
            </w:pPr>
          </w:p>
        </w:tc>
        <w:tc>
          <w:tcPr>
            <w:tcW w:w="4114" w:type="dxa"/>
            <w:tcBorders>
              <w:top w:val="nil"/>
              <w:left w:val="nil"/>
              <w:bottom w:val="nil"/>
              <w:right w:val="nil"/>
            </w:tcBorders>
            <w:shd w:val="clear" w:color="auto" w:fill="auto"/>
          </w:tcPr>
          <w:p w14:paraId="4FEFAC27" w14:textId="77777777" w:rsidR="008F1512" w:rsidRPr="00DA050F" w:rsidRDefault="008F1512" w:rsidP="00DA050F">
            <w:pPr>
              <w:spacing w:before="120" w:after="120" w:line="240" w:lineRule="exact"/>
              <w:rPr>
                <w:rFonts w:ascii="David" w:hAnsi="David"/>
                <w:b/>
                <w:bCs/>
                <w:sz w:val="28"/>
                <w:szCs w:val="28"/>
                <w:rtl/>
              </w:rPr>
            </w:pPr>
            <w:r w:rsidRPr="00DA050F">
              <w:rPr>
                <w:rFonts w:ascii="David" w:hAnsi="David"/>
                <w:b/>
                <w:bCs/>
                <w:sz w:val="28"/>
                <w:szCs w:val="28"/>
                <w:rtl/>
              </w:rPr>
              <w:t>אוראל נועמה</w:t>
            </w:r>
          </w:p>
        </w:tc>
        <w:tc>
          <w:tcPr>
            <w:tcW w:w="3761" w:type="dxa"/>
            <w:tcBorders>
              <w:top w:val="nil"/>
              <w:left w:val="nil"/>
              <w:bottom w:val="nil"/>
              <w:right w:val="nil"/>
            </w:tcBorders>
            <w:shd w:val="clear" w:color="auto" w:fill="auto"/>
          </w:tcPr>
          <w:p w14:paraId="38AC2D09" w14:textId="77777777" w:rsidR="008F1512" w:rsidRPr="00DA050F" w:rsidRDefault="008F1512" w:rsidP="00DA050F">
            <w:pPr>
              <w:spacing w:before="120" w:after="120" w:line="240" w:lineRule="exact"/>
              <w:jc w:val="right"/>
              <w:rPr>
                <w:rFonts w:ascii="David" w:hAnsi="David"/>
                <w:b/>
                <w:bCs/>
                <w:sz w:val="28"/>
                <w:szCs w:val="28"/>
              </w:rPr>
            </w:pPr>
          </w:p>
        </w:tc>
      </w:tr>
      <w:tr w:rsidR="008F1512" w:rsidRPr="00DA050F" w14:paraId="60B69F12" w14:textId="77777777" w:rsidTr="00DA050F">
        <w:trPr>
          <w:trHeight w:val="355"/>
          <w:jc w:val="center"/>
        </w:trPr>
        <w:tc>
          <w:tcPr>
            <w:tcW w:w="945" w:type="dxa"/>
            <w:tcBorders>
              <w:top w:val="nil"/>
              <w:left w:val="nil"/>
              <w:bottom w:val="nil"/>
              <w:right w:val="nil"/>
            </w:tcBorders>
            <w:shd w:val="clear" w:color="auto" w:fill="auto"/>
          </w:tcPr>
          <w:p w14:paraId="36E6C5DE" w14:textId="77777777" w:rsidR="008F1512" w:rsidRPr="00DA050F" w:rsidRDefault="008F1512" w:rsidP="00DA050F">
            <w:pPr>
              <w:spacing w:before="120" w:after="120" w:line="240" w:lineRule="exact"/>
              <w:jc w:val="both"/>
              <w:rPr>
                <w:rFonts w:ascii="David" w:hAnsi="David"/>
                <w:b/>
                <w:bCs/>
                <w:sz w:val="28"/>
                <w:szCs w:val="28"/>
                <w:rtl/>
              </w:rPr>
            </w:pPr>
            <w:bookmarkStart w:id="3" w:name="FirstLawyer"/>
          </w:p>
        </w:tc>
        <w:tc>
          <w:tcPr>
            <w:tcW w:w="4114" w:type="dxa"/>
            <w:tcBorders>
              <w:top w:val="nil"/>
              <w:left w:val="nil"/>
              <w:bottom w:val="nil"/>
              <w:right w:val="nil"/>
            </w:tcBorders>
            <w:shd w:val="clear" w:color="auto" w:fill="auto"/>
          </w:tcPr>
          <w:p w14:paraId="4E419F01" w14:textId="77777777" w:rsidR="008F1512" w:rsidRPr="00DA050F" w:rsidRDefault="008F1512" w:rsidP="00DA050F">
            <w:pPr>
              <w:spacing w:before="120" w:after="120" w:line="240" w:lineRule="exact"/>
              <w:jc w:val="both"/>
              <w:rPr>
                <w:rFonts w:ascii="David" w:hAnsi="David"/>
                <w:b/>
                <w:bCs/>
                <w:sz w:val="28"/>
                <w:szCs w:val="28"/>
                <w:rtl/>
              </w:rPr>
            </w:pPr>
            <w:r w:rsidRPr="00DA050F">
              <w:rPr>
                <w:rFonts w:ascii="David" w:hAnsi="David"/>
                <w:b/>
                <w:bCs/>
                <w:sz w:val="28"/>
                <w:szCs w:val="28"/>
                <w:rtl/>
              </w:rPr>
              <w:t>ע"י ב"כ עו"ד אהרן פרקש</w:t>
            </w:r>
          </w:p>
        </w:tc>
        <w:tc>
          <w:tcPr>
            <w:tcW w:w="3761" w:type="dxa"/>
            <w:tcBorders>
              <w:top w:val="nil"/>
              <w:left w:val="nil"/>
              <w:bottom w:val="nil"/>
              <w:right w:val="nil"/>
            </w:tcBorders>
            <w:shd w:val="clear" w:color="auto" w:fill="auto"/>
          </w:tcPr>
          <w:p w14:paraId="467DBC89" w14:textId="77777777" w:rsidR="008F1512" w:rsidRPr="00DA050F" w:rsidRDefault="008F1512" w:rsidP="00DA050F">
            <w:pPr>
              <w:spacing w:before="120" w:after="120" w:line="240" w:lineRule="exact"/>
              <w:jc w:val="right"/>
              <w:rPr>
                <w:rFonts w:ascii="David" w:hAnsi="David"/>
                <w:b/>
                <w:bCs/>
                <w:sz w:val="28"/>
                <w:szCs w:val="28"/>
              </w:rPr>
            </w:pPr>
            <w:r w:rsidRPr="00DA050F">
              <w:rPr>
                <w:rFonts w:ascii="David" w:hAnsi="David"/>
                <w:b/>
                <w:bCs/>
                <w:sz w:val="28"/>
                <w:szCs w:val="28"/>
                <w:rtl/>
              </w:rPr>
              <w:t>הנאשם</w:t>
            </w:r>
          </w:p>
        </w:tc>
      </w:tr>
      <w:bookmarkEnd w:id="3"/>
    </w:tbl>
    <w:p w14:paraId="5901646F" w14:textId="77777777" w:rsidR="00E741FF" w:rsidRPr="00E741FF" w:rsidRDefault="00E741FF" w:rsidP="00E741FF">
      <w:pPr>
        <w:pStyle w:val="a3"/>
        <w:spacing w:after="120" w:line="240" w:lineRule="exact"/>
        <w:ind w:left="283" w:hanging="283"/>
        <w:jc w:val="both"/>
        <w:rPr>
          <w:rFonts w:ascii="FrankRuehl" w:hAnsi="FrankRuehl" w:cs="FrankRuehl"/>
          <w:rtl/>
        </w:rPr>
      </w:pPr>
    </w:p>
    <w:p w14:paraId="2576C992" w14:textId="77777777" w:rsidR="00E741FF" w:rsidRPr="00E741FF" w:rsidRDefault="00E741FF" w:rsidP="00E741FF">
      <w:pPr>
        <w:pStyle w:val="a3"/>
        <w:spacing w:after="120" w:line="240" w:lineRule="exact"/>
        <w:ind w:left="283" w:hanging="283"/>
        <w:jc w:val="both"/>
        <w:rPr>
          <w:rFonts w:ascii="FrankRuehl" w:hAnsi="FrankRuehl" w:cs="FrankRuehl"/>
          <w:rtl/>
        </w:rPr>
      </w:pPr>
      <w:r w:rsidRPr="00E741FF">
        <w:rPr>
          <w:rFonts w:ascii="FrankRuehl" w:hAnsi="FrankRuehl" w:cs="FrankRuehl"/>
          <w:rtl/>
        </w:rPr>
        <w:t xml:space="preserve">חקיקה שאוזכרה: </w:t>
      </w:r>
    </w:p>
    <w:p w14:paraId="591FB84F" w14:textId="77777777" w:rsidR="00E741FF" w:rsidRPr="00E741FF" w:rsidRDefault="00E741FF" w:rsidP="00E741FF">
      <w:pPr>
        <w:pStyle w:val="a3"/>
        <w:spacing w:after="120" w:line="240" w:lineRule="exact"/>
        <w:ind w:left="283" w:hanging="283"/>
        <w:jc w:val="both"/>
        <w:rPr>
          <w:rFonts w:ascii="FrankRuehl" w:hAnsi="FrankRuehl" w:cs="FrankRuehl"/>
          <w:rtl/>
        </w:rPr>
      </w:pPr>
      <w:hyperlink r:id="rId7" w:history="1">
        <w:r w:rsidRPr="00E741FF">
          <w:rPr>
            <w:rFonts w:ascii="FrankRuehl" w:hAnsi="FrankRuehl" w:cs="FrankRuehl"/>
            <w:color w:val="0000FF"/>
            <w:u w:val="single"/>
            <w:rtl/>
          </w:rPr>
          <w:t>פקודת הסמים המסוכנים [נוסח חדש], תשל"ג-1973</w:t>
        </w:r>
      </w:hyperlink>
      <w:r w:rsidRPr="00E741FF">
        <w:rPr>
          <w:rFonts w:ascii="FrankRuehl" w:hAnsi="FrankRuehl" w:cs="FrankRuehl"/>
          <w:rtl/>
        </w:rPr>
        <w:t xml:space="preserve">: סע'  </w:t>
      </w:r>
      <w:hyperlink r:id="rId8" w:history="1">
        <w:r w:rsidRPr="00E741FF">
          <w:rPr>
            <w:rFonts w:ascii="FrankRuehl" w:hAnsi="FrankRuehl" w:cs="FrankRuehl"/>
            <w:color w:val="0000FF"/>
            <w:u w:val="single"/>
            <w:rtl/>
          </w:rPr>
          <w:t>7.א.</w:t>
        </w:r>
      </w:hyperlink>
      <w:r w:rsidRPr="00E741FF">
        <w:rPr>
          <w:rFonts w:ascii="FrankRuehl" w:hAnsi="FrankRuehl" w:cs="FrankRuehl"/>
          <w:rtl/>
        </w:rPr>
        <w:t xml:space="preserve">, </w:t>
      </w:r>
      <w:hyperlink r:id="rId9" w:history="1">
        <w:r w:rsidRPr="00E741FF">
          <w:rPr>
            <w:rFonts w:ascii="FrankRuehl" w:hAnsi="FrankRuehl" w:cs="FrankRuehl"/>
            <w:color w:val="0000FF"/>
            <w:u w:val="single"/>
            <w:rtl/>
          </w:rPr>
          <w:t>7.ג</w:t>
        </w:r>
      </w:hyperlink>
      <w:r w:rsidRPr="00E741FF">
        <w:rPr>
          <w:rFonts w:ascii="FrankRuehl" w:hAnsi="FrankRuehl" w:cs="FrankRuehl"/>
          <w:rtl/>
        </w:rPr>
        <w:t xml:space="preserve">, </w:t>
      </w:r>
      <w:hyperlink r:id="rId10" w:history="1">
        <w:r w:rsidRPr="00E741FF">
          <w:rPr>
            <w:rFonts w:ascii="FrankRuehl" w:hAnsi="FrankRuehl" w:cs="FrankRuehl"/>
            <w:color w:val="0000FF"/>
            <w:u w:val="single"/>
            <w:rtl/>
          </w:rPr>
          <w:t>14</w:t>
        </w:r>
      </w:hyperlink>
      <w:r w:rsidRPr="00E741FF">
        <w:rPr>
          <w:rFonts w:ascii="FrankRuehl" w:hAnsi="FrankRuehl" w:cs="FrankRuehl"/>
          <w:rtl/>
        </w:rPr>
        <w:t xml:space="preserve">, </w:t>
      </w:r>
      <w:hyperlink r:id="rId11" w:history="1">
        <w:r w:rsidRPr="00E741FF">
          <w:rPr>
            <w:rFonts w:ascii="FrankRuehl" w:hAnsi="FrankRuehl" w:cs="FrankRuehl"/>
            <w:color w:val="0000FF"/>
            <w:u w:val="single"/>
            <w:rtl/>
          </w:rPr>
          <w:t>19.א</w:t>
        </w:r>
      </w:hyperlink>
    </w:p>
    <w:p w14:paraId="30EE9979" w14:textId="77777777" w:rsidR="00E741FF" w:rsidRPr="00E741FF" w:rsidRDefault="00E741FF" w:rsidP="00E741FF">
      <w:pPr>
        <w:pStyle w:val="a3"/>
        <w:spacing w:after="120" w:line="240" w:lineRule="exact"/>
        <w:ind w:left="283" w:hanging="283"/>
        <w:jc w:val="both"/>
        <w:rPr>
          <w:rFonts w:ascii="FrankRuehl" w:hAnsi="FrankRuehl" w:cs="FrankRuehl"/>
          <w:rtl/>
        </w:rPr>
      </w:pPr>
      <w:hyperlink r:id="rId12" w:history="1">
        <w:r w:rsidRPr="00E741FF">
          <w:rPr>
            <w:rFonts w:ascii="FrankRuehl" w:hAnsi="FrankRuehl" w:cs="FrankRuehl"/>
            <w:color w:val="0000FF"/>
            <w:u w:val="single"/>
            <w:rtl/>
          </w:rPr>
          <w:t>חוק העונשין, תשל"ז-1977</w:t>
        </w:r>
      </w:hyperlink>
      <w:r w:rsidRPr="00E741FF">
        <w:rPr>
          <w:rFonts w:ascii="FrankRuehl" w:hAnsi="FrankRuehl" w:cs="FrankRuehl"/>
          <w:rtl/>
        </w:rPr>
        <w:t xml:space="preserve">: סע'  </w:t>
      </w:r>
      <w:hyperlink r:id="rId13" w:history="1">
        <w:r w:rsidRPr="00E741FF">
          <w:rPr>
            <w:rFonts w:ascii="FrankRuehl" w:hAnsi="FrankRuehl" w:cs="FrankRuehl"/>
            <w:color w:val="0000FF"/>
            <w:u w:val="single"/>
            <w:rtl/>
          </w:rPr>
          <w:t>40ט'</w:t>
        </w:r>
      </w:hyperlink>
      <w:r w:rsidRPr="00E741FF">
        <w:rPr>
          <w:rFonts w:ascii="FrankRuehl" w:hAnsi="FrankRuehl" w:cs="FrankRuehl"/>
          <w:rtl/>
        </w:rPr>
        <w:t xml:space="preserve">, </w:t>
      </w:r>
      <w:hyperlink r:id="rId14" w:history="1">
        <w:r w:rsidRPr="00E741FF">
          <w:rPr>
            <w:rFonts w:ascii="FrankRuehl" w:hAnsi="FrankRuehl" w:cs="FrankRuehl"/>
            <w:color w:val="0000FF"/>
            <w:u w:val="single"/>
            <w:rtl/>
          </w:rPr>
          <w:t>40יא</w:t>
        </w:r>
      </w:hyperlink>
    </w:p>
    <w:p w14:paraId="4C828A94" w14:textId="77777777" w:rsidR="00E741FF" w:rsidRPr="00E741FF" w:rsidRDefault="00E741FF" w:rsidP="00E741FF">
      <w:pPr>
        <w:pStyle w:val="a3"/>
        <w:spacing w:after="120" w:line="240" w:lineRule="exact"/>
        <w:ind w:left="283" w:hanging="283"/>
        <w:jc w:val="both"/>
        <w:rPr>
          <w:rFonts w:ascii="FrankRuehl" w:hAnsi="FrankRuehl" w:cs="FrankRuehl"/>
          <w:rtl/>
        </w:rPr>
      </w:pPr>
    </w:p>
    <w:p w14:paraId="470B1E84" w14:textId="77777777" w:rsidR="00B4414E" w:rsidRPr="00B4414E" w:rsidRDefault="00B4414E" w:rsidP="00B4414E">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B4414E">
        <w:rPr>
          <w:rFonts w:cs="FrankRuehl" w:hint="cs"/>
          <w:szCs w:val="26"/>
          <w:rtl/>
        </w:rPr>
        <w:t>מיני-רציו:</w:t>
      </w:r>
    </w:p>
    <w:p w14:paraId="109E8420" w14:textId="77777777" w:rsidR="00B4414E" w:rsidRPr="00B4414E" w:rsidRDefault="00B4414E" w:rsidP="00B4414E">
      <w:pPr>
        <w:pBdr>
          <w:top w:val="single" w:sz="4" w:space="1" w:color="auto"/>
          <w:bottom w:val="single" w:sz="4" w:space="1" w:color="auto"/>
        </w:pBdr>
        <w:spacing w:after="120" w:line="320" w:lineRule="exact"/>
        <w:jc w:val="both"/>
        <w:rPr>
          <w:rFonts w:cs="FrankRuehl" w:hint="cs"/>
          <w:szCs w:val="26"/>
          <w:rtl/>
        </w:rPr>
      </w:pPr>
      <w:r w:rsidRPr="00B4414E">
        <w:rPr>
          <w:rFonts w:cs="FrankRuehl" w:hint="cs"/>
          <w:szCs w:val="26"/>
          <w:rtl/>
        </w:rPr>
        <w:t>* בית המשפט הורה על ביטול הרשעתו של הנאשם. הוטלו על הנאשם 200 שעות שירות לתועלת הציבור, צו מבחן לשנה, פיצוי לעמותת אל סם בסך 2,000 ₪ והתחייבות כספית.</w:t>
      </w:r>
    </w:p>
    <w:p w14:paraId="2C3F6EC2" w14:textId="77777777" w:rsidR="00B4414E" w:rsidRPr="00B4414E" w:rsidRDefault="00B4414E" w:rsidP="00B4414E">
      <w:pPr>
        <w:pBdr>
          <w:top w:val="single" w:sz="4" w:space="1" w:color="auto"/>
          <w:bottom w:val="single" w:sz="4" w:space="1" w:color="auto"/>
        </w:pBdr>
        <w:spacing w:after="120" w:line="320" w:lineRule="exact"/>
        <w:jc w:val="both"/>
        <w:rPr>
          <w:rFonts w:cs="FrankRuehl" w:hint="cs"/>
          <w:szCs w:val="26"/>
          <w:rtl/>
        </w:rPr>
      </w:pPr>
      <w:r w:rsidRPr="00B4414E">
        <w:rPr>
          <w:rFonts w:cs="FrankRuehl" w:hint="cs"/>
          <w:szCs w:val="26"/>
          <w:rtl/>
        </w:rPr>
        <w:t xml:space="preserve">* </w:t>
      </w:r>
      <w:r w:rsidRPr="00B4414E">
        <w:rPr>
          <w:rFonts w:cs="FrankRuehl"/>
          <w:szCs w:val="26"/>
          <w:rtl/>
        </w:rPr>
        <w:t>עונשין – ענישה – הימנעות מהרשעה</w:t>
      </w:r>
    </w:p>
    <w:p w14:paraId="1888C59F" w14:textId="77777777" w:rsidR="00B4414E" w:rsidRPr="00B4414E" w:rsidRDefault="00B4414E" w:rsidP="00B4414E">
      <w:pPr>
        <w:pBdr>
          <w:top w:val="single" w:sz="4" w:space="1" w:color="auto"/>
          <w:bottom w:val="single" w:sz="4" w:space="1" w:color="auto"/>
        </w:pBdr>
        <w:spacing w:after="120" w:line="320" w:lineRule="exact"/>
        <w:jc w:val="both"/>
        <w:rPr>
          <w:rFonts w:cs="FrankRuehl" w:hint="cs"/>
          <w:szCs w:val="26"/>
          <w:rtl/>
        </w:rPr>
      </w:pPr>
      <w:r w:rsidRPr="00B4414E">
        <w:rPr>
          <w:rFonts w:cs="FrankRuehl" w:hint="cs"/>
          <w:szCs w:val="26"/>
          <w:rtl/>
        </w:rPr>
        <w:t xml:space="preserve">* </w:t>
      </w:r>
      <w:r w:rsidRPr="00B4414E">
        <w:rPr>
          <w:rFonts w:cs="FrankRuehl"/>
          <w:szCs w:val="26"/>
          <w:rtl/>
        </w:rPr>
        <w:t>עונשין – ענישה – מדיניות ענישה: אי-הרשעה</w:t>
      </w:r>
    </w:p>
    <w:p w14:paraId="521220A1" w14:textId="77777777" w:rsidR="00B4414E" w:rsidRPr="00B4414E" w:rsidRDefault="00B4414E" w:rsidP="00B4414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C7A9F5A" w14:textId="77777777" w:rsidR="00B4414E" w:rsidRPr="00B4414E" w:rsidRDefault="00B4414E" w:rsidP="00B4414E">
      <w:pPr>
        <w:pBdr>
          <w:top w:val="single" w:sz="4" w:space="1" w:color="auto"/>
          <w:bottom w:val="single" w:sz="4" w:space="1" w:color="auto"/>
        </w:pBdr>
        <w:spacing w:after="120" w:line="320" w:lineRule="exact"/>
        <w:jc w:val="both"/>
        <w:rPr>
          <w:rFonts w:cs="FrankRuehl"/>
          <w:szCs w:val="26"/>
          <w:rtl/>
        </w:rPr>
      </w:pPr>
      <w:r w:rsidRPr="00B4414E">
        <w:rPr>
          <w:rFonts w:cs="FrankRuehl"/>
          <w:szCs w:val="26"/>
          <w:rtl/>
        </w:rPr>
        <w:t>הנאשם הורשע</w:t>
      </w:r>
      <w:r w:rsidRPr="00B4414E">
        <w:rPr>
          <w:rFonts w:cs="FrankRuehl" w:hint="cs"/>
          <w:szCs w:val="26"/>
          <w:rtl/>
        </w:rPr>
        <w:t>, על פי הודאתו,</w:t>
      </w:r>
      <w:r w:rsidRPr="00B4414E">
        <w:rPr>
          <w:rFonts w:cs="FrankRuehl"/>
          <w:szCs w:val="26"/>
          <w:rtl/>
        </w:rPr>
        <w:t xml:space="preserve"> בביצוע עבירה של תיווך לסחר בסם</w:t>
      </w:r>
      <w:r w:rsidRPr="00B4414E">
        <w:rPr>
          <w:rFonts w:cs="FrankRuehl" w:hint="cs"/>
          <w:szCs w:val="26"/>
          <w:rtl/>
        </w:rPr>
        <w:t xml:space="preserve"> וכן </w:t>
      </w:r>
      <w:r w:rsidRPr="00B4414E">
        <w:rPr>
          <w:rFonts w:cs="FrankRuehl"/>
          <w:szCs w:val="26"/>
          <w:rtl/>
        </w:rPr>
        <w:t xml:space="preserve">בביצוע עבירה של החזקת סם לצריכה עצמית. </w:t>
      </w:r>
    </w:p>
    <w:p w14:paraId="273FF186" w14:textId="77777777" w:rsidR="00B4414E" w:rsidRPr="00B4414E" w:rsidRDefault="00B4414E" w:rsidP="00B4414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B217380" w14:textId="77777777" w:rsidR="00B4414E" w:rsidRPr="00B4414E" w:rsidRDefault="00B4414E" w:rsidP="00B4414E">
      <w:pPr>
        <w:pBdr>
          <w:top w:val="single" w:sz="4" w:space="1" w:color="auto"/>
          <w:bottom w:val="single" w:sz="4" w:space="1" w:color="auto"/>
        </w:pBdr>
        <w:spacing w:after="120" w:line="320" w:lineRule="exact"/>
        <w:jc w:val="both"/>
        <w:rPr>
          <w:rFonts w:cs="FrankRuehl" w:hint="cs"/>
          <w:szCs w:val="26"/>
          <w:rtl/>
        </w:rPr>
      </w:pPr>
      <w:r w:rsidRPr="00B4414E">
        <w:rPr>
          <w:rFonts w:cs="FrankRuehl" w:hint="cs"/>
          <w:szCs w:val="26"/>
          <w:rtl/>
        </w:rPr>
        <w:t>בית המשפט פסק כלהלן:</w:t>
      </w:r>
    </w:p>
    <w:p w14:paraId="2D58DCD4" w14:textId="77777777" w:rsidR="00B4414E" w:rsidRPr="00B4414E" w:rsidRDefault="00B4414E" w:rsidP="00B4414E">
      <w:pPr>
        <w:pBdr>
          <w:top w:val="single" w:sz="4" w:space="1" w:color="auto"/>
          <w:bottom w:val="single" w:sz="4" w:space="1" w:color="auto"/>
        </w:pBdr>
        <w:spacing w:after="120" w:line="320" w:lineRule="exact"/>
        <w:jc w:val="both"/>
        <w:rPr>
          <w:rFonts w:cs="FrankRuehl"/>
          <w:szCs w:val="26"/>
          <w:rtl/>
        </w:rPr>
      </w:pPr>
      <w:r w:rsidRPr="00B4414E">
        <w:rPr>
          <w:rFonts w:cs="FrankRuehl" w:hint="cs"/>
          <w:szCs w:val="26"/>
          <w:rtl/>
        </w:rPr>
        <w:t>בידוע, שעה שנמצא כי נאשם ביצע את העבירות המיוחסות לו, יש להרשיעו. זהו הכלל. אי הרשעה הוא היוצא מן הכלל. ב</w:t>
      </w:r>
      <w:hyperlink r:id="rId15" w:history="1">
        <w:r w:rsidRPr="00B4414E">
          <w:rPr>
            <w:rFonts w:cs="FrankRuehl"/>
            <w:szCs w:val="26"/>
            <w:rtl/>
          </w:rPr>
          <w:t>ע"פ 2083/96</w:t>
        </w:r>
      </w:hyperlink>
      <w:r w:rsidRPr="00B4414E">
        <w:rPr>
          <w:rFonts w:cs="FrankRuehl" w:hint="cs"/>
          <w:szCs w:val="26"/>
          <w:rtl/>
        </w:rPr>
        <w:t xml:space="preserve"> כתב נ' מ"י קבע בית המשפט העליון כי אי הרשעה או ביטולה תיתכן בהינתן שני תנאים מצטברים: הראשון, כאשר טיב העבירה מאפשר אי הרשעה מבחינת שיקולי הענישה ליחיד ולרבים; השני, כאשר הנזק העלול להיגרם לנאשם מעצם הרשעתו הוא קונקרטי ובלתי מידתי בנסיבות העניין.</w:t>
      </w:r>
    </w:p>
    <w:p w14:paraId="451C7700" w14:textId="77777777" w:rsidR="00B4414E" w:rsidRPr="00B4414E" w:rsidRDefault="00B4414E" w:rsidP="00B4414E">
      <w:pPr>
        <w:pBdr>
          <w:top w:val="single" w:sz="4" w:space="1" w:color="auto"/>
          <w:bottom w:val="single" w:sz="4" w:space="1" w:color="auto"/>
        </w:pBdr>
        <w:spacing w:after="120" w:line="320" w:lineRule="exact"/>
        <w:jc w:val="both"/>
        <w:rPr>
          <w:rFonts w:cs="FrankRuehl"/>
          <w:szCs w:val="26"/>
          <w:rtl/>
        </w:rPr>
      </w:pPr>
      <w:r w:rsidRPr="00B4414E">
        <w:rPr>
          <w:rFonts w:cs="FrankRuehl" w:hint="cs"/>
          <w:szCs w:val="26"/>
          <w:rtl/>
        </w:rPr>
        <w:lastRenderedPageBreak/>
        <w:t>אשר לתנאי הראשון, על פניו, בענייני סמים אי הרשעה צריכה להיות נדירה שבנדירות. אלא שבעניינו מדובר במעשה חד פעמי ולא חוזר, בכמות קטנה של קנביס, במכירה לשוטר שיזם פניה לנאשם, כשהנאשם עצמו לא מכר, אלא תיווך. אלו הן נסיבות ברף חומרה נמוך במיוחד ביחס לטיב זה של עבירה, ולכן יש לכך השלכה על היכולת להימנע מהרשעה בנסיבות המקרה הספציפיות.</w:t>
      </w:r>
    </w:p>
    <w:p w14:paraId="700E0780" w14:textId="77777777" w:rsidR="00B4414E" w:rsidRPr="00B4414E" w:rsidRDefault="00B4414E" w:rsidP="00B4414E">
      <w:pPr>
        <w:pBdr>
          <w:top w:val="single" w:sz="4" w:space="1" w:color="auto"/>
          <w:bottom w:val="single" w:sz="4" w:space="1" w:color="auto"/>
        </w:pBdr>
        <w:spacing w:after="120" w:line="320" w:lineRule="exact"/>
        <w:jc w:val="both"/>
        <w:rPr>
          <w:rFonts w:cs="FrankRuehl"/>
          <w:szCs w:val="26"/>
          <w:rtl/>
        </w:rPr>
      </w:pPr>
      <w:r w:rsidRPr="00B4414E">
        <w:rPr>
          <w:rFonts w:cs="FrankRuehl" w:hint="cs"/>
          <w:szCs w:val="26"/>
          <w:rtl/>
        </w:rPr>
        <w:t xml:space="preserve">אשר לתנאי השני, הוצגו די אסמכתאות מהן ניתן ללמוד על אופיו הטוב של הנאשם, תיפקודו ללא רבב בכל מסגרות החיים, לרבות בצבא ובלימודים, תרומתו הרבה למשפחתו וגם לנזקקים, והעובדה שהתקבל ללימודים לא פשוטים בתחום ההנדסה. לפיכך, בהינתן התמונה הכוללת, והיות האירועים נשוא התיקים דנן בגדר כשל ממוקד של הנאשם, שאינו מאפיין את הליכותיו בדרך כלל, הנזק שייגרם מהותרת ההרשעה על כנה לא יהיה  מידתי ביחס למעשים שעשה. </w:t>
      </w:r>
    </w:p>
    <w:p w14:paraId="6542A4CC" w14:textId="77777777" w:rsidR="00B4414E" w:rsidRPr="00B4414E" w:rsidRDefault="00B4414E" w:rsidP="00B4414E">
      <w:pPr>
        <w:pBdr>
          <w:top w:val="single" w:sz="4" w:space="1" w:color="auto"/>
          <w:bottom w:val="single" w:sz="4" w:space="1" w:color="auto"/>
        </w:pBdr>
        <w:spacing w:after="120" w:line="320" w:lineRule="exact"/>
        <w:jc w:val="both"/>
        <w:rPr>
          <w:rFonts w:cs="FrankRuehl" w:hint="cs"/>
          <w:szCs w:val="26"/>
          <w:rtl/>
        </w:rPr>
      </w:pPr>
      <w:r w:rsidRPr="00B4414E">
        <w:rPr>
          <w:rFonts w:cs="FrankRuehl" w:hint="cs"/>
          <w:szCs w:val="26"/>
          <w:rtl/>
        </w:rPr>
        <w:t>לפיכך, יש להורות על ביטול הרשעתו של הנאשם, תוך שקביעת אשמתו תיוותר על כנה. יש להטיל על הנאשם 200 שעות שירות לתועלת הציבור (של"ץ), צו מבחן למשך שנה, פיצוי לעמותת אל סם בסך 2,000 ₪ והתחייבות כספית.</w:t>
      </w:r>
    </w:p>
    <w:p w14:paraId="48B90425" w14:textId="77777777" w:rsidR="008F1512" w:rsidRPr="00C630F0" w:rsidRDefault="008F1512" w:rsidP="008F1512">
      <w:bookmarkStart w:id="5" w:name="ABSTRACT_END"/>
      <w:bookmarkEnd w:id="5"/>
    </w:p>
    <w:p w14:paraId="7CE0D7B4" w14:textId="77777777" w:rsidR="008F1512" w:rsidRPr="00C630F0" w:rsidRDefault="008F1512" w:rsidP="008F1512">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1512" w:rsidRPr="00C630F0" w14:paraId="5BBA9EC6" w14:textId="77777777" w:rsidTr="008F1512">
        <w:trPr>
          <w:trHeight w:val="355"/>
          <w:jc w:val="center"/>
        </w:trPr>
        <w:tc>
          <w:tcPr>
            <w:tcW w:w="8820" w:type="dxa"/>
            <w:tcBorders>
              <w:top w:val="nil"/>
              <w:left w:val="nil"/>
              <w:bottom w:val="nil"/>
              <w:right w:val="nil"/>
            </w:tcBorders>
            <w:shd w:val="clear" w:color="auto" w:fill="auto"/>
          </w:tcPr>
          <w:p w14:paraId="58C0138B" w14:textId="77777777" w:rsidR="008F1512" w:rsidRPr="00C630F0" w:rsidRDefault="008F1512" w:rsidP="008F1512">
            <w:pPr>
              <w:jc w:val="center"/>
              <w:rPr>
                <w:rFonts w:ascii="Arial" w:hAnsi="Arial" w:cs="FrankRuehl"/>
                <w:sz w:val="32"/>
                <w:szCs w:val="32"/>
                <w:rtl/>
              </w:rPr>
            </w:pPr>
            <w:r w:rsidRPr="00C630F0">
              <w:rPr>
                <w:rFonts w:ascii="Arial" w:hAnsi="Arial" w:cs="FrankRuehl" w:hint="cs"/>
                <w:b/>
                <w:bCs/>
                <w:sz w:val="32"/>
                <w:szCs w:val="32"/>
                <w:rtl/>
              </w:rPr>
              <w:t xml:space="preserve">גזר </w:t>
            </w:r>
            <w:bookmarkStart w:id="6" w:name="PsakDin"/>
            <w:r w:rsidRPr="00C630F0">
              <w:rPr>
                <w:rFonts w:ascii="Arial" w:hAnsi="Arial" w:cs="FrankRuehl" w:hint="cs"/>
                <w:b/>
                <w:bCs/>
                <w:sz w:val="32"/>
                <w:szCs w:val="32"/>
                <w:rtl/>
              </w:rPr>
              <w:t>דין</w:t>
            </w:r>
            <w:r w:rsidRPr="00C630F0">
              <w:rPr>
                <w:rFonts w:ascii="Arial" w:hAnsi="Arial" w:cs="FrankRuehl" w:hint="cs"/>
                <w:sz w:val="32"/>
                <w:szCs w:val="32"/>
                <w:rtl/>
              </w:rPr>
              <w:t xml:space="preserve"> </w:t>
            </w:r>
            <w:bookmarkEnd w:id="6"/>
            <w:r w:rsidRPr="00C630F0">
              <w:rPr>
                <w:rFonts w:ascii="Arial" w:hAnsi="Arial" w:cs="FrankRuehl" w:hint="cs"/>
                <w:sz w:val="32"/>
                <w:szCs w:val="32"/>
                <w:rtl/>
              </w:rPr>
              <w:t>(תוך ביטול הרשעה)</w:t>
            </w:r>
          </w:p>
        </w:tc>
      </w:tr>
    </w:tbl>
    <w:p w14:paraId="216A059F" w14:textId="77777777" w:rsidR="008F1512" w:rsidRPr="00C630F0" w:rsidRDefault="008F1512" w:rsidP="008F1512">
      <w:pPr>
        <w:rPr>
          <w:rFonts w:ascii="Arial" w:hAnsi="Arial"/>
          <w:rtl/>
        </w:rPr>
      </w:pPr>
    </w:p>
    <w:p w14:paraId="7B66699E" w14:textId="77777777" w:rsidR="008F1512" w:rsidRPr="00C630F0" w:rsidRDefault="008F1512" w:rsidP="008F1512">
      <w:pPr>
        <w:rPr>
          <w:rFonts w:ascii="Arial" w:hAnsi="Arial"/>
          <w:rtl/>
        </w:rPr>
      </w:pPr>
    </w:p>
    <w:p w14:paraId="22EECFD5" w14:textId="77777777" w:rsidR="008F1512" w:rsidRPr="00C630F0" w:rsidRDefault="008F1512" w:rsidP="008F1512">
      <w:pPr>
        <w:spacing w:line="360" w:lineRule="auto"/>
        <w:jc w:val="both"/>
        <w:rPr>
          <w:rFonts w:ascii="FrankRuehl" w:hAnsi="FrankRuehl" w:cs="FrankRuehl"/>
          <w:b/>
          <w:bCs/>
          <w:sz w:val="28"/>
          <w:szCs w:val="28"/>
          <w:rtl/>
        </w:rPr>
      </w:pPr>
      <w:r w:rsidRPr="00C630F0">
        <w:rPr>
          <w:rFonts w:ascii="FrankRuehl" w:hAnsi="FrankRuehl" w:cs="FrankRuehl"/>
          <w:b/>
          <w:bCs/>
          <w:sz w:val="28"/>
          <w:szCs w:val="28"/>
          <w:rtl/>
        </w:rPr>
        <w:t xml:space="preserve">כתבי האישום </w:t>
      </w:r>
    </w:p>
    <w:p w14:paraId="3EA7D48D" w14:textId="77777777" w:rsidR="008F1512" w:rsidRPr="00C630F0" w:rsidRDefault="008F1512" w:rsidP="008F1512">
      <w:pPr>
        <w:spacing w:line="360" w:lineRule="auto"/>
        <w:jc w:val="both"/>
        <w:rPr>
          <w:rFonts w:ascii="FrankRuehl" w:hAnsi="FrankRuehl" w:cs="FrankRuehl"/>
          <w:sz w:val="28"/>
          <w:szCs w:val="28"/>
          <w:rtl/>
        </w:rPr>
      </w:pPr>
      <w:r w:rsidRPr="00C630F0">
        <w:rPr>
          <w:rFonts w:ascii="FrankRuehl" w:hAnsi="FrankRuehl" w:cs="FrankRuehl"/>
          <w:sz w:val="28"/>
          <w:szCs w:val="28"/>
          <w:rtl/>
        </w:rPr>
        <w:t>הנאשם שלפניי הורשע על-פי הודאתו בעובדות שני כתבי האישום שהטיפול בהם אוחד.</w:t>
      </w:r>
    </w:p>
    <w:p w14:paraId="47920B93" w14:textId="77777777" w:rsidR="008F1512" w:rsidRPr="00C630F0" w:rsidRDefault="008F1512" w:rsidP="008F1512">
      <w:pPr>
        <w:spacing w:line="360" w:lineRule="auto"/>
        <w:jc w:val="both"/>
        <w:rPr>
          <w:rFonts w:ascii="FrankRuehl" w:hAnsi="FrankRuehl" w:cs="FrankRuehl"/>
          <w:sz w:val="28"/>
          <w:szCs w:val="28"/>
          <w:rtl/>
        </w:rPr>
      </w:pPr>
    </w:p>
    <w:p w14:paraId="48D2E4E3" w14:textId="77777777" w:rsidR="008F1512" w:rsidRPr="00C630F0" w:rsidRDefault="00C630F0" w:rsidP="008F1512">
      <w:pPr>
        <w:spacing w:line="360" w:lineRule="auto"/>
        <w:jc w:val="both"/>
        <w:rPr>
          <w:rFonts w:ascii="FrankRuehl" w:hAnsi="FrankRuehl" w:cs="FrankRuehl"/>
          <w:sz w:val="28"/>
          <w:szCs w:val="28"/>
          <w:rtl/>
        </w:rPr>
      </w:pPr>
      <w:r w:rsidRPr="00DA050F">
        <w:rPr>
          <w:rFonts w:ascii="FrankRuehl" w:hAnsi="FrankRuehl" w:cs="FrankRuehl"/>
          <w:sz w:val="28"/>
          <w:szCs w:val="28"/>
          <w:rtl/>
        </w:rPr>
        <w:t>ת"פ 55741-12-18</w:t>
      </w:r>
      <w:r w:rsidR="008F1512" w:rsidRPr="00C630F0">
        <w:rPr>
          <w:rFonts w:ascii="FrankRuehl" w:hAnsi="FrankRuehl" w:cs="FrankRuehl"/>
          <w:sz w:val="28"/>
          <w:szCs w:val="28"/>
          <w:rtl/>
        </w:rPr>
        <w:t xml:space="preserve"> (להלן – </w:t>
      </w:r>
      <w:r w:rsidR="008F1512" w:rsidRPr="00C630F0">
        <w:rPr>
          <w:rFonts w:ascii="FrankRuehl" w:hAnsi="FrankRuehl" w:cs="FrankRuehl"/>
          <w:b/>
          <w:bCs/>
          <w:sz w:val="28"/>
          <w:szCs w:val="28"/>
          <w:rtl/>
        </w:rPr>
        <w:t>התיק הראשון</w:t>
      </w:r>
      <w:r w:rsidR="008F1512" w:rsidRPr="00C630F0">
        <w:rPr>
          <w:rFonts w:ascii="FrankRuehl" w:hAnsi="FrankRuehl" w:cs="FrankRuehl"/>
          <w:sz w:val="28"/>
          <w:szCs w:val="28"/>
          <w:rtl/>
        </w:rPr>
        <w:t>)</w:t>
      </w:r>
    </w:p>
    <w:p w14:paraId="5DA3B42D" w14:textId="77777777" w:rsidR="008F1512" w:rsidRPr="00C630F0" w:rsidRDefault="008F1512" w:rsidP="008F1512">
      <w:pPr>
        <w:spacing w:line="360" w:lineRule="auto"/>
        <w:jc w:val="both"/>
        <w:rPr>
          <w:rFonts w:ascii="FrankRuehl" w:hAnsi="FrankRuehl" w:cs="FrankRuehl"/>
          <w:sz w:val="28"/>
          <w:szCs w:val="28"/>
          <w:rtl/>
        </w:rPr>
      </w:pPr>
      <w:r w:rsidRPr="00C630F0">
        <w:rPr>
          <w:rFonts w:ascii="FrankRuehl" w:hAnsi="FrankRuehl" w:cs="FrankRuehl"/>
          <w:sz w:val="28"/>
          <w:szCs w:val="28"/>
          <w:rtl/>
        </w:rPr>
        <w:t xml:space="preserve">מעובדות האישום הראשון בכתב האישום המתוקן עולה, כי ביום 12.7.2016 סמוך לשעת ערב, תיווך הנאשם סם מסוג קנביס במשקל 1.93 גרם נטו לשוטר, תמורת סך של 240 ₪.  באותן נסיבות יצר השוטר קשר טלפוני עם הנאשם ואמר לו שהוא זקוק לעזרה, והאם אפשר לקפוץ. הנאשם השיבו כי הוא נמצא בעיר ושאל את השוטר אם יוכל להגיע לכיכר הדוידקה בירושלים, שכן יש לו חבר שרוצה להעיף, והוא צריך ללכת עכשיו. הנאשם שאל את השוטר מה הוא צריך, וזה השיבו כי הוא צריך "שני ירקות". השניים תיאמו הגעת השוטר למקום במספר שיחות, ומשהגיע השוטר למקום, התקשר לנאשם, ואז הנאשם הגיע אליו פיזית ואמר לו "תנתק". הנאשם ביקש כסף, ניגש לרחוב סמוך, לקחת מאחר את הסמים, בעוד השוטר ממתין במקומו, ובחלוף פרק זמן קצר, שב הנאשם אל השוטר ומסר לו את שתי שקיות הסם. השוטר מסר לנאשם 240 ₪ לאחר ששאל את הנאשם כמה הוא "חייב לו". השוטר ביקש את העודף אך ויתר על כך  בסמוך לאחר מכן. בגין כך הודה הנאשם והורשע בביצוע עבירה של תיווך לסחר בסם, לפי סעיף </w:t>
      </w:r>
      <w:hyperlink r:id="rId16" w:history="1">
        <w:r w:rsidR="00E741FF" w:rsidRPr="00E741FF">
          <w:rPr>
            <w:rFonts w:ascii="FrankRuehl" w:hAnsi="FrankRuehl" w:cs="FrankRuehl"/>
            <w:color w:val="0000FF"/>
            <w:sz w:val="28"/>
            <w:szCs w:val="28"/>
            <w:u w:val="single"/>
            <w:rtl/>
          </w:rPr>
          <w:t>14 + 19א</w:t>
        </w:r>
      </w:hyperlink>
      <w:r w:rsidRPr="00C630F0">
        <w:rPr>
          <w:rFonts w:ascii="FrankRuehl" w:hAnsi="FrankRuehl" w:cs="FrankRuehl"/>
          <w:sz w:val="28"/>
          <w:szCs w:val="28"/>
          <w:rtl/>
        </w:rPr>
        <w:t xml:space="preserve"> לפקודה.</w:t>
      </w:r>
    </w:p>
    <w:p w14:paraId="6C4408C6" w14:textId="77777777" w:rsidR="008F1512" w:rsidRPr="00C630F0" w:rsidRDefault="008F1512" w:rsidP="008F1512">
      <w:pPr>
        <w:spacing w:line="360" w:lineRule="auto"/>
        <w:jc w:val="both"/>
        <w:rPr>
          <w:rFonts w:ascii="FrankRuehl" w:hAnsi="FrankRuehl" w:cs="FrankRuehl"/>
          <w:sz w:val="28"/>
          <w:szCs w:val="28"/>
          <w:rtl/>
        </w:rPr>
      </w:pPr>
    </w:p>
    <w:bookmarkEnd w:id="0"/>
    <w:p w14:paraId="09117963" w14:textId="77777777" w:rsidR="008F1512" w:rsidRPr="00852719" w:rsidRDefault="008F1512" w:rsidP="008F1512">
      <w:pPr>
        <w:spacing w:line="360" w:lineRule="auto"/>
        <w:jc w:val="both"/>
        <w:rPr>
          <w:rFonts w:ascii="FrankRuehl" w:hAnsi="FrankRuehl" w:cs="FrankRuehl"/>
          <w:sz w:val="28"/>
          <w:szCs w:val="28"/>
          <w:rtl/>
        </w:rPr>
      </w:pPr>
      <w:r w:rsidRPr="00852719">
        <w:rPr>
          <w:rFonts w:ascii="FrankRuehl" w:hAnsi="FrankRuehl" w:cs="FrankRuehl"/>
          <w:sz w:val="28"/>
          <w:szCs w:val="28"/>
          <w:rtl/>
        </w:rPr>
        <w:lastRenderedPageBreak/>
        <w:t xml:space="preserve">מועבדות האישום השני עולה, כי ביום 16.11.2016 החזיק הנאשם בביתו סם מסוכן מסוג חשיש במשקל 3.94 גרם נטו וכן בסם מסוג קנביס במשקל 0.66 גרם נטו ובגין כך הודה והורשע בהחזקת סם לצריכה עצמית. </w:t>
      </w:r>
    </w:p>
    <w:p w14:paraId="7E6A7C57" w14:textId="77777777" w:rsidR="008F1512" w:rsidRPr="00852719" w:rsidRDefault="008F1512" w:rsidP="008F1512">
      <w:pPr>
        <w:spacing w:line="360" w:lineRule="auto"/>
        <w:jc w:val="both"/>
        <w:rPr>
          <w:rFonts w:ascii="FrankRuehl" w:hAnsi="FrankRuehl" w:cs="FrankRuehl"/>
          <w:sz w:val="28"/>
          <w:szCs w:val="28"/>
          <w:rtl/>
        </w:rPr>
      </w:pPr>
    </w:p>
    <w:p w14:paraId="56310A58" w14:textId="77777777" w:rsidR="008F1512" w:rsidRPr="00852719" w:rsidRDefault="00C630F0" w:rsidP="008F1512">
      <w:pPr>
        <w:spacing w:line="360" w:lineRule="auto"/>
        <w:jc w:val="both"/>
        <w:rPr>
          <w:rFonts w:ascii="FrankRuehl" w:hAnsi="FrankRuehl" w:cs="FrankRuehl"/>
          <w:sz w:val="28"/>
          <w:szCs w:val="28"/>
          <w:u w:val="single"/>
          <w:rtl/>
        </w:rPr>
      </w:pPr>
      <w:r w:rsidRPr="00DA050F">
        <w:rPr>
          <w:rFonts w:ascii="FrankRuehl" w:hAnsi="FrankRuehl" w:cs="FrankRuehl"/>
          <w:sz w:val="28"/>
          <w:szCs w:val="28"/>
          <w:u w:val="single"/>
          <w:rtl/>
        </w:rPr>
        <w:t>ת"פ 10185-11-18</w:t>
      </w:r>
      <w:r w:rsidR="008F1512" w:rsidRPr="00DA050F">
        <w:rPr>
          <w:rFonts w:ascii="FrankRuehl" w:hAnsi="FrankRuehl" w:cs="FrankRuehl"/>
          <w:sz w:val="28"/>
          <w:szCs w:val="28"/>
          <w:u w:val="single"/>
          <w:rtl/>
        </w:rPr>
        <w:t xml:space="preserve"> (להלן –</w:t>
      </w:r>
      <w:r w:rsidR="008F1512" w:rsidRPr="00852719">
        <w:rPr>
          <w:rFonts w:ascii="FrankRuehl" w:hAnsi="FrankRuehl" w:cs="FrankRuehl"/>
          <w:sz w:val="28"/>
          <w:szCs w:val="28"/>
          <w:u w:val="single"/>
          <w:rtl/>
        </w:rPr>
        <w:t xml:space="preserve"> </w:t>
      </w:r>
      <w:r w:rsidR="008F1512" w:rsidRPr="00852719">
        <w:rPr>
          <w:rFonts w:ascii="FrankRuehl" w:hAnsi="FrankRuehl" w:cs="FrankRuehl"/>
          <w:b/>
          <w:bCs/>
          <w:sz w:val="28"/>
          <w:szCs w:val="28"/>
          <w:u w:val="single"/>
          <w:rtl/>
        </w:rPr>
        <w:t>התיק השני</w:t>
      </w:r>
      <w:r w:rsidR="008F1512" w:rsidRPr="00852719">
        <w:rPr>
          <w:rFonts w:ascii="FrankRuehl" w:hAnsi="FrankRuehl" w:cs="FrankRuehl"/>
          <w:sz w:val="28"/>
          <w:szCs w:val="28"/>
          <w:u w:val="single"/>
          <w:rtl/>
        </w:rPr>
        <w:t>)</w:t>
      </w:r>
    </w:p>
    <w:p w14:paraId="3266ABCF" w14:textId="77777777" w:rsidR="008F1512" w:rsidRPr="00852719" w:rsidRDefault="008F1512" w:rsidP="008F1512">
      <w:pPr>
        <w:spacing w:line="360" w:lineRule="auto"/>
        <w:jc w:val="both"/>
        <w:rPr>
          <w:rFonts w:ascii="FrankRuehl" w:hAnsi="FrankRuehl" w:cs="FrankRuehl"/>
          <w:sz w:val="28"/>
          <w:szCs w:val="28"/>
          <w:rtl/>
        </w:rPr>
      </w:pPr>
      <w:r w:rsidRPr="00852719">
        <w:rPr>
          <w:rFonts w:ascii="FrankRuehl" w:hAnsi="FrankRuehl" w:cs="FrankRuehl"/>
          <w:sz w:val="28"/>
          <w:szCs w:val="28"/>
          <w:rtl/>
        </w:rPr>
        <w:t xml:space="preserve">מעובדות כתב האישום המקורי עולה כי הנאשם החזיק בביתו בירושלים 3.84 גרם חשיש ו-4.01 קנביס בתאריך 24.7.2017, כל זאת בניגוד לחוק. בגין כך הודה והורשע בביצוע עבירה של החזקת סם לצריכה עצמית, לפי סעיפים </w:t>
      </w:r>
      <w:hyperlink r:id="rId17" w:history="1">
        <w:r w:rsidR="00E741FF" w:rsidRPr="00E741FF">
          <w:rPr>
            <w:rFonts w:ascii="FrankRuehl" w:hAnsi="FrankRuehl" w:cs="FrankRuehl"/>
            <w:color w:val="0000FF"/>
            <w:sz w:val="28"/>
            <w:szCs w:val="28"/>
            <w:u w:val="single"/>
            <w:rtl/>
          </w:rPr>
          <w:t>7(א) ו-(ג)</w:t>
        </w:r>
      </w:hyperlink>
      <w:r w:rsidRPr="00852719">
        <w:rPr>
          <w:rFonts w:ascii="FrankRuehl" w:hAnsi="FrankRuehl" w:cs="FrankRuehl"/>
          <w:sz w:val="28"/>
          <w:szCs w:val="28"/>
          <w:rtl/>
        </w:rPr>
        <w:t xml:space="preserve"> סיפא ל</w:t>
      </w:r>
      <w:hyperlink r:id="rId18" w:history="1">
        <w:r w:rsidR="00C630F0" w:rsidRPr="00C630F0">
          <w:rPr>
            <w:rFonts w:ascii="FrankRuehl" w:hAnsi="FrankRuehl" w:cs="FrankRuehl"/>
            <w:color w:val="0000FF"/>
            <w:sz w:val="28"/>
            <w:szCs w:val="28"/>
            <w:u w:val="single"/>
            <w:rtl/>
          </w:rPr>
          <w:t>פקודת הסמים המסוכנים</w:t>
        </w:r>
      </w:hyperlink>
      <w:r w:rsidRPr="00852719">
        <w:rPr>
          <w:rFonts w:ascii="FrankRuehl" w:hAnsi="FrankRuehl" w:cs="FrankRuehl"/>
          <w:sz w:val="28"/>
          <w:szCs w:val="28"/>
          <w:rtl/>
        </w:rPr>
        <w:t xml:space="preserve">. </w:t>
      </w:r>
    </w:p>
    <w:p w14:paraId="27D9F5DF" w14:textId="77777777" w:rsidR="008F1512" w:rsidRDefault="008F1512" w:rsidP="008F1512">
      <w:pPr>
        <w:spacing w:line="360" w:lineRule="auto"/>
        <w:jc w:val="both"/>
        <w:rPr>
          <w:rFonts w:ascii="FrankRuehl" w:hAnsi="FrankRuehl" w:cs="FrankRuehl"/>
          <w:sz w:val="28"/>
          <w:szCs w:val="28"/>
          <w:rtl/>
        </w:rPr>
      </w:pPr>
    </w:p>
    <w:p w14:paraId="6FBA4566" w14:textId="77777777" w:rsidR="008F1512" w:rsidRDefault="008F1512" w:rsidP="008F1512">
      <w:pPr>
        <w:spacing w:line="360" w:lineRule="auto"/>
        <w:jc w:val="both"/>
        <w:rPr>
          <w:rFonts w:cs="FrankRuehl"/>
          <w:b/>
          <w:bCs/>
          <w:sz w:val="28"/>
          <w:szCs w:val="28"/>
          <w:u w:val="single"/>
        </w:rPr>
      </w:pPr>
      <w:r>
        <w:rPr>
          <w:rFonts w:cs="FrankRuehl" w:hint="cs"/>
          <w:b/>
          <w:bCs/>
          <w:sz w:val="28"/>
          <w:szCs w:val="28"/>
          <w:u w:val="single"/>
          <w:rtl/>
        </w:rPr>
        <w:t>מהלך הדיון</w:t>
      </w:r>
    </w:p>
    <w:p w14:paraId="58054EA4" w14:textId="77777777" w:rsidR="008F1512" w:rsidRDefault="008F1512" w:rsidP="008F1512">
      <w:pPr>
        <w:spacing w:line="360" w:lineRule="auto"/>
        <w:jc w:val="both"/>
        <w:rPr>
          <w:rFonts w:cs="FrankRuehl"/>
          <w:sz w:val="28"/>
          <w:szCs w:val="28"/>
        </w:rPr>
      </w:pPr>
      <w:r>
        <w:rPr>
          <w:rFonts w:cs="FrankRuehl" w:hint="cs"/>
          <w:sz w:val="28"/>
          <w:szCs w:val="28"/>
          <w:rtl/>
        </w:rPr>
        <w:t xml:space="preserve">הנאשם צירף את התיק השני לתיק הראשון ונשלח לשירות המבחן לקבלת תסקיר ללא הסכמה עונשית. </w:t>
      </w:r>
    </w:p>
    <w:p w14:paraId="5EA6DBB1" w14:textId="77777777" w:rsidR="008F1512" w:rsidRDefault="008F1512" w:rsidP="008F1512">
      <w:pPr>
        <w:spacing w:line="360" w:lineRule="auto"/>
        <w:jc w:val="both"/>
        <w:rPr>
          <w:rFonts w:cs="FrankRuehl"/>
          <w:b/>
          <w:bCs/>
          <w:sz w:val="28"/>
          <w:szCs w:val="28"/>
          <w:u w:val="single"/>
          <w:rtl/>
        </w:rPr>
      </w:pPr>
    </w:p>
    <w:p w14:paraId="424707A4" w14:textId="77777777" w:rsidR="008F1512" w:rsidRDefault="008F1512" w:rsidP="008F1512">
      <w:pPr>
        <w:spacing w:line="360" w:lineRule="auto"/>
        <w:jc w:val="both"/>
        <w:rPr>
          <w:rFonts w:cs="FrankRuehl"/>
          <w:b/>
          <w:bCs/>
          <w:sz w:val="28"/>
          <w:szCs w:val="28"/>
          <w:u w:val="single"/>
          <w:rtl/>
        </w:rPr>
      </w:pPr>
      <w:r>
        <w:rPr>
          <w:rFonts w:cs="FrankRuehl" w:hint="cs"/>
          <w:b/>
          <w:bCs/>
          <w:sz w:val="28"/>
          <w:szCs w:val="28"/>
          <w:u w:val="single"/>
          <w:rtl/>
        </w:rPr>
        <w:t>תסקיר</w:t>
      </w:r>
    </w:p>
    <w:p w14:paraId="39FCFF76" w14:textId="77777777" w:rsidR="008F1512" w:rsidRDefault="008F1512" w:rsidP="008F1512">
      <w:pPr>
        <w:spacing w:line="360" w:lineRule="auto"/>
        <w:jc w:val="both"/>
        <w:rPr>
          <w:rFonts w:cs="FrankRuehl"/>
          <w:sz w:val="28"/>
          <w:szCs w:val="28"/>
          <w:rtl/>
        </w:rPr>
      </w:pPr>
      <w:r>
        <w:rPr>
          <w:rFonts w:cs="FrankRuehl" w:hint="cs"/>
          <w:sz w:val="28"/>
          <w:szCs w:val="28"/>
          <w:rtl/>
        </w:rPr>
        <w:t>מהתסקיר שהוגש בעניינו של הנאשם עולה כי מדובר בבחור צעיר מאוד, בן 21, המשרת בשירות סדיר בגדוד "נצח יהודה" ומתגורר עם משפחתו בירושלים. מהדיונים לפניי עלה כי הנאשם מאורס וצפוי להתחתן בקרוב בשעה טובה ומוצלחת. שירות המבחן גולל את קורות משפחתו הגרעינית של הנאשם ואת קורותיו שלו. בשל מחלת אמו ואחיו הקטן, ובשל מגבלות תפקוד של אביו, נטל הנאשם יחד עם אחיו הגדול תפקיד משמעותי בניהול משק הבית. הנאשם סיים 12 שנות לימוד ויש לו תעודת בגרות מלאה. הוא נמצא בחלקו האחרון של שירותו הסדיר בצבא, והוא מתכנן ללמוד הנדסה אזרחית במכללה למינהל בירושלים. הוא החל לעבוד מגיל צעיר לסייע בפרנסת המשפחה. כשהיה בן 17 נחשף לראשונה לשימוש בסמים, והשימוש הסלים והלך עד לשימוש יומיומי. לדבריו, מזה כשנתיים אינו צורך סמים, והוא מסר מספר בדיקות שתן נקיות.  הנאשם נטל אחריות מלאה למעשיו וגילה הבנה לחומרתן. הוא נמנע מהתחברות לגורמים שליליים ועובר תהליך פנימי לשיפור אורחותיו  ולהתמדה בתפקוד נורמטיבי. שירות המבחן בחן את הסיכויים והסיכונים המגולמים באישיות והתנהגותו של הנאשם, וסבר כי לצד קיומו של קושי מסוים בעמידה בפיתוי לעשיית רווח קל, הנאשם גילה כוחות תפקודיים משמעותיים, הוא אינו צורך סמים תקופה ארוכה והוא נוטל אחריות מלאה למעשיו. לכן המליץ שירות המבחן על הטלת של"ץ בהיקף 200 שעות ללא צו מבחן בהיעדר נזקקות טיפולית, תוך ביטול ההרשעה בשל שאיפותיו של הנאשם לעתיד מבחינה לימודית ותעסוקתית.</w:t>
      </w:r>
    </w:p>
    <w:p w14:paraId="39E12663" w14:textId="77777777" w:rsidR="008F1512" w:rsidRDefault="008F1512" w:rsidP="008F1512">
      <w:pPr>
        <w:spacing w:line="360" w:lineRule="auto"/>
        <w:jc w:val="both"/>
        <w:rPr>
          <w:rFonts w:cs="FrankRuehl"/>
          <w:b/>
          <w:bCs/>
          <w:sz w:val="28"/>
          <w:szCs w:val="28"/>
          <w:u w:val="single"/>
        </w:rPr>
      </w:pPr>
    </w:p>
    <w:p w14:paraId="0D8A799C" w14:textId="77777777" w:rsidR="008F1512" w:rsidRDefault="008F1512" w:rsidP="008F1512">
      <w:pPr>
        <w:spacing w:line="360" w:lineRule="auto"/>
        <w:jc w:val="both"/>
        <w:rPr>
          <w:rFonts w:cs="FrankRuehl"/>
          <w:b/>
          <w:bCs/>
          <w:sz w:val="28"/>
          <w:szCs w:val="28"/>
          <w:u w:val="single"/>
          <w:rtl/>
        </w:rPr>
      </w:pPr>
      <w:r>
        <w:rPr>
          <w:rFonts w:cs="FrankRuehl" w:hint="cs"/>
          <w:b/>
          <w:bCs/>
          <w:sz w:val="28"/>
          <w:szCs w:val="28"/>
          <w:u w:val="single"/>
          <w:rtl/>
        </w:rPr>
        <w:t>ראיות  וטיעונים לעונש</w:t>
      </w:r>
    </w:p>
    <w:p w14:paraId="146820C1" w14:textId="77777777" w:rsidR="008F1512" w:rsidRDefault="008F1512" w:rsidP="008F1512">
      <w:pPr>
        <w:spacing w:line="360" w:lineRule="auto"/>
        <w:jc w:val="both"/>
        <w:rPr>
          <w:rFonts w:cs="FrankRuehl"/>
          <w:sz w:val="28"/>
          <w:szCs w:val="28"/>
          <w:rtl/>
        </w:rPr>
      </w:pPr>
      <w:r>
        <w:rPr>
          <w:rFonts w:cs="FrankRuehl" w:hint="cs"/>
          <w:sz w:val="28"/>
          <w:szCs w:val="28"/>
          <w:rtl/>
        </w:rPr>
        <w:t xml:space="preserve">הצדדים לא הגיעו להסכמה עונשית וטענו בהרחבה. </w:t>
      </w:r>
    </w:p>
    <w:p w14:paraId="79BD3FBC" w14:textId="77777777" w:rsidR="008F1512" w:rsidRDefault="008F1512" w:rsidP="008F1512">
      <w:pPr>
        <w:spacing w:line="360" w:lineRule="auto"/>
        <w:jc w:val="both"/>
        <w:rPr>
          <w:rFonts w:cs="FrankRuehl"/>
          <w:sz w:val="28"/>
          <w:szCs w:val="28"/>
          <w:rtl/>
        </w:rPr>
      </w:pPr>
    </w:p>
    <w:p w14:paraId="6C431544" w14:textId="77777777" w:rsidR="008F1512" w:rsidRDefault="008F1512" w:rsidP="008F1512">
      <w:pPr>
        <w:spacing w:line="360" w:lineRule="auto"/>
        <w:jc w:val="both"/>
        <w:rPr>
          <w:rFonts w:cs="FrankRuehl"/>
          <w:sz w:val="28"/>
          <w:szCs w:val="28"/>
          <w:rtl/>
        </w:rPr>
      </w:pPr>
      <w:r>
        <w:rPr>
          <w:rFonts w:cs="FrankRuehl" w:hint="cs"/>
          <w:sz w:val="28"/>
          <w:szCs w:val="28"/>
          <w:rtl/>
        </w:rPr>
        <w:t>במסגרת הראיות לעונש, שמעתי את מפקדו של הנאשם בצבא, שדיבר בשבחו ואישר את הטענה בדבר היותו מצטיין בלימודיו ובתפקודו  במסגרת הצבאית. אף נאמר כי הוא משמש דוגמה לחבריו.</w:t>
      </w:r>
    </w:p>
    <w:p w14:paraId="6493C936" w14:textId="77777777" w:rsidR="008F1512" w:rsidRDefault="008F1512" w:rsidP="008F1512">
      <w:pPr>
        <w:spacing w:line="360" w:lineRule="auto"/>
        <w:jc w:val="both"/>
        <w:rPr>
          <w:rFonts w:cs="FrankRuehl"/>
          <w:sz w:val="28"/>
          <w:szCs w:val="28"/>
          <w:rtl/>
        </w:rPr>
      </w:pPr>
    </w:p>
    <w:p w14:paraId="149B1208" w14:textId="77777777" w:rsidR="008F1512" w:rsidRDefault="008F1512" w:rsidP="008F1512">
      <w:pPr>
        <w:spacing w:line="360" w:lineRule="auto"/>
        <w:jc w:val="both"/>
        <w:rPr>
          <w:rFonts w:cs="FrankRuehl"/>
          <w:sz w:val="28"/>
          <w:szCs w:val="28"/>
          <w:rtl/>
        </w:rPr>
      </w:pPr>
      <w:r>
        <w:rPr>
          <w:rFonts w:cs="FrankRuehl" w:hint="cs"/>
          <w:sz w:val="28"/>
          <w:szCs w:val="28"/>
          <w:rtl/>
        </w:rPr>
        <w:t xml:space="preserve">מחד, ב"כ המאשימה טענה ביחס לאישום התיווך, כי מדובר באישום חמור בנסיבותיו, וקרוב יותר לסחר ממש לנוכח המתואר בכתב האישום. לגבי עבירה זו עתרה ב"כ המאשימה להטיל על הנאשם עונש במתחם שבין 6 חודשים ועד שנת מאסר. ביחס לאישומי ההחזקה העצמית עתרה למתחם שבין מאסר על תנאי ועד מספר חודשי מאסר, לרבות בעבודות שירות. המאשימה עתרה לצבור את המתחמים ולהטיל על הנאשם עונש מאסר בפועל, קנס שלא יפחת מ-5,000 ₪, מאסר על תנאי, פסילה בפועל ועל-תנאי. פשיטא שב"כ המאשימה סברה כי אין לבטל את ההרשעה לנוכח נסיבות המקרה והיעדר נזק ספציפי לנאשם מעצם הרשעתו. </w:t>
      </w:r>
    </w:p>
    <w:p w14:paraId="1C0F8896" w14:textId="77777777" w:rsidR="008F1512" w:rsidRDefault="008F1512" w:rsidP="008F1512">
      <w:pPr>
        <w:spacing w:line="360" w:lineRule="auto"/>
        <w:jc w:val="both"/>
        <w:rPr>
          <w:rFonts w:cs="FrankRuehl"/>
          <w:sz w:val="28"/>
          <w:szCs w:val="28"/>
          <w:rtl/>
        </w:rPr>
      </w:pPr>
    </w:p>
    <w:p w14:paraId="1AF7A781" w14:textId="77777777" w:rsidR="008F1512" w:rsidRDefault="008F1512" w:rsidP="008F1512">
      <w:pPr>
        <w:spacing w:line="360" w:lineRule="auto"/>
        <w:jc w:val="both"/>
        <w:rPr>
          <w:rFonts w:cs="FrankRuehl"/>
          <w:sz w:val="28"/>
          <w:szCs w:val="28"/>
          <w:rtl/>
        </w:rPr>
      </w:pPr>
      <w:r>
        <w:rPr>
          <w:rFonts w:cs="FrankRuehl" w:hint="cs"/>
          <w:sz w:val="28"/>
          <w:szCs w:val="28"/>
          <w:rtl/>
        </w:rPr>
        <w:t>מאידך, הסניגור עתר לבטל את ההרשעה, בשל תפקודו הנורמטיבי של הנאשם, גילו הצעיר, נסיבות חייו, האחריות שנטל ואופיו המינורי של האירוע, לטענתו, וכן עתר להטיל עליו של"ץ בהתאם להמלצת שירות המבחן. הוצגו לי מסמכים רבים המעידים על הצטיינותו של הנאשם בלימודיו התורניים, על עזרה לזולת ועל תפקוד תקין במסגרות שונות לרבות בשירותו הצבאי. הנאשם סיפר כי מתעתד להינשא והציג אישור קבלה ללימודי הנדסה אזרחית במכללה למינהל החל משנה זו.</w:t>
      </w:r>
    </w:p>
    <w:p w14:paraId="29E1BE81" w14:textId="77777777" w:rsidR="008F1512" w:rsidRDefault="008F1512" w:rsidP="008F1512">
      <w:pPr>
        <w:spacing w:line="360" w:lineRule="auto"/>
        <w:jc w:val="both"/>
        <w:rPr>
          <w:rFonts w:cs="FrankRuehl"/>
          <w:b/>
          <w:bCs/>
          <w:sz w:val="28"/>
          <w:szCs w:val="28"/>
          <w:u w:val="single"/>
          <w:rtl/>
        </w:rPr>
      </w:pPr>
    </w:p>
    <w:p w14:paraId="54562F02" w14:textId="77777777" w:rsidR="008F1512" w:rsidRDefault="008F1512" w:rsidP="008F1512">
      <w:pPr>
        <w:spacing w:line="360" w:lineRule="auto"/>
        <w:jc w:val="both"/>
        <w:rPr>
          <w:rFonts w:cs="FrankRuehl"/>
          <w:b/>
          <w:bCs/>
          <w:sz w:val="28"/>
          <w:szCs w:val="28"/>
          <w:u w:val="single"/>
          <w:rtl/>
        </w:rPr>
      </w:pPr>
      <w:r>
        <w:rPr>
          <w:rFonts w:cs="FrankRuehl" w:hint="cs"/>
          <w:b/>
          <w:bCs/>
          <w:sz w:val="28"/>
          <w:szCs w:val="28"/>
          <w:u w:val="single"/>
          <w:rtl/>
        </w:rPr>
        <w:t xml:space="preserve">קביעת מתחם הענישה </w:t>
      </w:r>
      <w:r>
        <w:rPr>
          <w:rFonts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095638E5" w14:textId="77777777" w:rsidR="008F1512" w:rsidRDefault="008F1512" w:rsidP="008F1512">
      <w:pPr>
        <w:spacing w:line="360" w:lineRule="auto"/>
        <w:jc w:val="both"/>
        <w:rPr>
          <w:rFonts w:cs="FrankRuehl"/>
          <w:b/>
          <w:bCs/>
          <w:sz w:val="28"/>
          <w:szCs w:val="28"/>
          <w:u w:val="single"/>
          <w:rtl/>
        </w:rPr>
      </w:pPr>
    </w:p>
    <w:p w14:paraId="4BD16283" w14:textId="77777777" w:rsidR="008F1512" w:rsidRDefault="008F1512" w:rsidP="008F1512">
      <w:pPr>
        <w:spacing w:line="360" w:lineRule="auto"/>
        <w:jc w:val="both"/>
        <w:rPr>
          <w:rFonts w:cs="FrankRuehl"/>
          <w:sz w:val="28"/>
          <w:szCs w:val="28"/>
          <w:rtl/>
        </w:rPr>
      </w:pPr>
      <w:r>
        <w:rPr>
          <w:rFonts w:cs="FrankRuehl" w:hint="cs"/>
          <w:b/>
          <w:bCs/>
          <w:sz w:val="28"/>
          <w:szCs w:val="28"/>
          <w:u w:val="single"/>
          <w:rtl/>
        </w:rPr>
        <w:t xml:space="preserve">אשר לערך המוגן </w:t>
      </w:r>
      <w:r>
        <w:rPr>
          <w:rFonts w:cs="FrankRuehl" w:hint="cs"/>
          <w:sz w:val="28"/>
          <w:szCs w:val="28"/>
          <w:rtl/>
        </w:rPr>
        <w:t xml:space="preserve">–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הדברים נאמרים ביתר שאת, שעה שמדובר בהפצת סמים באמצעות סחר או תיווך (העונש בגין עבירות אלו זהה </w:t>
      </w:r>
      <w:r>
        <w:rPr>
          <w:rFonts w:cs="FrankRuehl"/>
          <w:sz w:val="28"/>
          <w:szCs w:val="28"/>
          <w:rtl/>
        </w:rPr>
        <w:t>–</w:t>
      </w:r>
      <w:r>
        <w:rPr>
          <w:rFonts w:cs="FrankRuehl" w:hint="cs"/>
          <w:sz w:val="28"/>
          <w:szCs w:val="28"/>
          <w:rtl/>
        </w:rPr>
        <w:t xml:space="preserve"> עד 20 שנות מאסר). </w:t>
      </w:r>
    </w:p>
    <w:p w14:paraId="3ABD13B5" w14:textId="77777777" w:rsidR="008F1512" w:rsidRDefault="008F1512" w:rsidP="008F1512">
      <w:pPr>
        <w:spacing w:line="360" w:lineRule="auto"/>
        <w:jc w:val="both"/>
        <w:rPr>
          <w:rFonts w:cs="FrankRuehl"/>
          <w:b/>
          <w:bCs/>
          <w:sz w:val="28"/>
          <w:szCs w:val="28"/>
          <w:rtl/>
        </w:rPr>
      </w:pPr>
    </w:p>
    <w:p w14:paraId="02A9D19D" w14:textId="77777777" w:rsidR="008F1512" w:rsidRDefault="008F1512" w:rsidP="008F1512">
      <w:pPr>
        <w:spacing w:line="360" w:lineRule="auto"/>
        <w:jc w:val="both"/>
        <w:rPr>
          <w:rFonts w:cs="FrankRuehl"/>
          <w:sz w:val="28"/>
          <w:szCs w:val="28"/>
          <w:rtl/>
        </w:rPr>
      </w:pPr>
      <w:r>
        <w:rPr>
          <w:rFonts w:cs="FrankRuehl" w:hint="cs"/>
          <w:b/>
          <w:bCs/>
          <w:sz w:val="28"/>
          <w:szCs w:val="28"/>
          <w:u w:val="single"/>
          <w:rtl/>
        </w:rPr>
        <w:t xml:space="preserve">נסיבות הקשורות בביצוע העבירה, לפי </w:t>
      </w:r>
      <w:hyperlink r:id="rId19" w:history="1">
        <w:r w:rsidR="00E741FF" w:rsidRPr="00E741FF">
          <w:rPr>
            <w:rFonts w:cs="FrankRuehl"/>
            <w:b/>
            <w:bCs/>
            <w:color w:val="0000FF"/>
            <w:sz w:val="28"/>
            <w:szCs w:val="28"/>
            <w:u w:val="single"/>
            <w:rtl/>
          </w:rPr>
          <w:t>סעיף 40ט'</w:t>
        </w:r>
      </w:hyperlink>
      <w:r>
        <w:rPr>
          <w:rFonts w:cs="FrankRuehl" w:hint="cs"/>
          <w:b/>
          <w:bCs/>
          <w:sz w:val="28"/>
          <w:szCs w:val="28"/>
          <w:u w:val="single"/>
          <w:rtl/>
        </w:rPr>
        <w:t xml:space="preserve"> ל</w:t>
      </w:r>
      <w:hyperlink r:id="rId20" w:history="1">
        <w:r w:rsidR="00C630F0" w:rsidRPr="00C630F0">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 xml:space="preserve">בין הנסיבות הקשורות בביצוע העבירה יש לשקול את אלה, לעניין קביעת המתחם: מדובר בעבירות מתוכננות, כאשר אישום התיווך מלמד על מעורבות הנאשם בעולם הסמים וזמינות קלה לסם, זאת לחומרא; לקולא, טיבם של הסמים אותם תיווך ושנמצאו בביתו שהם ברף חומרה נמוך ובכמויות מזעריות; הנאשם אחראי בלעדית למעשים, והגם שמדובר בבחור צעיר, הרי שלכל אורך חייו הוכיח בגרות ותפקוד ברמה גבוהה לנוכח נסיבותיו המשפחתיות </w:t>
      </w:r>
      <w:r>
        <w:rPr>
          <w:rFonts w:cs="FrankRuehl"/>
          <w:sz w:val="28"/>
          <w:szCs w:val="28"/>
          <w:rtl/>
        </w:rPr>
        <w:t>–</w:t>
      </w:r>
      <w:r>
        <w:rPr>
          <w:rFonts w:cs="FrankRuehl" w:hint="cs"/>
          <w:sz w:val="28"/>
          <w:szCs w:val="28"/>
          <w:rtl/>
        </w:rPr>
        <w:t xml:space="preserve"> מכאן שבוודאי שצריך היה להימנע מן המעשים וידע כי הם פסולים; הנזק שנגרם בפועל זעיר, בהיות הלקוח שוטר; הנזק הפוטנציאלי עלול להיות קשה מעצם הפצת הסם לאחר. </w:t>
      </w:r>
    </w:p>
    <w:p w14:paraId="47DB12C1" w14:textId="77777777" w:rsidR="008F1512" w:rsidRDefault="008F1512" w:rsidP="008F1512">
      <w:pPr>
        <w:spacing w:line="360" w:lineRule="auto"/>
        <w:jc w:val="both"/>
        <w:rPr>
          <w:rFonts w:cs="FrankRuehl"/>
          <w:sz w:val="28"/>
          <w:szCs w:val="28"/>
        </w:rPr>
      </w:pPr>
    </w:p>
    <w:p w14:paraId="3A6B6217" w14:textId="77777777" w:rsidR="008F1512" w:rsidRPr="00EF1195" w:rsidRDefault="008F1512" w:rsidP="008F1512">
      <w:pPr>
        <w:spacing w:line="360" w:lineRule="auto"/>
        <w:jc w:val="both"/>
        <w:rPr>
          <w:rFonts w:cs="FrankRuehl"/>
          <w:sz w:val="28"/>
          <w:szCs w:val="28"/>
          <w:rtl/>
        </w:rPr>
      </w:pPr>
      <w:r>
        <w:rPr>
          <w:rFonts w:cs="FrankRuehl" w:hint="cs"/>
          <w:b/>
          <w:bCs/>
          <w:sz w:val="28"/>
          <w:szCs w:val="28"/>
          <w:u w:val="single"/>
          <w:rtl/>
        </w:rPr>
        <w:t>מדיניות הענישה הנוהגת</w:t>
      </w:r>
      <w:r>
        <w:rPr>
          <w:rFonts w:cs="FrankRuehl" w:hint="cs"/>
          <w:b/>
          <w:bCs/>
          <w:sz w:val="28"/>
          <w:szCs w:val="28"/>
          <w:rtl/>
        </w:rPr>
        <w:t xml:space="preserve"> – </w:t>
      </w:r>
      <w:r w:rsidRPr="00EF1195">
        <w:rPr>
          <w:rFonts w:cs="FrankRuehl" w:hint="cs"/>
          <w:sz w:val="28"/>
          <w:szCs w:val="28"/>
          <w:rtl/>
        </w:rPr>
        <w:t>כאשר מדובר באירוע בודד של תיווך או סחר וכאשר מדובר בהחזקת כמות קטנה של סם לצריכה עצמית, תיקים אינם מסתיימים לרוב במאסר. מפנה ל</w:t>
      </w:r>
      <w:hyperlink r:id="rId21" w:history="1">
        <w:r w:rsidR="00C630F0" w:rsidRPr="00C630F0">
          <w:rPr>
            <w:rFonts w:cs="FrankRuehl"/>
            <w:color w:val="0000FF"/>
            <w:sz w:val="28"/>
            <w:szCs w:val="28"/>
            <w:u w:val="single"/>
            <w:rtl/>
          </w:rPr>
          <w:t>רע"פ 5478/19</w:t>
        </w:r>
      </w:hyperlink>
      <w:r w:rsidRPr="00EF1195">
        <w:rPr>
          <w:rFonts w:cs="FrankRuehl" w:hint="cs"/>
          <w:sz w:val="28"/>
          <w:szCs w:val="28"/>
          <w:rtl/>
        </w:rPr>
        <w:t xml:space="preserve"> </w:t>
      </w:r>
      <w:r w:rsidRPr="00EF1195">
        <w:rPr>
          <w:rFonts w:cs="FrankRuehl" w:hint="cs"/>
          <w:b/>
          <w:bCs/>
          <w:sz w:val="28"/>
          <w:szCs w:val="28"/>
          <w:u w:val="single"/>
          <w:rtl/>
        </w:rPr>
        <w:t>לוין</w:t>
      </w:r>
      <w:r w:rsidRPr="00EF1195">
        <w:rPr>
          <w:rFonts w:cs="FrankRuehl" w:hint="cs"/>
          <w:sz w:val="28"/>
          <w:szCs w:val="28"/>
          <w:rtl/>
        </w:rPr>
        <w:t xml:space="preserve"> נ' </w:t>
      </w:r>
      <w:r w:rsidRPr="00EF1195">
        <w:rPr>
          <w:rFonts w:cs="FrankRuehl" w:hint="cs"/>
          <w:b/>
          <w:bCs/>
          <w:sz w:val="28"/>
          <w:szCs w:val="28"/>
          <w:u w:val="single"/>
          <w:rtl/>
        </w:rPr>
        <w:t>מ"י</w:t>
      </w:r>
      <w:r w:rsidRPr="00EF1195">
        <w:rPr>
          <w:rFonts w:cs="FrankRuehl" w:hint="cs"/>
          <w:sz w:val="28"/>
          <w:szCs w:val="28"/>
          <w:rtl/>
        </w:rPr>
        <w:t xml:space="preserve"> </w:t>
      </w:r>
      <w:r w:rsidR="00DA050F" w:rsidRPr="00DA050F">
        <w:rPr>
          <w:sz w:val="22"/>
          <w:rtl/>
        </w:rPr>
        <w:t xml:space="preserve">[פורסם בנבו] </w:t>
      </w:r>
      <w:r w:rsidRPr="00EF1195">
        <w:rPr>
          <w:rFonts w:cs="FrankRuehl" w:hint="cs"/>
          <w:sz w:val="28"/>
          <w:szCs w:val="28"/>
          <w:rtl/>
        </w:rPr>
        <w:t>(מיום 25.8.2019)</w:t>
      </w:r>
      <w:r>
        <w:rPr>
          <w:rFonts w:cs="FrankRuehl" w:hint="cs"/>
          <w:sz w:val="28"/>
          <w:szCs w:val="28"/>
          <w:rtl/>
        </w:rPr>
        <w:t xml:space="preserve"> (להלן </w:t>
      </w:r>
      <w:r>
        <w:rPr>
          <w:rFonts w:cs="FrankRuehl"/>
          <w:sz w:val="28"/>
          <w:szCs w:val="28"/>
          <w:rtl/>
        </w:rPr>
        <w:t>–</w:t>
      </w:r>
      <w:r>
        <w:rPr>
          <w:rFonts w:cs="FrankRuehl" w:hint="cs"/>
          <w:sz w:val="28"/>
          <w:szCs w:val="28"/>
          <w:rtl/>
        </w:rPr>
        <w:t xml:space="preserve"> </w:t>
      </w:r>
      <w:r w:rsidRPr="00EF1195">
        <w:rPr>
          <w:rFonts w:cs="FrankRuehl" w:hint="cs"/>
          <w:b/>
          <w:bCs/>
          <w:sz w:val="28"/>
          <w:szCs w:val="28"/>
          <w:rtl/>
        </w:rPr>
        <w:t>עניין לוין</w:t>
      </w:r>
      <w:r>
        <w:rPr>
          <w:rFonts w:cs="FrankRuehl" w:hint="cs"/>
          <w:sz w:val="28"/>
          <w:szCs w:val="28"/>
          <w:rtl/>
        </w:rPr>
        <w:t>)</w:t>
      </w:r>
      <w:r w:rsidRPr="00EF1195">
        <w:rPr>
          <w:rFonts w:cs="FrankRuehl" w:hint="cs"/>
          <w:sz w:val="28"/>
          <w:szCs w:val="28"/>
          <w:rtl/>
        </w:rPr>
        <w:t xml:space="preserve"> שם הסתיים תיק שכלל ריבוי מקרי סחר באמצעות הטלגראס, לרבות לקטינים,  בעונש של"ץ בהיקף 200 שעות ומאסר מותנה. יצוין, כי ברגיל, מדיניות הענישה כוללת מאסרים בפועל, בעיקר במקרים של כמויות גדולות, וריבוי מקרי סחר. </w:t>
      </w:r>
      <w:r>
        <w:rPr>
          <w:rFonts w:cs="FrankRuehl" w:hint="cs"/>
          <w:sz w:val="28"/>
          <w:szCs w:val="28"/>
          <w:rtl/>
        </w:rPr>
        <w:t>כך למשל ב</w:t>
      </w:r>
      <w:hyperlink r:id="rId22" w:history="1">
        <w:r w:rsidR="00C630F0" w:rsidRPr="00C630F0">
          <w:rPr>
            <w:rFonts w:cs="FrankRuehl"/>
            <w:color w:val="0000FF"/>
            <w:sz w:val="28"/>
            <w:szCs w:val="28"/>
            <w:u w:val="single"/>
            <w:rtl/>
          </w:rPr>
          <w:t>רע"פ 2139/16</w:t>
        </w:r>
      </w:hyperlink>
      <w:r>
        <w:rPr>
          <w:rFonts w:cs="FrankRuehl" w:hint="cs"/>
          <w:sz w:val="28"/>
          <w:szCs w:val="28"/>
          <w:rtl/>
        </w:rPr>
        <w:t xml:space="preserve"> </w:t>
      </w:r>
      <w:r w:rsidRPr="00EF1195">
        <w:rPr>
          <w:rFonts w:cs="FrankRuehl" w:hint="cs"/>
          <w:b/>
          <w:bCs/>
          <w:sz w:val="28"/>
          <w:szCs w:val="28"/>
          <w:u w:val="single"/>
          <w:rtl/>
        </w:rPr>
        <w:t>אברמס</w:t>
      </w:r>
      <w:r>
        <w:rPr>
          <w:rFonts w:cs="FrankRuehl" w:hint="cs"/>
          <w:sz w:val="28"/>
          <w:szCs w:val="28"/>
          <w:rtl/>
        </w:rPr>
        <w:t xml:space="preserve"> נ' </w:t>
      </w:r>
      <w:r w:rsidRPr="00EF1195">
        <w:rPr>
          <w:rFonts w:cs="FrankRuehl" w:hint="cs"/>
          <w:b/>
          <w:bCs/>
          <w:sz w:val="28"/>
          <w:szCs w:val="28"/>
          <w:u w:val="single"/>
          <w:rtl/>
        </w:rPr>
        <w:t>מ"י</w:t>
      </w:r>
      <w:r>
        <w:rPr>
          <w:rFonts w:cs="FrankRuehl" w:hint="cs"/>
          <w:sz w:val="28"/>
          <w:szCs w:val="28"/>
          <w:rtl/>
        </w:rPr>
        <w:t xml:space="preserve"> </w:t>
      </w:r>
      <w:r w:rsidR="00DA050F" w:rsidRPr="00DA050F">
        <w:rPr>
          <w:sz w:val="22"/>
          <w:rtl/>
        </w:rPr>
        <w:t xml:space="preserve">[פורסם בנבו] </w:t>
      </w:r>
      <w:r>
        <w:rPr>
          <w:rFonts w:cs="FrankRuehl" w:hint="cs"/>
          <w:sz w:val="28"/>
          <w:szCs w:val="28"/>
          <w:rtl/>
        </w:rPr>
        <w:t xml:space="preserve">(מיום 18.5.2016) אושר מתחם שבין 8 ל-27 חודשים ב-3 מקרי סחר בכמויות גדולות של חשיש תמורת אלפי שקלים, והתיק הסתיים במאסר בן 8 חודשים. </w:t>
      </w:r>
    </w:p>
    <w:p w14:paraId="449ECD05" w14:textId="77777777" w:rsidR="008F1512" w:rsidRDefault="008F1512" w:rsidP="008F1512">
      <w:pPr>
        <w:spacing w:line="360" w:lineRule="auto"/>
        <w:jc w:val="both"/>
        <w:rPr>
          <w:rFonts w:cs="FrankRuehl"/>
          <w:b/>
          <w:bCs/>
          <w:sz w:val="28"/>
          <w:szCs w:val="28"/>
          <w:u w:val="single"/>
          <w:rtl/>
        </w:rPr>
      </w:pPr>
    </w:p>
    <w:p w14:paraId="1B2C094B" w14:textId="77777777" w:rsidR="008F1512" w:rsidRDefault="008F1512" w:rsidP="008F1512">
      <w:pPr>
        <w:spacing w:line="360" w:lineRule="auto"/>
        <w:jc w:val="both"/>
        <w:rPr>
          <w:rFonts w:cs="FrankRuehl"/>
          <w:sz w:val="28"/>
          <w:szCs w:val="28"/>
          <w:rtl/>
        </w:rPr>
      </w:pPr>
      <w:r>
        <w:rPr>
          <w:rFonts w:cs="FrankRuehl" w:hint="cs"/>
          <w:b/>
          <w:bCs/>
          <w:sz w:val="28"/>
          <w:szCs w:val="28"/>
          <w:u w:val="single"/>
          <w:rtl/>
        </w:rPr>
        <w:t>מתחם הענישה</w:t>
      </w:r>
      <w:r>
        <w:rPr>
          <w:rFonts w:cs="FrankRuehl" w:hint="cs"/>
          <w:sz w:val="28"/>
          <w:szCs w:val="28"/>
          <w:rtl/>
        </w:rPr>
        <w:t xml:space="preserve"> – בענייננו, מתחם הענישה צריך לעמוד בין מאסר על-תנאי ושל"ץ ועד 3 חודשי מאסר בעבירות השימוש העצמי, ועל מאסר על-תנאי ושל"ץ ועד 6 חודשי מאסר בגין אישום התיווך.  מכיוון שלא מתקיים קשר הדוק בין האירועים יש להתייחס לכל אחד מהם בנפרד.</w:t>
      </w:r>
    </w:p>
    <w:p w14:paraId="036D38DF" w14:textId="77777777" w:rsidR="008F1512" w:rsidRDefault="008F1512" w:rsidP="008F1512">
      <w:pPr>
        <w:spacing w:line="360" w:lineRule="auto"/>
        <w:jc w:val="both"/>
        <w:rPr>
          <w:rFonts w:cs="FrankRuehl"/>
          <w:b/>
          <w:bCs/>
          <w:sz w:val="28"/>
          <w:szCs w:val="28"/>
          <w:rtl/>
        </w:rPr>
      </w:pPr>
    </w:p>
    <w:p w14:paraId="102B8673" w14:textId="77777777" w:rsidR="008F1512" w:rsidRDefault="008F1512" w:rsidP="008F1512">
      <w:pPr>
        <w:spacing w:line="360" w:lineRule="auto"/>
        <w:jc w:val="both"/>
        <w:rPr>
          <w:rFonts w:cs="FrankRuehl"/>
          <w:sz w:val="28"/>
          <w:szCs w:val="28"/>
          <w:rtl/>
        </w:rPr>
      </w:pPr>
      <w:r>
        <w:rPr>
          <w:rFonts w:cs="FrankRuehl" w:hint="cs"/>
          <w:b/>
          <w:bCs/>
          <w:sz w:val="28"/>
          <w:szCs w:val="28"/>
          <w:u w:val="single"/>
          <w:rtl/>
        </w:rPr>
        <w:t xml:space="preserve">נסיבות שאינן קשורות בביצוע העבירה לפי </w:t>
      </w:r>
      <w:hyperlink r:id="rId23" w:history="1">
        <w:r w:rsidR="00E741FF" w:rsidRPr="00E741FF">
          <w:rPr>
            <w:rFonts w:cs="FrankRuehl"/>
            <w:b/>
            <w:bCs/>
            <w:color w:val="0000FF"/>
            <w:sz w:val="28"/>
            <w:szCs w:val="28"/>
            <w:u w:val="single"/>
            <w:rtl/>
          </w:rPr>
          <w:t>סעיף 40י"א</w:t>
        </w:r>
      </w:hyperlink>
      <w:r>
        <w:rPr>
          <w:rFonts w:cs="FrankRuehl" w:hint="cs"/>
          <w:b/>
          <w:bCs/>
          <w:sz w:val="28"/>
          <w:szCs w:val="28"/>
          <w:u w:val="single"/>
          <w:rtl/>
        </w:rPr>
        <w:t xml:space="preserve"> ל</w:t>
      </w:r>
      <w:hyperlink r:id="rId24" w:history="1">
        <w:r w:rsidR="00C630F0" w:rsidRPr="00C630F0">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 xml:space="preserve">ניתן  לתת משקל לנסיבות הבאות שאינן קשורות בביצוע העבירה, במסגרת גזירת העונש בתוך המתחם: אינני שוקל הטלת מאסר בפועל, שכן הוא אינו מידתי בנסיבות העניין, ואינו מתיישב עם הפסיקה הנוהגת; הנאשם צעיר ללא עבר פלילי, תפקד לאורך חייו בצורה מופתית, תמך בבני משפחתו, וכל אותה עת למד, הצטיין בלימודיו, הגיע להישגים ראויים וכן שירת בצבא, וגם כאן הוא מוערך לחיוב. הוא התקבל ללימודי הנדסה ועתיד להתארס; נטילת האחריות של הנאשם היא כנה, והעבירות שביצע אינן מאפיינות את אורחותיו הטובות בדרך כלל; הוא תרם למדינה ועדיין תורם בשירותו הצבאי ומסייע באופן פעיל למשפחתו שנסיבותיה אינן מן הקלות. קיים רכיב מסוים של חלוף זמן מעת ביצוע העבירות, ובינתיים הנאשם הוכיח כי הוא נקי מסמים, ובינתיים הספיק להתגייס כשהוא על סף סיום שירותו הצבאי. </w:t>
      </w:r>
    </w:p>
    <w:p w14:paraId="70D1AF88" w14:textId="77777777" w:rsidR="008F1512" w:rsidRDefault="008F1512" w:rsidP="008F1512">
      <w:pPr>
        <w:spacing w:line="360" w:lineRule="auto"/>
        <w:jc w:val="both"/>
        <w:rPr>
          <w:rFonts w:cs="FrankRuehl"/>
          <w:sz w:val="28"/>
          <w:szCs w:val="28"/>
          <w:rtl/>
        </w:rPr>
      </w:pPr>
    </w:p>
    <w:p w14:paraId="3747F8BB" w14:textId="77777777" w:rsidR="008F1512" w:rsidRDefault="008F1512" w:rsidP="008F1512">
      <w:pPr>
        <w:spacing w:line="360" w:lineRule="auto"/>
        <w:jc w:val="both"/>
        <w:rPr>
          <w:rFonts w:cs="FrankRuehl"/>
          <w:sz w:val="28"/>
          <w:szCs w:val="28"/>
          <w:rtl/>
        </w:rPr>
      </w:pPr>
      <w:r>
        <w:rPr>
          <w:rFonts w:cs="FrankRuehl" w:hint="cs"/>
          <w:b/>
          <w:bCs/>
          <w:sz w:val="28"/>
          <w:szCs w:val="28"/>
          <w:u w:val="single"/>
          <w:rtl/>
        </w:rPr>
        <w:t>ביטול הרשעה</w:t>
      </w:r>
      <w:r>
        <w:rPr>
          <w:rFonts w:cs="FrankRuehl" w:hint="cs"/>
          <w:sz w:val="28"/>
          <w:szCs w:val="28"/>
          <w:rtl/>
        </w:rPr>
        <w:t xml:space="preserve"> – בידוע, שעה שנמצא כי נאשם ביצע את העבירות המיוחסות לו, יש להרשיעו. זהו הכלל. אי-הרשעה הוא היוצא מן הכלל. ב</w:t>
      </w:r>
      <w:hyperlink r:id="rId25" w:history="1">
        <w:r w:rsidR="00C630F0" w:rsidRPr="00C630F0">
          <w:rPr>
            <w:rFonts w:cs="FrankRuehl"/>
            <w:color w:val="0000FF"/>
            <w:sz w:val="28"/>
            <w:szCs w:val="28"/>
            <w:u w:val="single"/>
            <w:rtl/>
          </w:rPr>
          <w:t>ע"פ 2083/96</w:t>
        </w:r>
      </w:hyperlink>
      <w:r>
        <w:rPr>
          <w:rFonts w:cs="FrankRuehl" w:hint="cs"/>
          <w:sz w:val="28"/>
          <w:szCs w:val="28"/>
          <w:rtl/>
        </w:rPr>
        <w:t xml:space="preserve"> </w:t>
      </w:r>
      <w:r>
        <w:rPr>
          <w:rFonts w:cs="FrankRuehl" w:hint="cs"/>
          <w:b/>
          <w:bCs/>
          <w:sz w:val="28"/>
          <w:szCs w:val="28"/>
          <w:u w:val="single"/>
          <w:rtl/>
        </w:rPr>
        <w:t>כתב</w:t>
      </w:r>
      <w:r>
        <w:rPr>
          <w:rFonts w:cs="FrankRuehl" w:hint="cs"/>
          <w:sz w:val="28"/>
          <w:szCs w:val="28"/>
          <w:rtl/>
        </w:rPr>
        <w:t xml:space="preserve"> נ' </w:t>
      </w:r>
      <w:r>
        <w:rPr>
          <w:rFonts w:cs="FrankRuehl" w:hint="cs"/>
          <w:b/>
          <w:bCs/>
          <w:sz w:val="28"/>
          <w:szCs w:val="28"/>
          <w:u w:val="single"/>
          <w:rtl/>
        </w:rPr>
        <w:t>מ"י</w:t>
      </w:r>
      <w:r>
        <w:rPr>
          <w:rFonts w:cs="FrankRuehl" w:hint="cs"/>
          <w:sz w:val="28"/>
          <w:szCs w:val="28"/>
          <w:rtl/>
        </w:rPr>
        <w:t xml:space="preserve"> </w:t>
      </w:r>
      <w:r w:rsidR="00DA050F" w:rsidRPr="00DA050F">
        <w:rPr>
          <w:sz w:val="22"/>
          <w:rtl/>
        </w:rPr>
        <w:t xml:space="preserve">[פורסם בנבו] </w:t>
      </w:r>
      <w:r>
        <w:rPr>
          <w:rFonts w:cs="FrankRuehl" w:hint="cs"/>
          <w:sz w:val="28"/>
          <w:szCs w:val="28"/>
          <w:rtl/>
        </w:rPr>
        <w:t xml:space="preserve">(מיום 21.8.1997) קבע בית המשפט העליון כי אי-הרשעה או ביטולה תיתכן בהינתן שני תנאים מצטברים: </w:t>
      </w:r>
      <w:r w:rsidRPr="00EF1195">
        <w:rPr>
          <w:rFonts w:cs="FrankRuehl" w:hint="cs"/>
          <w:b/>
          <w:bCs/>
          <w:sz w:val="28"/>
          <w:szCs w:val="28"/>
          <w:rtl/>
        </w:rPr>
        <w:t>הראשון</w:t>
      </w:r>
      <w:r>
        <w:rPr>
          <w:rFonts w:cs="FrankRuehl" w:hint="cs"/>
          <w:sz w:val="28"/>
          <w:szCs w:val="28"/>
          <w:rtl/>
        </w:rPr>
        <w:t xml:space="preserve">, כאשר טיב העבירה מאפשר אי-הרשעה מבחינת שיקולי הענישה ליחיד ולרבים; </w:t>
      </w:r>
      <w:r w:rsidRPr="00EF1195">
        <w:rPr>
          <w:rFonts w:cs="FrankRuehl" w:hint="cs"/>
          <w:b/>
          <w:bCs/>
          <w:sz w:val="28"/>
          <w:szCs w:val="28"/>
          <w:rtl/>
        </w:rPr>
        <w:t>השני</w:t>
      </w:r>
      <w:r>
        <w:rPr>
          <w:rFonts w:cs="FrankRuehl" w:hint="cs"/>
          <w:sz w:val="28"/>
          <w:szCs w:val="28"/>
          <w:rtl/>
        </w:rPr>
        <w:t xml:space="preserve">, כאשר הנזק העלול להיגרם לנאשם מעצם הרשעתו הוא קונקרטי ובלתי מידתי בנסיבות העניין. ראו בהקשר זה גם את </w:t>
      </w:r>
      <w:hyperlink r:id="rId26" w:history="1">
        <w:r w:rsidR="00C630F0" w:rsidRPr="00C630F0">
          <w:rPr>
            <w:rFonts w:cs="FrankRuehl"/>
            <w:color w:val="0000FF"/>
            <w:sz w:val="28"/>
            <w:szCs w:val="28"/>
            <w:u w:val="single"/>
            <w:rtl/>
          </w:rPr>
          <w:t>ע"פ 5985/13</w:t>
        </w:r>
      </w:hyperlink>
      <w:r>
        <w:rPr>
          <w:rFonts w:cs="FrankRuehl" w:hint="cs"/>
          <w:sz w:val="28"/>
          <w:szCs w:val="28"/>
          <w:rtl/>
        </w:rPr>
        <w:t xml:space="preserve"> </w:t>
      </w:r>
      <w:r>
        <w:rPr>
          <w:rFonts w:cs="FrankRuehl" w:hint="cs"/>
          <w:b/>
          <w:bCs/>
          <w:sz w:val="28"/>
          <w:szCs w:val="28"/>
          <w:u w:val="single"/>
          <w:rtl/>
        </w:rPr>
        <w:t>אבן</w:t>
      </w:r>
      <w:r>
        <w:rPr>
          <w:rFonts w:cs="FrankRuehl" w:hint="cs"/>
          <w:sz w:val="28"/>
          <w:szCs w:val="28"/>
          <w:rtl/>
        </w:rPr>
        <w:t xml:space="preserve"> נ' </w:t>
      </w:r>
      <w:r>
        <w:rPr>
          <w:rFonts w:cs="FrankRuehl" w:hint="cs"/>
          <w:b/>
          <w:bCs/>
          <w:sz w:val="28"/>
          <w:szCs w:val="28"/>
          <w:u w:val="single"/>
          <w:rtl/>
        </w:rPr>
        <w:t>מ"י</w:t>
      </w:r>
      <w:r>
        <w:rPr>
          <w:rFonts w:cs="FrankRuehl" w:hint="cs"/>
          <w:sz w:val="28"/>
          <w:szCs w:val="28"/>
          <w:rtl/>
        </w:rPr>
        <w:t xml:space="preserve"> </w:t>
      </w:r>
      <w:r w:rsidR="00DA050F" w:rsidRPr="00DA050F">
        <w:rPr>
          <w:sz w:val="22"/>
          <w:rtl/>
        </w:rPr>
        <w:t xml:space="preserve">[פורסם בנבו] </w:t>
      </w:r>
      <w:r>
        <w:rPr>
          <w:rFonts w:cs="FrankRuehl" w:hint="cs"/>
          <w:sz w:val="28"/>
          <w:szCs w:val="28"/>
          <w:rtl/>
        </w:rPr>
        <w:t xml:space="preserve">(מיום 2.4.2014) בפסקאות 6 ו-7. </w:t>
      </w:r>
    </w:p>
    <w:p w14:paraId="5F1DEF61" w14:textId="77777777" w:rsidR="008F1512" w:rsidRDefault="008F1512" w:rsidP="008F1512">
      <w:pPr>
        <w:spacing w:line="360" w:lineRule="auto"/>
        <w:jc w:val="both"/>
        <w:rPr>
          <w:rFonts w:cs="FrankRuehl"/>
          <w:sz w:val="28"/>
          <w:szCs w:val="28"/>
          <w:rtl/>
        </w:rPr>
      </w:pPr>
    </w:p>
    <w:p w14:paraId="1A754717" w14:textId="77777777" w:rsidR="008F1512" w:rsidRDefault="008F1512" w:rsidP="008F1512">
      <w:pPr>
        <w:spacing w:line="360" w:lineRule="auto"/>
        <w:jc w:val="both"/>
        <w:rPr>
          <w:rFonts w:cs="FrankRuehl"/>
          <w:b/>
          <w:bCs/>
          <w:sz w:val="28"/>
          <w:szCs w:val="28"/>
          <w:rtl/>
        </w:rPr>
      </w:pPr>
      <w:r w:rsidRPr="00EF1195">
        <w:rPr>
          <w:rFonts w:cs="FrankRuehl" w:hint="cs"/>
          <w:b/>
          <w:bCs/>
          <w:sz w:val="28"/>
          <w:szCs w:val="28"/>
          <w:rtl/>
        </w:rPr>
        <w:t>אשר לתנאי הראשון</w:t>
      </w:r>
      <w:r>
        <w:rPr>
          <w:rFonts w:cs="FrankRuehl" w:hint="cs"/>
          <w:sz w:val="28"/>
          <w:szCs w:val="28"/>
          <w:rtl/>
        </w:rPr>
        <w:t xml:space="preserve">, על-פניו, על-פי הפסיקה בעניין לוין אליה הפניתי לעיל, "בענייני סמים אי הרשעה צריכה להיות נדירה שבנדירות, נוכח חומרתה </w:t>
      </w:r>
      <w:r>
        <w:rPr>
          <w:rFonts w:cs="FrankRuehl"/>
          <w:sz w:val="28"/>
          <w:szCs w:val="28"/>
          <w:rtl/>
        </w:rPr>
        <w:t>–</w:t>
      </w:r>
      <w:r>
        <w:rPr>
          <w:rFonts w:cs="FrankRuehl" w:hint="cs"/>
          <w:sz w:val="28"/>
          <w:szCs w:val="28"/>
          <w:rtl/>
        </w:rPr>
        <w:t xml:space="preserve"> חוטא ומחטיא את הזולת" (פסקה 8). אלא שבעניינו מדובר במעשה חד-פעמי ולא חוזר, בכמות קטנה של קנביס, במכירה לשוטר שיזם פניה לנאשם, כשהנאשם עצמו לא מכר, אלא תיווך. אלו הן נסיבות ברף חומרה נמוך במיוחד ביחס לטיב זה של עבירה, ולכן יש לכך השלכה על היכולת להימנע מהרשעה בנסיבות המקרה הספציפיות. </w:t>
      </w:r>
    </w:p>
    <w:p w14:paraId="2034F195" w14:textId="77777777" w:rsidR="008F1512" w:rsidRDefault="008F1512" w:rsidP="008F1512">
      <w:pPr>
        <w:spacing w:line="360" w:lineRule="auto"/>
        <w:jc w:val="both"/>
        <w:rPr>
          <w:rFonts w:cs="FrankRuehl"/>
          <w:b/>
          <w:bCs/>
          <w:sz w:val="28"/>
          <w:szCs w:val="28"/>
          <w:rtl/>
        </w:rPr>
      </w:pPr>
    </w:p>
    <w:p w14:paraId="2A24ABC2" w14:textId="77777777" w:rsidR="008F1512" w:rsidRDefault="008F1512" w:rsidP="008F1512">
      <w:pPr>
        <w:spacing w:line="360" w:lineRule="auto"/>
        <w:jc w:val="both"/>
        <w:rPr>
          <w:rFonts w:cs="FrankRuehl"/>
          <w:sz w:val="28"/>
          <w:szCs w:val="28"/>
          <w:rtl/>
        </w:rPr>
      </w:pPr>
      <w:r w:rsidRPr="00EF1195">
        <w:rPr>
          <w:rFonts w:cs="FrankRuehl" w:hint="cs"/>
          <w:b/>
          <w:bCs/>
          <w:sz w:val="28"/>
          <w:szCs w:val="28"/>
          <w:rtl/>
        </w:rPr>
        <w:t>אשר לתנאי השני</w:t>
      </w:r>
      <w:r>
        <w:rPr>
          <w:rFonts w:cs="FrankRuehl" w:hint="cs"/>
          <w:sz w:val="28"/>
          <w:szCs w:val="28"/>
          <w:rtl/>
        </w:rPr>
        <w:t xml:space="preserve">, לטעמי, הוצגו לי די אסמכתאות מהן אני למד על אופיו הטוב של הנאשם, תפקודו ללא רבב בכל מסגרות החיים, לרבות בצבא ובלימודים, תרומתו הרבה למשפחתו וגם לנזקקים, והעובדה שהתקבל ללימודים לא פשוטים בתחום ההנדסה. לפיכך אני סבור, כי בהינתן התמונה הכוללת, והיות האירועים נשוא התיקים שלפניי בגדר כשל ממוקד של הנאשם, שאינו מאפיין את הליכותיו בדרך כלל, הנזק שייגרם מהותרת ההרשעה על כנה לא יהיה  מידתי ביחס למעשים שעשה. </w:t>
      </w:r>
    </w:p>
    <w:p w14:paraId="5BDE0804" w14:textId="77777777" w:rsidR="008F1512" w:rsidRDefault="008F1512" w:rsidP="008F1512">
      <w:pPr>
        <w:spacing w:line="360" w:lineRule="auto"/>
        <w:jc w:val="both"/>
        <w:rPr>
          <w:rFonts w:cs="FrankRuehl"/>
          <w:sz w:val="28"/>
          <w:szCs w:val="28"/>
          <w:rtl/>
        </w:rPr>
      </w:pPr>
    </w:p>
    <w:p w14:paraId="6FE679C9" w14:textId="77777777" w:rsidR="008F1512" w:rsidRPr="00EF1195" w:rsidRDefault="008F1512" w:rsidP="008F1512">
      <w:pPr>
        <w:spacing w:line="360" w:lineRule="auto"/>
        <w:jc w:val="both"/>
        <w:rPr>
          <w:rFonts w:cs="FrankRuehl"/>
          <w:sz w:val="28"/>
          <w:szCs w:val="28"/>
          <w:u w:val="single"/>
          <w:rtl/>
        </w:rPr>
      </w:pPr>
      <w:r w:rsidRPr="00EF1195">
        <w:rPr>
          <w:rFonts w:cs="FrankRuehl" w:hint="cs"/>
          <w:sz w:val="28"/>
          <w:szCs w:val="28"/>
          <w:u w:val="single"/>
          <w:rtl/>
        </w:rPr>
        <w:t>לפיכך,</w:t>
      </w:r>
      <w:r>
        <w:rPr>
          <w:rFonts w:cs="FrankRuehl" w:hint="cs"/>
          <w:sz w:val="28"/>
          <w:szCs w:val="28"/>
          <w:u w:val="single"/>
          <w:rtl/>
        </w:rPr>
        <w:t xml:space="preserve"> אני מורה על ביטול הרשעתו של הנאשם תוך שקביעת אשמתו תיוותר על כנה.</w:t>
      </w:r>
      <w:r w:rsidRPr="00EF1195">
        <w:rPr>
          <w:rFonts w:cs="FrankRuehl" w:hint="cs"/>
          <w:sz w:val="28"/>
          <w:szCs w:val="28"/>
          <w:u w:val="single"/>
          <w:rtl/>
        </w:rPr>
        <w:t xml:space="preserve"> </w:t>
      </w:r>
    </w:p>
    <w:p w14:paraId="77DB0947" w14:textId="77777777" w:rsidR="008F1512" w:rsidRDefault="008F1512" w:rsidP="008F1512">
      <w:pPr>
        <w:rPr>
          <w:rFonts w:cs="FrankRuehl"/>
          <w:sz w:val="28"/>
          <w:szCs w:val="28"/>
          <w:rtl/>
        </w:rPr>
      </w:pPr>
    </w:p>
    <w:p w14:paraId="28FFF356" w14:textId="77777777" w:rsidR="008F1512" w:rsidRDefault="008F1512" w:rsidP="008F1512">
      <w:pPr>
        <w:spacing w:line="360" w:lineRule="auto"/>
        <w:jc w:val="both"/>
        <w:rPr>
          <w:rFonts w:cs="FrankRuehl"/>
          <w:b/>
          <w:bCs/>
          <w:sz w:val="28"/>
          <w:szCs w:val="28"/>
          <w:u w:val="single"/>
          <w:rtl/>
        </w:rPr>
      </w:pPr>
    </w:p>
    <w:p w14:paraId="7E26FE88" w14:textId="77777777" w:rsidR="008F1512" w:rsidRDefault="008F1512" w:rsidP="008F1512">
      <w:pPr>
        <w:spacing w:line="360" w:lineRule="auto"/>
        <w:jc w:val="both"/>
        <w:rPr>
          <w:rFonts w:cs="FrankRuehl"/>
          <w:sz w:val="28"/>
          <w:szCs w:val="28"/>
          <w:rtl/>
        </w:rPr>
      </w:pPr>
      <w:r>
        <w:rPr>
          <w:rFonts w:cs="FrankRuehl" w:hint="cs"/>
          <w:b/>
          <w:bCs/>
          <w:sz w:val="28"/>
          <w:szCs w:val="28"/>
          <w:u w:val="single"/>
          <w:rtl/>
        </w:rPr>
        <w:t>המיקום במתחם</w:t>
      </w:r>
      <w:r>
        <w:rPr>
          <w:rFonts w:cs="FrankRuehl" w:hint="cs"/>
          <w:sz w:val="28"/>
          <w:szCs w:val="28"/>
          <w:rtl/>
        </w:rPr>
        <w:t xml:space="preserve"> </w:t>
      </w:r>
      <w:r>
        <w:rPr>
          <w:rFonts w:cs="FrankRuehl"/>
          <w:sz w:val="28"/>
          <w:szCs w:val="28"/>
          <w:rtl/>
        </w:rPr>
        <w:t>–</w:t>
      </w:r>
      <w:r>
        <w:rPr>
          <w:rFonts w:cs="FrankRuehl" w:hint="cs"/>
          <w:sz w:val="28"/>
          <w:szCs w:val="28"/>
          <w:rtl/>
        </w:rPr>
        <w:t xml:space="preserve"> לפיכך, יש למקם את הנאשם בתחתית המתחם ולאמץ אל המלצת שירות המבחן. </w:t>
      </w:r>
    </w:p>
    <w:p w14:paraId="38FFB4DF" w14:textId="77777777" w:rsidR="008F1512" w:rsidRDefault="008F1512" w:rsidP="008F1512">
      <w:pPr>
        <w:spacing w:line="360" w:lineRule="auto"/>
        <w:jc w:val="both"/>
        <w:rPr>
          <w:rFonts w:cs="FrankRuehl"/>
          <w:b/>
          <w:bCs/>
          <w:sz w:val="28"/>
          <w:szCs w:val="28"/>
          <w:u w:val="single"/>
          <w:rtl/>
        </w:rPr>
      </w:pPr>
    </w:p>
    <w:p w14:paraId="44CAA674" w14:textId="77777777" w:rsidR="008F1512" w:rsidRDefault="008F1512" w:rsidP="008F1512">
      <w:pPr>
        <w:spacing w:line="360" w:lineRule="auto"/>
        <w:jc w:val="both"/>
        <w:rPr>
          <w:rFonts w:cs="FrankRuehl"/>
          <w:b/>
          <w:bCs/>
          <w:sz w:val="28"/>
          <w:szCs w:val="28"/>
          <w:u w:val="single"/>
          <w:rtl/>
        </w:rPr>
      </w:pPr>
      <w:r>
        <w:rPr>
          <w:rFonts w:cs="FrankRuehl" w:hint="cs"/>
          <w:b/>
          <w:bCs/>
          <w:sz w:val="28"/>
          <w:szCs w:val="28"/>
          <w:u w:val="single"/>
          <w:rtl/>
        </w:rPr>
        <w:t>גזירת הדין</w:t>
      </w:r>
    </w:p>
    <w:p w14:paraId="2D608902" w14:textId="77777777" w:rsidR="008F1512" w:rsidRDefault="008F1512" w:rsidP="008F1512">
      <w:pPr>
        <w:spacing w:line="360" w:lineRule="auto"/>
        <w:jc w:val="both"/>
        <w:rPr>
          <w:rFonts w:cs="FrankRuehl"/>
          <w:sz w:val="28"/>
          <w:szCs w:val="28"/>
          <w:rtl/>
        </w:rPr>
      </w:pPr>
      <w:r>
        <w:rPr>
          <w:rFonts w:cs="FrankRuehl" w:hint="cs"/>
          <w:sz w:val="28"/>
          <w:szCs w:val="28"/>
          <w:rtl/>
        </w:rPr>
        <w:t>לפיכך, אני מחליט לגזור על הנאשם את העונשים הבאים:</w:t>
      </w:r>
    </w:p>
    <w:p w14:paraId="6B74D589" w14:textId="77777777" w:rsidR="008F1512" w:rsidRDefault="008F1512" w:rsidP="008F1512">
      <w:pPr>
        <w:numPr>
          <w:ilvl w:val="0"/>
          <w:numId w:val="1"/>
        </w:numPr>
        <w:spacing w:after="160" w:line="360" w:lineRule="auto"/>
        <w:contextualSpacing/>
        <w:jc w:val="both"/>
        <w:rPr>
          <w:rFonts w:cs="FrankRuehl"/>
          <w:sz w:val="28"/>
          <w:szCs w:val="28"/>
        </w:rPr>
      </w:pPr>
      <w:r>
        <w:rPr>
          <w:rFonts w:cs="FrankRuehl" w:hint="cs"/>
          <w:sz w:val="28"/>
          <w:szCs w:val="28"/>
          <w:rtl/>
        </w:rPr>
        <w:t>200 שעות שירות לתועלת הציבור (של"ץ), אשר ירוצו החל מיום 5.1.2020 במקום שייקבע על-פי התוכנית שיכין שירות המבחן ובפיקוחו. התוכנית תוגש בתוך 30 יום.  הנאשם הוזהר כי אי-קיום צו השל"ץ באופן משביע רצון עלול להביא להפקעת הצו ולדיון מחודש בשאלת גזר הדין הראוי לרבות הרשעה והטלת מאסר בפועל;</w:t>
      </w:r>
    </w:p>
    <w:p w14:paraId="7C30D15E" w14:textId="77777777" w:rsidR="008F1512" w:rsidRDefault="008F1512" w:rsidP="008F1512">
      <w:pPr>
        <w:numPr>
          <w:ilvl w:val="0"/>
          <w:numId w:val="1"/>
        </w:numPr>
        <w:spacing w:after="160" w:line="360" w:lineRule="auto"/>
        <w:contextualSpacing/>
        <w:jc w:val="both"/>
        <w:rPr>
          <w:rFonts w:cs="FrankRuehl"/>
          <w:sz w:val="28"/>
          <w:szCs w:val="28"/>
          <w:rtl/>
        </w:rPr>
      </w:pPr>
      <w:r>
        <w:rPr>
          <w:rFonts w:cs="FrankRuehl" w:hint="cs"/>
          <w:sz w:val="28"/>
          <w:szCs w:val="28"/>
          <w:rtl/>
        </w:rPr>
        <w:t xml:space="preserve">צו מבחן פיקוחי לתקופה של 12 חודשים מהיום. במהלך תקופה זו הנאשם מחויב בשיתוף פעולה עם שירות המבחן, כאשר מובהר כי הפרת  הצו תוכל להביא לפתיחה מחודשת של המשפט וגזירת עונשו של הנאשם, לרבות עונש מאסר. עיקר הצו נועד לקבלת בדיקות שתן בתדירות שיקבע שירות המבחן. </w:t>
      </w:r>
    </w:p>
    <w:p w14:paraId="77DCF2DD" w14:textId="77777777" w:rsidR="008F1512" w:rsidRDefault="008F1512" w:rsidP="008F1512">
      <w:pPr>
        <w:numPr>
          <w:ilvl w:val="0"/>
          <w:numId w:val="1"/>
        </w:numPr>
        <w:spacing w:after="160" w:line="360" w:lineRule="auto"/>
        <w:contextualSpacing/>
        <w:jc w:val="both"/>
        <w:rPr>
          <w:rFonts w:cs="FrankRuehl"/>
          <w:sz w:val="28"/>
          <w:szCs w:val="28"/>
          <w:rtl/>
        </w:rPr>
      </w:pPr>
      <w:r>
        <w:rPr>
          <w:rFonts w:cs="FrankRuehl" w:hint="cs"/>
          <w:sz w:val="28"/>
          <w:szCs w:val="28"/>
          <w:rtl/>
        </w:rPr>
        <w:t>פיצוי לעמותת אל-סם בסך 2,000 ₪. הפיצוי ישולם עד ליום 1.3.2020. אי עמידה בתשלום תביא לפירעון מיידי של הפיצוי ולתוספת הפרשי הצמדה וריבית פיגורים כחוק;</w:t>
      </w:r>
    </w:p>
    <w:p w14:paraId="725E01E4" w14:textId="77777777" w:rsidR="008F1512" w:rsidRDefault="008F1512" w:rsidP="008F1512">
      <w:pPr>
        <w:numPr>
          <w:ilvl w:val="0"/>
          <w:numId w:val="1"/>
        </w:numPr>
        <w:spacing w:after="160" w:line="360" w:lineRule="auto"/>
        <w:contextualSpacing/>
        <w:jc w:val="both"/>
        <w:rPr>
          <w:rFonts w:cs="FrankRuehl"/>
          <w:sz w:val="28"/>
          <w:szCs w:val="28"/>
          <w:rtl/>
        </w:rPr>
      </w:pPr>
      <w:r>
        <w:rPr>
          <w:rFonts w:cs="FrankRuehl" w:hint="cs"/>
          <w:sz w:val="28"/>
          <w:szCs w:val="28"/>
          <w:rtl/>
        </w:rPr>
        <w:t>התחייבות בסך 5,000 ₪ שלא לעבור כל עבירה לפי פקודת הסמים  במשך שנתיים מהיום או 5 ימי מאסר תמורתה אם לא תיחתם. הובהר לנאשם שמשמעות ההתחייבות היא, כי אם יעבור את העבירות שצוינו בתוך שנתיים, בית המשפט שיגזור את הדין יהא חייב לחלט את ההתחייבות כקנס.</w:t>
      </w:r>
    </w:p>
    <w:p w14:paraId="1B7B808A" w14:textId="77777777" w:rsidR="008F1512" w:rsidRDefault="008F1512" w:rsidP="008F1512">
      <w:pPr>
        <w:spacing w:line="360" w:lineRule="auto"/>
        <w:rPr>
          <w:rFonts w:ascii="FrankRuehl" w:hAnsi="FrankRuehl" w:cs="FrankRuehl"/>
          <w:sz w:val="28"/>
          <w:szCs w:val="28"/>
          <w:rtl/>
        </w:rPr>
      </w:pPr>
    </w:p>
    <w:p w14:paraId="6BFEF995" w14:textId="77777777" w:rsidR="008F1512" w:rsidRDefault="008F1512" w:rsidP="008F1512">
      <w:pPr>
        <w:spacing w:line="360" w:lineRule="auto"/>
        <w:rPr>
          <w:rFonts w:ascii="FrankRuehl" w:hAnsi="FrankRuehl" w:cs="FrankRuehl"/>
          <w:sz w:val="28"/>
          <w:szCs w:val="28"/>
        </w:rPr>
      </w:pPr>
      <w:r>
        <w:rPr>
          <w:rFonts w:ascii="FrankRuehl" w:hAnsi="FrankRuehl" w:cs="FrankRuehl" w:hint="cs"/>
          <w:sz w:val="28"/>
          <w:szCs w:val="28"/>
          <w:rtl/>
        </w:rPr>
        <w:t>יש לשלוח לשירות המבחן.</w:t>
      </w:r>
    </w:p>
    <w:p w14:paraId="2FB9C5F6" w14:textId="77777777" w:rsidR="008F1512" w:rsidRDefault="008F1512" w:rsidP="008F1512">
      <w:pPr>
        <w:rPr>
          <w:rFonts w:ascii="FrankRuehl" w:hAnsi="FrankRuehl" w:cs="FrankRuehl"/>
          <w:sz w:val="28"/>
          <w:szCs w:val="28"/>
          <w:rtl/>
        </w:rPr>
      </w:pPr>
    </w:p>
    <w:p w14:paraId="04EC3986" w14:textId="77777777" w:rsidR="008F1512" w:rsidRDefault="008F1512" w:rsidP="008F1512">
      <w:pPr>
        <w:rPr>
          <w:rFonts w:ascii="FrankRuehl" w:hAnsi="FrankRuehl" w:cs="FrankRuehl"/>
          <w:sz w:val="28"/>
          <w:szCs w:val="28"/>
          <w:rtl/>
        </w:rPr>
      </w:pPr>
      <w:r>
        <w:rPr>
          <w:rFonts w:ascii="FrankRuehl" w:hAnsi="FrankRuehl" w:cs="FrankRuehl" w:hint="cs"/>
          <w:sz w:val="28"/>
          <w:szCs w:val="28"/>
          <w:rtl/>
        </w:rPr>
        <w:t>זכות ערעור כחוק לבית המשפט המחוזי בירושלים בתוך 45 יום מהיום.</w:t>
      </w:r>
    </w:p>
    <w:p w14:paraId="75678445" w14:textId="77777777" w:rsidR="008F1512" w:rsidRPr="00C630F0" w:rsidRDefault="00C630F0" w:rsidP="008F1512">
      <w:pPr>
        <w:rPr>
          <w:color w:val="FFFFFF"/>
          <w:sz w:val="2"/>
          <w:szCs w:val="2"/>
        </w:rPr>
      </w:pPr>
      <w:r w:rsidRPr="00C630F0">
        <w:rPr>
          <w:color w:val="FFFFFF"/>
          <w:sz w:val="2"/>
          <w:szCs w:val="2"/>
          <w:rtl/>
        </w:rPr>
        <w:t>5129371</w:t>
      </w:r>
    </w:p>
    <w:p w14:paraId="1F4A4CEB" w14:textId="77777777" w:rsidR="008F1512" w:rsidRPr="00C630F0" w:rsidRDefault="00C630F0" w:rsidP="008F1512">
      <w:pPr>
        <w:rPr>
          <w:color w:val="FFFFFF"/>
          <w:sz w:val="2"/>
          <w:szCs w:val="2"/>
          <w:rtl/>
        </w:rPr>
      </w:pPr>
      <w:r w:rsidRPr="00C630F0">
        <w:rPr>
          <w:color w:val="FFFFFF"/>
          <w:sz w:val="2"/>
          <w:szCs w:val="2"/>
          <w:rtl/>
        </w:rPr>
        <w:t>54678313</w:t>
      </w:r>
    </w:p>
    <w:p w14:paraId="0075A4F9" w14:textId="77777777" w:rsidR="008F1512" w:rsidRPr="00DA050F" w:rsidRDefault="00C630F0" w:rsidP="008F1512">
      <w:pPr>
        <w:rPr>
          <w:rFonts w:cs="FrankRuehl"/>
          <w:b/>
          <w:bCs/>
          <w:sz w:val="28"/>
          <w:szCs w:val="28"/>
          <w:rtl/>
        </w:rPr>
      </w:pPr>
      <w:bookmarkStart w:id="7" w:name="Nitan"/>
      <w:r w:rsidRPr="00DA050F">
        <w:rPr>
          <w:rFonts w:ascii="Arial" w:hAnsi="Arial"/>
          <w:b/>
          <w:bCs/>
          <w:rtl/>
        </w:rPr>
        <w:t xml:space="preserve">ניתן היום,  ט"ו חשוון תש"פ, 13 נובמבר 2019, במעמד  הצדדים. </w:t>
      </w:r>
      <w:bookmarkEnd w:id="7"/>
    </w:p>
    <w:p w14:paraId="3C469084" w14:textId="77777777" w:rsidR="008F1512" w:rsidRDefault="008F1512" w:rsidP="00C630F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A22EA4C" w14:textId="77777777" w:rsidR="00C630F0" w:rsidRDefault="00C630F0" w:rsidP="00C630F0">
      <w:pPr>
        <w:rPr>
          <w:rtl/>
        </w:rPr>
      </w:pPr>
    </w:p>
    <w:p w14:paraId="288362D1" w14:textId="77777777" w:rsidR="00C630F0" w:rsidRDefault="00C630F0" w:rsidP="00C630F0">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5372B37B" w14:textId="77777777" w:rsidR="00E741FF" w:rsidRPr="00E741FF" w:rsidRDefault="00E741FF" w:rsidP="00E741FF">
      <w:pPr>
        <w:keepNext/>
        <w:rPr>
          <w:rFonts w:ascii="David" w:hAnsi="David"/>
          <w:color w:val="000000"/>
          <w:sz w:val="22"/>
          <w:szCs w:val="22"/>
          <w:rtl/>
        </w:rPr>
      </w:pPr>
    </w:p>
    <w:p w14:paraId="725C616D" w14:textId="77777777" w:rsidR="00E741FF" w:rsidRPr="00E741FF" w:rsidRDefault="00E741FF" w:rsidP="00E741FF">
      <w:pPr>
        <w:keepNext/>
        <w:rPr>
          <w:rFonts w:ascii="David" w:hAnsi="David"/>
          <w:color w:val="000000"/>
          <w:sz w:val="22"/>
          <w:szCs w:val="22"/>
          <w:rtl/>
        </w:rPr>
      </w:pPr>
      <w:r w:rsidRPr="00E741FF">
        <w:rPr>
          <w:rFonts w:ascii="David" w:hAnsi="David"/>
          <w:color w:val="000000"/>
          <w:sz w:val="22"/>
          <w:szCs w:val="22"/>
          <w:rtl/>
        </w:rPr>
        <w:t>דוד שאול גבאי ריכטר 54678313-/</w:t>
      </w:r>
    </w:p>
    <w:p w14:paraId="5D129A71" w14:textId="77777777" w:rsidR="00C630F0" w:rsidRPr="00C630F0" w:rsidRDefault="00E741FF" w:rsidP="00E741FF">
      <w:pPr>
        <w:rPr>
          <w:color w:val="0000FF"/>
          <w:u w:val="single"/>
        </w:rPr>
      </w:pPr>
      <w:r w:rsidRPr="00E741FF">
        <w:rPr>
          <w:color w:val="000000"/>
          <w:u w:val="single"/>
          <w:rtl/>
        </w:rPr>
        <w:t>נוסח מסמך זה כפוף לשינויי ניסוח ועריכה</w:t>
      </w:r>
    </w:p>
    <w:sectPr w:rsidR="00C630F0" w:rsidRPr="00C630F0" w:rsidSect="00E741FF">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5C0ED" w14:textId="77777777" w:rsidR="005D1470" w:rsidRDefault="005D1470" w:rsidP="00897C9D">
      <w:r>
        <w:separator/>
      </w:r>
    </w:p>
  </w:endnote>
  <w:endnote w:type="continuationSeparator" w:id="0">
    <w:p w14:paraId="7EEE4BA6" w14:textId="77777777" w:rsidR="005D1470" w:rsidRDefault="005D1470" w:rsidP="00897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3F5C6" w14:textId="77777777" w:rsidR="00E741FF" w:rsidRDefault="00E741FF" w:rsidP="00E741F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987191" w14:textId="77777777" w:rsidR="00E617B3" w:rsidRPr="00E741FF" w:rsidRDefault="00E741FF" w:rsidP="00E741FF">
    <w:pPr>
      <w:pStyle w:val="a5"/>
      <w:pBdr>
        <w:top w:val="single" w:sz="4" w:space="1" w:color="auto"/>
        <w:between w:val="single" w:sz="4" w:space="0" w:color="auto"/>
      </w:pBdr>
      <w:spacing w:after="60"/>
      <w:jc w:val="center"/>
      <w:rPr>
        <w:rFonts w:ascii="FrankRuehl" w:hAnsi="FrankRuehl" w:cs="FrankRuehl"/>
        <w:color w:val="000000"/>
      </w:rPr>
    </w:pPr>
    <w:r w:rsidRPr="00E741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9BF7E" w14:textId="77777777" w:rsidR="00E741FF" w:rsidRDefault="00E741FF" w:rsidP="00E741F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4092">
      <w:rPr>
        <w:rFonts w:ascii="FrankRuehl" w:hAnsi="FrankRuehl" w:cs="FrankRuehl"/>
        <w:noProof/>
        <w:rtl/>
      </w:rPr>
      <w:t>1</w:t>
    </w:r>
    <w:r>
      <w:rPr>
        <w:rFonts w:ascii="FrankRuehl" w:hAnsi="FrankRuehl" w:cs="FrankRuehl"/>
        <w:rtl/>
      </w:rPr>
      <w:fldChar w:fldCharType="end"/>
    </w:r>
  </w:p>
  <w:p w14:paraId="3B741C11" w14:textId="77777777" w:rsidR="00E617B3" w:rsidRPr="00E741FF" w:rsidRDefault="00E741FF" w:rsidP="00E741FF">
    <w:pPr>
      <w:pStyle w:val="a5"/>
      <w:pBdr>
        <w:top w:val="single" w:sz="4" w:space="1" w:color="auto"/>
        <w:between w:val="single" w:sz="4" w:space="0" w:color="auto"/>
      </w:pBdr>
      <w:spacing w:after="60"/>
      <w:jc w:val="center"/>
      <w:rPr>
        <w:rFonts w:ascii="FrankRuehl" w:hAnsi="FrankRuehl" w:cs="FrankRuehl"/>
        <w:color w:val="000000"/>
      </w:rPr>
    </w:pPr>
    <w:r w:rsidRPr="00E741FF">
      <w:rPr>
        <w:rFonts w:ascii="FrankRuehl" w:hAnsi="FrankRuehl" w:cs="FrankRuehl"/>
        <w:color w:val="000000"/>
      </w:rPr>
      <w:pict w14:anchorId="5EA0D5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F398D" w14:textId="77777777" w:rsidR="005D1470" w:rsidRDefault="005D1470" w:rsidP="00897C9D">
      <w:r>
        <w:separator/>
      </w:r>
    </w:p>
  </w:footnote>
  <w:footnote w:type="continuationSeparator" w:id="0">
    <w:p w14:paraId="3510C2E7" w14:textId="77777777" w:rsidR="005D1470" w:rsidRDefault="005D1470" w:rsidP="00897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35B19" w14:textId="77777777" w:rsidR="00C630F0" w:rsidRPr="00E741FF" w:rsidRDefault="00E741FF" w:rsidP="00E741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55741-12-18</w:t>
    </w:r>
    <w:r>
      <w:rPr>
        <w:rFonts w:ascii="David" w:hAnsi="David"/>
        <w:color w:val="000000"/>
        <w:sz w:val="22"/>
        <w:szCs w:val="22"/>
        <w:rtl/>
      </w:rPr>
      <w:tab/>
      <w:t xml:space="preserve"> מדינת ישראל נ' אוראל נועמה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1E197" w14:textId="77777777" w:rsidR="00C630F0" w:rsidRPr="00E741FF" w:rsidRDefault="00E741FF" w:rsidP="00E741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55741-12-18</w:t>
    </w:r>
    <w:r>
      <w:rPr>
        <w:rFonts w:ascii="David" w:hAnsi="David"/>
        <w:color w:val="000000"/>
        <w:sz w:val="22"/>
        <w:szCs w:val="22"/>
        <w:rtl/>
      </w:rPr>
      <w:tab/>
      <w:t xml:space="preserve"> מדינת ישראל נ' אוראל נועמה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5345339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1512"/>
    <w:rsid w:val="00087FB0"/>
    <w:rsid w:val="00134092"/>
    <w:rsid w:val="00381020"/>
    <w:rsid w:val="003A0675"/>
    <w:rsid w:val="005D1470"/>
    <w:rsid w:val="00897C9D"/>
    <w:rsid w:val="008E12BA"/>
    <w:rsid w:val="008F1512"/>
    <w:rsid w:val="00B4414E"/>
    <w:rsid w:val="00C630F0"/>
    <w:rsid w:val="00D3539B"/>
    <w:rsid w:val="00DA050F"/>
    <w:rsid w:val="00E25E15"/>
    <w:rsid w:val="00E617B3"/>
    <w:rsid w:val="00E741FF"/>
    <w:rsid w:val="00EF60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BF2AE4"/>
  <w15:chartTrackingRefBased/>
  <w15:docId w15:val="{4D6E9ADD-20D1-458D-AC9E-89603FFF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151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1512"/>
    <w:pPr>
      <w:tabs>
        <w:tab w:val="center" w:pos="4153"/>
        <w:tab w:val="right" w:pos="8306"/>
      </w:tabs>
    </w:pPr>
  </w:style>
  <w:style w:type="character" w:customStyle="1" w:styleId="a4">
    <w:name w:val="כותרת עליונה תו"/>
    <w:link w:val="a3"/>
    <w:rsid w:val="008F1512"/>
    <w:rPr>
      <w:rFonts w:ascii="Times New Roman" w:eastAsia="Times New Roman" w:hAnsi="Times New Roman" w:cs="David"/>
      <w:sz w:val="24"/>
      <w:szCs w:val="24"/>
    </w:rPr>
  </w:style>
  <w:style w:type="paragraph" w:styleId="a5">
    <w:name w:val="footer"/>
    <w:basedOn w:val="a"/>
    <w:link w:val="a6"/>
    <w:rsid w:val="008F1512"/>
    <w:pPr>
      <w:tabs>
        <w:tab w:val="center" w:pos="4153"/>
        <w:tab w:val="right" w:pos="8306"/>
      </w:tabs>
    </w:pPr>
  </w:style>
  <w:style w:type="character" w:customStyle="1" w:styleId="a6">
    <w:name w:val="כותרת תחתונה תו"/>
    <w:link w:val="a5"/>
    <w:rsid w:val="008F1512"/>
    <w:rPr>
      <w:rFonts w:ascii="Times New Roman" w:eastAsia="Times New Roman" w:hAnsi="Times New Roman" w:cs="David"/>
      <w:sz w:val="24"/>
      <w:szCs w:val="24"/>
    </w:rPr>
  </w:style>
  <w:style w:type="table" w:styleId="a7">
    <w:name w:val="Table Grid"/>
    <w:basedOn w:val="a1"/>
    <w:rsid w:val="008F15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1512"/>
  </w:style>
  <w:style w:type="character" w:styleId="Hyperlink">
    <w:name w:val="Hyperlink"/>
    <w:rsid w:val="00C630F0"/>
    <w:rPr>
      <w:color w:val="0563C1"/>
      <w:u w:val="single"/>
    </w:rPr>
  </w:style>
  <w:style w:type="character" w:customStyle="1" w:styleId="CharChar1">
    <w:name w:val="Char Char1"/>
    <w:locked/>
    <w:rsid w:val="00E741FF"/>
    <w:rPr>
      <w:rFonts w:ascii="David" w:hAnsi="David"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72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case/7980179" TargetMode="External"/><Relationship Id="rId3" Type="http://schemas.openxmlformats.org/officeDocument/2006/relationships/settings" Target="settings.xml"/><Relationship Id="rId21" Type="http://schemas.openxmlformats.org/officeDocument/2006/relationships/hyperlink" Target="http://www.nevo.co.il/case/25975844"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581078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4;19.a" TargetMode="External"/><Relationship Id="rId20" Type="http://schemas.openxmlformats.org/officeDocument/2006/relationships/hyperlink" Target="http://www.nevo.co.il/law/7030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810781" TargetMode="External"/><Relationship Id="rId23" Type="http://schemas.openxmlformats.org/officeDocument/2006/relationships/hyperlink" Target="http://www.nevo.co.il/law/70301/40ja" TargetMode="External"/><Relationship Id="rId28" Type="http://schemas.openxmlformats.org/officeDocument/2006/relationships/header" Target="header1.xml"/><Relationship Id="rId10" Type="http://schemas.openxmlformats.org/officeDocument/2006/relationships/hyperlink" Target="http://www.nevo.co.il/law/4216/14" TargetMode="External"/><Relationship Id="rId19" Type="http://schemas.openxmlformats.org/officeDocument/2006/relationships/hyperlink" Target="http://www.nevo.co.il/law/70301/40i"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1035570"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2119</Words>
  <Characters>10596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12690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3604602</vt:i4>
      </vt:variant>
      <vt:variant>
        <vt:i4>57</vt:i4>
      </vt:variant>
      <vt:variant>
        <vt:i4>0</vt:i4>
      </vt:variant>
      <vt:variant>
        <vt:i4>5</vt:i4>
      </vt:variant>
      <vt:variant>
        <vt:lpwstr>http://www.nevo.co.il/case/7980179</vt:lpwstr>
      </vt:variant>
      <vt:variant>
        <vt:lpwstr/>
      </vt:variant>
      <vt:variant>
        <vt:i4>3276916</vt:i4>
      </vt:variant>
      <vt:variant>
        <vt:i4>54</vt:i4>
      </vt:variant>
      <vt:variant>
        <vt:i4>0</vt:i4>
      </vt:variant>
      <vt:variant>
        <vt:i4>5</vt:i4>
      </vt:variant>
      <vt:variant>
        <vt:lpwstr>http://www.nevo.co.il/case/5810781</vt:lpwstr>
      </vt:variant>
      <vt:variant>
        <vt:lpwstr/>
      </vt:variant>
      <vt:variant>
        <vt:i4>7995492</vt:i4>
      </vt:variant>
      <vt:variant>
        <vt:i4>51</vt:i4>
      </vt:variant>
      <vt:variant>
        <vt:i4>0</vt:i4>
      </vt:variant>
      <vt:variant>
        <vt:i4>5</vt:i4>
      </vt:variant>
      <vt:variant>
        <vt:lpwstr>http://www.nevo.co.il/law/70301</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3145843</vt:i4>
      </vt:variant>
      <vt:variant>
        <vt:i4>45</vt:i4>
      </vt:variant>
      <vt:variant>
        <vt:i4>0</vt:i4>
      </vt:variant>
      <vt:variant>
        <vt:i4>5</vt:i4>
      </vt:variant>
      <vt:variant>
        <vt:lpwstr>http://www.nevo.co.il/case/21035570</vt:lpwstr>
      </vt:variant>
      <vt:variant>
        <vt:lpwstr/>
      </vt:variant>
      <vt:variant>
        <vt:i4>3801214</vt:i4>
      </vt:variant>
      <vt:variant>
        <vt:i4>42</vt:i4>
      </vt:variant>
      <vt:variant>
        <vt:i4>0</vt:i4>
      </vt:variant>
      <vt:variant>
        <vt:i4>5</vt:i4>
      </vt:variant>
      <vt:variant>
        <vt:lpwstr>http://www.nevo.co.il/case/25975844</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2883681</vt:i4>
      </vt:variant>
      <vt:variant>
        <vt:i4>27</vt:i4>
      </vt:variant>
      <vt:variant>
        <vt:i4>0</vt:i4>
      </vt:variant>
      <vt:variant>
        <vt:i4>5</vt:i4>
      </vt:variant>
      <vt:variant>
        <vt:lpwstr>http://www.nevo.co.il/law/4216/14;19.a</vt:lpwstr>
      </vt:variant>
      <vt:variant>
        <vt:lpwstr/>
      </vt:variant>
      <vt:variant>
        <vt:i4>3276916</vt:i4>
      </vt:variant>
      <vt:variant>
        <vt:i4>24</vt:i4>
      </vt:variant>
      <vt:variant>
        <vt:i4>0</vt:i4>
      </vt:variant>
      <vt:variant>
        <vt:i4>5</vt:i4>
      </vt:variant>
      <vt:variant>
        <vt:lpwstr>http://www.nevo.co.il/case/5810781</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2025-04-23T00:00:00Z</dcterms:created>
  <dcterms:modified xsi:type="dcterms:W3CDTF">2025-04-23T00:00:00Z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55741;10185</vt:lpwstr>
  </property>
  <property fmtid="{D5CDD505-2E9C-101B-9397-08002B2CF9AE}" pid="6" name="NEWPARTB">
    <vt:lpwstr>12;11</vt:lpwstr>
  </property>
  <property fmtid="{D5CDD505-2E9C-101B-9397-08002B2CF9AE}" pid="7" name="NEWPARTC">
    <vt:lpwstr>18;18</vt:lpwstr>
  </property>
  <property fmtid="{D5CDD505-2E9C-101B-9397-08002B2CF9AE}" pid="8" name="APPELLANT">
    <vt:lpwstr>מדינת ישראל</vt:lpwstr>
  </property>
  <property fmtid="{D5CDD505-2E9C-101B-9397-08002B2CF9AE}" pid="9" name="APPELLEE">
    <vt:lpwstr>אוראל נועמה</vt:lpwstr>
  </property>
  <property fmtid="{D5CDD505-2E9C-101B-9397-08002B2CF9AE}" pid="10" name="LAWYER">
    <vt:lpwstr>אהרן פרקש</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20191113</vt:lpwstr>
  </property>
  <property fmtid="{D5CDD505-2E9C-101B-9397-08002B2CF9AE}" pid="14" name="TYPE_N_DATE">
    <vt:lpwstr>38020191113</vt:lpwstr>
  </property>
  <property fmtid="{D5CDD505-2E9C-101B-9397-08002B2CF9AE}" pid="15" name="CASESLISTTMP1">
    <vt:lpwstr>25257261;25116098;25975844;21035570;5810781;7980179</vt:lpwstr>
  </property>
  <property fmtid="{D5CDD505-2E9C-101B-9397-08002B2CF9AE}" pid="16" name="WORDNUMPAGES">
    <vt:lpwstr>7</vt:lpwstr>
  </property>
  <property fmtid="{D5CDD505-2E9C-101B-9397-08002B2CF9AE}" pid="17" name="TYPE_ABS_DATE">
    <vt:lpwstr>380120191113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4216/014;019.a;007.a;007.c</vt:lpwstr>
  </property>
  <property fmtid="{D5CDD505-2E9C-101B-9397-08002B2CF9AE}" pid="37" name="LAWLISTTMP2">
    <vt:lpwstr>70301/040i;40ja</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11695;11690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הימנעות מהרשעה</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אי-הרשעה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20191219</vt:lpwstr>
  </property>
  <property fmtid="{D5CDD505-2E9C-101B-9397-08002B2CF9AE}" pid="72" name="METAKZER">
    <vt:lpwstr>שירי</vt:lpwstr>
  </property>
</Properties>
</file>