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883A10" w:rsidRPr="005E1751" w14:paraId="7FB03313" w14:textId="77777777" w:rsidTr="00D46D63">
        <w:trPr>
          <w:trHeight w:hRule="exact" w:val="418"/>
          <w:jc w:val="center"/>
        </w:trPr>
        <w:tc>
          <w:tcPr>
            <w:tcW w:w="8721" w:type="dxa"/>
            <w:gridSpan w:val="2"/>
          </w:tcPr>
          <w:p w14:paraId="4530E439" w14:textId="77777777" w:rsidR="00883A10" w:rsidRPr="005E1751" w:rsidRDefault="00883A10" w:rsidP="001F3996">
            <w:pPr>
              <w:pStyle w:val="a3"/>
              <w:jc w:val="center"/>
              <w:rPr>
                <w:rFonts w:ascii="Tahoma" w:hAnsi="Tahoma" w:cs="Tahoma"/>
                <w:color w:val="000080"/>
                <w:rtl/>
              </w:rPr>
            </w:pPr>
            <w:r w:rsidRPr="005E1751">
              <w:rPr>
                <w:rFonts w:ascii="Tahoma" w:hAnsi="Tahoma" w:cs="Tahoma"/>
                <w:b/>
                <w:bCs/>
                <w:color w:val="000080"/>
                <w:rtl/>
              </w:rPr>
              <w:t>בית משפט השלום בבאר שבע</w:t>
            </w:r>
          </w:p>
        </w:tc>
      </w:tr>
      <w:tr w:rsidR="00883A10" w:rsidRPr="005E1751" w14:paraId="47DBCCF3" w14:textId="77777777" w:rsidTr="00D46D63">
        <w:trPr>
          <w:trHeight w:val="337"/>
          <w:jc w:val="center"/>
        </w:trPr>
        <w:tc>
          <w:tcPr>
            <w:tcW w:w="5055" w:type="dxa"/>
          </w:tcPr>
          <w:p w14:paraId="25A44DF9" w14:textId="77777777" w:rsidR="00883A10" w:rsidRPr="005E1751" w:rsidRDefault="00883A10" w:rsidP="001F3996">
            <w:pPr>
              <w:rPr>
                <w:rFonts w:ascii="David" w:hAnsi="David"/>
                <w:b/>
                <w:bCs/>
                <w:sz w:val="28"/>
                <w:szCs w:val="28"/>
                <w:rtl/>
              </w:rPr>
            </w:pPr>
            <w:r w:rsidRPr="005E1751">
              <w:rPr>
                <w:rFonts w:ascii="David" w:hAnsi="David"/>
                <w:b/>
                <w:bCs/>
                <w:sz w:val="28"/>
                <w:szCs w:val="28"/>
                <w:rtl/>
              </w:rPr>
              <w:t>ת"פ 61099-12-18 מדינת ישראל נ' חסן</w:t>
            </w:r>
          </w:p>
          <w:p w14:paraId="2B501CDB" w14:textId="77777777" w:rsidR="00883A10" w:rsidRPr="005E1751" w:rsidRDefault="00883A10" w:rsidP="001F3996">
            <w:pPr>
              <w:pStyle w:val="a3"/>
              <w:rPr>
                <w:rFonts w:cs="FrankRuehl"/>
                <w:sz w:val="28"/>
                <w:szCs w:val="28"/>
                <w:rtl/>
              </w:rPr>
            </w:pPr>
          </w:p>
        </w:tc>
        <w:tc>
          <w:tcPr>
            <w:tcW w:w="3666" w:type="dxa"/>
          </w:tcPr>
          <w:p w14:paraId="3B6FB767" w14:textId="77777777" w:rsidR="00883A10" w:rsidRPr="005E1751" w:rsidRDefault="00883A10" w:rsidP="001F3996">
            <w:pPr>
              <w:pStyle w:val="a3"/>
              <w:jc w:val="right"/>
              <w:rPr>
                <w:rFonts w:cs="FrankRuehl"/>
                <w:sz w:val="28"/>
                <w:szCs w:val="28"/>
                <w:rtl/>
              </w:rPr>
            </w:pPr>
          </w:p>
        </w:tc>
      </w:tr>
    </w:tbl>
    <w:p w14:paraId="56525AA5" w14:textId="77777777" w:rsidR="00883A10" w:rsidRPr="005E1751" w:rsidRDefault="00883A10" w:rsidP="00883A10">
      <w:pPr>
        <w:pStyle w:val="a3"/>
        <w:rPr>
          <w:rtl/>
        </w:rPr>
      </w:pPr>
      <w:r w:rsidRPr="005E1751">
        <w:rPr>
          <w:rFonts w:hint="cs"/>
          <w:rtl/>
        </w:rPr>
        <w:t xml:space="preserve"> </w:t>
      </w:r>
    </w:p>
    <w:p w14:paraId="306C5A03" w14:textId="77777777" w:rsidR="00883A10" w:rsidRPr="005E1751" w:rsidRDefault="00883A10" w:rsidP="00883A10">
      <w:pPr>
        <w:rPr>
          <w:rtl/>
        </w:rPr>
      </w:pPr>
    </w:p>
    <w:p w14:paraId="47C5F869" w14:textId="77777777" w:rsidR="00883A10" w:rsidRPr="005E1751" w:rsidRDefault="00883A10" w:rsidP="00883A1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83A10" w:rsidRPr="005E1751" w14:paraId="4FE3027B" w14:textId="77777777" w:rsidTr="00883A10">
        <w:trPr>
          <w:trHeight w:val="295"/>
          <w:jc w:val="center"/>
        </w:trPr>
        <w:tc>
          <w:tcPr>
            <w:tcW w:w="923" w:type="dxa"/>
            <w:tcBorders>
              <w:top w:val="nil"/>
              <w:left w:val="nil"/>
              <w:bottom w:val="nil"/>
              <w:right w:val="nil"/>
            </w:tcBorders>
            <w:shd w:val="clear" w:color="auto" w:fill="auto"/>
          </w:tcPr>
          <w:p w14:paraId="10D7AD63" w14:textId="77777777" w:rsidR="00883A10" w:rsidRPr="005E1751" w:rsidRDefault="00883A10" w:rsidP="00883A10">
            <w:pPr>
              <w:jc w:val="both"/>
              <w:rPr>
                <w:rFonts w:ascii="David" w:hAnsi="David"/>
                <w:b/>
                <w:bCs/>
                <w:sz w:val="26"/>
                <w:szCs w:val="26"/>
              </w:rPr>
            </w:pPr>
            <w:r w:rsidRPr="005E1751">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3D236F41" w14:textId="77777777" w:rsidR="00883A10" w:rsidRPr="005E1751" w:rsidRDefault="00883A10" w:rsidP="001F3996">
            <w:pPr>
              <w:rPr>
                <w:rFonts w:ascii="David" w:hAnsi="David"/>
                <w:b/>
                <w:bCs/>
                <w:sz w:val="26"/>
                <w:szCs w:val="26"/>
                <w:rtl/>
              </w:rPr>
            </w:pPr>
            <w:r w:rsidRPr="005E1751">
              <w:rPr>
                <w:rFonts w:ascii="David" w:hAnsi="David"/>
                <w:b/>
                <w:bCs/>
                <w:sz w:val="26"/>
                <w:szCs w:val="26"/>
                <w:rtl/>
              </w:rPr>
              <w:t>כבוד השופטת, סגנית הנשיא  ענת חולתא</w:t>
            </w:r>
          </w:p>
          <w:p w14:paraId="136FE49C" w14:textId="77777777" w:rsidR="00883A10" w:rsidRPr="005E1751" w:rsidRDefault="00883A10" w:rsidP="001F3996">
            <w:pPr>
              <w:rPr>
                <w:rFonts w:ascii="David" w:hAnsi="David"/>
                <w:b/>
                <w:bCs/>
                <w:sz w:val="26"/>
                <w:szCs w:val="26"/>
                <w:rtl/>
              </w:rPr>
            </w:pPr>
          </w:p>
          <w:p w14:paraId="46A1FFE6" w14:textId="77777777" w:rsidR="00883A10" w:rsidRPr="005E1751" w:rsidRDefault="00883A10" w:rsidP="00883A10">
            <w:pPr>
              <w:jc w:val="both"/>
              <w:rPr>
                <w:rFonts w:ascii="David" w:hAnsi="David"/>
                <w:b/>
                <w:bCs/>
                <w:sz w:val="26"/>
                <w:szCs w:val="26"/>
              </w:rPr>
            </w:pPr>
          </w:p>
        </w:tc>
      </w:tr>
      <w:tr w:rsidR="00883A10" w:rsidRPr="005E1751" w14:paraId="3E30A187" w14:textId="77777777" w:rsidTr="00883A10">
        <w:trPr>
          <w:trHeight w:val="355"/>
          <w:jc w:val="center"/>
        </w:trPr>
        <w:tc>
          <w:tcPr>
            <w:tcW w:w="923" w:type="dxa"/>
            <w:tcBorders>
              <w:top w:val="nil"/>
              <w:left w:val="nil"/>
              <w:bottom w:val="nil"/>
              <w:right w:val="nil"/>
            </w:tcBorders>
            <w:shd w:val="clear" w:color="auto" w:fill="auto"/>
          </w:tcPr>
          <w:p w14:paraId="52E3000D" w14:textId="77777777" w:rsidR="00883A10" w:rsidRPr="005E1751" w:rsidRDefault="00883A10" w:rsidP="00883A10">
            <w:pPr>
              <w:jc w:val="both"/>
              <w:rPr>
                <w:rFonts w:ascii="David" w:hAnsi="David"/>
                <w:b/>
                <w:bCs/>
                <w:sz w:val="26"/>
                <w:szCs w:val="26"/>
              </w:rPr>
            </w:pPr>
            <w:bookmarkStart w:id="0" w:name="FirstAppellant"/>
            <w:bookmarkStart w:id="1" w:name="LastJudge"/>
            <w:bookmarkEnd w:id="1"/>
            <w:r w:rsidRPr="005E1751">
              <w:rPr>
                <w:rFonts w:ascii="David" w:hAnsi="David"/>
                <w:b/>
                <w:bCs/>
                <w:sz w:val="26"/>
                <w:szCs w:val="26"/>
                <w:rtl/>
              </w:rPr>
              <w:t>בעניין:</w:t>
            </w:r>
          </w:p>
        </w:tc>
        <w:tc>
          <w:tcPr>
            <w:tcW w:w="4126" w:type="dxa"/>
            <w:tcBorders>
              <w:top w:val="nil"/>
              <w:left w:val="nil"/>
              <w:bottom w:val="nil"/>
              <w:right w:val="nil"/>
            </w:tcBorders>
            <w:shd w:val="clear" w:color="auto" w:fill="auto"/>
          </w:tcPr>
          <w:p w14:paraId="6985C49E" w14:textId="77777777" w:rsidR="00883A10" w:rsidRPr="005E1751" w:rsidRDefault="00883A10" w:rsidP="001F3996">
            <w:pPr>
              <w:rPr>
                <w:rFonts w:ascii="David" w:hAnsi="David"/>
                <w:b/>
                <w:bCs/>
                <w:sz w:val="26"/>
                <w:szCs w:val="26"/>
              </w:rPr>
            </w:pPr>
            <w:r w:rsidRPr="005E1751">
              <w:rPr>
                <w:rFonts w:ascii="David" w:hAnsi="David"/>
                <w:b/>
                <w:bCs/>
                <w:sz w:val="26"/>
                <w:szCs w:val="26"/>
                <w:rtl/>
              </w:rPr>
              <w:t>מדינת ישראל</w:t>
            </w:r>
            <w:r w:rsidRPr="005E1751">
              <w:rPr>
                <w:rFonts w:ascii="David" w:hAnsi="David" w:hint="cs"/>
                <w:b/>
                <w:bCs/>
                <w:sz w:val="26"/>
                <w:szCs w:val="26"/>
                <w:rtl/>
              </w:rPr>
              <w:t>-פמ"ד</w:t>
            </w:r>
          </w:p>
        </w:tc>
        <w:tc>
          <w:tcPr>
            <w:tcW w:w="3771" w:type="dxa"/>
            <w:tcBorders>
              <w:top w:val="nil"/>
              <w:left w:val="nil"/>
              <w:bottom w:val="nil"/>
              <w:right w:val="nil"/>
            </w:tcBorders>
            <w:shd w:val="clear" w:color="auto" w:fill="auto"/>
          </w:tcPr>
          <w:p w14:paraId="4BD4CFB1" w14:textId="77777777" w:rsidR="00883A10" w:rsidRPr="005E1751" w:rsidRDefault="00883A10" w:rsidP="00883A10">
            <w:pPr>
              <w:jc w:val="both"/>
              <w:rPr>
                <w:rFonts w:ascii="David" w:hAnsi="David"/>
                <w:b/>
                <w:bCs/>
                <w:sz w:val="26"/>
                <w:szCs w:val="26"/>
              </w:rPr>
            </w:pPr>
          </w:p>
        </w:tc>
      </w:tr>
      <w:tr w:rsidR="00883A10" w:rsidRPr="005E1751" w14:paraId="405171F0" w14:textId="77777777" w:rsidTr="00883A10">
        <w:trPr>
          <w:trHeight w:val="355"/>
          <w:jc w:val="center"/>
        </w:trPr>
        <w:tc>
          <w:tcPr>
            <w:tcW w:w="923" w:type="dxa"/>
            <w:tcBorders>
              <w:top w:val="nil"/>
              <w:left w:val="nil"/>
              <w:bottom w:val="nil"/>
              <w:right w:val="nil"/>
            </w:tcBorders>
            <w:shd w:val="clear" w:color="auto" w:fill="auto"/>
          </w:tcPr>
          <w:p w14:paraId="6AB184EB" w14:textId="77777777" w:rsidR="00883A10" w:rsidRPr="005E1751" w:rsidRDefault="00883A10" w:rsidP="00883A10">
            <w:pPr>
              <w:jc w:val="both"/>
              <w:rPr>
                <w:rFonts w:ascii="David" w:hAnsi="David"/>
                <w:b/>
                <w:bCs/>
                <w:sz w:val="26"/>
                <w:szCs w:val="26"/>
                <w:rtl/>
              </w:rPr>
            </w:pPr>
            <w:bookmarkStart w:id="2" w:name="FirstLawyer"/>
            <w:bookmarkEnd w:id="0"/>
          </w:p>
        </w:tc>
        <w:tc>
          <w:tcPr>
            <w:tcW w:w="4126" w:type="dxa"/>
            <w:tcBorders>
              <w:top w:val="nil"/>
              <w:left w:val="nil"/>
              <w:bottom w:val="nil"/>
              <w:right w:val="nil"/>
            </w:tcBorders>
            <w:shd w:val="clear" w:color="auto" w:fill="auto"/>
          </w:tcPr>
          <w:p w14:paraId="37451326" w14:textId="77777777" w:rsidR="00883A10" w:rsidRPr="005E1751" w:rsidRDefault="00883A10" w:rsidP="00883A10">
            <w:pPr>
              <w:jc w:val="both"/>
              <w:rPr>
                <w:rFonts w:ascii="David" w:hAnsi="David"/>
                <w:b/>
                <w:bCs/>
                <w:sz w:val="26"/>
                <w:szCs w:val="26"/>
                <w:rtl/>
              </w:rPr>
            </w:pPr>
            <w:r w:rsidRPr="005E1751">
              <w:rPr>
                <w:rFonts w:ascii="David" w:hAnsi="David" w:hint="cs"/>
                <w:b/>
                <w:bCs/>
                <w:sz w:val="26"/>
                <w:szCs w:val="26"/>
                <w:rtl/>
              </w:rPr>
              <w:t xml:space="preserve">ע"י ב"כ עו"ד אורלי פיטוסי </w:t>
            </w:r>
          </w:p>
        </w:tc>
        <w:tc>
          <w:tcPr>
            <w:tcW w:w="3771" w:type="dxa"/>
            <w:tcBorders>
              <w:top w:val="nil"/>
              <w:left w:val="nil"/>
              <w:bottom w:val="nil"/>
              <w:right w:val="nil"/>
            </w:tcBorders>
            <w:shd w:val="clear" w:color="auto" w:fill="auto"/>
          </w:tcPr>
          <w:p w14:paraId="6FFC623B" w14:textId="77777777" w:rsidR="00883A10" w:rsidRPr="005E1751" w:rsidRDefault="00883A10" w:rsidP="00883A10">
            <w:pPr>
              <w:jc w:val="right"/>
              <w:rPr>
                <w:rFonts w:ascii="David" w:hAnsi="David"/>
                <w:b/>
                <w:bCs/>
                <w:sz w:val="26"/>
                <w:szCs w:val="26"/>
                <w:rtl/>
              </w:rPr>
            </w:pPr>
            <w:r w:rsidRPr="005E1751">
              <w:rPr>
                <w:rFonts w:ascii="David" w:hAnsi="David"/>
                <w:b/>
                <w:bCs/>
                <w:sz w:val="26"/>
                <w:szCs w:val="26"/>
                <w:rtl/>
              </w:rPr>
              <w:t>המאשימה</w:t>
            </w:r>
          </w:p>
        </w:tc>
      </w:tr>
      <w:bookmarkEnd w:id="2"/>
      <w:tr w:rsidR="00883A10" w:rsidRPr="005E1751" w14:paraId="0039BFE8" w14:textId="77777777" w:rsidTr="00883A10">
        <w:trPr>
          <w:trHeight w:val="355"/>
          <w:jc w:val="center"/>
        </w:trPr>
        <w:tc>
          <w:tcPr>
            <w:tcW w:w="923" w:type="dxa"/>
            <w:tcBorders>
              <w:top w:val="nil"/>
              <w:left w:val="nil"/>
              <w:bottom w:val="nil"/>
              <w:right w:val="nil"/>
            </w:tcBorders>
            <w:shd w:val="clear" w:color="auto" w:fill="auto"/>
          </w:tcPr>
          <w:p w14:paraId="0F8CCB73" w14:textId="77777777" w:rsidR="00883A10" w:rsidRPr="005E1751" w:rsidRDefault="00883A10" w:rsidP="00883A10">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2765A44A" w14:textId="77777777" w:rsidR="00883A10" w:rsidRPr="005E1751" w:rsidRDefault="00883A10" w:rsidP="00883A10">
            <w:pPr>
              <w:jc w:val="center"/>
              <w:rPr>
                <w:rFonts w:ascii="David" w:hAnsi="David"/>
                <w:b/>
                <w:bCs/>
                <w:sz w:val="26"/>
                <w:szCs w:val="26"/>
                <w:rtl/>
              </w:rPr>
            </w:pPr>
          </w:p>
          <w:p w14:paraId="015C767D" w14:textId="77777777" w:rsidR="00883A10" w:rsidRPr="005E1751" w:rsidRDefault="00883A10" w:rsidP="00883A10">
            <w:pPr>
              <w:jc w:val="center"/>
              <w:rPr>
                <w:rFonts w:ascii="David" w:hAnsi="David"/>
                <w:b/>
                <w:bCs/>
                <w:sz w:val="26"/>
                <w:szCs w:val="26"/>
                <w:rtl/>
              </w:rPr>
            </w:pPr>
            <w:r w:rsidRPr="005E1751">
              <w:rPr>
                <w:rFonts w:ascii="David" w:hAnsi="David"/>
                <w:b/>
                <w:bCs/>
                <w:sz w:val="26"/>
                <w:szCs w:val="26"/>
                <w:rtl/>
              </w:rPr>
              <w:t>נגד</w:t>
            </w:r>
          </w:p>
          <w:p w14:paraId="533A5773" w14:textId="77777777" w:rsidR="00883A10" w:rsidRPr="005E1751" w:rsidRDefault="00883A10" w:rsidP="00883A10">
            <w:pPr>
              <w:jc w:val="both"/>
              <w:rPr>
                <w:rFonts w:ascii="David" w:hAnsi="David"/>
                <w:b/>
                <w:bCs/>
                <w:sz w:val="26"/>
                <w:szCs w:val="26"/>
              </w:rPr>
            </w:pPr>
          </w:p>
        </w:tc>
      </w:tr>
      <w:tr w:rsidR="00883A10" w:rsidRPr="005E1751" w14:paraId="7B2C8728" w14:textId="77777777" w:rsidTr="00883A10">
        <w:trPr>
          <w:trHeight w:val="355"/>
          <w:jc w:val="center"/>
        </w:trPr>
        <w:tc>
          <w:tcPr>
            <w:tcW w:w="923" w:type="dxa"/>
            <w:tcBorders>
              <w:top w:val="nil"/>
              <w:left w:val="nil"/>
              <w:bottom w:val="nil"/>
              <w:right w:val="nil"/>
            </w:tcBorders>
            <w:shd w:val="clear" w:color="auto" w:fill="auto"/>
          </w:tcPr>
          <w:p w14:paraId="4283E027" w14:textId="77777777" w:rsidR="00883A10" w:rsidRPr="005E1751" w:rsidRDefault="00883A10" w:rsidP="001F3996">
            <w:pPr>
              <w:rPr>
                <w:rFonts w:ascii="David" w:hAnsi="David"/>
                <w:b/>
                <w:bCs/>
                <w:sz w:val="26"/>
                <w:szCs w:val="26"/>
                <w:rtl/>
              </w:rPr>
            </w:pPr>
          </w:p>
        </w:tc>
        <w:tc>
          <w:tcPr>
            <w:tcW w:w="4126" w:type="dxa"/>
            <w:tcBorders>
              <w:top w:val="nil"/>
              <w:left w:val="nil"/>
              <w:bottom w:val="nil"/>
              <w:right w:val="nil"/>
            </w:tcBorders>
            <w:shd w:val="clear" w:color="auto" w:fill="auto"/>
          </w:tcPr>
          <w:p w14:paraId="583B0CD6" w14:textId="77777777" w:rsidR="00883A10" w:rsidRPr="005E1751" w:rsidRDefault="00883A10" w:rsidP="001F3996">
            <w:pPr>
              <w:rPr>
                <w:rFonts w:ascii="David" w:hAnsi="David"/>
                <w:b/>
                <w:bCs/>
                <w:sz w:val="26"/>
                <w:szCs w:val="26"/>
                <w:rtl/>
              </w:rPr>
            </w:pPr>
            <w:r w:rsidRPr="005E1751">
              <w:rPr>
                <w:rFonts w:ascii="David" w:hAnsi="David"/>
                <w:b/>
                <w:bCs/>
                <w:sz w:val="26"/>
                <w:szCs w:val="26"/>
                <w:rtl/>
              </w:rPr>
              <w:t>יצחק חסן</w:t>
            </w:r>
            <w:r w:rsidRPr="005E1751">
              <w:rPr>
                <w:rFonts w:ascii="David" w:hAnsi="David" w:hint="cs"/>
                <w:b/>
                <w:bCs/>
                <w:sz w:val="26"/>
                <w:szCs w:val="26"/>
                <w:rtl/>
              </w:rPr>
              <w:t>-בעצמו</w:t>
            </w:r>
          </w:p>
        </w:tc>
        <w:tc>
          <w:tcPr>
            <w:tcW w:w="3771" w:type="dxa"/>
            <w:tcBorders>
              <w:top w:val="nil"/>
              <w:left w:val="nil"/>
              <w:bottom w:val="nil"/>
              <w:right w:val="nil"/>
            </w:tcBorders>
            <w:shd w:val="clear" w:color="auto" w:fill="auto"/>
          </w:tcPr>
          <w:p w14:paraId="6C685FB5" w14:textId="77777777" w:rsidR="00883A10" w:rsidRPr="005E1751" w:rsidRDefault="00883A10" w:rsidP="00883A10">
            <w:pPr>
              <w:jc w:val="right"/>
              <w:rPr>
                <w:rFonts w:ascii="David" w:hAnsi="David"/>
                <w:b/>
                <w:bCs/>
                <w:sz w:val="26"/>
                <w:szCs w:val="26"/>
              </w:rPr>
            </w:pPr>
          </w:p>
        </w:tc>
      </w:tr>
      <w:tr w:rsidR="00883A10" w:rsidRPr="005E1751" w14:paraId="49A71795" w14:textId="77777777" w:rsidTr="00883A10">
        <w:trPr>
          <w:trHeight w:val="355"/>
          <w:jc w:val="center"/>
        </w:trPr>
        <w:tc>
          <w:tcPr>
            <w:tcW w:w="923" w:type="dxa"/>
            <w:tcBorders>
              <w:top w:val="nil"/>
              <w:left w:val="nil"/>
              <w:bottom w:val="nil"/>
              <w:right w:val="nil"/>
            </w:tcBorders>
            <w:shd w:val="clear" w:color="auto" w:fill="auto"/>
          </w:tcPr>
          <w:p w14:paraId="7649F2A7" w14:textId="77777777" w:rsidR="00883A10" w:rsidRPr="005E1751" w:rsidRDefault="00883A10" w:rsidP="00883A10">
            <w:pPr>
              <w:jc w:val="both"/>
              <w:rPr>
                <w:rFonts w:ascii="David" w:hAnsi="David"/>
                <w:b/>
                <w:bCs/>
                <w:sz w:val="26"/>
                <w:szCs w:val="26"/>
                <w:rtl/>
              </w:rPr>
            </w:pPr>
          </w:p>
        </w:tc>
        <w:tc>
          <w:tcPr>
            <w:tcW w:w="4126" w:type="dxa"/>
            <w:tcBorders>
              <w:top w:val="nil"/>
              <w:left w:val="nil"/>
              <w:bottom w:val="nil"/>
              <w:right w:val="nil"/>
            </w:tcBorders>
            <w:shd w:val="clear" w:color="auto" w:fill="auto"/>
          </w:tcPr>
          <w:p w14:paraId="0DEEEAE1" w14:textId="77777777" w:rsidR="00883A10" w:rsidRPr="005E1751" w:rsidRDefault="00883A10" w:rsidP="00883A10">
            <w:pPr>
              <w:jc w:val="both"/>
              <w:rPr>
                <w:rFonts w:ascii="David" w:hAnsi="David"/>
                <w:b/>
                <w:bCs/>
                <w:sz w:val="26"/>
                <w:szCs w:val="26"/>
                <w:rtl/>
              </w:rPr>
            </w:pPr>
            <w:r w:rsidRPr="005E1751">
              <w:rPr>
                <w:rFonts w:ascii="David" w:hAnsi="David" w:hint="cs"/>
                <w:b/>
                <w:bCs/>
                <w:sz w:val="26"/>
                <w:szCs w:val="26"/>
                <w:rtl/>
              </w:rPr>
              <w:t>ע"י ב"כ עו"ד רועי אטיאס</w:t>
            </w:r>
          </w:p>
        </w:tc>
        <w:tc>
          <w:tcPr>
            <w:tcW w:w="3771" w:type="dxa"/>
            <w:tcBorders>
              <w:top w:val="nil"/>
              <w:left w:val="nil"/>
              <w:bottom w:val="nil"/>
              <w:right w:val="nil"/>
            </w:tcBorders>
            <w:shd w:val="clear" w:color="auto" w:fill="auto"/>
          </w:tcPr>
          <w:p w14:paraId="21B5771B" w14:textId="77777777" w:rsidR="00883A10" w:rsidRPr="005E1751" w:rsidRDefault="00883A10" w:rsidP="00883A10">
            <w:pPr>
              <w:jc w:val="right"/>
              <w:rPr>
                <w:rFonts w:ascii="David" w:hAnsi="David"/>
                <w:b/>
                <w:bCs/>
                <w:sz w:val="26"/>
                <w:szCs w:val="26"/>
              </w:rPr>
            </w:pPr>
            <w:r w:rsidRPr="005E1751">
              <w:rPr>
                <w:rFonts w:ascii="David" w:hAnsi="David"/>
                <w:b/>
                <w:bCs/>
                <w:sz w:val="26"/>
                <w:szCs w:val="26"/>
                <w:rtl/>
              </w:rPr>
              <w:t>הנאשם</w:t>
            </w:r>
          </w:p>
        </w:tc>
      </w:tr>
    </w:tbl>
    <w:p w14:paraId="2A4081A0" w14:textId="77777777" w:rsidR="00D46D63" w:rsidRPr="00D46D63" w:rsidRDefault="00D46D63" w:rsidP="00D46D63">
      <w:pPr>
        <w:spacing w:before="120" w:after="120" w:line="240" w:lineRule="exact"/>
        <w:ind w:left="283" w:hanging="283"/>
        <w:jc w:val="both"/>
        <w:rPr>
          <w:rFonts w:ascii="FrankRuehl" w:hAnsi="FrankRuehl" w:cs="FrankRuehl"/>
          <w:rtl/>
        </w:rPr>
      </w:pPr>
    </w:p>
    <w:p w14:paraId="07B9B071" w14:textId="77777777" w:rsidR="000A16E0" w:rsidRPr="000A16E0" w:rsidRDefault="000A16E0" w:rsidP="000A16E0">
      <w:pPr>
        <w:spacing w:before="120" w:after="120" w:line="240" w:lineRule="exact"/>
        <w:ind w:left="283" w:hanging="283"/>
        <w:jc w:val="both"/>
        <w:rPr>
          <w:rFonts w:ascii="FrankRuehl" w:hAnsi="FrankRuehl" w:cs="FrankRuehl"/>
          <w:rtl/>
        </w:rPr>
      </w:pPr>
    </w:p>
    <w:p w14:paraId="79B2A64E" w14:textId="77777777" w:rsidR="00296F54" w:rsidRDefault="00296F54" w:rsidP="00296F54">
      <w:pPr>
        <w:rPr>
          <w:sz w:val="26"/>
          <w:szCs w:val="26"/>
          <w:rtl/>
        </w:rPr>
      </w:pPr>
      <w:bookmarkStart w:id="3" w:name="LawTable"/>
      <w:bookmarkEnd w:id="3"/>
    </w:p>
    <w:p w14:paraId="55A2F492" w14:textId="77777777" w:rsidR="00296F54" w:rsidRPr="00296F54" w:rsidRDefault="00296F54" w:rsidP="00296F54">
      <w:pPr>
        <w:spacing w:before="120" w:after="120" w:line="240" w:lineRule="exact"/>
        <w:ind w:left="283" w:hanging="283"/>
        <w:jc w:val="both"/>
        <w:rPr>
          <w:rFonts w:ascii="FrankRuehl" w:hAnsi="FrankRuehl" w:cs="FrankRuehl"/>
          <w:rtl/>
        </w:rPr>
      </w:pPr>
    </w:p>
    <w:p w14:paraId="678D7727" w14:textId="77777777" w:rsidR="00296F54" w:rsidRPr="00296F54" w:rsidRDefault="00296F54" w:rsidP="00296F54">
      <w:pPr>
        <w:spacing w:before="120" w:after="120" w:line="240" w:lineRule="exact"/>
        <w:ind w:left="283" w:hanging="283"/>
        <w:jc w:val="both"/>
        <w:rPr>
          <w:rFonts w:ascii="FrankRuehl" w:hAnsi="FrankRuehl" w:cs="FrankRuehl"/>
          <w:rtl/>
        </w:rPr>
      </w:pPr>
    </w:p>
    <w:p w14:paraId="39210582" w14:textId="77777777" w:rsidR="00296F54" w:rsidRPr="00296F54" w:rsidRDefault="00296F54" w:rsidP="00296F54">
      <w:pPr>
        <w:spacing w:before="120" w:after="120" w:line="240" w:lineRule="exact"/>
        <w:ind w:left="283" w:hanging="283"/>
        <w:jc w:val="both"/>
        <w:rPr>
          <w:rFonts w:ascii="FrankRuehl" w:hAnsi="FrankRuehl" w:cs="FrankRuehl"/>
          <w:rtl/>
        </w:rPr>
      </w:pPr>
      <w:r w:rsidRPr="00296F54">
        <w:rPr>
          <w:rFonts w:ascii="FrankRuehl" w:hAnsi="FrankRuehl" w:cs="FrankRuehl"/>
          <w:rtl/>
        </w:rPr>
        <w:t xml:space="preserve">חקיקה שאוזכרה: </w:t>
      </w:r>
    </w:p>
    <w:p w14:paraId="42DD2D1C" w14:textId="77777777" w:rsidR="00296F54" w:rsidRPr="00296F54" w:rsidRDefault="00296F54" w:rsidP="00296F54">
      <w:pPr>
        <w:spacing w:before="120" w:after="120" w:line="240" w:lineRule="exact"/>
        <w:ind w:left="283" w:hanging="283"/>
        <w:jc w:val="both"/>
        <w:rPr>
          <w:rFonts w:ascii="FrankRuehl" w:hAnsi="FrankRuehl" w:cs="FrankRuehl"/>
          <w:rtl/>
        </w:rPr>
      </w:pPr>
      <w:hyperlink r:id="rId7" w:history="1">
        <w:r w:rsidRPr="00296F54">
          <w:rPr>
            <w:rFonts w:ascii="FrankRuehl" w:hAnsi="FrankRuehl" w:cs="FrankRuehl"/>
            <w:color w:val="0000FF"/>
            <w:rtl/>
          </w:rPr>
          <w:t>פקודת הסמים המסוכנים [נוסח חדש], תשל"ג-1973</w:t>
        </w:r>
      </w:hyperlink>
      <w:r w:rsidRPr="00296F54">
        <w:rPr>
          <w:rFonts w:ascii="FrankRuehl" w:hAnsi="FrankRuehl" w:cs="FrankRuehl"/>
          <w:rtl/>
        </w:rPr>
        <w:t xml:space="preserve">: סע'  </w:t>
      </w:r>
      <w:hyperlink r:id="rId8" w:history="1">
        <w:r w:rsidRPr="00296F54">
          <w:rPr>
            <w:rFonts w:ascii="FrankRuehl" w:hAnsi="FrankRuehl" w:cs="FrankRuehl"/>
            <w:color w:val="0000FF"/>
            <w:rtl/>
          </w:rPr>
          <w:t>6</w:t>
        </w:r>
      </w:hyperlink>
      <w:r w:rsidRPr="00296F54">
        <w:rPr>
          <w:rFonts w:ascii="FrankRuehl" w:hAnsi="FrankRuehl" w:cs="FrankRuehl"/>
          <w:rtl/>
        </w:rPr>
        <w:t xml:space="preserve">, </w:t>
      </w:r>
      <w:hyperlink r:id="rId9" w:history="1">
        <w:r w:rsidRPr="00296F54">
          <w:rPr>
            <w:rFonts w:ascii="FrankRuehl" w:hAnsi="FrankRuehl" w:cs="FrankRuehl"/>
            <w:color w:val="0000FF"/>
            <w:rtl/>
          </w:rPr>
          <w:t>7(א)</w:t>
        </w:r>
      </w:hyperlink>
      <w:r w:rsidRPr="00296F54">
        <w:rPr>
          <w:rFonts w:ascii="FrankRuehl" w:hAnsi="FrankRuehl" w:cs="FrankRuehl"/>
          <w:rtl/>
        </w:rPr>
        <w:t xml:space="preserve">, </w:t>
      </w:r>
      <w:hyperlink r:id="rId10" w:history="1">
        <w:r w:rsidRPr="00296F54">
          <w:rPr>
            <w:rFonts w:ascii="FrankRuehl" w:hAnsi="FrankRuehl" w:cs="FrankRuehl"/>
            <w:color w:val="0000FF"/>
            <w:rtl/>
          </w:rPr>
          <w:t>7(ג)</w:t>
        </w:r>
      </w:hyperlink>
    </w:p>
    <w:p w14:paraId="3A185FB1" w14:textId="77777777" w:rsidR="00296F54" w:rsidRPr="00296F54" w:rsidRDefault="00296F54" w:rsidP="00296F54">
      <w:pPr>
        <w:spacing w:before="120" w:after="120" w:line="240" w:lineRule="exact"/>
        <w:ind w:left="283" w:hanging="283"/>
        <w:jc w:val="both"/>
        <w:rPr>
          <w:rFonts w:ascii="FrankRuehl" w:hAnsi="FrankRuehl" w:cs="FrankRuehl"/>
          <w:rtl/>
        </w:rPr>
      </w:pPr>
      <w:hyperlink r:id="rId11" w:history="1">
        <w:r w:rsidRPr="00296F54">
          <w:rPr>
            <w:rFonts w:ascii="FrankRuehl" w:hAnsi="FrankRuehl" w:cs="FrankRuehl"/>
            <w:color w:val="0000FF"/>
            <w:rtl/>
          </w:rPr>
          <w:t>חוק העונשין, תשל"ז-1977</w:t>
        </w:r>
      </w:hyperlink>
      <w:r w:rsidRPr="00296F54">
        <w:rPr>
          <w:rFonts w:ascii="FrankRuehl" w:hAnsi="FrankRuehl" w:cs="FrankRuehl"/>
          <w:rtl/>
        </w:rPr>
        <w:t xml:space="preserve">: סע'  </w:t>
      </w:r>
      <w:hyperlink r:id="rId12" w:history="1">
        <w:r w:rsidRPr="00296F54">
          <w:rPr>
            <w:rFonts w:ascii="FrankRuehl" w:hAnsi="FrankRuehl" w:cs="FrankRuehl"/>
            <w:color w:val="0000FF"/>
            <w:rtl/>
          </w:rPr>
          <w:t>40ד(א)</w:t>
        </w:r>
      </w:hyperlink>
      <w:r w:rsidRPr="00296F54">
        <w:rPr>
          <w:rFonts w:ascii="FrankRuehl" w:hAnsi="FrankRuehl" w:cs="FrankRuehl"/>
          <w:rtl/>
        </w:rPr>
        <w:t xml:space="preserve">, </w:t>
      </w:r>
      <w:hyperlink r:id="rId13" w:history="1">
        <w:r w:rsidRPr="00296F54">
          <w:rPr>
            <w:rFonts w:ascii="FrankRuehl" w:hAnsi="FrankRuehl" w:cs="FrankRuehl"/>
            <w:color w:val="0000FF"/>
            <w:rtl/>
          </w:rPr>
          <w:t>400</w:t>
        </w:r>
      </w:hyperlink>
      <w:r w:rsidRPr="00296F54">
        <w:rPr>
          <w:rFonts w:ascii="FrankRuehl" w:hAnsi="FrankRuehl" w:cs="FrankRuehl"/>
          <w:rtl/>
        </w:rPr>
        <w:t xml:space="preserve">, </w:t>
      </w:r>
      <w:hyperlink r:id="rId14" w:history="1">
        <w:r w:rsidRPr="00296F54">
          <w:rPr>
            <w:rFonts w:ascii="FrankRuehl" w:hAnsi="FrankRuehl" w:cs="FrankRuehl"/>
            <w:color w:val="0000FF"/>
            <w:rtl/>
          </w:rPr>
          <w:t>452</w:t>
        </w:r>
      </w:hyperlink>
    </w:p>
    <w:p w14:paraId="541BDEF1" w14:textId="77777777" w:rsidR="00296F54" w:rsidRPr="00296F54" w:rsidRDefault="00296F54" w:rsidP="00296F54">
      <w:pPr>
        <w:rPr>
          <w:sz w:val="26"/>
          <w:szCs w:val="26"/>
          <w:rtl/>
        </w:rPr>
      </w:pPr>
      <w:bookmarkStart w:id="4" w:name="LawTable_End"/>
      <w:bookmarkEnd w:id="4"/>
    </w:p>
    <w:p w14:paraId="4C44B4FE" w14:textId="77777777" w:rsidR="00883A10" w:rsidRPr="000A16E0" w:rsidRDefault="00883A10" w:rsidP="000A16E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83A10" w14:paraId="66CD1E6D" w14:textId="77777777" w:rsidTr="00883A10">
        <w:trPr>
          <w:trHeight w:val="355"/>
          <w:jc w:val="center"/>
        </w:trPr>
        <w:tc>
          <w:tcPr>
            <w:tcW w:w="8820" w:type="dxa"/>
            <w:tcBorders>
              <w:top w:val="nil"/>
              <w:left w:val="nil"/>
              <w:bottom w:val="nil"/>
              <w:right w:val="nil"/>
            </w:tcBorders>
            <w:shd w:val="clear" w:color="auto" w:fill="auto"/>
          </w:tcPr>
          <w:p w14:paraId="02E04E44" w14:textId="77777777" w:rsidR="005E1751" w:rsidRPr="005E1751" w:rsidRDefault="005E1751" w:rsidP="005E1751">
            <w:pPr>
              <w:jc w:val="center"/>
              <w:rPr>
                <w:rFonts w:ascii="David" w:hAnsi="David"/>
                <w:b/>
                <w:bCs/>
                <w:sz w:val="32"/>
                <w:szCs w:val="32"/>
                <w:u w:val="single"/>
                <w:rtl/>
              </w:rPr>
            </w:pPr>
            <w:bookmarkStart w:id="5" w:name="PsakDin" w:colFirst="0" w:colLast="0"/>
            <w:r w:rsidRPr="005E1751">
              <w:rPr>
                <w:rFonts w:ascii="David" w:hAnsi="David"/>
                <w:b/>
                <w:bCs/>
                <w:sz w:val="32"/>
                <w:szCs w:val="32"/>
                <w:u w:val="single"/>
                <w:rtl/>
              </w:rPr>
              <w:t>גזר דין</w:t>
            </w:r>
          </w:p>
          <w:p w14:paraId="72273FF2" w14:textId="77777777" w:rsidR="00883A10" w:rsidRPr="005E1751" w:rsidRDefault="00883A10" w:rsidP="005E1751">
            <w:pPr>
              <w:jc w:val="center"/>
              <w:rPr>
                <w:rFonts w:ascii="David" w:hAnsi="David"/>
                <w:bCs/>
                <w:sz w:val="32"/>
                <w:szCs w:val="32"/>
                <w:u w:val="single"/>
                <w:rtl/>
              </w:rPr>
            </w:pPr>
          </w:p>
        </w:tc>
      </w:tr>
      <w:bookmarkEnd w:id="5"/>
    </w:tbl>
    <w:p w14:paraId="66152193" w14:textId="77777777" w:rsidR="00883A10" w:rsidRPr="002B7D23" w:rsidRDefault="00883A10" w:rsidP="00883A10">
      <w:pPr>
        <w:rPr>
          <w:rFonts w:ascii="David" w:hAnsi="David"/>
          <w:sz w:val="26"/>
          <w:szCs w:val="26"/>
          <w:rtl/>
        </w:rPr>
      </w:pPr>
    </w:p>
    <w:p w14:paraId="53B5E668" w14:textId="77777777" w:rsidR="00883A10" w:rsidRPr="002B7D23" w:rsidRDefault="00883A10" w:rsidP="00883A10">
      <w:pPr>
        <w:rPr>
          <w:rFonts w:ascii="David" w:hAnsi="David"/>
          <w:sz w:val="26"/>
          <w:szCs w:val="26"/>
          <w:rtl/>
        </w:rPr>
      </w:pPr>
    </w:p>
    <w:p w14:paraId="0455141A" w14:textId="77777777" w:rsidR="00883A10" w:rsidRPr="00883A10" w:rsidRDefault="00883A10" w:rsidP="00883A10">
      <w:pPr>
        <w:spacing w:line="360" w:lineRule="auto"/>
        <w:jc w:val="both"/>
        <w:rPr>
          <w:rFonts w:ascii="Calibri" w:hAnsi="Calibri"/>
          <w:b/>
          <w:bCs/>
          <w:u w:val="single"/>
          <w:rtl/>
        </w:rPr>
      </w:pPr>
      <w:r w:rsidRPr="00883A10">
        <w:rPr>
          <w:rFonts w:ascii="Calibri" w:hAnsi="Calibri" w:hint="eastAsia"/>
          <w:b/>
          <w:bCs/>
          <w:u w:val="single"/>
          <w:rtl/>
        </w:rPr>
        <w:t>רקע</w:t>
      </w:r>
    </w:p>
    <w:p w14:paraId="4EF0E7A3" w14:textId="77777777" w:rsidR="00883A10" w:rsidRPr="006E3790" w:rsidRDefault="00883A10" w:rsidP="00883A10">
      <w:pPr>
        <w:numPr>
          <w:ilvl w:val="0"/>
          <w:numId w:val="1"/>
        </w:numPr>
        <w:snapToGrid w:val="0"/>
        <w:spacing w:line="360" w:lineRule="auto"/>
        <w:contextualSpacing/>
        <w:jc w:val="both"/>
        <w:rPr>
          <w:lang w:eastAsia="he-IL"/>
        </w:rPr>
      </w:pPr>
      <w:bookmarkStart w:id="6" w:name="ABSTRACT_START"/>
      <w:bookmarkEnd w:id="6"/>
      <w:r w:rsidRPr="006E3790">
        <w:rPr>
          <w:rtl/>
          <w:lang w:eastAsia="he-IL"/>
        </w:rPr>
        <w:t xml:space="preserve">הנאשם הורשע ביום 11.12.2019 על פי הודאתו בעובדות כתב האישום המתוקן בעבירות של </w:t>
      </w:r>
      <w:r w:rsidRPr="006E3790">
        <w:rPr>
          <w:b/>
          <w:bCs/>
          <w:rtl/>
          <w:lang w:eastAsia="he-IL"/>
        </w:rPr>
        <w:t xml:space="preserve">גידול, ייצור, הכנת סמים מסוכנים, </w:t>
      </w:r>
      <w:r w:rsidRPr="006E3790">
        <w:rPr>
          <w:rtl/>
          <w:lang w:eastAsia="he-IL"/>
        </w:rPr>
        <w:t xml:space="preserve">לפי </w:t>
      </w:r>
      <w:hyperlink r:id="rId15" w:history="1">
        <w:r w:rsidR="00D46D63" w:rsidRPr="00D46D63">
          <w:rPr>
            <w:rStyle w:val="Hyperlink"/>
            <w:rtl/>
            <w:lang w:eastAsia="he-IL"/>
          </w:rPr>
          <w:t>סעיף 6</w:t>
        </w:r>
      </w:hyperlink>
      <w:r w:rsidRPr="006E3790">
        <w:rPr>
          <w:rtl/>
          <w:lang w:eastAsia="he-IL"/>
        </w:rPr>
        <w:t xml:space="preserve"> ל</w:t>
      </w:r>
      <w:hyperlink r:id="rId16" w:history="1">
        <w:r w:rsidR="005E1751" w:rsidRPr="005E1751">
          <w:rPr>
            <w:color w:val="0000FF"/>
            <w:u w:val="single"/>
            <w:rtl/>
            <w:lang w:eastAsia="he-IL"/>
          </w:rPr>
          <w:t>פקודת הסמים המסוכנים</w:t>
        </w:r>
      </w:hyperlink>
      <w:r w:rsidRPr="006E3790">
        <w:rPr>
          <w:rtl/>
          <w:lang w:eastAsia="he-IL"/>
        </w:rPr>
        <w:t xml:space="preserve"> (נוסח חדש) תשל"ג-1973; </w:t>
      </w:r>
      <w:r w:rsidRPr="006E3790">
        <w:rPr>
          <w:b/>
          <w:bCs/>
          <w:rtl/>
          <w:lang w:eastAsia="he-IL"/>
        </w:rPr>
        <w:t xml:space="preserve">החזקת סם שלא לצריכה עצמית, </w:t>
      </w:r>
      <w:r w:rsidRPr="006E3790">
        <w:rPr>
          <w:rtl/>
          <w:lang w:eastAsia="he-IL"/>
        </w:rPr>
        <w:t xml:space="preserve">לפי </w:t>
      </w:r>
      <w:hyperlink r:id="rId17" w:history="1">
        <w:r w:rsidR="00D46D63" w:rsidRPr="00D46D63">
          <w:rPr>
            <w:rStyle w:val="Hyperlink"/>
            <w:rtl/>
            <w:lang w:eastAsia="he-IL"/>
          </w:rPr>
          <w:t>סעיפים 7(א)</w:t>
        </w:r>
      </w:hyperlink>
      <w:r w:rsidRPr="006E3790">
        <w:rPr>
          <w:rtl/>
          <w:lang w:eastAsia="he-IL"/>
        </w:rPr>
        <w:t xml:space="preserve"> ו</w:t>
      </w:r>
      <w:hyperlink r:id="rId18" w:history="1">
        <w:r w:rsidR="00D46D63" w:rsidRPr="00D46D63">
          <w:rPr>
            <w:rStyle w:val="Hyperlink"/>
            <w:rtl/>
            <w:lang w:eastAsia="he-IL"/>
          </w:rPr>
          <w:t>7(ג)</w:t>
        </w:r>
      </w:hyperlink>
      <w:r w:rsidRPr="006E3790">
        <w:rPr>
          <w:rtl/>
          <w:lang w:eastAsia="he-IL"/>
        </w:rPr>
        <w:t xml:space="preserve"> רישא לפקודה;</w:t>
      </w:r>
      <w:r w:rsidRPr="006E3790">
        <w:rPr>
          <w:b/>
          <w:bCs/>
          <w:rtl/>
          <w:lang w:eastAsia="he-IL"/>
        </w:rPr>
        <w:t xml:space="preserve"> נטילת חשמל</w:t>
      </w:r>
      <w:r w:rsidRPr="006E3790">
        <w:rPr>
          <w:rtl/>
          <w:lang w:eastAsia="he-IL"/>
        </w:rPr>
        <w:t xml:space="preserve">, עבירה לפי </w:t>
      </w:r>
      <w:hyperlink r:id="rId19" w:history="1">
        <w:r w:rsidR="00D46D63" w:rsidRPr="00D46D63">
          <w:rPr>
            <w:rStyle w:val="Hyperlink"/>
            <w:rtl/>
            <w:lang w:eastAsia="he-IL"/>
          </w:rPr>
          <w:t>סעיף 400</w:t>
        </w:r>
      </w:hyperlink>
      <w:r w:rsidRPr="006E3790">
        <w:rPr>
          <w:rtl/>
          <w:lang w:eastAsia="he-IL"/>
        </w:rPr>
        <w:t xml:space="preserve"> ל</w:t>
      </w:r>
      <w:hyperlink r:id="rId20" w:history="1">
        <w:r w:rsidR="005E1751" w:rsidRPr="005E1751">
          <w:rPr>
            <w:color w:val="0000FF"/>
            <w:u w:val="single"/>
            <w:rtl/>
            <w:lang w:eastAsia="he-IL"/>
          </w:rPr>
          <w:t>חוק העונשין</w:t>
        </w:r>
      </w:hyperlink>
      <w:r w:rsidRPr="006E3790">
        <w:rPr>
          <w:rtl/>
          <w:lang w:eastAsia="he-IL"/>
        </w:rPr>
        <w:t xml:space="preserve"> התשל"ז-1977 ו</w:t>
      </w:r>
      <w:r w:rsidRPr="006E3790">
        <w:rPr>
          <w:b/>
          <w:bCs/>
          <w:rtl/>
          <w:lang w:eastAsia="he-IL"/>
        </w:rPr>
        <w:t>היזק לרכוש בזדון,</w:t>
      </w:r>
      <w:r w:rsidRPr="006E3790">
        <w:rPr>
          <w:rtl/>
          <w:lang w:eastAsia="he-IL"/>
        </w:rPr>
        <w:t xml:space="preserve"> לפי </w:t>
      </w:r>
      <w:hyperlink r:id="rId21" w:history="1">
        <w:r w:rsidR="00D46D63" w:rsidRPr="00D46D63">
          <w:rPr>
            <w:rStyle w:val="Hyperlink"/>
            <w:rtl/>
            <w:lang w:eastAsia="he-IL"/>
          </w:rPr>
          <w:t>סעיף 452</w:t>
        </w:r>
      </w:hyperlink>
      <w:r w:rsidRPr="006E3790">
        <w:rPr>
          <w:rtl/>
          <w:lang w:eastAsia="he-IL"/>
        </w:rPr>
        <w:t xml:space="preserve"> לחוק.</w:t>
      </w:r>
    </w:p>
    <w:p w14:paraId="0AF328EB" w14:textId="77777777" w:rsidR="00883A10" w:rsidRPr="006E3790" w:rsidRDefault="00883A10" w:rsidP="00883A10">
      <w:pPr>
        <w:snapToGrid w:val="0"/>
        <w:ind w:left="360"/>
        <w:contextualSpacing/>
        <w:jc w:val="both"/>
        <w:rPr>
          <w:lang w:eastAsia="he-IL"/>
        </w:rPr>
      </w:pPr>
      <w:bookmarkStart w:id="7" w:name="ABSTRACT_END"/>
      <w:bookmarkEnd w:id="7"/>
    </w:p>
    <w:p w14:paraId="2D756489" w14:textId="77777777" w:rsidR="00883A10" w:rsidRPr="006E3790" w:rsidRDefault="00883A10" w:rsidP="00883A10">
      <w:pPr>
        <w:numPr>
          <w:ilvl w:val="0"/>
          <w:numId w:val="1"/>
        </w:numPr>
        <w:snapToGrid w:val="0"/>
        <w:spacing w:line="360" w:lineRule="auto"/>
        <w:contextualSpacing/>
        <w:jc w:val="both"/>
        <w:rPr>
          <w:lang w:eastAsia="he-IL"/>
        </w:rPr>
      </w:pPr>
      <w:r w:rsidRPr="006E3790">
        <w:rPr>
          <w:rtl/>
          <w:lang w:eastAsia="he-IL"/>
        </w:rPr>
        <w:t xml:space="preserve">על פי עובדות כתב האישום המתוקן שהוגש לתיק בתאריך 11.10.2021 לבקשת הצדדים, בתאריך 30.8.2018 חתם הנאשם על חוזה שכירות לדירה בנתיבות בתמורה לתשלום עבור שנת </w:t>
      </w:r>
      <w:r w:rsidRPr="006E3790">
        <w:rPr>
          <w:rtl/>
          <w:lang w:eastAsia="he-IL"/>
        </w:rPr>
        <w:lastRenderedPageBreak/>
        <w:t xml:space="preserve">שכירות מלאה במזומן בסך 57,600 ₪, וזאת במטרה לגדל בדירה קנבוס בכמות מסחרית. בהמשך לכך ועד ליום 16.12.2018, גידל הנאשם בחדרי השינה בדירה קנבוס בכמות גדולה מאוד. בתאריך 16.12.2018 הגיעו שוטרים לדירה שבה גידל הנאשם בתוך עציצים 184 שתילים במשקל כולל של 60 ק"ג. לשם גידול הסם, הנאשם חצב בקירות הדירה, העביר צינורות, בנה מערכת השקיה ודישון, מערכת חימום, מערכת אוורור ותאורה. בנוסף, הנאשם הקים מערכת חשמל פיראטית שכללה שנאים וחוטי חשמל שהורכבו בדירה. חוטי החשמל חוברו דרך קידוחים בקירות למערכת החשמל המרכזית של הבניין, באופן שבו הנאשם השתמש במרמה בחשמל ישירות מהבניין בשווי של כ-32,616 ₪. </w:t>
      </w:r>
    </w:p>
    <w:p w14:paraId="0B9EB935" w14:textId="77777777" w:rsidR="00883A10" w:rsidRPr="006E3790" w:rsidRDefault="00883A10" w:rsidP="00883A10">
      <w:pPr>
        <w:snapToGrid w:val="0"/>
        <w:ind w:left="360"/>
        <w:contextualSpacing/>
        <w:jc w:val="both"/>
        <w:rPr>
          <w:lang w:eastAsia="he-IL"/>
        </w:rPr>
      </w:pPr>
    </w:p>
    <w:p w14:paraId="6333ED22" w14:textId="77777777" w:rsidR="00883A10" w:rsidRPr="006E3790" w:rsidRDefault="00883A10" w:rsidP="00883A10">
      <w:pPr>
        <w:numPr>
          <w:ilvl w:val="0"/>
          <w:numId w:val="1"/>
        </w:numPr>
        <w:snapToGrid w:val="0"/>
        <w:spacing w:line="360" w:lineRule="auto"/>
        <w:contextualSpacing/>
        <w:jc w:val="both"/>
        <w:rPr>
          <w:lang w:eastAsia="he-IL"/>
        </w:rPr>
      </w:pPr>
      <w:r w:rsidRPr="006E3790">
        <w:rPr>
          <w:rtl/>
          <w:lang w:eastAsia="he-IL"/>
        </w:rPr>
        <w:t xml:space="preserve">ב"כ הנאשם ביקש להפנות את הנאשם לקבלת תסקיר שירות המבחן והמדינה לא התנגדה לכך, תוך שהצהירה כי איננה מחויבת להמלצות התסקיר. </w:t>
      </w:r>
    </w:p>
    <w:p w14:paraId="5A1D2B1C" w14:textId="77777777" w:rsidR="00883A10" w:rsidRPr="00883A10" w:rsidRDefault="00883A10" w:rsidP="00883A10">
      <w:pPr>
        <w:spacing w:line="360" w:lineRule="auto"/>
        <w:jc w:val="both"/>
        <w:rPr>
          <w:rFonts w:ascii="Calibri" w:hAnsi="Calibri"/>
          <w:b/>
          <w:bCs/>
          <w:u w:val="single"/>
          <w:rtl/>
        </w:rPr>
      </w:pPr>
    </w:p>
    <w:p w14:paraId="2C0BB162" w14:textId="77777777" w:rsidR="00883A10" w:rsidRPr="00883A10" w:rsidRDefault="00883A10" w:rsidP="00883A10">
      <w:pPr>
        <w:spacing w:line="360" w:lineRule="auto"/>
        <w:jc w:val="both"/>
        <w:rPr>
          <w:rFonts w:ascii="Calibri" w:hAnsi="Calibri"/>
          <w:b/>
          <w:bCs/>
          <w:u w:val="single"/>
          <w:rtl/>
        </w:rPr>
      </w:pPr>
    </w:p>
    <w:p w14:paraId="57A0B8C5" w14:textId="77777777" w:rsidR="00883A10" w:rsidRPr="00883A10" w:rsidRDefault="00883A10" w:rsidP="00883A10">
      <w:pPr>
        <w:spacing w:line="360" w:lineRule="auto"/>
        <w:jc w:val="both"/>
        <w:rPr>
          <w:rFonts w:ascii="Calibri" w:hAnsi="Calibri"/>
          <w:b/>
          <w:bCs/>
          <w:u w:val="single"/>
          <w:rtl/>
        </w:rPr>
      </w:pPr>
    </w:p>
    <w:p w14:paraId="4BDD31EF" w14:textId="77777777" w:rsidR="00883A10" w:rsidRPr="00883A10" w:rsidRDefault="00883A10" w:rsidP="00883A10">
      <w:pPr>
        <w:spacing w:line="360" w:lineRule="auto"/>
        <w:jc w:val="both"/>
        <w:rPr>
          <w:rFonts w:ascii="Calibri" w:hAnsi="Calibri"/>
          <w:b/>
          <w:bCs/>
          <w:u w:val="single"/>
          <w:rtl/>
        </w:rPr>
      </w:pPr>
      <w:r w:rsidRPr="00883A10">
        <w:rPr>
          <w:rFonts w:ascii="Calibri" w:hAnsi="Calibri" w:hint="eastAsia"/>
          <w:b/>
          <w:bCs/>
          <w:u w:val="single"/>
          <w:rtl/>
        </w:rPr>
        <w:t>תסקירי</w:t>
      </w:r>
      <w:r w:rsidRPr="00883A10">
        <w:rPr>
          <w:rFonts w:ascii="Calibri" w:hAnsi="Calibri"/>
          <w:b/>
          <w:bCs/>
          <w:u w:val="single"/>
          <w:rtl/>
        </w:rPr>
        <w:t xml:space="preserve"> </w:t>
      </w:r>
      <w:r w:rsidRPr="00883A10">
        <w:rPr>
          <w:rFonts w:ascii="Calibri" w:hAnsi="Calibri" w:hint="eastAsia"/>
          <w:b/>
          <w:bCs/>
          <w:u w:val="single"/>
          <w:rtl/>
        </w:rPr>
        <w:t>שירות</w:t>
      </w:r>
      <w:r w:rsidRPr="00883A10">
        <w:rPr>
          <w:rFonts w:ascii="Calibri" w:hAnsi="Calibri"/>
          <w:b/>
          <w:bCs/>
          <w:u w:val="single"/>
          <w:rtl/>
        </w:rPr>
        <w:t xml:space="preserve"> </w:t>
      </w:r>
      <w:r w:rsidRPr="00883A10">
        <w:rPr>
          <w:rFonts w:ascii="Calibri" w:hAnsi="Calibri" w:hint="eastAsia"/>
          <w:b/>
          <w:bCs/>
          <w:u w:val="single"/>
          <w:rtl/>
        </w:rPr>
        <w:t>המבחן</w:t>
      </w:r>
    </w:p>
    <w:p w14:paraId="7FD18BE4" w14:textId="77777777" w:rsidR="00883A10" w:rsidRPr="00883A10" w:rsidRDefault="00883A10" w:rsidP="00883A10">
      <w:pPr>
        <w:jc w:val="both"/>
        <w:rPr>
          <w:rFonts w:ascii="Calibri" w:hAnsi="Calibri" w:cs="Arial"/>
          <w:szCs w:val="22"/>
        </w:rPr>
      </w:pPr>
    </w:p>
    <w:p w14:paraId="24F0A383" w14:textId="77777777" w:rsidR="00883A10" w:rsidRPr="006E3790" w:rsidRDefault="00883A10" w:rsidP="00883A10">
      <w:pPr>
        <w:numPr>
          <w:ilvl w:val="0"/>
          <w:numId w:val="1"/>
        </w:numPr>
        <w:snapToGrid w:val="0"/>
        <w:spacing w:line="360" w:lineRule="auto"/>
        <w:contextualSpacing/>
        <w:jc w:val="both"/>
        <w:rPr>
          <w:lang w:eastAsia="he-IL"/>
        </w:rPr>
      </w:pPr>
      <w:r w:rsidRPr="006E3790">
        <w:rPr>
          <w:rtl/>
          <w:lang w:eastAsia="he-IL"/>
        </w:rPr>
        <w:t xml:space="preserve">בתאריך 22.10.2020 נמסר כי הנאשם מוכר לשירות המבחן במסגרת פיקוח מעצרים בתיק זה. הנאשם כבן 43, נשוי ואב לשני ילדים קטינים, עובד כיום כקבלן שיפוצים בעסק בבעלות אחיו. נמסר, כי מערכת היחסים הזוגית בשנים האחרונות אינה יציבה, בעיקר סביב קריסתו הכלכלית ומעצרו בתיק זה. ציין, כי כיום היחסים הם טובים ואשתו מהווה עבורו עוגן משמעותי. כמו כן, תיאר יחסים קרובים עם אחיו. נמסר כי בני המשפחה מנהלים אורח חיים נורמטיבי. </w:t>
      </w:r>
    </w:p>
    <w:p w14:paraId="3EBDB1D4" w14:textId="77777777" w:rsidR="00883A10" w:rsidRPr="006E3790" w:rsidRDefault="00883A10" w:rsidP="00883A10">
      <w:pPr>
        <w:snapToGrid w:val="0"/>
        <w:ind w:left="720"/>
        <w:contextualSpacing/>
        <w:rPr>
          <w:rtl/>
          <w:lang w:eastAsia="he-IL"/>
        </w:rPr>
      </w:pPr>
    </w:p>
    <w:p w14:paraId="0E5BF8AC" w14:textId="77777777" w:rsidR="00883A10" w:rsidRPr="006E3790" w:rsidRDefault="00883A10" w:rsidP="00883A10">
      <w:pPr>
        <w:snapToGrid w:val="0"/>
        <w:spacing w:line="360" w:lineRule="auto"/>
        <w:ind w:left="360"/>
        <w:contextualSpacing/>
        <w:jc w:val="both"/>
        <w:rPr>
          <w:lang w:eastAsia="he-IL"/>
        </w:rPr>
      </w:pPr>
      <w:r w:rsidRPr="006E3790">
        <w:rPr>
          <w:rtl/>
          <w:lang w:eastAsia="he-IL"/>
        </w:rPr>
        <w:t xml:space="preserve">ברקע גירושי הוריו בהיותו נער צעיר. מסר כי בצעירותו שהה שנה במסגרת פנימייתית כשברקע קשיים כלכליים ורגשיים שחווה בבית הוריו. הנאשם פרש מלימודיו לאחר 10 שנים בשל רצונו לסייע כלכלית לאמו. לא שירת בצבא על רקע בעיות כלכליות (לא הוצגו אישורים). </w:t>
      </w:r>
    </w:p>
    <w:p w14:paraId="795F8C1D" w14:textId="77777777" w:rsidR="00883A10" w:rsidRPr="006E3790" w:rsidRDefault="00883A10" w:rsidP="00883A10">
      <w:pPr>
        <w:snapToGrid w:val="0"/>
        <w:ind w:left="720"/>
        <w:contextualSpacing/>
        <w:rPr>
          <w:rtl/>
          <w:lang w:eastAsia="he-IL"/>
        </w:rPr>
      </w:pPr>
    </w:p>
    <w:p w14:paraId="618F2620" w14:textId="77777777" w:rsidR="00883A10" w:rsidRPr="006E3790" w:rsidRDefault="00883A10" w:rsidP="00883A10">
      <w:pPr>
        <w:snapToGrid w:val="0"/>
        <w:spacing w:line="360" w:lineRule="auto"/>
        <w:ind w:left="360"/>
        <w:contextualSpacing/>
        <w:jc w:val="both"/>
        <w:rPr>
          <w:rtl/>
          <w:lang w:eastAsia="he-IL"/>
        </w:rPr>
      </w:pPr>
      <w:r w:rsidRPr="006E3790">
        <w:rPr>
          <w:rtl/>
          <w:lang w:eastAsia="he-IL"/>
        </w:rPr>
        <w:t xml:space="preserve">הנאשם מסר כי לפני כעשור עבד כעצמאי באופן שאיפשר לו רמת חיים גבוהה מהממוצע. בשנת 2015 לערך בעקבות פשיטת רגל של קבלן שאיתו עבד, הושפע גם מצבו הכלכלי והעסקי והוא שקע בחובות גבוהים, בין היתר בשל התנהלות לא נכונה מצדו בניסיון להתמודד עם המשבר, דבר שהשפיע על חייו האישיים. </w:t>
      </w:r>
    </w:p>
    <w:p w14:paraId="4BB6818D" w14:textId="77777777" w:rsidR="00883A10" w:rsidRPr="006E3790" w:rsidRDefault="00883A10" w:rsidP="00883A10">
      <w:pPr>
        <w:snapToGrid w:val="0"/>
        <w:spacing w:line="360" w:lineRule="auto"/>
        <w:ind w:left="360"/>
        <w:contextualSpacing/>
        <w:jc w:val="both"/>
        <w:rPr>
          <w:rtl/>
          <w:lang w:eastAsia="he-IL"/>
        </w:rPr>
      </w:pPr>
      <w:r w:rsidRPr="006E3790">
        <w:rPr>
          <w:rtl/>
          <w:lang w:eastAsia="he-IL"/>
        </w:rPr>
        <w:t xml:space="preserve">לנאשם אין הרשעות קודמות. </w:t>
      </w:r>
    </w:p>
    <w:p w14:paraId="3394D597" w14:textId="77777777" w:rsidR="00883A10" w:rsidRPr="006E3790" w:rsidRDefault="00883A10" w:rsidP="00883A10">
      <w:pPr>
        <w:snapToGrid w:val="0"/>
        <w:spacing w:line="360" w:lineRule="auto"/>
        <w:ind w:left="360"/>
        <w:contextualSpacing/>
        <w:jc w:val="both"/>
        <w:rPr>
          <w:rtl/>
          <w:lang w:eastAsia="he-IL"/>
        </w:rPr>
      </w:pPr>
      <w:r w:rsidRPr="006E3790">
        <w:rPr>
          <w:rtl/>
          <w:lang w:eastAsia="he-IL"/>
        </w:rPr>
        <w:t xml:space="preserve">הנאשם תיאר צריכת קנבוס החל משנת 2015 ובמקביל לקשייו הכלכליים ולמחלתו של אמו באותה עת. מסר כי לא שיתף אחרים בקשייו וככל שהחריף מצבו העמיק את השימוש בסמים. אגב כך חבר לחברה שולית ונגרר לביצוע העבירות. מסר כי מזה כשנה ובעקבות מעצרו נמנע משימוש בסמים. </w:t>
      </w:r>
    </w:p>
    <w:p w14:paraId="6FD2D3C0" w14:textId="77777777" w:rsidR="00883A10" w:rsidRPr="006E3790" w:rsidRDefault="00883A10" w:rsidP="00883A10">
      <w:pPr>
        <w:snapToGrid w:val="0"/>
        <w:spacing w:line="360" w:lineRule="auto"/>
        <w:ind w:left="360"/>
        <w:contextualSpacing/>
        <w:jc w:val="both"/>
        <w:rPr>
          <w:rtl/>
          <w:lang w:eastAsia="he-IL"/>
        </w:rPr>
      </w:pPr>
      <w:r w:rsidRPr="006E3790">
        <w:rPr>
          <w:rtl/>
          <w:lang w:eastAsia="he-IL"/>
        </w:rPr>
        <w:lastRenderedPageBreak/>
        <w:t xml:space="preserve">במסגרת צו פיקוח המעצרים הנאשם שיתף פעולה, בבדיקות שבוצעו לאורך התקופה לא נמצאו שרידי סם. הנאשם הביע חרטה על מעורבותו בפלילים. בהמשך שולב במחלקה להתמכרויות, אך בשל מגפת הקורונה, התהליך החל בפועל רק בחודש אוקטובר 2020. </w:t>
      </w:r>
    </w:p>
    <w:p w14:paraId="06125B0C" w14:textId="77777777" w:rsidR="00883A10" w:rsidRPr="006E3790" w:rsidRDefault="00883A10" w:rsidP="00883A10">
      <w:pPr>
        <w:snapToGrid w:val="0"/>
        <w:spacing w:line="360" w:lineRule="auto"/>
        <w:ind w:left="360"/>
        <w:contextualSpacing/>
        <w:jc w:val="both"/>
        <w:rPr>
          <w:lang w:eastAsia="he-IL"/>
        </w:rPr>
      </w:pPr>
      <w:r w:rsidRPr="006E3790">
        <w:rPr>
          <w:rtl/>
          <w:lang w:eastAsia="he-IL"/>
        </w:rPr>
        <w:t>שירות המבחן התרשם מרצון כנה של הנאשם לחקור לעומק ובביקורתיות את התנהלותו סביב צריכת סמים ואת בחירתו במעורבות פלילית כמוצא להתמודד עם קשיים רגשיים וכלכליים בחייו. שירות המבחן התרשם כי במצבי לחץ ומשבר, דוגמת המצוקה הרגשית והכלכלית בה היה נתון, הנאשם נוטה לפעול באופן אימפולסיבי וכן מתוך עולם ערכי של קידום אינטרסים אישיים, גם במחיר של פגיעה ועבירה על החוק. לכן שירות המבחן סבור כי יש מקום לדחייה לצורך שילוב במחלקה להתמכרויות.</w:t>
      </w:r>
    </w:p>
    <w:p w14:paraId="093B9D3A" w14:textId="77777777" w:rsidR="00883A10" w:rsidRPr="006E3790" w:rsidRDefault="00883A10" w:rsidP="00883A10">
      <w:pPr>
        <w:snapToGrid w:val="0"/>
        <w:ind w:left="720"/>
        <w:contextualSpacing/>
        <w:rPr>
          <w:rtl/>
          <w:lang w:eastAsia="he-IL"/>
        </w:rPr>
      </w:pPr>
    </w:p>
    <w:p w14:paraId="4F0B6095" w14:textId="77777777" w:rsidR="00883A10" w:rsidRPr="006E3790" w:rsidRDefault="00883A10" w:rsidP="00883A10">
      <w:pPr>
        <w:numPr>
          <w:ilvl w:val="0"/>
          <w:numId w:val="1"/>
        </w:numPr>
        <w:snapToGrid w:val="0"/>
        <w:spacing w:line="360" w:lineRule="auto"/>
        <w:contextualSpacing/>
        <w:jc w:val="both"/>
        <w:rPr>
          <w:lang w:eastAsia="he-IL"/>
        </w:rPr>
      </w:pPr>
      <w:r w:rsidRPr="006E3790">
        <w:rPr>
          <w:rtl/>
          <w:lang w:eastAsia="he-IL"/>
        </w:rPr>
        <w:t xml:space="preserve">בתסקיר מיום 7.2.2021 שירות המבחן עדכן כי הנאשם ממשיך למסור בדיקות שתן נקיות. התקיימה בעניינו ועדת אבחון בתאריך 29.12.2020, במסגרתה נקבעה תכנית טיפול. נמסר כי הנאשם מתמיד להגיע לפגישות ומחויב לתהליך הטיפולי. הנאשם אף מסר שהחליט שלא לקבל על עצמו פרויקטים חדשים בעבודה, על מנת להתעמק בהליך הטיפולי. משכך, התבקשה דחייה נוספת. </w:t>
      </w:r>
    </w:p>
    <w:p w14:paraId="02851BE9" w14:textId="77777777" w:rsidR="00883A10" w:rsidRPr="006E3790" w:rsidRDefault="00883A10" w:rsidP="00883A10">
      <w:pPr>
        <w:snapToGrid w:val="0"/>
        <w:ind w:left="720"/>
        <w:contextualSpacing/>
        <w:rPr>
          <w:rtl/>
          <w:lang w:eastAsia="he-IL"/>
        </w:rPr>
      </w:pPr>
    </w:p>
    <w:p w14:paraId="478C5CB6" w14:textId="77777777" w:rsidR="00883A10" w:rsidRPr="006E3790" w:rsidRDefault="00883A10" w:rsidP="00883A10">
      <w:pPr>
        <w:numPr>
          <w:ilvl w:val="0"/>
          <w:numId w:val="1"/>
        </w:numPr>
        <w:snapToGrid w:val="0"/>
        <w:spacing w:line="360" w:lineRule="auto"/>
        <w:contextualSpacing/>
        <w:jc w:val="both"/>
        <w:rPr>
          <w:lang w:eastAsia="he-IL"/>
        </w:rPr>
      </w:pPr>
      <w:r w:rsidRPr="006E3790">
        <w:rPr>
          <w:rtl/>
          <w:lang w:eastAsia="he-IL"/>
        </w:rPr>
        <w:t xml:space="preserve">בתסקיר נוסף מיום 9.5.2021 נמסר על התקדמות טיפולית משמעותית בעניינו של הנאשם, אם כי בחודש האחרון לא הגיע לפגישות באופן סדיר. </w:t>
      </w:r>
    </w:p>
    <w:p w14:paraId="6ECD8C41" w14:textId="77777777" w:rsidR="00883A10" w:rsidRPr="006E3790" w:rsidRDefault="00883A10" w:rsidP="00883A10">
      <w:pPr>
        <w:snapToGrid w:val="0"/>
        <w:ind w:left="720"/>
        <w:contextualSpacing/>
        <w:rPr>
          <w:rtl/>
          <w:lang w:eastAsia="he-IL"/>
        </w:rPr>
      </w:pPr>
    </w:p>
    <w:p w14:paraId="5E8A9E29" w14:textId="77777777" w:rsidR="00883A10" w:rsidRPr="006E3790" w:rsidRDefault="00883A10" w:rsidP="00883A10">
      <w:pPr>
        <w:numPr>
          <w:ilvl w:val="0"/>
          <w:numId w:val="1"/>
        </w:numPr>
        <w:snapToGrid w:val="0"/>
        <w:spacing w:line="360" w:lineRule="auto"/>
        <w:contextualSpacing/>
        <w:jc w:val="both"/>
        <w:rPr>
          <w:lang w:eastAsia="he-IL"/>
        </w:rPr>
      </w:pPr>
      <w:r w:rsidRPr="006E3790">
        <w:rPr>
          <w:rtl/>
          <w:lang w:eastAsia="he-IL"/>
        </w:rPr>
        <w:t xml:space="preserve">בתסקיר נוסף מיום 29.6.2021 נמסר כי הקשר הטיפולי עם הנאשם היה מורכב וההתרשמות הייתה כי הנאשם זקוק להחזקה ולגבולות ברורים בשיח הטיפולי. הנאשם עצמו הביע שביעות רצון מההליך ושיתף את קצינת המבחן כי מעצרו בתיק זה היה אירוע מטלטל עבורו, כאשר הוא מבין את המחירים אותם הוא ובני משפחתו משלמים, מבין את עומק בעיותיו ואת השלכות השימוש בחומרים משני תודעה. שירות המבחן המליץ על ענישה שיקומית של של"צ בהיקף 340 שעות, צו מבחן ומאסר מותנה. </w:t>
      </w:r>
    </w:p>
    <w:p w14:paraId="06E2712D" w14:textId="77777777" w:rsidR="00883A10" w:rsidRPr="00883A10" w:rsidRDefault="00883A10" w:rsidP="00883A10">
      <w:pPr>
        <w:spacing w:line="360" w:lineRule="auto"/>
        <w:jc w:val="both"/>
        <w:rPr>
          <w:rFonts w:ascii="Calibri" w:hAnsi="Calibri"/>
          <w:b/>
          <w:bCs/>
          <w:u w:val="single"/>
          <w:rtl/>
        </w:rPr>
      </w:pPr>
    </w:p>
    <w:p w14:paraId="381C7C80" w14:textId="77777777" w:rsidR="00883A10" w:rsidRPr="00883A10" w:rsidRDefault="00883A10" w:rsidP="00883A10">
      <w:pPr>
        <w:spacing w:line="360" w:lineRule="auto"/>
        <w:jc w:val="both"/>
        <w:rPr>
          <w:rFonts w:ascii="Calibri" w:hAnsi="Calibri"/>
          <w:b/>
          <w:bCs/>
          <w:u w:val="single"/>
          <w:rtl/>
        </w:rPr>
      </w:pPr>
      <w:r w:rsidRPr="00883A10">
        <w:rPr>
          <w:rFonts w:ascii="Calibri" w:hAnsi="Calibri" w:hint="eastAsia"/>
          <w:b/>
          <w:bCs/>
          <w:u w:val="single"/>
          <w:rtl/>
        </w:rPr>
        <w:t>טיעוני</w:t>
      </w:r>
      <w:r w:rsidRPr="00883A10">
        <w:rPr>
          <w:rFonts w:ascii="Calibri" w:hAnsi="Calibri"/>
          <w:b/>
          <w:bCs/>
          <w:u w:val="single"/>
          <w:rtl/>
        </w:rPr>
        <w:t xml:space="preserve"> </w:t>
      </w:r>
      <w:r w:rsidRPr="00883A10">
        <w:rPr>
          <w:rFonts w:ascii="Calibri" w:hAnsi="Calibri" w:hint="eastAsia"/>
          <w:b/>
          <w:bCs/>
          <w:u w:val="single"/>
          <w:rtl/>
        </w:rPr>
        <w:t>הצדדים</w:t>
      </w:r>
      <w:r w:rsidRPr="00883A10">
        <w:rPr>
          <w:rFonts w:ascii="Calibri" w:hAnsi="Calibri"/>
          <w:b/>
          <w:bCs/>
          <w:u w:val="single"/>
          <w:rtl/>
        </w:rPr>
        <w:t xml:space="preserve"> </w:t>
      </w:r>
      <w:r w:rsidRPr="00883A10">
        <w:rPr>
          <w:rFonts w:ascii="Calibri" w:hAnsi="Calibri" w:hint="eastAsia"/>
          <w:b/>
          <w:bCs/>
          <w:u w:val="single"/>
          <w:rtl/>
        </w:rPr>
        <w:t>לעונש</w:t>
      </w:r>
    </w:p>
    <w:p w14:paraId="37E11A56" w14:textId="77777777" w:rsidR="00883A10" w:rsidRPr="00883A10" w:rsidRDefault="00883A10" w:rsidP="00883A10">
      <w:pPr>
        <w:jc w:val="both"/>
        <w:rPr>
          <w:rFonts w:ascii="Calibri" w:hAnsi="Calibri"/>
          <w:b/>
          <w:bCs/>
          <w:u w:val="single"/>
          <w:rtl/>
        </w:rPr>
      </w:pPr>
    </w:p>
    <w:p w14:paraId="51BC14EE" w14:textId="77777777" w:rsidR="00883A10" w:rsidRPr="006E3790" w:rsidRDefault="00883A10" w:rsidP="00883A10">
      <w:pPr>
        <w:numPr>
          <w:ilvl w:val="0"/>
          <w:numId w:val="1"/>
        </w:numPr>
        <w:snapToGrid w:val="0"/>
        <w:spacing w:line="360" w:lineRule="auto"/>
        <w:contextualSpacing/>
        <w:jc w:val="both"/>
        <w:rPr>
          <w:lang w:eastAsia="he-IL"/>
        </w:rPr>
      </w:pPr>
      <w:r w:rsidRPr="006E3790">
        <w:rPr>
          <w:rtl/>
          <w:lang w:eastAsia="he-IL"/>
        </w:rPr>
        <w:t>דיון ראשון בפני מותב זה התקיים בתאריך 11.10.2021 ונשמע טיעון הצדדים לעונש. המאשימה הגישה טיעוניה בכתב בצירוף אסופת פסיקה. פרט לכך לא הוגשו ראיות לעונש.</w:t>
      </w:r>
    </w:p>
    <w:p w14:paraId="377BD770" w14:textId="77777777" w:rsidR="00883A10" w:rsidRPr="006E3790" w:rsidRDefault="00883A10" w:rsidP="00883A10">
      <w:pPr>
        <w:snapToGrid w:val="0"/>
        <w:ind w:left="720"/>
        <w:contextualSpacing/>
        <w:rPr>
          <w:rtl/>
          <w:lang w:eastAsia="he-IL"/>
        </w:rPr>
      </w:pPr>
    </w:p>
    <w:p w14:paraId="2504A986" w14:textId="77777777" w:rsidR="00883A10" w:rsidRPr="006E3790" w:rsidRDefault="00883A10" w:rsidP="00883A10">
      <w:pPr>
        <w:numPr>
          <w:ilvl w:val="0"/>
          <w:numId w:val="1"/>
        </w:numPr>
        <w:snapToGrid w:val="0"/>
        <w:spacing w:line="360" w:lineRule="auto"/>
        <w:contextualSpacing/>
        <w:jc w:val="both"/>
        <w:rPr>
          <w:lang w:eastAsia="he-IL"/>
        </w:rPr>
      </w:pPr>
      <w:r w:rsidRPr="006E3790">
        <w:rPr>
          <w:rtl/>
          <w:lang w:eastAsia="he-IL"/>
        </w:rPr>
        <w:t xml:space="preserve"> </w:t>
      </w:r>
      <w:r w:rsidRPr="006E3790">
        <w:rPr>
          <w:b/>
          <w:bCs/>
          <w:rtl/>
          <w:lang w:eastAsia="he-IL"/>
        </w:rPr>
        <w:t>המאשימה</w:t>
      </w:r>
      <w:r w:rsidRPr="006E3790">
        <w:rPr>
          <w:rtl/>
          <w:lang w:eastAsia="he-IL"/>
        </w:rPr>
        <w:t xml:space="preserve"> עמדה בטיעוניה על הערכים המוגנים שנפגעו כתוצאה ממעשי הנאשם, הפנתה לכמות הסם הגדולה שנתפסה ולפוטנציאל שיצר הנאשם בהתנהגותו להפצת סם מסוכן. נטען, כי מגדלי הסמים הם חלק משרשרת הפצת הסם. במקרה זה הנאשם הפיק כמות מסחרית של 60 ק"ג סמים. נטען, כי לאור כמות הסם, מידת הפגיעה בערך המוגן היא קשה וחמורה. המאשימה הפנתה לפסקי דין שונים של הערכאות השונות כתמיכה בעמדתה העונשית. בנוסף, הפנתה לנזק שנגרם לדירה וגניבת החשמל בשווי רב ובאופן שמשליך על קביעת המתחם. בנסיבות אלה, סבורה המאשימה כי מתחם העונש ההולם נע בין 24 ל-48 חודשי מאסר בפועל.</w:t>
      </w:r>
    </w:p>
    <w:p w14:paraId="3EE8383F" w14:textId="77777777" w:rsidR="00883A10" w:rsidRPr="00883A10" w:rsidRDefault="00883A10" w:rsidP="00883A10">
      <w:pPr>
        <w:spacing w:line="360" w:lineRule="auto"/>
        <w:ind w:left="360"/>
        <w:jc w:val="both"/>
        <w:rPr>
          <w:rFonts w:ascii="Calibri" w:hAnsi="Calibri"/>
          <w:rtl/>
        </w:rPr>
      </w:pPr>
      <w:r w:rsidRPr="00883A10">
        <w:rPr>
          <w:rFonts w:ascii="Calibri" w:hAnsi="Calibri" w:hint="eastAsia"/>
          <w:rtl/>
        </w:rPr>
        <w:t>בתוך</w:t>
      </w:r>
      <w:r w:rsidRPr="00883A10">
        <w:rPr>
          <w:rFonts w:ascii="Calibri" w:hAnsi="Calibri"/>
          <w:rtl/>
        </w:rPr>
        <w:t xml:space="preserve"> </w:t>
      </w:r>
      <w:r w:rsidRPr="00883A10">
        <w:rPr>
          <w:rFonts w:ascii="Calibri" w:hAnsi="Calibri" w:hint="eastAsia"/>
          <w:rtl/>
        </w:rPr>
        <w:t>המתחם</w:t>
      </w:r>
      <w:r w:rsidRPr="00883A10">
        <w:rPr>
          <w:rFonts w:ascii="Calibri" w:hAnsi="Calibri"/>
          <w:rtl/>
        </w:rPr>
        <w:t xml:space="preserve"> </w:t>
      </w:r>
      <w:r w:rsidRPr="00883A10">
        <w:rPr>
          <w:rFonts w:ascii="Calibri" w:hAnsi="Calibri" w:hint="eastAsia"/>
          <w:rtl/>
        </w:rPr>
        <w:t>המאשימה</w:t>
      </w:r>
      <w:r w:rsidRPr="00883A10">
        <w:rPr>
          <w:rFonts w:ascii="Calibri" w:hAnsi="Calibri"/>
          <w:rtl/>
        </w:rPr>
        <w:t xml:space="preserve"> </w:t>
      </w:r>
      <w:r w:rsidRPr="00883A10">
        <w:rPr>
          <w:rFonts w:ascii="Calibri" w:hAnsi="Calibri" w:hint="eastAsia"/>
          <w:rtl/>
        </w:rPr>
        <w:t>הפנתה</w:t>
      </w:r>
      <w:r w:rsidRPr="00883A10">
        <w:rPr>
          <w:rFonts w:ascii="Calibri" w:hAnsi="Calibri"/>
          <w:rtl/>
        </w:rPr>
        <w:t xml:space="preserve"> </w:t>
      </w:r>
      <w:r w:rsidRPr="00883A10">
        <w:rPr>
          <w:rFonts w:ascii="Calibri" w:hAnsi="Calibri" w:hint="eastAsia"/>
          <w:rtl/>
        </w:rPr>
        <w:t>לכך</w:t>
      </w:r>
      <w:r w:rsidRPr="00883A10">
        <w:rPr>
          <w:rFonts w:ascii="Calibri" w:hAnsi="Calibri"/>
          <w:rtl/>
        </w:rPr>
        <w:t xml:space="preserve"> </w:t>
      </w:r>
      <w:r w:rsidRPr="00883A10">
        <w:rPr>
          <w:rFonts w:ascii="Calibri" w:hAnsi="Calibri" w:hint="eastAsia"/>
          <w:rtl/>
        </w:rPr>
        <w:t>שמדובר</w:t>
      </w:r>
      <w:r w:rsidRPr="00883A10">
        <w:rPr>
          <w:rFonts w:ascii="Calibri" w:hAnsi="Calibri"/>
          <w:rtl/>
        </w:rPr>
        <w:t xml:space="preserve"> </w:t>
      </w:r>
      <w:r w:rsidRPr="00883A10">
        <w:rPr>
          <w:rFonts w:ascii="Calibri" w:hAnsi="Calibri" w:hint="eastAsia"/>
          <w:rtl/>
        </w:rPr>
        <w:t>בביצוע</w:t>
      </w:r>
      <w:r w:rsidRPr="00883A10">
        <w:rPr>
          <w:rFonts w:ascii="Calibri" w:hAnsi="Calibri"/>
          <w:rtl/>
        </w:rPr>
        <w:t xml:space="preserve"> </w:t>
      </w:r>
      <w:r w:rsidRPr="00883A10">
        <w:rPr>
          <w:rFonts w:ascii="Calibri" w:hAnsi="Calibri" w:hint="eastAsia"/>
          <w:rtl/>
        </w:rPr>
        <w:t>עבירות</w:t>
      </w:r>
      <w:r w:rsidRPr="00883A10">
        <w:rPr>
          <w:rFonts w:ascii="Calibri" w:hAnsi="Calibri"/>
          <w:rtl/>
        </w:rPr>
        <w:t xml:space="preserve"> </w:t>
      </w:r>
      <w:r w:rsidRPr="00883A10">
        <w:rPr>
          <w:rFonts w:ascii="Calibri" w:hAnsi="Calibri" w:hint="eastAsia"/>
          <w:rtl/>
        </w:rPr>
        <w:t>לאחר</w:t>
      </w:r>
      <w:r w:rsidRPr="00883A10">
        <w:rPr>
          <w:rFonts w:ascii="Calibri" w:hAnsi="Calibri"/>
          <w:rtl/>
        </w:rPr>
        <w:t xml:space="preserve"> </w:t>
      </w:r>
      <w:r w:rsidRPr="00883A10">
        <w:rPr>
          <w:rFonts w:ascii="Calibri" w:hAnsi="Calibri" w:hint="eastAsia"/>
          <w:rtl/>
        </w:rPr>
        <w:t>תכנון</w:t>
      </w:r>
      <w:r w:rsidRPr="00883A10">
        <w:rPr>
          <w:rFonts w:ascii="Calibri" w:hAnsi="Calibri"/>
          <w:rtl/>
        </w:rPr>
        <w:t xml:space="preserve"> </w:t>
      </w:r>
      <w:r w:rsidRPr="00883A10">
        <w:rPr>
          <w:rFonts w:ascii="Calibri" w:hAnsi="Calibri" w:hint="eastAsia"/>
          <w:rtl/>
        </w:rPr>
        <w:t>והכנה</w:t>
      </w:r>
      <w:r w:rsidRPr="00883A10">
        <w:rPr>
          <w:rFonts w:ascii="Calibri" w:hAnsi="Calibri"/>
          <w:rtl/>
        </w:rPr>
        <w:t xml:space="preserve">. </w:t>
      </w:r>
      <w:r w:rsidRPr="00883A10">
        <w:rPr>
          <w:rFonts w:ascii="Calibri" w:hAnsi="Calibri" w:hint="eastAsia"/>
          <w:rtl/>
        </w:rPr>
        <w:t>המאשימה</w:t>
      </w:r>
      <w:r w:rsidRPr="00883A10">
        <w:rPr>
          <w:rFonts w:ascii="Calibri" w:hAnsi="Calibri"/>
          <w:rtl/>
        </w:rPr>
        <w:t xml:space="preserve"> </w:t>
      </w:r>
      <w:r w:rsidRPr="00883A10">
        <w:rPr>
          <w:rFonts w:ascii="Calibri" w:hAnsi="Calibri" w:hint="eastAsia"/>
          <w:rtl/>
        </w:rPr>
        <w:t>הפנתה</w:t>
      </w:r>
      <w:r w:rsidRPr="00883A10">
        <w:rPr>
          <w:rFonts w:ascii="Calibri" w:hAnsi="Calibri"/>
          <w:rtl/>
        </w:rPr>
        <w:t xml:space="preserve"> </w:t>
      </w:r>
      <w:r w:rsidRPr="00883A10">
        <w:rPr>
          <w:rFonts w:ascii="Calibri" w:hAnsi="Calibri" w:hint="eastAsia"/>
          <w:rtl/>
        </w:rPr>
        <w:t>לכך</w:t>
      </w:r>
      <w:r w:rsidRPr="00883A10">
        <w:rPr>
          <w:rFonts w:ascii="Calibri" w:hAnsi="Calibri"/>
          <w:rtl/>
        </w:rPr>
        <w:t xml:space="preserve"> </w:t>
      </w:r>
      <w:r w:rsidRPr="00883A10">
        <w:rPr>
          <w:rFonts w:ascii="Calibri" w:hAnsi="Calibri" w:hint="eastAsia"/>
          <w:rtl/>
        </w:rPr>
        <w:t>שאף</w:t>
      </w:r>
      <w:r w:rsidRPr="00883A10">
        <w:rPr>
          <w:rFonts w:ascii="Calibri" w:hAnsi="Calibri"/>
          <w:rtl/>
        </w:rPr>
        <w:t xml:space="preserve"> </w:t>
      </w:r>
      <w:r w:rsidRPr="00883A10">
        <w:rPr>
          <w:rFonts w:ascii="Calibri" w:hAnsi="Calibri" w:hint="eastAsia"/>
          <w:rtl/>
        </w:rPr>
        <w:t>שלא</w:t>
      </w:r>
      <w:r w:rsidRPr="00883A10">
        <w:rPr>
          <w:rFonts w:ascii="Calibri" w:hAnsi="Calibri"/>
          <w:rtl/>
        </w:rPr>
        <w:t xml:space="preserve"> </w:t>
      </w:r>
      <w:r w:rsidRPr="00883A10">
        <w:rPr>
          <w:rFonts w:ascii="Calibri" w:hAnsi="Calibri" w:hint="eastAsia"/>
          <w:rtl/>
        </w:rPr>
        <w:t>מדובר</w:t>
      </w:r>
      <w:r w:rsidRPr="00883A10">
        <w:rPr>
          <w:rFonts w:ascii="Calibri" w:hAnsi="Calibri"/>
          <w:rtl/>
        </w:rPr>
        <w:t xml:space="preserve"> </w:t>
      </w:r>
      <w:r w:rsidRPr="00883A10">
        <w:rPr>
          <w:rFonts w:ascii="Calibri" w:hAnsi="Calibri" w:hint="eastAsia"/>
          <w:rtl/>
        </w:rPr>
        <w:t>במי</w:t>
      </w:r>
      <w:r w:rsidRPr="00883A10">
        <w:rPr>
          <w:rFonts w:ascii="Calibri" w:hAnsi="Calibri"/>
          <w:rtl/>
        </w:rPr>
        <w:t xml:space="preserve"> </w:t>
      </w:r>
      <w:r w:rsidRPr="00883A10">
        <w:rPr>
          <w:rFonts w:ascii="Calibri" w:hAnsi="Calibri" w:hint="eastAsia"/>
          <w:rtl/>
        </w:rPr>
        <w:t>שהסתבך</w:t>
      </w:r>
      <w:r w:rsidRPr="00883A10">
        <w:rPr>
          <w:rFonts w:ascii="Calibri" w:hAnsi="Calibri"/>
          <w:rtl/>
        </w:rPr>
        <w:t xml:space="preserve"> </w:t>
      </w:r>
      <w:r w:rsidRPr="00883A10">
        <w:rPr>
          <w:rFonts w:ascii="Calibri" w:hAnsi="Calibri" w:hint="eastAsia"/>
          <w:rtl/>
        </w:rPr>
        <w:t>בפלילים</w:t>
      </w:r>
      <w:r w:rsidRPr="00883A10">
        <w:rPr>
          <w:rFonts w:ascii="Calibri" w:hAnsi="Calibri"/>
          <w:rtl/>
        </w:rPr>
        <w:t xml:space="preserve"> </w:t>
      </w:r>
      <w:r w:rsidRPr="00883A10">
        <w:rPr>
          <w:rFonts w:ascii="Calibri" w:hAnsi="Calibri" w:hint="eastAsia"/>
          <w:rtl/>
        </w:rPr>
        <w:t>בעבר</w:t>
      </w:r>
      <w:r w:rsidRPr="00883A10">
        <w:rPr>
          <w:rFonts w:ascii="Calibri" w:hAnsi="Calibri"/>
          <w:rtl/>
        </w:rPr>
        <w:t xml:space="preserve">, </w:t>
      </w:r>
      <w:r w:rsidRPr="00883A10">
        <w:rPr>
          <w:rFonts w:ascii="Calibri" w:hAnsi="Calibri" w:hint="eastAsia"/>
          <w:rtl/>
        </w:rPr>
        <w:t>היה</w:t>
      </w:r>
      <w:r w:rsidRPr="00883A10">
        <w:rPr>
          <w:rFonts w:ascii="Calibri" w:hAnsi="Calibri"/>
          <w:rtl/>
        </w:rPr>
        <w:t xml:space="preserve"> </w:t>
      </w:r>
      <w:r w:rsidRPr="00883A10">
        <w:rPr>
          <w:rFonts w:ascii="Calibri" w:hAnsi="Calibri" w:hint="eastAsia"/>
          <w:rtl/>
        </w:rPr>
        <w:t>בקיא</w:t>
      </w:r>
      <w:r w:rsidRPr="00883A10">
        <w:rPr>
          <w:rFonts w:ascii="Calibri" w:hAnsi="Calibri"/>
          <w:rtl/>
        </w:rPr>
        <w:t xml:space="preserve"> </w:t>
      </w:r>
      <w:r w:rsidRPr="00883A10">
        <w:rPr>
          <w:rFonts w:ascii="Calibri" w:hAnsi="Calibri" w:hint="eastAsia"/>
          <w:rtl/>
        </w:rPr>
        <w:t>ביותר</w:t>
      </w:r>
      <w:r w:rsidRPr="00883A10">
        <w:rPr>
          <w:rFonts w:ascii="Calibri" w:hAnsi="Calibri"/>
          <w:rtl/>
        </w:rPr>
        <w:t xml:space="preserve"> </w:t>
      </w:r>
      <w:r w:rsidRPr="00883A10">
        <w:rPr>
          <w:rFonts w:ascii="Calibri" w:hAnsi="Calibri" w:hint="eastAsia"/>
          <w:rtl/>
        </w:rPr>
        <w:t>בנדרש</w:t>
      </w:r>
      <w:r w:rsidRPr="00883A10">
        <w:rPr>
          <w:rFonts w:ascii="Calibri" w:hAnsi="Calibri"/>
          <w:rtl/>
        </w:rPr>
        <w:t xml:space="preserve"> </w:t>
      </w:r>
      <w:r w:rsidRPr="00883A10">
        <w:rPr>
          <w:rFonts w:ascii="Calibri" w:hAnsi="Calibri" w:hint="eastAsia"/>
          <w:rtl/>
        </w:rPr>
        <w:t>בביצוע</w:t>
      </w:r>
      <w:r w:rsidRPr="00883A10">
        <w:rPr>
          <w:rFonts w:ascii="Calibri" w:hAnsi="Calibri"/>
          <w:rtl/>
        </w:rPr>
        <w:t xml:space="preserve"> </w:t>
      </w:r>
      <w:r w:rsidRPr="00883A10">
        <w:rPr>
          <w:rFonts w:ascii="Calibri" w:hAnsi="Calibri" w:hint="eastAsia"/>
          <w:rtl/>
        </w:rPr>
        <w:t>העבירות</w:t>
      </w:r>
      <w:r w:rsidRPr="00883A10">
        <w:rPr>
          <w:rFonts w:ascii="Calibri" w:hAnsi="Calibri"/>
          <w:rtl/>
        </w:rPr>
        <w:t xml:space="preserve">, </w:t>
      </w:r>
      <w:r w:rsidRPr="00883A10">
        <w:rPr>
          <w:rFonts w:ascii="Calibri" w:hAnsi="Calibri" w:hint="eastAsia"/>
          <w:rtl/>
        </w:rPr>
        <w:t>לרבות</w:t>
      </w:r>
      <w:r w:rsidRPr="00883A10">
        <w:rPr>
          <w:rFonts w:ascii="Calibri" w:hAnsi="Calibri"/>
          <w:rtl/>
        </w:rPr>
        <w:t xml:space="preserve"> </w:t>
      </w:r>
      <w:r w:rsidRPr="00883A10">
        <w:rPr>
          <w:rFonts w:ascii="Calibri" w:hAnsi="Calibri" w:hint="eastAsia"/>
          <w:rtl/>
        </w:rPr>
        <w:t>הפעולות</w:t>
      </w:r>
      <w:r w:rsidRPr="00883A10">
        <w:rPr>
          <w:rFonts w:ascii="Calibri" w:hAnsi="Calibri"/>
          <w:rtl/>
        </w:rPr>
        <w:t xml:space="preserve"> </w:t>
      </w:r>
      <w:r w:rsidRPr="00883A10">
        <w:rPr>
          <w:rFonts w:ascii="Calibri" w:hAnsi="Calibri" w:hint="eastAsia"/>
          <w:rtl/>
        </w:rPr>
        <w:t>שבוצעו</w:t>
      </w:r>
      <w:r w:rsidRPr="00883A10">
        <w:rPr>
          <w:rFonts w:ascii="Calibri" w:hAnsi="Calibri"/>
          <w:rtl/>
        </w:rPr>
        <w:t xml:space="preserve"> </w:t>
      </w:r>
      <w:r w:rsidRPr="00883A10">
        <w:rPr>
          <w:rFonts w:ascii="Calibri" w:hAnsi="Calibri" w:hint="eastAsia"/>
          <w:rtl/>
        </w:rPr>
        <w:t>בדירה</w:t>
      </w:r>
      <w:r w:rsidRPr="00883A10">
        <w:rPr>
          <w:rFonts w:ascii="Calibri" w:hAnsi="Calibri"/>
          <w:rtl/>
        </w:rPr>
        <w:t xml:space="preserve"> </w:t>
      </w:r>
      <w:r w:rsidRPr="00883A10">
        <w:rPr>
          <w:rFonts w:ascii="Calibri" w:hAnsi="Calibri" w:hint="eastAsia"/>
          <w:rtl/>
        </w:rPr>
        <w:t>לצורך</w:t>
      </w:r>
      <w:r w:rsidRPr="00883A10">
        <w:rPr>
          <w:rFonts w:ascii="Calibri" w:hAnsi="Calibri"/>
          <w:rtl/>
        </w:rPr>
        <w:t xml:space="preserve"> </w:t>
      </w:r>
      <w:r w:rsidRPr="00883A10">
        <w:rPr>
          <w:rFonts w:ascii="Calibri" w:hAnsi="Calibri" w:hint="eastAsia"/>
          <w:rtl/>
        </w:rPr>
        <w:t>גניבת</w:t>
      </w:r>
      <w:r w:rsidRPr="00883A10">
        <w:rPr>
          <w:rFonts w:ascii="Calibri" w:hAnsi="Calibri"/>
          <w:rtl/>
        </w:rPr>
        <w:t xml:space="preserve"> </w:t>
      </w:r>
      <w:r w:rsidRPr="00883A10">
        <w:rPr>
          <w:rFonts w:ascii="Calibri" w:hAnsi="Calibri" w:hint="eastAsia"/>
          <w:rtl/>
        </w:rPr>
        <w:t>החשמל</w:t>
      </w:r>
      <w:r w:rsidRPr="00883A10">
        <w:rPr>
          <w:rFonts w:ascii="Calibri" w:hAnsi="Calibri"/>
          <w:rtl/>
        </w:rPr>
        <w:t xml:space="preserve">. </w:t>
      </w:r>
      <w:r w:rsidRPr="00883A10">
        <w:rPr>
          <w:rFonts w:ascii="Calibri" w:hAnsi="Calibri" w:hint="eastAsia"/>
          <w:rtl/>
        </w:rPr>
        <w:t>נטען</w:t>
      </w:r>
      <w:r w:rsidRPr="00883A10">
        <w:rPr>
          <w:rFonts w:ascii="Calibri" w:hAnsi="Calibri"/>
          <w:rtl/>
        </w:rPr>
        <w:t xml:space="preserve">, </w:t>
      </w:r>
      <w:r w:rsidRPr="00883A10">
        <w:rPr>
          <w:rFonts w:ascii="Calibri" w:hAnsi="Calibri" w:hint="eastAsia"/>
          <w:rtl/>
        </w:rPr>
        <w:t>כי</w:t>
      </w:r>
      <w:r w:rsidRPr="00883A10">
        <w:rPr>
          <w:rFonts w:ascii="Calibri" w:hAnsi="Calibri"/>
          <w:rtl/>
        </w:rPr>
        <w:t xml:space="preserve"> </w:t>
      </w:r>
      <w:r w:rsidRPr="00883A10">
        <w:rPr>
          <w:rFonts w:ascii="Calibri" w:hAnsi="Calibri" w:hint="eastAsia"/>
          <w:rtl/>
        </w:rPr>
        <w:t>הנאשם</w:t>
      </w:r>
      <w:r w:rsidRPr="00883A10">
        <w:rPr>
          <w:rFonts w:ascii="Calibri" w:hAnsi="Calibri"/>
          <w:rtl/>
        </w:rPr>
        <w:t xml:space="preserve"> </w:t>
      </w:r>
      <w:r w:rsidRPr="00883A10">
        <w:rPr>
          <w:rFonts w:ascii="Calibri" w:hAnsi="Calibri" w:hint="eastAsia"/>
          <w:rtl/>
        </w:rPr>
        <w:t>היה</w:t>
      </w:r>
      <w:r w:rsidRPr="00883A10">
        <w:rPr>
          <w:rFonts w:ascii="Calibri" w:hAnsi="Calibri"/>
          <w:rtl/>
        </w:rPr>
        <w:t xml:space="preserve"> </w:t>
      </w:r>
      <w:r w:rsidRPr="00883A10">
        <w:rPr>
          <w:rFonts w:ascii="Calibri" w:hAnsi="Calibri" w:hint="eastAsia"/>
          <w:rtl/>
        </w:rPr>
        <w:t>המבצע</w:t>
      </w:r>
      <w:r w:rsidRPr="00883A10">
        <w:rPr>
          <w:rFonts w:ascii="Calibri" w:hAnsi="Calibri"/>
          <w:rtl/>
        </w:rPr>
        <w:t xml:space="preserve"> </w:t>
      </w:r>
      <w:r w:rsidRPr="00883A10">
        <w:rPr>
          <w:rFonts w:ascii="Calibri" w:hAnsi="Calibri" w:hint="eastAsia"/>
          <w:rtl/>
        </w:rPr>
        <w:t>היחיד</w:t>
      </w:r>
      <w:r w:rsidRPr="00883A10">
        <w:rPr>
          <w:rFonts w:ascii="Calibri" w:hAnsi="Calibri"/>
          <w:rtl/>
        </w:rPr>
        <w:t xml:space="preserve"> </w:t>
      </w:r>
      <w:r w:rsidRPr="00883A10">
        <w:rPr>
          <w:rFonts w:ascii="Calibri" w:hAnsi="Calibri" w:hint="eastAsia"/>
          <w:rtl/>
        </w:rPr>
        <w:t>ששלט</w:t>
      </w:r>
      <w:r w:rsidRPr="00883A10">
        <w:rPr>
          <w:rFonts w:ascii="Calibri" w:hAnsi="Calibri"/>
          <w:rtl/>
        </w:rPr>
        <w:t xml:space="preserve"> </w:t>
      </w:r>
      <w:r w:rsidRPr="00883A10">
        <w:rPr>
          <w:rFonts w:ascii="Calibri" w:hAnsi="Calibri" w:hint="eastAsia"/>
          <w:rtl/>
        </w:rPr>
        <w:t>באופן</w:t>
      </w:r>
      <w:r w:rsidRPr="00883A10">
        <w:rPr>
          <w:rFonts w:ascii="Calibri" w:hAnsi="Calibri"/>
          <w:rtl/>
        </w:rPr>
        <w:t xml:space="preserve"> </w:t>
      </w:r>
      <w:r w:rsidRPr="00883A10">
        <w:rPr>
          <w:rFonts w:ascii="Calibri" w:hAnsi="Calibri" w:hint="eastAsia"/>
          <w:rtl/>
        </w:rPr>
        <w:t>מלא</w:t>
      </w:r>
      <w:r w:rsidRPr="00883A10">
        <w:rPr>
          <w:rFonts w:ascii="Calibri" w:hAnsi="Calibri"/>
          <w:rtl/>
        </w:rPr>
        <w:t xml:space="preserve"> </w:t>
      </w:r>
      <w:r w:rsidRPr="00883A10">
        <w:rPr>
          <w:rFonts w:ascii="Calibri" w:hAnsi="Calibri" w:hint="eastAsia"/>
          <w:rtl/>
        </w:rPr>
        <w:t>על</w:t>
      </w:r>
      <w:r w:rsidRPr="00883A10">
        <w:rPr>
          <w:rFonts w:ascii="Calibri" w:hAnsi="Calibri"/>
          <w:rtl/>
        </w:rPr>
        <w:t xml:space="preserve"> </w:t>
      </w:r>
      <w:r w:rsidRPr="00883A10">
        <w:rPr>
          <w:rFonts w:ascii="Calibri" w:hAnsi="Calibri" w:hint="eastAsia"/>
          <w:rtl/>
        </w:rPr>
        <w:t>הדירה</w:t>
      </w:r>
      <w:r w:rsidRPr="00883A10">
        <w:rPr>
          <w:rFonts w:ascii="Calibri" w:hAnsi="Calibri"/>
          <w:rtl/>
        </w:rPr>
        <w:t xml:space="preserve">, </w:t>
      </w:r>
      <w:r w:rsidRPr="00883A10">
        <w:rPr>
          <w:rFonts w:ascii="Calibri" w:hAnsi="Calibri" w:hint="eastAsia"/>
          <w:rtl/>
        </w:rPr>
        <w:t>על</w:t>
      </w:r>
      <w:r w:rsidRPr="00883A10">
        <w:rPr>
          <w:rFonts w:ascii="Calibri" w:hAnsi="Calibri"/>
          <w:rtl/>
        </w:rPr>
        <w:t xml:space="preserve"> </w:t>
      </w:r>
      <w:r w:rsidRPr="00883A10">
        <w:rPr>
          <w:rFonts w:ascii="Calibri" w:hAnsi="Calibri" w:hint="eastAsia"/>
          <w:rtl/>
        </w:rPr>
        <w:t>הסמים</w:t>
      </w:r>
      <w:r w:rsidRPr="00883A10">
        <w:rPr>
          <w:rFonts w:ascii="Calibri" w:hAnsi="Calibri"/>
          <w:rtl/>
        </w:rPr>
        <w:t xml:space="preserve"> </w:t>
      </w:r>
      <w:r w:rsidRPr="00883A10">
        <w:rPr>
          <w:rFonts w:ascii="Calibri" w:hAnsi="Calibri" w:hint="eastAsia"/>
          <w:rtl/>
        </w:rPr>
        <w:t>ועל</w:t>
      </w:r>
      <w:r w:rsidRPr="00883A10">
        <w:rPr>
          <w:rFonts w:ascii="Calibri" w:hAnsi="Calibri"/>
          <w:rtl/>
        </w:rPr>
        <w:t xml:space="preserve"> </w:t>
      </w:r>
      <w:r w:rsidRPr="00883A10">
        <w:rPr>
          <w:rFonts w:ascii="Calibri" w:hAnsi="Calibri" w:hint="eastAsia"/>
          <w:rtl/>
        </w:rPr>
        <w:t>אופן</w:t>
      </w:r>
      <w:r w:rsidRPr="00883A10">
        <w:rPr>
          <w:rFonts w:ascii="Calibri" w:hAnsi="Calibri"/>
          <w:rtl/>
        </w:rPr>
        <w:t xml:space="preserve"> </w:t>
      </w:r>
      <w:r w:rsidRPr="00883A10">
        <w:rPr>
          <w:rFonts w:ascii="Calibri" w:hAnsi="Calibri" w:hint="eastAsia"/>
          <w:rtl/>
        </w:rPr>
        <w:t>הטיפול</w:t>
      </w:r>
      <w:r w:rsidRPr="00883A10">
        <w:rPr>
          <w:rFonts w:ascii="Calibri" w:hAnsi="Calibri"/>
          <w:rtl/>
        </w:rPr>
        <w:t xml:space="preserve"> </w:t>
      </w:r>
      <w:r w:rsidRPr="00883A10">
        <w:rPr>
          <w:rFonts w:ascii="Calibri" w:hAnsi="Calibri" w:hint="eastAsia"/>
          <w:rtl/>
        </w:rPr>
        <w:t>בהם</w:t>
      </w:r>
      <w:r w:rsidRPr="00883A10">
        <w:rPr>
          <w:rFonts w:ascii="Calibri" w:hAnsi="Calibri"/>
          <w:rtl/>
        </w:rPr>
        <w:t xml:space="preserve">. </w:t>
      </w:r>
      <w:r w:rsidRPr="00883A10">
        <w:rPr>
          <w:rFonts w:ascii="Calibri" w:hAnsi="Calibri" w:hint="eastAsia"/>
          <w:rtl/>
        </w:rPr>
        <w:t>נטען</w:t>
      </w:r>
      <w:r w:rsidRPr="00883A10">
        <w:rPr>
          <w:rFonts w:ascii="Calibri" w:hAnsi="Calibri"/>
          <w:rtl/>
        </w:rPr>
        <w:t xml:space="preserve">, </w:t>
      </w:r>
      <w:r w:rsidRPr="00883A10">
        <w:rPr>
          <w:rFonts w:ascii="Calibri" w:hAnsi="Calibri" w:hint="eastAsia"/>
          <w:rtl/>
        </w:rPr>
        <w:t>כי</w:t>
      </w:r>
      <w:r w:rsidRPr="00883A10">
        <w:rPr>
          <w:rFonts w:ascii="Calibri" w:hAnsi="Calibri"/>
          <w:rtl/>
        </w:rPr>
        <w:t xml:space="preserve"> </w:t>
      </w:r>
      <w:r w:rsidRPr="00883A10">
        <w:rPr>
          <w:rFonts w:ascii="Calibri" w:hAnsi="Calibri" w:hint="eastAsia"/>
          <w:rtl/>
        </w:rPr>
        <w:t>ניתן</w:t>
      </w:r>
      <w:r w:rsidRPr="00883A10">
        <w:rPr>
          <w:rFonts w:ascii="Calibri" w:hAnsi="Calibri"/>
          <w:rtl/>
        </w:rPr>
        <w:t xml:space="preserve"> </w:t>
      </w:r>
      <w:r w:rsidRPr="00883A10">
        <w:rPr>
          <w:rFonts w:ascii="Calibri" w:hAnsi="Calibri" w:hint="eastAsia"/>
          <w:rtl/>
        </w:rPr>
        <w:t>להבין</w:t>
      </w:r>
      <w:r w:rsidRPr="00883A10">
        <w:rPr>
          <w:rFonts w:ascii="Calibri" w:hAnsi="Calibri"/>
          <w:rtl/>
        </w:rPr>
        <w:t xml:space="preserve"> </w:t>
      </w:r>
      <w:r w:rsidRPr="00883A10">
        <w:rPr>
          <w:rFonts w:ascii="Calibri" w:hAnsi="Calibri" w:hint="eastAsia"/>
          <w:rtl/>
        </w:rPr>
        <w:t>את</w:t>
      </w:r>
      <w:r w:rsidRPr="00883A10">
        <w:rPr>
          <w:rFonts w:ascii="Calibri" w:hAnsi="Calibri"/>
          <w:rtl/>
        </w:rPr>
        <w:t xml:space="preserve"> </w:t>
      </w:r>
      <w:r w:rsidRPr="00883A10">
        <w:rPr>
          <w:rFonts w:ascii="Calibri" w:hAnsi="Calibri" w:hint="eastAsia"/>
          <w:rtl/>
        </w:rPr>
        <w:t>גודל</w:t>
      </w:r>
      <w:r w:rsidRPr="00883A10">
        <w:rPr>
          <w:rFonts w:ascii="Calibri" w:hAnsi="Calibri"/>
          <w:rtl/>
        </w:rPr>
        <w:t xml:space="preserve"> </w:t>
      </w:r>
      <w:r w:rsidRPr="00883A10">
        <w:rPr>
          <w:rFonts w:ascii="Calibri" w:hAnsi="Calibri" w:hint="eastAsia"/>
          <w:rtl/>
        </w:rPr>
        <w:t>הרווח</w:t>
      </w:r>
      <w:r w:rsidRPr="00883A10">
        <w:rPr>
          <w:rFonts w:ascii="Calibri" w:hAnsi="Calibri"/>
          <w:rtl/>
        </w:rPr>
        <w:t xml:space="preserve"> </w:t>
      </w:r>
      <w:r w:rsidRPr="00883A10">
        <w:rPr>
          <w:rFonts w:ascii="Calibri" w:hAnsi="Calibri" w:hint="eastAsia"/>
          <w:rtl/>
        </w:rPr>
        <w:t>הפוטנציאלי</w:t>
      </w:r>
      <w:r w:rsidRPr="00883A10">
        <w:rPr>
          <w:rFonts w:ascii="Calibri" w:hAnsi="Calibri"/>
          <w:rtl/>
        </w:rPr>
        <w:t xml:space="preserve"> </w:t>
      </w:r>
      <w:r w:rsidRPr="00883A10">
        <w:rPr>
          <w:rFonts w:ascii="Calibri" w:hAnsi="Calibri" w:hint="eastAsia"/>
          <w:rtl/>
        </w:rPr>
        <w:t>מעלות</w:t>
      </w:r>
      <w:r w:rsidRPr="00883A10">
        <w:rPr>
          <w:rFonts w:ascii="Calibri" w:hAnsi="Calibri"/>
          <w:rtl/>
        </w:rPr>
        <w:t xml:space="preserve"> </w:t>
      </w:r>
      <w:r w:rsidRPr="00883A10">
        <w:rPr>
          <w:rFonts w:ascii="Calibri" w:hAnsi="Calibri" w:hint="eastAsia"/>
          <w:rtl/>
        </w:rPr>
        <w:t>השכירות</w:t>
      </w:r>
      <w:r w:rsidRPr="00883A10">
        <w:rPr>
          <w:rFonts w:ascii="Calibri" w:hAnsi="Calibri"/>
          <w:rtl/>
        </w:rPr>
        <w:t xml:space="preserve">. </w:t>
      </w:r>
      <w:r w:rsidRPr="00883A10">
        <w:rPr>
          <w:rFonts w:ascii="Calibri" w:hAnsi="Calibri" w:hint="eastAsia"/>
          <w:rtl/>
        </w:rPr>
        <w:t>נטען</w:t>
      </w:r>
      <w:r w:rsidRPr="00883A10">
        <w:rPr>
          <w:rFonts w:ascii="Calibri" w:hAnsi="Calibri"/>
          <w:rtl/>
        </w:rPr>
        <w:t xml:space="preserve">, </w:t>
      </w:r>
      <w:r w:rsidRPr="00883A10">
        <w:rPr>
          <w:rFonts w:ascii="Calibri" w:hAnsi="Calibri" w:hint="eastAsia"/>
          <w:rtl/>
        </w:rPr>
        <w:t>כי</w:t>
      </w:r>
      <w:r w:rsidRPr="00883A10">
        <w:rPr>
          <w:rFonts w:ascii="Calibri" w:hAnsi="Calibri"/>
          <w:rtl/>
        </w:rPr>
        <w:t xml:space="preserve"> </w:t>
      </w:r>
      <w:r w:rsidRPr="00883A10">
        <w:rPr>
          <w:rFonts w:ascii="Calibri" w:hAnsi="Calibri" w:hint="eastAsia"/>
          <w:rtl/>
        </w:rPr>
        <w:t>אף</w:t>
      </w:r>
      <w:r w:rsidRPr="00883A10">
        <w:rPr>
          <w:rFonts w:ascii="Calibri" w:hAnsi="Calibri"/>
          <w:rtl/>
        </w:rPr>
        <w:t xml:space="preserve"> </w:t>
      </w:r>
      <w:r w:rsidRPr="00883A10">
        <w:rPr>
          <w:rFonts w:ascii="Calibri" w:hAnsi="Calibri" w:hint="eastAsia"/>
          <w:rtl/>
        </w:rPr>
        <w:t>שהנאשם</w:t>
      </w:r>
      <w:r w:rsidRPr="00883A10">
        <w:rPr>
          <w:rFonts w:ascii="Calibri" w:hAnsi="Calibri"/>
          <w:rtl/>
        </w:rPr>
        <w:t xml:space="preserve"> </w:t>
      </w:r>
      <w:r w:rsidRPr="00883A10">
        <w:rPr>
          <w:rFonts w:ascii="Calibri" w:hAnsi="Calibri" w:hint="eastAsia"/>
          <w:rtl/>
        </w:rPr>
        <w:t>הודה</w:t>
      </w:r>
      <w:r w:rsidRPr="00883A10">
        <w:rPr>
          <w:rFonts w:ascii="Calibri" w:hAnsi="Calibri"/>
          <w:rtl/>
        </w:rPr>
        <w:t xml:space="preserve"> </w:t>
      </w:r>
      <w:r w:rsidRPr="00883A10">
        <w:rPr>
          <w:rFonts w:ascii="Calibri" w:hAnsi="Calibri" w:hint="eastAsia"/>
          <w:rtl/>
        </w:rPr>
        <w:t>במעשיו</w:t>
      </w:r>
      <w:r w:rsidRPr="00883A10">
        <w:rPr>
          <w:rFonts w:ascii="Calibri" w:hAnsi="Calibri"/>
          <w:rtl/>
        </w:rPr>
        <w:t xml:space="preserve"> </w:t>
      </w:r>
      <w:r w:rsidRPr="00883A10">
        <w:rPr>
          <w:rFonts w:ascii="Calibri" w:hAnsi="Calibri" w:hint="eastAsia"/>
          <w:rtl/>
        </w:rPr>
        <w:t>והביע</w:t>
      </w:r>
      <w:r w:rsidRPr="00883A10">
        <w:rPr>
          <w:rFonts w:ascii="Calibri" w:hAnsi="Calibri"/>
          <w:rtl/>
        </w:rPr>
        <w:t xml:space="preserve"> </w:t>
      </w:r>
      <w:r w:rsidRPr="00883A10">
        <w:rPr>
          <w:rFonts w:ascii="Calibri" w:hAnsi="Calibri" w:hint="eastAsia"/>
          <w:rtl/>
        </w:rPr>
        <w:t>חרטה</w:t>
      </w:r>
      <w:r w:rsidRPr="00883A10">
        <w:rPr>
          <w:rFonts w:ascii="Calibri" w:hAnsi="Calibri"/>
          <w:rtl/>
        </w:rPr>
        <w:t xml:space="preserve"> </w:t>
      </w:r>
      <w:r w:rsidRPr="00883A10">
        <w:rPr>
          <w:rFonts w:ascii="Calibri" w:hAnsi="Calibri" w:hint="eastAsia"/>
          <w:rtl/>
        </w:rPr>
        <w:t>והוא</w:t>
      </w:r>
      <w:r w:rsidRPr="00883A10">
        <w:rPr>
          <w:rFonts w:ascii="Calibri" w:hAnsi="Calibri"/>
          <w:rtl/>
        </w:rPr>
        <w:t xml:space="preserve"> </w:t>
      </w:r>
      <w:r w:rsidRPr="00883A10">
        <w:rPr>
          <w:rFonts w:ascii="Calibri" w:hAnsi="Calibri" w:hint="eastAsia"/>
          <w:rtl/>
        </w:rPr>
        <w:t>ללא</w:t>
      </w:r>
      <w:r w:rsidRPr="00883A10">
        <w:rPr>
          <w:rFonts w:ascii="Calibri" w:hAnsi="Calibri"/>
          <w:rtl/>
        </w:rPr>
        <w:t xml:space="preserve"> </w:t>
      </w:r>
      <w:r w:rsidRPr="00883A10">
        <w:rPr>
          <w:rFonts w:ascii="Calibri" w:hAnsi="Calibri" w:hint="eastAsia"/>
          <w:rtl/>
        </w:rPr>
        <w:t>הרשעות</w:t>
      </w:r>
      <w:r w:rsidRPr="00883A10">
        <w:rPr>
          <w:rFonts w:ascii="Calibri" w:hAnsi="Calibri"/>
          <w:rtl/>
        </w:rPr>
        <w:t xml:space="preserve"> </w:t>
      </w:r>
      <w:r w:rsidRPr="00883A10">
        <w:rPr>
          <w:rFonts w:ascii="Calibri" w:hAnsi="Calibri" w:hint="eastAsia"/>
          <w:rtl/>
        </w:rPr>
        <w:t>קודמות</w:t>
      </w:r>
      <w:r w:rsidRPr="00883A10">
        <w:rPr>
          <w:rFonts w:ascii="Calibri" w:hAnsi="Calibri"/>
          <w:rtl/>
        </w:rPr>
        <w:t xml:space="preserve">, </w:t>
      </w:r>
      <w:r w:rsidRPr="00883A10">
        <w:rPr>
          <w:rFonts w:ascii="Calibri" w:hAnsi="Calibri" w:hint="eastAsia"/>
          <w:rtl/>
        </w:rPr>
        <w:t>יש</w:t>
      </w:r>
      <w:r w:rsidRPr="00883A10">
        <w:rPr>
          <w:rFonts w:ascii="Calibri" w:hAnsi="Calibri"/>
          <w:rtl/>
        </w:rPr>
        <w:t xml:space="preserve"> </w:t>
      </w:r>
      <w:r w:rsidRPr="00883A10">
        <w:rPr>
          <w:rFonts w:ascii="Calibri" w:hAnsi="Calibri" w:hint="eastAsia"/>
          <w:rtl/>
        </w:rPr>
        <w:t>להחמיר</w:t>
      </w:r>
      <w:r w:rsidRPr="00883A10">
        <w:rPr>
          <w:rFonts w:ascii="Calibri" w:hAnsi="Calibri"/>
          <w:rtl/>
        </w:rPr>
        <w:t xml:space="preserve"> </w:t>
      </w:r>
      <w:r w:rsidRPr="00883A10">
        <w:rPr>
          <w:rFonts w:ascii="Calibri" w:hAnsi="Calibri" w:hint="eastAsia"/>
          <w:rtl/>
        </w:rPr>
        <w:t>עם</w:t>
      </w:r>
      <w:r w:rsidRPr="00883A10">
        <w:rPr>
          <w:rFonts w:ascii="Calibri" w:hAnsi="Calibri"/>
          <w:rtl/>
        </w:rPr>
        <w:t xml:space="preserve"> </w:t>
      </w:r>
      <w:r w:rsidRPr="00883A10">
        <w:rPr>
          <w:rFonts w:ascii="Calibri" w:hAnsi="Calibri" w:hint="eastAsia"/>
          <w:rtl/>
        </w:rPr>
        <w:t>הנאשם</w:t>
      </w:r>
      <w:r w:rsidRPr="00883A10">
        <w:rPr>
          <w:rFonts w:ascii="Calibri" w:hAnsi="Calibri"/>
          <w:rtl/>
        </w:rPr>
        <w:t xml:space="preserve"> </w:t>
      </w:r>
      <w:r w:rsidRPr="00883A10">
        <w:rPr>
          <w:rFonts w:ascii="Calibri" w:hAnsi="Calibri" w:hint="eastAsia"/>
          <w:rtl/>
        </w:rPr>
        <w:t>לאור</w:t>
      </w:r>
      <w:r w:rsidRPr="00883A10">
        <w:rPr>
          <w:rFonts w:ascii="Calibri" w:hAnsi="Calibri"/>
          <w:rtl/>
        </w:rPr>
        <w:t xml:space="preserve"> </w:t>
      </w:r>
      <w:r w:rsidRPr="00883A10">
        <w:rPr>
          <w:rFonts w:ascii="Calibri" w:hAnsi="Calibri" w:hint="eastAsia"/>
          <w:rtl/>
        </w:rPr>
        <w:t>פסיקת</w:t>
      </w:r>
      <w:r w:rsidRPr="00883A10">
        <w:rPr>
          <w:rFonts w:ascii="Calibri" w:hAnsi="Calibri"/>
          <w:rtl/>
        </w:rPr>
        <w:t xml:space="preserve"> </w:t>
      </w:r>
      <w:r w:rsidRPr="00883A10">
        <w:rPr>
          <w:rFonts w:ascii="Calibri" w:hAnsi="Calibri" w:hint="eastAsia"/>
          <w:rtl/>
        </w:rPr>
        <w:t>בתי</w:t>
      </w:r>
      <w:r w:rsidRPr="00883A10">
        <w:rPr>
          <w:rFonts w:ascii="Calibri" w:hAnsi="Calibri"/>
          <w:rtl/>
        </w:rPr>
        <w:t xml:space="preserve"> </w:t>
      </w:r>
      <w:r w:rsidRPr="00883A10">
        <w:rPr>
          <w:rFonts w:ascii="Calibri" w:hAnsi="Calibri" w:hint="eastAsia"/>
          <w:rtl/>
        </w:rPr>
        <w:t>המשפט</w:t>
      </w:r>
      <w:r w:rsidRPr="00883A10">
        <w:rPr>
          <w:rFonts w:ascii="Calibri" w:hAnsi="Calibri"/>
          <w:rtl/>
        </w:rPr>
        <w:t xml:space="preserve">. </w:t>
      </w:r>
      <w:r w:rsidRPr="00883A10">
        <w:rPr>
          <w:rFonts w:ascii="Calibri" w:hAnsi="Calibri" w:hint="eastAsia"/>
          <w:rtl/>
        </w:rPr>
        <w:t>נטען</w:t>
      </w:r>
      <w:r w:rsidRPr="00883A10">
        <w:rPr>
          <w:rFonts w:ascii="Calibri" w:hAnsi="Calibri"/>
          <w:rtl/>
        </w:rPr>
        <w:t xml:space="preserve">, </w:t>
      </w:r>
      <w:r w:rsidRPr="00883A10">
        <w:rPr>
          <w:rFonts w:ascii="Calibri" w:hAnsi="Calibri" w:hint="eastAsia"/>
          <w:rtl/>
        </w:rPr>
        <w:t>כי</w:t>
      </w:r>
      <w:r w:rsidRPr="00883A10">
        <w:rPr>
          <w:rFonts w:ascii="Calibri" w:hAnsi="Calibri"/>
          <w:rtl/>
        </w:rPr>
        <w:t xml:space="preserve"> </w:t>
      </w:r>
      <w:r w:rsidRPr="00883A10">
        <w:rPr>
          <w:rFonts w:ascii="Calibri" w:hAnsi="Calibri" w:hint="eastAsia"/>
          <w:rtl/>
        </w:rPr>
        <w:t>המלצת</w:t>
      </w:r>
      <w:r w:rsidRPr="00883A10">
        <w:rPr>
          <w:rFonts w:ascii="Calibri" w:hAnsi="Calibri"/>
          <w:rtl/>
        </w:rPr>
        <w:t xml:space="preserve"> </w:t>
      </w:r>
      <w:r w:rsidRPr="00883A10">
        <w:rPr>
          <w:rFonts w:ascii="Calibri" w:hAnsi="Calibri" w:hint="eastAsia"/>
          <w:rtl/>
        </w:rPr>
        <w:t>שירות</w:t>
      </w:r>
      <w:r w:rsidRPr="00883A10">
        <w:rPr>
          <w:rFonts w:ascii="Calibri" w:hAnsi="Calibri"/>
          <w:rtl/>
        </w:rPr>
        <w:t xml:space="preserve"> </w:t>
      </w:r>
      <w:r w:rsidRPr="00883A10">
        <w:rPr>
          <w:rFonts w:ascii="Calibri" w:hAnsi="Calibri" w:hint="eastAsia"/>
          <w:rtl/>
        </w:rPr>
        <w:t>המבחן</w:t>
      </w:r>
      <w:r w:rsidRPr="00883A10">
        <w:rPr>
          <w:rFonts w:ascii="Calibri" w:hAnsi="Calibri"/>
          <w:rtl/>
        </w:rPr>
        <w:t xml:space="preserve"> </w:t>
      </w:r>
      <w:r w:rsidRPr="00883A10">
        <w:rPr>
          <w:rFonts w:ascii="Calibri" w:hAnsi="Calibri" w:hint="eastAsia"/>
          <w:rtl/>
        </w:rPr>
        <w:t>איננה</w:t>
      </w:r>
      <w:r w:rsidRPr="00883A10">
        <w:rPr>
          <w:rFonts w:ascii="Calibri" w:hAnsi="Calibri"/>
          <w:rtl/>
        </w:rPr>
        <w:t xml:space="preserve"> </w:t>
      </w:r>
      <w:r w:rsidRPr="00883A10">
        <w:rPr>
          <w:rFonts w:ascii="Calibri" w:hAnsi="Calibri" w:hint="eastAsia"/>
          <w:rtl/>
        </w:rPr>
        <w:t>הולמת</w:t>
      </w:r>
      <w:r w:rsidRPr="00883A10">
        <w:rPr>
          <w:rFonts w:ascii="Calibri" w:hAnsi="Calibri"/>
          <w:rtl/>
        </w:rPr>
        <w:t xml:space="preserve"> </w:t>
      </w:r>
      <w:r w:rsidRPr="00883A10">
        <w:rPr>
          <w:rFonts w:ascii="Calibri" w:hAnsi="Calibri" w:hint="eastAsia"/>
          <w:rtl/>
        </w:rPr>
        <w:t>את</w:t>
      </w:r>
      <w:r w:rsidRPr="00883A10">
        <w:rPr>
          <w:rFonts w:ascii="Calibri" w:hAnsi="Calibri"/>
          <w:rtl/>
        </w:rPr>
        <w:t xml:space="preserve"> </w:t>
      </w:r>
      <w:r w:rsidRPr="00883A10">
        <w:rPr>
          <w:rFonts w:ascii="Calibri" w:hAnsi="Calibri" w:hint="eastAsia"/>
          <w:rtl/>
        </w:rPr>
        <w:t>חומרת</w:t>
      </w:r>
      <w:r w:rsidRPr="00883A10">
        <w:rPr>
          <w:rFonts w:ascii="Calibri" w:hAnsi="Calibri"/>
          <w:rtl/>
        </w:rPr>
        <w:t xml:space="preserve"> </w:t>
      </w:r>
      <w:r w:rsidRPr="00883A10">
        <w:rPr>
          <w:rFonts w:ascii="Calibri" w:hAnsi="Calibri" w:hint="eastAsia"/>
          <w:rtl/>
        </w:rPr>
        <w:t>המעשים</w:t>
      </w:r>
      <w:r w:rsidRPr="00883A10">
        <w:rPr>
          <w:rFonts w:ascii="Calibri" w:hAnsi="Calibri"/>
          <w:rtl/>
        </w:rPr>
        <w:t xml:space="preserve"> </w:t>
      </w:r>
      <w:r w:rsidRPr="00883A10">
        <w:rPr>
          <w:rFonts w:ascii="Calibri" w:hAnsi="Calibri" w:hint="eastAsia"/>
          <w:rtl/>
        </w:rPr>
        <w:t>ואין</w:t>
      </w:r>
      <w:r w:rsidRPr="00883A10">
        <w:rPr>
          <w:rFonts w:ascii="Calibri" w:hAnsi="Calibri"/>
          <w:rtl/>
        </w:rPr>
        <w:t xml:space="preserve"> </w:t>
      </w:r>
      <w:r w:rsidRPr="00883A10">
        <w:rPr>
          <w:rFonts w:ascii="Calibri" w:hAnsi="Calibri" w:hint="eastAsia"/>
          <w:rtl/>
        </w:rPr>
        <w:t>לאמצה</w:t>
      </w:r>
      <w:r w:rsidRPr="00883A10">
        <w:rPr>
          <w:rFonts w:ascii="Calibri" w:hAnsi="Calibri"/>
          <w:rtl/>
        </w:rPr>
        <w:t xml:space="preserve">. </w:t>
      </w:r>
      <w:r w:rsidRPr="00883A10">
        <w:rPr>
          <w:rFonts w:ascii="Calibri" w:hAnsi="Calibri" w:hint="eastAsia"/>
          <w:rtl/>
        </w:rPr>
        <w:t>אף</w:t>
      </w:r>
      <w:r w:rsidRPr="00883A10">
        <w:rPr>
          <w:rFonts w:ascii="Calibri" w:hAnsi="Calibri"/>
          <w:rtl/>
        </w:rPr>
        <w:t xml:space="preserve"> </w:t>
      </w:r>
      <w:r w:rsidRPr="00883A10">
        <w:rPr>
          <w:rFonts w:ascii="Calibri" w:hAnsi="Calibri" w:hint="eastAsia"/>
          <w:rtl/>
        </w:rPr>
        <w:t>כי</w:t>
      </w:r>
      <w:r w:rsidRPr="00883A10">
        <w:rPr>
          <w:rFonts w:ascii="Calibri" w:hAnsi="Calibri"/>
          <w:rtl/>
        </w:rPr>
        <w:t xml:space="preserve"> </w:t>
      </w:r>
      <w:r w:rsidRPr="00883A10">
        <w:rPr>
          <w:rFonts w:ascii="Calibri" w:hAnsi="Calibri" w:hint="eastAsia"/>
          <w:rtl/>
        </w:rPr>
        <w:t>הנאשם</w:t>
      </w:r>
      <w:r w:rsidRPr="00883A10">
        <w:rPr>
          <w:rFonts w:ascii="Calibri" w:hAnsi="Calibri"/>
          <w:rtl/>
        </w:rPr>
        <w:t xml:space="preserve"> </w:t>
      </w:r>
      <w:r w:rsidRPr="00883A10">
        <w:rPr>
          <w:rFonts w:ascii="Calibri" w:hAnsi="Calibri" w:hint="eastAsia"/>
          <w:rtl/>
        </w:rPr>
        <w:t>השתלב</w:t>
      </w:r>
      <w:r w:rsidRPr="00883A10">
        <w:rPr>
          <w:rFonts w:ascii="Calibri" w:hAnsi="Calibri"/>
          <w:rtl/>
        </w:rPr>
        <w:t xml:space="preserve"> </w:t>
      </w:r>
      <w:r w:rsidRPr="00883A10">
        <w:rPr>
          <w:rFonts w:ascii="Calibri" w:hAnsi="Calibri" w:hint="eastAsia"/>
          <w:rtl/>
        </w:rPr>
        <w:t>בטיפול</w:t>
      </w:r>
      <w:r w:rsidRPr="00883A10">
        <w:rPr>
          <w:rFonts w:ascii="Calibri" w:hAnsi="Calibri"/>
          <w:rtl/>
        </w:rPr>
        <w:t xml:space="preserve">, </w:t>
      </w:r>
      <w:r w:rsidRPr="00883A10">
        <w:rPr>
          <w:rFonts w:ascii="Calibri" w:hAnsi="Calibri" w:hint="eastAsia"/>
          <w:rtl/>
        </w:rPr>
        <w:t>דבר</w:t>
      </w:r>
      <w:r w:rsidRPr="00883A10">
        <w:rPr>
          <w:rFonts w:ascii="Calibri" w:hAnsi="Calibri"/>
          <w:rtl/>
        </w:rPr>
        <w:t xml:space="preserve"> </w:t>
      </w:r>
      <w:r w:rsidRPr="00883A10">
        <w:rPr>
          <w:rFonts w:ascii="Calibri" w:hAnsi="Calibri" w:hint="eastAsia"/>
          <w:rtl/>
        </w:rPr>
        <w:t>שיש</w:t>
      </w:r>
      <w:r w:rsidRPr="00883A10">
        <w:rPr>
          <w:rFonts w:ascii="Calibri" w:hAnsi="Calibri"/>
          <w:rtl/>
        </w:rPr>
        <w:t xml:space="preserve"> </w:t>
      </w:r>
      <w:r w:rsidRPr="00883A10">
        <w:rPr>
          <w:rFonts w:ascii="Calibri" w:hAnsi="Calibri" w:hint="eastAsia"/>
          <w:rtl/>
        </w:rPr>
        <w:t>לזקוף</w:t>
      </w:r>
      <w:r w:rsidRPr="00883A10">
        <w:rPr>
          <w:rFonts w:ascii="Calibri" w:hAnsi="Calibri"/>
          <w:rtl/>
        </w:rPr>
        <w:t xml:space="preserve"> </w:t>
      </w:r>
      <w:r w:rsidRPr="00883A10">
        <w:rPr>
          <w:rFonts w:ascii="Calibri" w:hAnsi="Calibri" w:hint="eastAsia"/>
          <w:rtl/>
        </w:rPr>
        <w:t>לזכותו</w:t>
      </w:r>
      <w:r w:rsidRPr="00883A10">
        <w:rPr>
          <w:rFonts w:ascii="Calibri" w:hAnsi="Calibri"/>
          <w:rtl/>
        </w:rPr>
        <w:t xml:space="preserve">, </w:t>
      </w:r>
      <w:r w:rsidRPr="00883A10">
        <w:rPr>
          <w:rFonts w:ascii="Calibri" w:hAnsi="Calibri" w:hint="eastAsia"/>
          <w:rtl/>
        </w:rPr>
        <w:t>הענישה</w:t>
      </w:r>
      <w:r w:rsidRPr="00883A10">
        <w:rPr>
          <w:rFonts w:ascii="Calibri" w:hAnsi="Calibri"/>
          <w:rtl/>
        </w:rPr>
        <w:t xml:space="preserve"> </w:t>
      </w:r>
      <w:r w:rsidRPr="00883A10">
        <w:rPr>
          <w:rFonts w:ascii="Calibri" w:hAnsi="Calibri" w:hint="eastAsia"/>
          <w:rtl/>
        </w:rPr>
        <w:t>ההולמת</w:t>
      </w:r>
      <w:r w:rsidRPr="00883A10">
        <w:rPr>
          <w:rFonts w:ascii="Calibri" w:hAnsi="Calibri"/>
          <w:rtl/>
        </w:rPr>
        <w:t xml:space="preserve"> </w:t>
      </w:r>
      <w:r w:rsidRPr="00883A10">
        <w:rPr>
          <w:rFonts w:ascii="Calibri" w:hAnsi="Calibri" w:hint="eastAsia"/>
          <w:rtl/>
        </w:rPr>
        <w:t>בעניינו</w:t>
      </w:r>
      <w:r w:rsidRPr="00883A10">
        <w:rPr>
          <w:rFonts w:ascii="Calibri" w:hAnsi="Calibri"/>
          <w:rtl/>
        </w:rPr>
        <w:t xml:space="preserve"> </w:t>
      </w:r>
      <w:r w:rsidRPr="00883A10">
        <w:rPr>
          <w:rFonts w:ascii="Calibri" w:hAnsi="Calibri" w:hint="eastAsia"/>
          <w:rtl/>
        </w:rPr>
        <w:t>מחייבת</w:t>
      </w:r>
      <w:r w:rsidRPr="00883A10">
        <w:rPr>
          <w:rFonts w:ascii="Calibri" w:hAnsi="Calibri"/>
          <w:rtl/>
        </w:rPr>
        <w:t xml:space="preserve"> </w:t>
      </w:r>
      <w:r w:rsidRPr="00883A10">
        <w:rPr>
          <w:rFonts w:ascii="Calibri" w:hAnsi="Calibri" w:hint="eastAsia"/>
          <w:rtl/>
        </w:rPr>
        <w:t>הטלת</w:t>
      </w:r>
      <w:r w:rsidRPr="00883A10">
        <w:rPr>
          <w:rFonts w:ascii="Calibri" w:hAnsi="Calibri"/>
          <w:rtl/>
        </w:rPr>
        <w:t xml:space="preserve"> </w:t>
      </w:r>
      <w:r w:rsidRPr="00883A10">
        <w:rPr>
          <w:rFonts w:ascii="Calibri" w:hAnsi="Calibri" w:hint="eastAsia"/>
          <w:rtl/>
        </w:rPr>
        <w:t>מאסר</w:t>
      </w:r>
      <w:r w:rsidRPr="00883A10">
        <w:rPr>
          <w:rFonts w:ascii="Calibri" w:hAnsi="Calibri"/>
          <w:rtl/>
        </w:rPr>
        <w:t xml:space="preserve"> </w:t>
      </w:r>
      <w:r w:rsidRPr="00883A10">
        <w:rPr>
          <w:rFonts w:ascii="Calibri" w:hAnsi="Calibri" w:hint="eastAsia"/>
          <w:rtl/>
        </w:rPr>
        <w:t>בפועל</w:t>
      </w:r>
      <w:r w:rsidRPr="00883A10">
        <w:rPr>
          <w:rFonts w:ascii="Calibri" w:hAnsi="Calibri"/>
          <w:rtl/>
        </w:rPr>
        <w:t xml:space="preserve">, </w:t>
      </w:r>
      <w:r w:rsidRPr="00883A10">
        <w:rPr>
          <w:rFonts w:ascii="Calibri" w:hAnsi="Calibri" w:hint="eastAsia"/>
          <w:rtl/>
        </w:rPr>
        <w:t>גם</w:t>
      </w:r>
      <w:r w:rsidRPr="00883A10">
        <w:rPr>
          <w:rFonts w:ascii="Calibri" w:hAnsi="Calibri"/>
          <w:rtl/>
        </w:rPr>
        <w:t xml:space="preserve"> </w:t>
      </w:r>
      <w:r w:rsidRPr="00883A10">
        <w:rPr>
          <w:rFonts w:ascii="Calibri" w:hAnsi="Calibri" w:hint="eastAsia"/>
          <w:rtl/>
        </w:rPr>
        <w:t>אם</w:t>
      </w:r>
      <w:r w:rsidRPr="00883A10">
        <w:rPr>
          <w:rFonts w:ascii="Calibri" w:hAnsi="Calibri"/>
          <w:rtl/>
        </w:rPr>
        <w:t xml:space="preserve"> </w:t>
      </w:r>
      <w:r w:rsidRPr="00883A10">
        <w:rPr>
          <w:rFonts w:ascii="Calibri" w:hAnsi="Calibri" w:hint="eastAsia"/>
          <w:rtl/>
        </w:rPr>
        <w:t>בתחתית</w:t>
      </w:r>
      <w:r w:rsidRPr="00883A10">
        <w:rPr>
          <w:rFonts w:ascii="Calibri" w:hAnsi="Calibri"/>
          <w:rtl/>
        </w:rPr>
        <w:t xml:space="preserve"> </w:t>
      </w:r>
      <w:r w:rsidRPr="00883A10">
        <w:rPr>
          <w:rFonts w:ascii="Calibri" w:hAnsi="Calibri" w:hint="eastAsia"/>
          <w:rtl/>
        </w:rPr>
        <w:t>המתחם</w:t>
      </w:r>
      <w:r w:rsidRPr="00883A10">
        <w:rPr>
          <w:rFonts w:ascii="Calibri" w:hAnsi="Calibri"/>
          <w:rtl/>
        </w:rPr>
        <w:t>.</w:t>
      </w:r>
    </w:p>
    <w:p w14:paraId="6DC2960F" w14:textId="77777777" w:rsidR="00883A10" w:rsidRPr="006E3790" w:rsidRDefault="00883A10" w:rsidP="00883A10">
      <w:pPr>
        <w:snapToGrid w:val="0"/>
        <w:ind w:left="720"/>
        <w:contextualSpacing/>
        <w:rPr>
          <w:rtl/>
          <w:lang w:eastAsia="he-IL"/>
        </w:rPr>
      </w:pPr>
    </w:p>
    <w:p w14:paraId="5D03C119" w14:textId="77777777" w:rsidR="00883A10" w:rsidRPr="006E3790" w:rsidRDefault="00883A10" w:rsidP="00883A10">
      <w:pPr>
        <w:numPr>
          <w:ilvl w:val="0"/>
          <w:numId w:val="1"/>
        </w:numPr>
        <w:snapToGrid w:val="0"/>
        <w:spacing w:line="360" w:lineRule="auto"/>
        <w:contextualSpacing/>
        <w:jc w:val="both"/>
        <w:rPr>
          <w:lang w:eastAsia="he-IL"/>
        </w:rPr>
      </w:pPr>
      <w:r w:rsidRPr="006E3790">
        <w:rPr>
          <w:b/>
          <w:bCs/>
          <w:rtl/>
          <w:lang w:eastAsia="he-IL"/>
        </w:rPr>
        <w:t>הסניגור</w:t>
      </w:r>
      <w:r w:rsidRPr="006E3790">
        <w:rPr>
          <w:rtl/>
          <w:lang w:eastAsia="he-IL"/>
        </w:rPr>
        <w:t xml:space="preserve"> בטיעוניו ביקש שלא לאמץ את המלצת שירות המבחן אלא להחמיר איתו ולהטיל על הנאשם עונש מאסר לריצוי בעבודות שירות. ב"כ הנאשם הפנה לרקע האישי העולה מהתסקירים. למרות הרקע שהנאשם גדל בו, לא הסתבך בפלילים בעבר ולמעט למעידה זו, מדובר באדם נורמטיבי. נטען, כי התסקירים מבססים אפשרות לסטות ממתחם הענישה משיקולי שיקום. הנאשם לקח אחריות מלאה על המעשים כבר בחקירתו, גם אם בהתחלה אמר שניצלו אותו והשתמשו בו, הנאשם מעולם לא טען שהוא לא יודע מה הוא עושה. הנאשם עצמו היה עצור שלושה חודשים במעצר מאחורי סורג ובריח, לאחר מכן בתנאים מגבילים תקופה ארוכה של כמעט שלוש שנים כאשר הוא השתלב בטיפול על פי רצונו וכל הזמן הזה הנאשם משתף פעולה ונמצא תחת פיקוח. </w:t>
      </w:r>
    </w:p>
    <w:p w14:paraId="7413BB77" w14:textId="77777777" w:rsidR="00883A10" w:rsidRPr="006E3790" w:rsidRDefault="00883A10" w:rsidP="00883A10">
      <w:pPr>
        <w:snapToGrid w:val="0"/>
        <w:spacing w:line="360" w:lineRule="auto"/>
        <w:ind w:left="360"/>
        <w:contextualSpacing/>
        <w:jc w:val="both"/>
        <w:rPr>
          <w:lang w:eastAsia="he-IL"/>
        </w:rPr>
      </w:pPr>
      <w:r w:rsidRPr="006E3790">
        <w:rPr>
          <w:rtl/>
          <w:lang w:eastAsia="he-IL"/>
        </w:rPr>
        <w:t xml:space="preserve">ב"כ הנאשם הפנה לפסקי דין שונים בהם הוטלו על נאשמים במקרים דומים עונשי מאסר לריצוי בעבודות שירות. </w:t>
      </w:r>
    </w:p>
    <w:p w14:paraId="340BA6D6" w14:textId="77777777" w:rsidR="00883A10" w:rsidRPr="006E3790" w:rsidRDefault="00883A10" w:rsidP="00883A10">
      <w:pPr>
        <w:snapToGrid w:val="0"/>
        <w:ind w:left="360"/>
        <w:contextualSpacing/>
        <w:jc w:val="both"/>
        <w:rPr>
          <w:lang w:eastAsia="he-IL"/>
        </w:rPr>
      </w:pPr>
    </w:p>
    <w:p w14:paraId="3E0C3B15" w14:textId="77777777" w:rsidR="00883A10" w:rsidRPr="006E3790" w:rsidRDefault="00883A10" w:rsidP="00883A10">
      <w:pPr>
        <w:numPr>
          <w:ilvl w:val="0"/>
          <w:numId w:val="1"/>
        </w:numPr>
        <w:snapToGrid w:val="0"/>
        <w:spacing w:line="360" w:lineRule="auto"/>
        <w:contextualSpacing/>
        <w:jc w:val="both"/>
        <w:rPr>
          <w:lang w:eastAsia="he-IL"/>
        </w:rPr>
      </w:pPr>
      <w:r w:rsidRPr="006E3790">
        <w:rPr>
          <w:b/>
          <w:bCs/>
          <w:rtl/>
          <w:lang w:eastAsia="he-IL"/>
        </w:rPr>
        <w:t>הנאשם</w:t>
      </w:r>
      <w:r w:rsidRPr="006E3790">
        <w:rPr>
          <w:rtl/>
          <w:lang w:eastAsia="he-IL"/>
        </w:rPr>
        <w:t xml:space="preserve"> עצמו מסר שגדל בסביבה עבריינית, במהלך כל השנים הצליח לשמור על עצמו והפעם בשל מצבו הנפשי והכלכלי הרעוע טעה ואיפשר לגורמים אחרים לנצל את החולשה שלו. הנאשם הדגיש שהוא לא מאשים אחרים ולוקח אחריות מלאה על מעשיו, מביע חרטה ומבטיח שלא לחזור על כך. מסר שהוא עובד, אב לשני ילדים, מנסה לבסס את משפחתו, מביע חרטה ומבקש את רחמי בית המשפט.</w:t>
      </w:r>
    </w:p>
    <w:p w14:paraId="76435836" w14:textId="77777777" w:rsidR="00883A10" w:rsidRPr="006E3790" w:rsidRDefault="00883A10" w:rsidP="00883A10">
      <w:pPr>
        <w:snapToGrid w:val="0"/>
        <w:ind w:left="360"/>
        <w:contextualSpacing/>
        <w:jc w:val="both"/>
        <w:rPr>
          <w:lang w:eastAsia="he-IL"/>
        </w:rPr>
      </w:pPr>
    </w:p>
    <w:p w14:paraId="109C09AE" w14:textId="77777777" w:rsidR="00883A10" w:rsidRPr="006E3790" w:rsidRDefault="00883A10" w:rsidP="00883A10">
      <w:pPr>
        <w:numPr>
          <w:ilvl w:val="0"/>
          <w:numId w:val="1"/>
        </w:numPr>
        <w:snapToGrid w:val="0"/>
        <w:spacing w:line="360" w:lineRule="auto"/>
        <w:contextualSpacing/>
        <w:jc w:val="both"/>
        <w:rPr>
          <w:lang w:eastAsia="he-IL"/>
        </w:rPr>
      </w:pPr>
      <w:r w:rsidRPr="006E3790">
        <w:rPr>
          <w:rtl/>
          <w:lang w:eastAsia="he-IL"/>
        </w:rPr>
        <w:t>להשלמת התמונה יצוין, כי בד בבד עם הגשת התסקירים, הובא בפני בית המשפט המידע בדבר הרשעת הנאשם במקביל לעבירה של העסקת שב"ח שנעברה לאחר מועד ביצוע העבירות בתיק זה ושם ניתנה המלצה טיפולית לשל"צ בהיקף 120 שעות. נכון למועד הטיעון לעונש, טרם ניתן גזר דין בתיק האחר.</w:t>
      </w:r>
    </w:p>
    <w:p w14:paraId="4D2C07A4" w14:textId="77777777" w:rsidR="00883A10" w:rsidRPr="006E3790" w:rsidRDefault="00883A10" w:rsidP="00883A10">
      <w:pPr>
        <w:snapToGrid w:val="0"/>
        <w:ind w:left="360"/>
        <w:contextualSpacing/>
        <w:jc w:val="both"/>
        <w:rPr>
          <w:lang w:eastAsia="he-IL"/>
        </w:rPr>
      </w:pPr>
    </w:p>
    <w:p w14:paraId="2D2DF798" w14:textId="77777777" w:rsidR="00883A10" w:rsidRPr="006E3790" w:rsidRDefault="00883A10" w:rsidP="00883A10">
      <w:pPr>
        <w:numPr>
          <w:ilvl w:val="0"/>
          <w:numId w:val="1"/>
        </w:numPr>
        <w:snapToGrid w:val="0"/>
        <w:spacing w:line="360" w:lineRule="auto"/>
        <w:contextualSpacing/>
        <w:jc w:val="both"/>
        <w:rPr>
          <w:lang w:eastAsia="he-IL"/>
        </w:rPr>
      </w:pPr>
      <w:r w:rsidRPr="006E3790">
        <w:rPr>
          <w:rtl/>
          <w:lang w:eastAsia="he-IL"/>
        </w:rPr>
        <w:t xml:space="preserve">מבלי שיהיה בכך כדי להביע עמדה בנוגע לטיעוני הצדדים, התבקש הממונה על עבודות השירות להגיש חוות דעת. ביום 24.11.2021 הוגשה חוות דעת הממונה ולפיה הנאשם כשיר לביצוע עבודות שירות. </w:t>
      </w:r>
    </w:p>
    <w:p w14:paraId="578053F7" w14:textId="77777777" w:rsidR="00883A10" w:rsidRPr="006E3790" w:rsidRDefault="00883A10" w:rsidP="00883A10">
      <w:pPr>
        <w:snapToGrid w:val="0"/>
        <w:ind w:left="720"/>
        <w:contextualSpacing/>
        <w:rPr>
          <w:rtl/>
          <w:lang w:eastAsia="he-IL"/>
        </w:rPr>
      </w:pPr>
    </w:p>
    <w:p w14:paraId="71220B16" w14:textId="77777777" w:rsidR="00883A10" w:rsidRPr="00883A10" w:rsidRDefault="00883A10" w:rsidP="00883A10">
      <w:pPr>
        <w:spacing w:line="360" w:lineRule="auto"/>
        <w:jc w:val="both"/>
        <w:rPr>
          <w:rFonts w:ascii="Calibri" w:hAnsi="Calibri"/>
          <w:bCs/>
          <w:u w:val="single"/>
          <w:rtl/>
        </w:rPr>
      </w:pPr>
      <w:r w:rsidRPr="00883A10">
        <w:rPr>
          <w:rFonts w:ascii="Calibri" w:hAnsi="Calibri" w:hint="eastAsia"/>
          <w:bCs/>
          <w:u w:val="single"/>
          <w:rtl/>
        </w:rPr>
        <w:t>דיון</w:t>
      </w:r>
      <w:r w:rsidRPr="00883A10">
        <w:rPr>
          <w:rFonts w:ascii="Calibri" w:hAnsi="Calibri"/>
          <w:bCs/>
          <w:u w:val="single"/>
          <w:rtl/>
        </w:rPr>
        <w:t xml:space="preserve"> </w:t>
      </w:r>
      <w:r w:rsidRPr="00883A10">
        <w:rPr>
          <w:rFonts w:ascii="Calibri" w:hAnsi="Calibri" w:hint="eastAsia"/>
          <w:bCs/>
          <w:u w:val="single"/>
          <w:rtl/>
        </w:rPr>
        <w:t>והכרעה</w:t>
      </w:r>
    </w:p>
    <w:p w14:paraId="42103B76" w14:textId="77777777" w:rsidR="00883A10" w:rsidRPr="00883A10" w:rsidRDefault="00883A10" w:rsidP="00883A10">
      <w:pPr>
        <w:spacing w:line="360" w:lineRule="auto"/>
        <w:jc w:val="both"/>
        <w:rPr>
          <w:rFonts w:ascii="Calibri" w:hAnsi="Calibri"/>
          <w:u w:val="single"/>
        </w:rPr>
      </w:pPr>
      <w:r w:rsidRPr="00883A10">
        <w:rPr>
          <w:rFonts w:ascii="Calibri" w:hAnsi="Calibri" w:hint="eastAsia"/>
          <w:u w:val="single"/>
          <w:rtl/>
        </w:rPr>
        <w:t>קביעת</w:t>
      </w:r>
      <w:r w:rsidRPr="00883A10">
        <w:rPr>
          <w:rFonts w:ascii="Calibri" w:hAnsi="Calibri"/>
          <w:u w:val="single"/>
          <w:rtl/>
        </w:rPr>
        <w:t xml:space="preserve"> </w:t>
      </w:r>
      <w:r w:rsidRPr="00883A10">
        <w:rPr>
          <w:rFonts w:ascii="Calibri" w:hAnsi="Calibri" w:hint="eastAsia"/>
          <w:u w:val="single"/>
          <w:rtl/>
        </w:rPr>
        <w:t>מתחם</w:t>
      </w:r>
      <w:r w:rsidRPr="00883A10">
        <w:rPr>
          <w:rFonts w:ascii="Calibri" w:hAnsi="Calibri"/>
          <w:u w:val="single"/>
          <w:rtl/>
        </w:rPr>
        <w:t xml:space="preserve"> </w:t>
      </w:r>
      <w:r w:rsidRPr="00883A10">
        <w:rPr>
          <w:rFonts w:ascii="Calibri" w:hAnsi="Calibri" w:hint="eastAsia"/>
          <w:u w:val="single"/>
          <w:rtl/>
        </w:rPr>
        <w:t>העונש</w:t>
      </w:r>
      <w:r w:rsidRPr="00883A10">
        <w:rPr>
          <w:rFonts w:ascii="Calibri" w:hAnsi="Calibri"/>
          <w:u w:val="single"/>
          <w:rtl/>
        </w:rPr>
        <w:t xml:space="preserve"> </w:t>
      </w:r>
      <w:r w:rsidRPr="00883A10">
        <w:rPr>
          <w:rFonts w:ascii="Calibri" w:hAnsi="Calibri" w:hint="eastAsia"/>
          <w:u w:val="single"/>
          <w:rtl/>
        </w:rPr>
        <w:t>ההולם</w:t>
      </w:r>
      <w:r w:rsidRPr="00883A10">
        <w:rPr>
          <w:rFonts w:ascii="Calibri" w:hAnsi="Calibri"/>
          <w:u w:val="single"/>
          <w:rtl/>
        </w:rPr>
        <w:t>:</w:t>
      </w:r>
    </w:p>
    <w:p w14:paraId="03C5EA13" w14:textId="77777777" w:rsidR="00883A10" w:rsidRPr="006E3790" w:rsidRDefault="00883A10" w:rsidP="00883A10">
      <w:pPr>
        <w:numPr>
          <w:ilvl w:val="0"/>
          <w:numId w:val="1"/>
        </w:numPr>
        <w:snapToGrid w:val="0"/>
        <w:spacing w:line="360" w:lineRule="auto"/>
        <w:contextualSpacing/>
        <w:jc w:val="both"/>
        <w:rPr>
          <w:lang w:eastAsia="he-IL"/>
        </w:rPr>
      </w:pPr>
      <w:r w:rsidRPr="006E3790">
        <w:rPr>
          <w:rtl/>
          <w:lang w:eastAsia="he-IL"/>
        </w:rPr>
        <w:t>מתחם העונש ההולם למעשה העבירה נקבע בהתאם לעיקרון ההלימה ולפיו נדרש יחס הולם בין חומרת מעשה העבירה בנסיבותיו ומידת האשם של הנאשם, לבין סוג ומידת העונש המוטל עליה. ביישום עיקרון ההלימה וקביעת מתחם העונש במקרה קונקרטי, בית המשפט יתחשב בשלושת אלה: הערך החברתי שנפגע ומידת הפגיעה בו; מדיניות הענישה הנוהגת; נסיבות הקשורות בביצוע העבירה.</w:t>
      </w:r>
    </w:p>
    <w:p w14:paraId="5AB183F6" w14:textId="77777777" w:rsidR="00883A10" w:rsidRPr="006E3790" w:rsidRDefault="00883A10" w:rsidP="00883A10">
      <w:pPr>
        <w:snapToGrid w:val="0"/>
        <w:spacing w:line="360" w:lineRule="auto"/>
        <w:ind w:left="360"/>
        <w:contextualSpacing/>
        <w:jc w:val="both"/>
        <w:rPr>
          <w:rtl/>
          <w:lang w:eastAsia="he-IL"/>
        </w:rPr>
      </w:pPr>
    </w:p>
    <w:p w14:paraId="672062E2" w14:textId="77777777" w:rsidR="00883A10" w:rsidRPr="006E3790" w:rsidRDefault="00883A10" w:rsidP="00883A10">
      <w:pPr>
        <w:numPr>
          <w:ilvl w:val="0"/>
          <w:numId w:val="1"/>
        </w:numPr>
        <w:snapToGrid w:val="0"/>
        <w:spacing w:after="200" w:line="360" w:lineRule="auto"/>
        <w:contextualSpacing/>
        <w:jc w:val="both"/>
        <w:rPr>
          <w:rFonts w:ascii="David" w:hAnsi="David"/>
          <w:lang w:eastAsia="he-IL"/>
        </w:rPr>
      </w:pPr>
      <w:r w:rsidRPr="006E3790">
        <w:rPr>
          <w:rFonts w:ascii="David" w:hAnsi="David"/>
          <w:rtl/>
          <w:lang w:eastAsia="he-IL"/>
        </w:rPr>
        <w:t xml:space="preserve">הערכים המוגנים בעבירות סמים הם הגנה על בריאות הציבור ועל שלומו הפיזי והנפשי וכן על רכושו, מפני הנזקים הישירים והעקיפים הנגרמים עקב השימוש בסמים. חקיקת הסמים נועדה לעקור את נגע הסמים מהשורש. המחוקק מצא להחמיר בעבירות ייצור וגידול הסם ולהשוותן לסחר בסמים, מבחינה נורמטיבית.  בגידול הסמים לצרכי הפצה טמון פוטנציאל לנזק רחב, לא רק למעורבים הישירים בביצוע העבירה ואף לא רק לצרכנים המיועדים, אלא לציבור כולו: לבני המשפחה, לבעלי העסקים והציבור הנפגע מעבירות הרכוש הנלוות לעיתים קרובות לתלות בסם, לציבור המצוי במרחבים הציבוריים שהאווירה ואיכות החיים בהם נפגמת כתוצאה מהתופעה הנרחבת של הפצת הסם. כך, במקומות הבילוי, בכבישי הארץ, בגנים ובפארקים הציבוריים. </w:t>
      </w:r>
    </w:p>
    <w:p w14:paraId="607E753B" w14:textId="77777777" w:rsidR="00883A10" w:rsidRPr="006E3790" w:rsidRDefault="00883A10" w:rsidP="00883A10">
      <w:pPr>
        <w:snapToGrid w:val="0"/>
        <w:spacing w:after="200"/>
        <w:ind w:left="360"/>
        <w:contextualSpacing/>
        <w:jc w:val="both"/>
        <w:rPr>
          <w:rFonts w:ascii="David" w:hAnsi="David"/>
          <w:lang w:eastAsia="he-IL"/>
        </w:rPr>
      </w:pPr>
    </w:p>
    <w:p w14:paraId="6E643F4F" w14:textId="77777777" w:rsidR="00883A10" w:rsidRPr="006E3790" w:rsidRDefault="00883A10" w:rsidP="00883A10">
      <w:pPr>
        <w:numPr>
          <w:ilvl w:val="0"/>
          <w:numId w:val="1"/>
        </w:numPr>
        <w:snapToGrid w:val="0"/>
        <w:spacing w:line="360" w:lineRule="auto"/>
        <w:contextualSpacing/>
        <w:jc w:val="both"/>
        <w:rPr>
          <w:rFonts w:ascii="David" w:hAnsi="David"/>
          <w:lang w:eastAsia="he-IL"/>
        </w:rPr>
      </w:pPr>
      <w:r w:rsidRPr="006E3790">
        <w:rPr>
          <w:rFonts w:ascii="David" w:hAnsi="David"/>
          <w:rtl/>
          <w:lang w:eastAsia="he-IL"/>
        </w:rPr>
        <w:t xml:space="preserve">לעניין זה ראו דבריו הברורים של הרכב בית המשפט המחוזי בתל-אביב במסגרת </w:t>
      </w:r>
      <w:hyperlink r:id="rId22" w:history="1">
        <w:r w:rsidR="005E1751" w:rsidRPr="005E1751">
          <w:rPr>
            <w:rFonts w:ascii="David" w:hAnsi="David"/>
            <w:color w:val="0000FF"/>
            <w:u w:val="single"/>
            <w:rtl/>
            <w:lang w:eastAsia="he-IL"/>
          </w:rPr>
          <w:t>עפ"ג 46738-09-14</w:t>
        </w:r>
      </w:hyperlink>
      <w:r w:rsidRPr="006E3790">
        <w:rPr>
          <w:rFonts w:ascii="David" w:hAnsi="David"/>
          <w:rtl/>
          <w:lang w:eastAsia="he-IL"/>
        </w:rPr>
        <w:t xml:space="preserve"> </w:t>
      </w:r>
      <w:r w:rsidRPr="006E3790">
        <w:rPr>
          <w:rFonts w:ascii="David" w:hAnsi="David"/>
          <w:b/>
          <w:bCs/>
          <w:rtl/>
          <w:lang w:eastAsia="he-IL"/>
        </w:rPr>
        <w:t>מדינת ישראל נ' צקבאשווילי ואח'</w:t>
      </w:r>
      <w:r w:rsidRPr="006E3790">
        <w:rPr>
          <w:rFonts w:ascii="David" w:hAnsi="David"/>
          <w:rtl/>
          <w:lang w:eastAsia="he-IL"/>
        </w:rPr>
        <w:t xml:space="preserve"> (31.12.14):</w:t>
      </w:r>
    </w:p>
    <w:p w14:paraId="16DDA29A" w14:textId="77777777" w:rsidR="00883A10" w:rsidRPr="006E3790" w:rsidRDefault="00883A10" w:rsidP="00883A10">
      <w:pPr>
        <w:snapToGrid w:val="0"/>
        <w:ind w:left="360"/>
        <w:contextualSpacing/>
        <w:jc w:val="both"/>
        <w:rPr>
          <w:rFonts w:ascii="David" w:hAnsi="David"/>
          <w:rtl/>
          <w:lang w:eastAsia="he-IL"/>
        </w:rPr>
      </w:pPr>
    </w:p>
    <w:p w14:paraId="4FB3ACCF" w14:textId="77777777" w:rsidR="00883A10" w:rsidRPr="006E3790" w:rsidRDefault="00883A10" w:rsidP="00883A10">
      <w:pPr>
        <w:widowControl w:val="0"/>
        <w:snapToGrid w:val="0"/>
        <w:spacing w:before="60" w:line="360" w:lineRule="auto"/>
        <w:ind w:left="1440" w:right="992"/>
        <w:jc w:val="both"/>
        <w:rPr>
          <w:rFonts w:ascii="David" w:hAnsi="David"/>
          <w:rtl/>
          <w:lang w:eastAsia="he-IL"/>
        </w:rPr>
      </w:pPr>
      <w:r w:rsidRPr="006E3790">
        <w:rPr>
          <w:rFonts w:ascii="David" w:hAnsi="David"/>
          <w:rtl/>
          <w:lang w:eastAsia="he-IL"/>
        </w:rPr>
        <w:t>"</w:t>
      </w:r>
      <w:r w:rsidRPr="006E3790">
        <w:rPr>
          <w:rFonts w:ascii="David" w:hAnsi="David"/>
          <w:b/>
          <w:bCs/>
          <w:rtl/>
          <w:lang w:eastAsia="he-IL"/>
        </w:rPr>
        <w:t>גידול סמים לשיטתנו כמוהו, מבחינת החומרה, כסחר והפצת סמים. לא זו בלבד, אלא שבהינתן המציאות הנוכחית שבה גידול הסמים הפך להיות למכת מדינה יש להילחם בו בחומרה כאשר הביטוי לכך יהיה בהרמת רף הענישה. המגדלים והמפיצים מצויים באותו מקום עצמו מבחינה ערכית ומעשית גם יחד. שניהם גורמים לכך שכמות סם מוצאת דרכה לשוק הסמים הרווי ממילא. הגידול, הסחר והיבוא, תהא הדרך לכניסתו לשוק של הסם אשר תהא - המכורים לסמים עושים בעזרתו צעד נוסף במדרון הסמים ומי שאינו מכור עדיין, יכול ויעשה את הצעד הראשון והקריטי בדרך להתמכרות לסם. הפגיעה בערך המוגן היא אותה פגיעה. ספציפית באשר למעבדות סמים: לצערנו, שוב ושוב אנו נתקלים במקרים כדוגמת המקרה הנוכחי...</w:t>
      </w:r>
      <w:r w:rsidRPr="006E3790">
        <w:rPr>
          <w:rFonts w:ascii="David" w:hAnsi="David"/>
          <w:rtl/>
          <w:lang w:eastAsia="he-IL"/>
        </w:rPr>
        <w:t>".</w:t>
      </w:r>
    </w:p>
    <w:p w14:paraId="3AF96A40" w14:textId="77777777" w:rsidR="00883A10" w:rsidRPr="006E3790" w:rsidRDefault="00883A10" w:rsidP="00883A10">
      <w:pPr>
        <w:widowControl w:val="0"/>
        <w:snapToGrid w:val="0"/>
        <w:spacing w:before="120" w:line="360" w:lineRule="auto"/>
        <w:ind w:left="714"/>
        <w:jc w:val="both"/>
        <w:rPr>
          <w:rFonts w:ascii="David" w:hAnsi="David"/>
          <w:rtl/>
          <w:lang w:eastAsia="he-IL"/>
        </w:rPr>
      </w:pPr>
      <w:r w:rsidRPr="006E3790">
        <w:rPr>
          <w:rFonts w:ascii="David" w:hAnsi="David"/>
          <w:rtl/>
          <w:lang w:eastAsia="he-IL"/>
        </w:rPr>
        <w:t>גם בחלוף השנים, הדברים נכונים וניכרים בעבודתו היומיומית של בית המשפט, ואף ביתר שאת.  ראו עוד גם ב</w:t>
      </w:r>
      <w:hyperlink r:id="rId23" w:history="1">
        <w:r w:rsidR="005E1751" w:rsidRPr="005E1751">
          <w:rPr>
            <w:rFonts w:ascii="David" w:hAnsi="David"/>
            <w:color w:val="0000FF"/>
            <w:u w:val="single"/>
            <w:rtl/>
            <w:lang w:eastAsia="he-IL"/>
          </w:rPr>
          <w:t>עפ"ג 42358-10-14</w:t>
        </w:r>
      </w:hyperlink>
      <w:r w:rsidRPr="006E3790">
        <w:rPr>
          <w:rFonts w:ascii="David" w:hAnsi="David"/>
          <w:rtl/>
          <w:lang w:eastAsia="he-IL"/>
        </w:rPr>
        <w:t xml:space="preserve"> </w:t>
      </w:r>
      <w:r w:rsidRPr="006E3790">
        <w:rPr>
          <w:rFonts w:ascii="David" w:hAnsi="David"/>
          <w:b/>
          <w:bCs/>
          <w:rtl/>
          <w:lang w:eastAsia="he-IL"/>
        </w:rPr>
        <w:t xml:space="preserve">גיא נ' מדינת ישראל </w:t>
      </w:r>
      <w:r w:rsidRPr="006E3790">
        <w:rPr>
          <w:rFonts w:ascii="David" w:hAnsi="David"/>
          <w:rtl/>
          <w:lang w:eastAsia="he-IL"/>
        </w:rPr>
        <w:t xml:space="preserve">(18.2.15):  </w:t>
      </w:r>
    </w:p>
    <w:p w14:paraId="0D6DE60E" w14:textId="77777777" w:rsidR="00883A10" w:rsidRPr="006E3790" w:rsidRDefault="00883A10" w:rsidP="00883A10">
      <w:pPr>
        <w:widowControl w:val="0"/>
        <w:snapToGrid w:val="0"/>
        <w:spacing w:before="120"/>
        <w:ind w:left="714"/>
        <w:jc w:val="both"/>
        <w:rPr>
          <w:rFonts w:ascii="David" w:hAnsi="David"/>
          <w:b/>
          <w:bCs/>
          <w:lang w:eastAsia="he-IL"/>
        </w:rPr>
      </w:pPr>
      <w:r w:rsidRPr="006E3790">
        <w:rPr>
          <w:rFonts w:ascii="David" w:hAnsi="David"/>
          <w:rtl/>
          <w:lang w:eastAsia="he-IL"/>
        </w:rPr>
        <w:t xml:space="preserve">  </w:t>
      </w:r>
    </w:p>
    <w:p w14:paraId="4C1F6188" w14:textId="77777777" w:rsidR="00883A10" w:rsidRPr="006E3790" w:rsidRDefault="00883A10" w:rsidP="00883A10">
      <w:pPr>
        <w:widowControl w:val="0"/>
        <w:spacing w:before="60" w:line="360" w:lineRule="auto"/>
        <w:ind w:left="1440" w:right="993"/>
        <w:jc w:val="both"/>
        <w:rPr>
          <w:rFonts w:ascii="David" w:hAnsi="David"/>
          <w:b/>
          <w:bCs/>
          <w:rtl/>
        </w:rPr>
      </w:pPr>
      <w:r w:rsidRPr="006E3790">
        <w:rPr>
          <w:rFonts w:ascii="David" w:hAnsi="David"/>
          <w:b/>
          <w:bCs/>
          <w:rtl/>
        </w:rPr>
        <w:t>"דומה שמעבדות הסם הפכו למכת מדינה. נראה שהקלות שבגידול הסם, הבטחון היחסי באי חשיפת העבירה כאשר מדובר בפעילות בתוך תחומי הבית והפוטנציאל הגלום בה משמשים קרקע נוחה להפיכתה לנפוצה. נפוצות העבירה מחייבת אמירה ברורה ונורמטיבית של בתי המשפט העוסקים בתחום זה".</w:t>
      </w:r>
    </w:p>
    <w:p w14:paraId="6AED6BF4" w14:textId="77777777" w:rsidR="00883A10" w:rsidRPr="006E3790" w:rsidRDefault="00883A10" w:rsidP="00883A10">
      <w:pPr>
        <w:widowControl w:val="0"/>
        <w:spacing w:before="60"/>
        <w:ind w:left="1440" w:right="993"/>
        <w:jc w:val="both"/>
        <w:rPr>
          <w:rFonts w:ascii="David" w:hAnsi="David"/>
          <w:b/>
          <w:bCs/>
        </w:rPr>
      </w:pPr>
    </w:p>
    <w:p w14:paraId="31536FC5" w14:textId="77777777" w:rsidR="00883A10" w:rsidRPr="006E3790" w:rsidRDefault="00883A10" w:rsidP="00883A10">
      <w:pPr>
        <w:numPr>
          <w:ilvl w:val="0"/>
          <w:numId w:val="1"/>
        </w:numPr>
        <w:snapToGrid w:val="0"/>
        <w:spacing w:after="200" w:line="360" w:lineRule="auto"/>
        <w:contextualSpacing/>
        <w:jc w:val="both"/>
        <w:rPr>
          <w:rFonts w:ascii="David" w:hAnsi="David"/>
          <w:lang w:eastAsia="he-IL"/>
        </w:rPr>
      </w:pPr>
      <w:r w:rsidRPr="006E3790">
        <w:rPr>
          <w:rFonts w:ascii="David" w:hAnsi="David"/>
          <w:rtl/>
          <w:lang w:eastAsia="he-IL"/>
        </w:rPr>
        <w:t xml:space="preserve">דברים אלה נכונים גם במקרה שבפניי, שכן מדובר בנאשם נורמטיבי ברקע, ללא הרשעות קודמות שעל פי האמור בתסקירי שירות המבחן התדרדר לביצוע העבירה על רקע משבר כלכלי ואישי שאותו חווה. התדרדרות זו והקלות שבה ניתן להיקלע לביצוע עבירות סמים בהיקף מסחרי, מלמדים עד כמה נחוצה העברת מסר ברור של הרתעת הרבים. בבתי המשפט נשפטים מדי יום אנשים רבים כדוגמת הנאשם שבפניי, קרי, אנשים "נורמטיביים" ללא רקע פלילי קודם, אשר מובאים לבית המשפט לראשונה בחייהם לאחר שביצעו עבירות חמורות של גידול סמים בדירות שהוסוו לשם כך ולאחר שהושקעו זמן, ממון ומאמצים רבים בתהליך הגידול. במקרים רבים לאחר שהנאשמים נתפסים, ובדומה למקרה זה, מתגייסים לתהליך טיפולי ארוך ומורכב ותסקירי שירות המבחן בעניינם של רבים מהם כוללים המלצות טיפוליות-שיקומיות מובהקות. </w:t>
      </w:r>
    </w:p>
    <w:p w14:paraId="68F3A36B" w14:textId="77777777" w:rsidR="00883A10" w:rsidRPr="006E3790" w:rsidRDefault="00883A10" w:rsidP="00883A10">
      <w:pPr>
        <w:snapToGrid w:val="0"/>
        <w:spacing w:after="200"/>
        <w:ind w:left="360"/>
        <w:contextualSpacing/>
        <w:jc w:val="both"/>
        <w:rPr>
          <w:rFonts w:ascii="David" w:hAnsi="David"/>
          <w:lang w:eastAsia="he-IL"/>
        </w:rPr>
      </w:pPr>
    </w:p>
    <w:p w14:paraId="65D12B51" w14:textId="77777777" w:rsidR="00883A10" w:rsidRPr="006E3790" w:rsidRDefault="00883A10" w:rsidP="00883A10">
      <w:pPr>
        <w:numPr>
          <w:ilvl w:val="0"/>
          <w:numId w:val="1"/>
        </w:numPr>
        <w:snapToGrid w:val="0"/>
        <w:spacing w:after="200" w:line="360" w:lineRule="auto"/>
        <w:contextualSpacing/>
        <w:jc w:val="both"/>
        <w:rPr>
          <w:rFonts w:ascii="David" w:hAnsi="David"/>
          <w:lang w:eastAsia="he-IL"/>
        </w:rPr>
      </w:pPr>
      <w:r w:rsidRPr="006E3790">
        <w:rPr>
          <w:rFonts w:ascii="David" w:hAnsi="David"/>
          <w:rtl/>
          <w:lang w:eastAsia="he-IL"/>
        </w:rPr>
        <w:t xml:space="preserve">אל מול אופיים הנורמטיבי של הנאשמים במקרים רבים בעבירות אלה, עומדת העובדה כי מגדלי הסמים נמצאים בראש הפירמידה של תעשיית הסמים, חוליה ראשונה ועיקרית שבלעדיה לא מתאפשרת כלל הפצת הסמים ברחובות ארצנו. מדובר בפער שבית המשפט לעיתים מתקשה להכיל אותו, בין ההמלצה השיקומית והפרטים אליהם נחשף בית המשפט בתסקירים אל מול עצמת הפגיעה בערכים המוגנים ופוטנציאל הנזק העצום כתוצאה ממעשי הנאשמים. אכן, מדובר במלאכת גזירת דין מורכבת. </w:t>
      </w:r>
    </w:p>
    <w:p w14:paraId="2477AE66" w14:textId="77777777" w:rsidR="00883A10" w:rsidRPr="006E3790" w:rsidRDefault="00883A10" w:rsidP="00883A10">
      <w:pPr>
        <w:snapToGrid w:val="0"/>
        <w:ind w:left="720"/>
        <w:contextualSpacing/>
        <w:rPr>
          <w:rFonts w:ascii="David" w:hAnsi="David"/>
          <w:rtl/>
          <w:lang w:eastAsia="he-IL"/>
        </w:rPr>
      </w:pPr>
    </w:p>
    <w:p w14:paraId="1E6A4F15" w14:textId="77777777" w:rsidR="00883A10" w:rsidRPr="006E3790" w:rsidRDefault="00883A10" w:rsidP="00883A10">
      <w:pPr>
        <w:numPr>
          <w:ilvl w:val="0"/>
          <w:numId w:val="1"/>
        </w:numPr>
        <w:snapToGrid w:val="0"/>
        <w:spacing w:after="200" w:line="360" w:lineRule="auto"/>
        <w:contextualSpacing/>
        <w:jc w:val="both"/>
        <w:rPr>
          <w:rFonts w:ascii="David" w:hAnsi="David"/>
          <w:lang w:eastAsia="he-IL"/>
        </w:rPr>
      </w:pPr>
      <w:r w:rsidRPr="006E3790">
        <w:rPr>
          <w:rFonts w:ascii="David" w:hAnsi="David"/>
          <w:rtl/>
          <w:lang w:eastAsia="he-IL"/>
        </w:rPr>
        <w:t xml:space="preserve">בבחינת נסיבות ביצוע העבירה במקרה זה, יש לקחת בחשבון את היקף גידול הסם שהוא מסחרי ואת העובדה שבוצעו לצורך הגידול גם עבירות נוספות, הן הפגיעה ברכוש בדירה אותה הנאשם שכר והן גניבת החשמל שהיא עבירה נוספת בעלת אופי רכושי וכן בעלת אופי של מרמה, כאשר הנזק כתוצאה מגניבה זו מפוזר על פני כלל הציבור. </w:t>
      </w:r>
    </w:p>
    <w:p w14:paraId="6F688BCD" w14:textId="77777777" w:rsidR="00883A10" w:rsidRPr="006E3790" w:rsidRDefault="00883A10" w:rsidP="00883A10">
      <w:pPr>
        <w:snapToGrid w:val="0"/>
        <w:ind w:left="720"/>
        <w:contextualSpacing/>
        <w:rPr>
          <w:rFonts w:ascii="David" w:hAnsi="David"/>
          <w:rtl/>
          <w:lang w:eastAsia="he-IL"/>
        </w:rPr>
      </w:pPr>
    </w:p>
    <w:p w14:paraId="18C83A00" w14:textId="77777777" w:rsidR="00883A10" w:rsidRPr="006E3790" w:rsidRDefault="00883A10" w:rsidP="00883A10">
      <w:pPr>
        <w:numPr>
          <w:ilvl w:val="0"/>
          <w:numId w:val="1"/>
        </w:numPr>
        <w:snapToGrid w:val="0"/>
        <w:spacing w:after="200" w:line="360" w:lineRule="auto"/>
        <w:contextualSpacing/>
        <w:jc w:val="both"/>
        <w:rPr>
          <w:rFonts w:ascii="David" w:hAnsi="David"/>
          <w:lang w:eastAsia="he-IL"/>
        </w:rPr>
      </w:pPr>
      <w:r w:rsidRPr="006E3790">
        <w:rPr>
          <w:rFonts w:ascii="David" w:hAnsi="David"/>
          <w:rtl/>
          <w:lang w:eastAsia="he-IL"/>
        </w:rPr>
        <w:t>ב</w:t>
      </w:r>
      <w:hyperlink r:id="rId24" w:history="1">
        <w:r w:rsidR="005E1751" w:rsidRPr="005E1751">
          <w:rPr>
            <w:rFonts w:ascii="David" w:hAnsi="David"/>
            <w:color w:val="0000FF"/>
            <w:u w:val="single"/>
            <w:rtl/>
            <w:lang w:eastAsia="he-IL"/>
          </w:rPr>
          <w:t>עפ"ג (ב"ש) 39979-05-21</w:t>
        </w:r>
      </w:hyperlink>
      <w:r w:rsidRPr="006E3790">
        <w:rPr>
          <w:rFonts w:ascii="David" w:hAnsi="David"/>
          <w:rtl/>
          <w:lang w:eastAsia="he-IL"/>
        </w:rPr>
        <w:t xml:space="preserve"> </w:t>
      </w:r>
      <w:r w:rsidRPr="006E3790">
        <w:rPr>
          <w:rFonts w:ascii="David" w:hAnsi="David"/>
          <w:b/>
          <w:bCs/>
          <w:rtl/>
          <w:lang w:eastAsia="he-IL"/>
        </w:rPr>
        <w:t>אגיבייב נ' מדינת ישראל</w:t>
      </w:r>
      <w:r w:rsidRPr="006E3790">
        <w:rPr>
          <w:rFonts w:ascii="David" w:hAnsi="David"/>
          <w:rtl/>
          <w:lang w:eastAsia="he-IL"/>
        </w:rPr>
        <w:t xml:space="preserve"> (9.9.2021), נדון ערעור על פסק דינו של מותב זה, שם הוטלו על הנאשם 28 חודשי מאסר בגין גידול של 1,800 שתילים בכמות כוללת של 12.5 ק"ג. הערעור נדחה, תוך שבית המשפט המחוזי ציין כי תחתית המתחם שנקבעה בגזר הדין (20 חודשי מאסר בפועל) נמוכה מדי. במתח שמתעורר תדיר בטיעוני הצדדים לעונש בין מספר השתילים לבין כמות הסם שנתפסה, קיבל בית המשפט המחוזי את האמירה העקרונית בגזר הדין, כי הנתון המלמד על פוטנציאל הנזק ועל מידת המעורבות בהיקף הגידול המסחרי הוא מספר השתילים ולא בהכרח משקל הסם שנתפס, נתון שהוא לעיתים קרובות מקרי ונובע מפעילות רשויות האכיפה ולא ממידת האשם של הנאשם. אכן, ככל שהשתילים שנתפסים הם בשלב בוגר יותר וקרובים יותר לגודלם הסופי, כך גדל פוטנציאל הנזק. הוא הדין מקום שבו במסגרת הגידול נתפסים גם סמים בשלבי גידול והפקה שונים, דבר המלמד על עומק המעורבות ומשך הזמן והעיסוק. </w:t>
      </w:r>
    </w:p>
    <w:p w14:paraId="5465D5A9" w14:textId="77777777" w:rsidR="00883A10" w:rsidRPr="006E3790" w:rsidRDefault="00883A10" w:rsidP="00883A10">
      <w:pPr>
        <w:snapToGrid w:val="0"/>
        <w:ind w:left="720"/>
        <w:contextualSpacing/>
        <w:rPr>
          <w:rFonts w:ascii="David" w:hAnsi="David"/>
          <w:rtl/>
          <w:lang w:eastAsia="he-IL"/>
        </w:rPr>
      </w:pPr>
    </w:p>
    <w:p w14:paraId="61C28F0E" w14:textId="77777777" w:rsidR="00883A10" w:rsidRPr="006E3790" w:rsidRDefault="00883A10" w:rsidP="00883A10">
      <w:pPr>
        <w:snapToGrid w:val="0"/>
        <w:spacing w:after="200" w:line="360" w:lineRule="auto"/>
        <w:ind w:left="360"/>
        <w:contextualSpacing/>
        <w:jc w:val="both"/>
        <w:rPr>
          <w:rFonts w:ascii="David" w:hAnsi="David"/>
          <w:rtl/>
          <w:lang w:eastAsia="he-IL"/>
        </w:rPr>
      </w:pPr>
      <w:r w:rsidRPr="006E3790">
        <w:rPr>
          <w:rFonts w:ascii="David" w:hAnsi="David"/>
          <w:rtl/>
          <w:lang w:eastAsia="he-IL"/>
        </w:rPr>
        <w:t xml:space="preserve">במקרה זה אין בפניי נתונים לגבי שלב הגידול ומצב השתילים, ולכן הנתון לגבי המשקל כשלעצמו איננו יכול לשמש כנתון מרכזי. כך קבע בית המשפט בפסק הדין: </w:t>
      </w:r>
      <w:r w:rsidRPr="006E3790">
        <w:rPr>
          <w:rFonts w:ascii="David" w:hAnsi="David"/>
          <w:b/>
          <w:bCs/>
          <w:rtl/>
          <w:lang w:eastAsia="he-IL"/>
        </w:rPr>
        <w:t>"... בעבירות של גידול, ייצור והחזקת סמים מסוכנים, ... מירב המשקל יינתן להיקף הגידול והחזקה של הסמים ולהיקף פוטנציאל לגידול בהחזקה לאור כמות השתילים שגידל הנאשם. כמו כן יינתן משקל למשאבים שהשקיע הנאשם על מנת לקדם הצלחת הגידול. המשקל של הסם בעבירות של גידול סמים, הגם שהוא רלוונטי, עדיין מדובר בנקודת זמן מקרית, היינו מועד גילוי העבירה על ידי המשטרה..."</w:t>
      </w:r>
      <w:r w:rsidRPr="006E3790">
        <w:rPr>
          <w:rFonts w:ascii="David" w:hAnsi="David"/>
          <w:rtl/>
          <w:lang w:eastAsia="he-IL"/>
        </w:rPr>
        <w:t>.</w:t>
      </w:r>
    </w:p>
    <w:p w14:paraId="7FF7040B" w14:textId="77777777" w:rsidR="00883A10" w:rsidRPr="006E3790" w:rsidRDefault="00883A10" w:rsidP="00883A10">
      <w:pPr>
        <w:snapToGrid w:val="0"/>
        <w:spacing w:after="200" w:line="360" w:lineRule="auto"/>
        <w:ind w:left="360"/>
        <w:contextualSpacing/>
        <w:jc w:val="both"/>
        <w:rPr>
          <w:rFonts w:ascii="David" w:hAnsi="David"/>
          <w:lang w:eastAsia="he-IL"/>
        </w:rPr>
      </w:pPr>
    </w:p>
    <w:p w14:paraId="426312C8" w14:textId="77777777" w:rsidR="00883A10" w:rsidRPr="006E3790" w:rsidRDefault="00883A10" w:rsidP="00883A10">
      <w:pPr>
        <w:numPr>
          <w:ilvl w:val="0"/>
          <w:numId w:val="1"/>
        </w:numPr>
        <w:snapToGrid w:val="0"/>
        <w:spacing w:after="200" w:line="360" w:lineRule="auto"/>
        <w:contextualSpacing/>
        <w:jc w:val="both"/>
        <w:rPr>
          <w:rFonts w:ascii="David" w:hAnsi="David"/>
          <w:lang w:eastAsia="he-IL"/>
        </w:rPr>
      </w:pPr>
      <w:r w:rsidRPr="006E3790">
        <w:rPr>
          <w:rFonts w:ascii="David" w:hAnsi="David"/>
          <w:rtl/>
          <w:lang w:eastAsia="he-IL"/>
        </w:rPr>
        <w:t xml:space="preserve">אשר על כן, המקרה שבפניי, הגם שמדובר בגידול בהיקף מסחרי ובהשקעה משמעותית בזמן, בתשתיות ובממון, מדובר בהיקף גידול פחות מזה שבעניין אגיבייב הנ"ל. מאידך גיסא, כאמור, במקרה זה קיימת פגיעה נוספת בערכים מוגנים עקב הפגיעה שנגרמה לנכס המושכר וגניבת החשמל. </w:t>
      </w:r>
    </w:p>
    <w:p w14:paraId="6DD45500" w14:textId="77777777" w:rsidR="00883A10" w:rsidRPr="006E3790" w:rsidRDefault="00883A10" w:rsidP="00883A10">
      <w:pPr>
        <w:snapToGrid w:val="0"/>
        <w:spacing w:after="200"/>
        <w:ind w:left="360"/>
        <w:contextualSpacing/>
        <w:jc w:val="both"/>
        <w:rPr>
          <w:rFonts w:ascii="David" w:hAnsi="David"/>
          <w:lang w:eastAsia="he-IL"/>
        </w:rPr>
      </w:pPr>
    </w:p>
    <w:p w14:paraId="05CDD2BF" w14:textId="77777777" w:rsidR="00883A10" w:rsidRPr="006E3790" w:rsidRDefault="00883A10" w:rsidP="00883A10">
      <w:pPr>
        <w:numPr>
          <w:ilvl w:val="0"/>
          <w:numId w:val="1"/>
        </w:numPr>
        <w:snapToGrid w:val="0"/>
        <w:spacing w:after="200" w:line="360" w:lineRule="auto"/>
        <w:contextualSpacing/>
        <w:jc w:val="both"/>
        <w:rPr>
          <w:rFonts w:ascii="David" w:hAnsi="David"/>
          <w:lang w:eastAsia="he-IL"/>
        </w:rPr>
      </w:pPr>
      <w:r w:rsidRPr="006E3790">
        <w:rPr>
          <w:rFonts w:ascii="David" w:hAnsi="David"/>
          <w:rtl/>
          <w:lang w:eastAsia="he-IL"/>
        </w:rPr>
        <w:t xml:space="preserve">בנסיבות אלה, האסמכתאות אליהן הפנו הצדדים מזה ומזה, אכן מלמדות על מנעד נרחב בהטלת עונשים בעבירות דומות, כאשר לעיתים בתי המשפט מתייחסים יותר למשקל הסם ולעיתים לכמות השתילים. אכן, למתחמים להם טענו הצדדים מזה ומזה ניתן למצוא ביסוס באישור בפסיקה הרווחת. </w:t>
      </w:r>
    </w:p>
    <w:p w14:paraId="441A92AC" w14:textId="77777777" w:rsidR="00883A10" w:rsidRPr="006E3790" w:rsidRDefault="00883A10" w:rsidP="00883A10">
      <w:pPr>
        <w:snapToGrid w:val="0"/>
        <w:ind w:left="720"/>
        <w:contextualSpacing/>
        <w:rPr>
          <w:rFonts w:ascii="David" w:hAnsi="David"/>
          <w:rtl/>
          <w:lang w:eastAsia="he-IL"/>
        </w:rPr>
      </w:pPr>
    </w:p>
    <w:p w14:paraId="4A79AD8C" w14:textId="77777777" w:rsidR="00883A10" w:rsidRPr="006E3790" w:rsidRDefault="00883A10" w:rsidP="00883A10">
      <w:pPr>
        <w:numPr>
          <w:ilvl w:val="0"/>
          <w:numId w:val="1"/>
        </w:numPr>
        <w:snapToGrid w:val="0"/>
        <w:spacing w:after="200" w:line="360" w:lineRule="auto"/>
        <w:contextualSpacing/>
        <w:jc w:val="both"/>
        <w:rPr>
          <w:rFonts w:ascii="David" w:hAnsi="David"/>
          <w:lang w:eastAsia="he-IL"/>
        </w:rPr>
      </w:pPr>
      <w:r w:rsidRPr="006E3790">
        <w:rPr>
          <w:rFonts w:ascii="David" w:hAnsi="David"/>
          <w:rtl/>
          <w:lang w:eastAsia="he-IL"/>
        </w:rPr>
        <w:t xml:space="preserve">עם זאת, מקובלת עליי עמדתה העקרונית של המאשימה המשתקפת היטב גם בהנחיית בית המשפט המחוזי בעניין אגיבייב הנ"ל, כי בהעדר שיקולי שיקום משמעותיים או שיקולים מובהקים אחרים המשפיעים על קביעת המתחם, מגדלי הסמים צריכים להישלח במסגרת גזר הדין לתקופת מאסר משמעותית מאחורי סורג ובריח. כלומר, מתחם העונש ההולם איננו יכול כעניין עקרוני להתחיל מעונש שאותו ניתן לבצע בעבודות שירות. </w:t>
      </w:r>
    </w:p>
    <w:p w14:paraId="39039E44" w14:textId="77777777" w:rsidR="00883A10" w:rsidRPr="006E3790" w:rsidRDefault="00883A10" w:rsidP="00883A10">
      <w:pPr>
        <w:snapToGrid w:val="0"/>
        <w:ind w:left="720"/>
        <w:contextualSpacing/>
        <w:rPr>
          <w:rFonts w:ascii="David" w:hAnsi="David"/>
          <w:rtl/>
          <w:lang w:eastAsia="he-IL"/>
        </w:rPr>
      </w:pPr>
    </w:p>
    <w:p w14:paraId="5ADB5857" w14:textId="77777777" w:rsidR="00883A10" w:rsidRPr="006E3790" w:rsidRDefault="00883A10" w:rsidP="00883A10">
      <w:pPr>
        <w:numPr>
          <w:ilvl w:val="0"/>
          <w:numId w:val="1"/>
        </w:numPr>
        <w:snapToGrid w:val="0"/>
        <w:spacing w:after="200" w:line="360" w:lineRule="auto"/>
        <w:contextualSpacing/>
        <w:jc w:val="both"/>
        <w:rPr>
          <w:rFonts w:ascii="David" w:hAnsi="David"/>
          <w:lang w:eastAsia="he-IL"/>
        </w:rPr>
      </w:pPr>
      <w:r w:rsidRPr="006E3790">
        <w:rPr>
          <w:rFonts w:ascii="David" w:hAnsi="David"/>
          <w:rtl/>
          <w:lang w:eastAsia="he-IL"/>
        </w:rPr>
        <w:t>מתחם ענישה הכולל גם מאסר לריצוי בדרך של עבודות שירות יכול להתאים לגידול סם שעל פני הדברים איננו גידול מסחרי (השוו למשל פסק דינו של מותב זה ב</w:t>
      </w:r>
      <w:hyperlink r:id="rId25" w:history="1">
        <w:r w:rsidR="005E1751" w:rsidRPr="005E1751">
          <w:rPr>
            <w:rFonts w:ascii="David" w:hAnsi="David"/>
            <w:color w:val="0000FF"/>
            <w:u w:val="single"/>
            <w:rtl/>
            <w:lang w:eastAsia="he-IL"/>
          </w:rPr>
          <w:t>ת"פ 38311-03-20</w:t>
        </w:r>
      </w:hyperlink>
      <w:r w:rsidRPr="006E3790">
        <w:rPr>
          <w:rFonts w:ascii="David" w:hAnsi="David"/>
          <w:rtl/>
          <w:lang w:eastAsia="he-IL"/>
        </w:rPr>
        <w:t xml:space="preserve"> בעניינו של </w:t>
      </w:r>
      <w:r w:rsidRPr="006E3790">
        <w:rPr>
          <w:rFonts w:ascii="David" w:hAnsi="David"/>
          <w:b/>
          <w:bCs/>
          <w:rtl/>
          <w:lang w:eastAsia="he-IL"/>
        </w:rPr>
        <w:t>אבו רקייק</w:t>
      </w:r>
      <w:r w:rsidRPr="006E3790">
        <w:rPr>
          <w:rFonts w:ascii="David" w:hAnsi="David"/>
          <w:rtl/>
          <w:lang w:eastAsia="he-IL"/>
        </w:rPr>
        <w:t xml:space="preserve">, שם גידל הנאשם בביתו 24 שתילי סם קנבוס במעבדה מאולתרת וכן החזיק קנבוס וחשיש במשקל כולל של כ-150 גרם ונקבע מתחם ענישה של 6 עד 18 חודשי מאסר בפועל). </w:t>
      </w:r>
    </w:p>
    <w:p w14:paraId="2BD8DFF1" w14:textId="77777777" w:rsidR="00883A10" w:rsidRPr="006E3790" w:rsidRDefault="00883A10" w:rsidP="00883A10">
      <w:pPr>
        <w:snapToGrid w:val="0"/>
        <w:ind w:left="720"/>
        <w:contextualSpacing/>
        <w:rPr>
          <w:rFonts w:ascii="David" w:hAnsi="David"/>
          <w:rtl/>
          <w:lang w:eastAsia="he-IL"/>
        </w:rPr>
      </w:pPr>
    </w:p>
    <w:p w14:paraId="3A13EE54" w14:textId="77777777" w:rsidR="00883A10" w:rsidRPr="006E3790" w:rsidRDefault="00883A10" w:rsidP="00883A10">
      <w:pPr>
        <w:numPr>
          <w:ilvl w:val="0"/>
          <w:numId w:val="1"/>
        </w:numPr>
        <w:snapToGrid w:val="0"/>
        <w:spacing w:after="200" w:line="360" w:lineRule="auto"/>
        <w:contextualSpacing/>
        <w:jc w:val="both"/>
        <w:rPr>
          <w:rFonts w:ascii="David" w:hAnsi="David"/>
          <w:b/>
          <w:bCs/>
          <w:lang w:eastAsia="he-IL"/>
        </w:rPr>
      </w:pPr>
      <w:r w:rsidRPr="006E3790">
        <w:rPr>
          <w:rFonts w:ascii="David" w:hAnsi="David"/>
          <w:b/>
          <w:bCs/>
          <w:rtl/>
          <w:lang w:eastAsia="he-IL"/>
        </w:rPr>
        <w:t xml:space="preserve">נוכח כל האמור לעיל, מתחם העונש ההולם במקרה זה הינו 18 עד 30 חודשי מאסר בפועל. </w:t>
      </w:r>
    </w:p>
    <w:p w14:paraId="29AAD4D3" w14:textId="77777777" w:rsidR="00883A10" w:rsidRPr="006E3790" w:rsidRDefault="00883A10" w:rsidP="00883A10">
      <w:pPr>
        <w:spacing w:line="360" w:lineRule="auto"/>
        <w:jc w:val="both"/>
        <w:rPr>
          <w:rFonts w:ascii="David" w:hAnsi="David"/>
          <w:b/>
          <w:bCs/>
          <w:rtl/>
        </w:rPr>
      </w:pPr>
    </w:p>
    <w:p w14:paraId="19B360FF" w14:textId="77777777" w:rsidR="00883A10" w:rsidRPr="006E3790" w:rsidRDefault="00883A10" w:rsidP="00883A10">
      <w:pPr>
        <w:spacing w:line="360" w:lineRule="auto"/>
        <w:rPr>
          <w:rFonts w:ascii="David" w:hAnsi="David"/>
          <w:b/>
          <w:bCs/>
          <w:szCs w:val="22"/>
          <w:u w:val="single"/>
          <w:rtl/>
        </w:rPr>
      </w:pPr>
      <w:r w:rsidRPr="006E3790">
        <w:rPr>
          <w:rFonts w:ascii="David" w:hAnsi="David"/>
          <w:b/>
          <w:bCs/>
          <w:szCs w:val="22"/>
          <w:u w:val="single"/>
          <w:rtl/>
        </w:rPr>
        <w:t>סטייה ממתחם העונש ההולם משיקולי שיקום</w:t>
      </w:r>
      <w:r w:rsidRPr="006E3790">
        <w:rPr>
          <w:rFonts w:ascii="David" w:hAnsi="David"/>
          <w:b/>
          <w:bCs/>
          <w:szCs w:val="22"/>
          <w:u w:val="single"/>
        </w:rPr>
        <w:t>:</w:t>
      </w:r>
    </w:p>
    <w:p w14:paraId="119CCEE9" w14:textId="77777777" w:rsidR="00883A10" w:rsidRPr="006E3790" w:rsidRDefault="00883A10" w:rsidP="00883A10">
      <w:pPr>
        <w:rPr>
          <w:rFonts w:ascii="David" w:hAnsi="David"/>
          <w:b/>
          <w:bCs/>
          <w:szCs w:val="22"/>
          <w:u w:val="single"/>
        </w:rPr>
      </w:pPr>
    </w:p>
    <w:p w14:paraId="47BA83EE" w14:textId="77777777" w:rsidR="00883A10" w:rsidRPr="006E3790" w:rsidRDefault="00883A10" w:rsidP="00883A10">
      <w:pPr>
        <w:numPr>
          <w:ilvl w:val="0"/>
          <w:numId w:val="1"/>
        </w:numPr>
        <w:snapToGrid w:val="0"/>
        <w:spacing w:line="360" w:lineRule="auto"/>
        <w:contextualSpacing/>
        <w:jc w:val="both"/>
        <w:rPr>
          <w:lang w:eastAsia="he-IL"/>
        </w:rPr>
      </w:pPr>
      <w:r w:rsidRPr="006E3790">
        <w:rPr>
          <w:rFonts w:ascii="David" w:hAnsi="David"/>
          <w:rtl/>
          <w:lang w:eastAsia="he-IL"/>
        </w:rPr>
        <w:t xml:space="preserve">על פי </w:t>
      </w:r>
      <w:hyperlink r:id="rId26" w:history="1">
        <w:r w:rsidR="00D46D63" w:rsidRPr="00D46D63">
          <w:rPr>
            <w:rStyle w:val="Hyperlink"/>
            <w:rFonts w:ascii="David" w:hAnsi="David"/>
            <w:rtl/>
            <w:lang w:eastAsia="he-IL"/>
          </w:rPr>
          <w:t>סעיף 40ד(א)</w:t>
        </w:r>
      </w:hyperlink>
      <w:r w:rsidRPr="006E3790">
        <w:rPr>
          <w:rFonts w:ascii="David" w:hAnsi="David"/>
          <w:rtl/>
          <w:lang w:eastAsia="he-IL"/>
        </w:rPr>
        <w:t xml:space="preserve"> ל</w:t>
      </w:r>
      <w:hyperlink r:id="rId27" w:history="1">
        <w:r w:rsidR="005E1751" w:rsidRPr="005E1751">
          <w:rPr>
            <w:rFonts w:ascii="David" w:hAnsi="David"/>
            <w:color w:val="0000FF"/>
            <w:u w:val="single"/>
            <w:rtl/>
            <w:lang w:eastAsia="he-IL"/>
          </w:rPr>
          <w:t>חוק העונשין</w:t>
        </w:r>
      </w:hyperlink>
      <w:r w:rsidRPr="006E3790">
        <w:rPr>
          <w:rFonts w:ascii="David" w:hAnsi="David"/>
          <w:rtl/>
          <w:lang w:eastAsia="he-IL"/>
        </w:rPr>
        <w:t xml:space="preserve">: </w:t>
      </w:r>
      <w:r w:rsidRPr="006E3790">
        <w:rPr>
          <w:rFonts w:ascii="Miriam" w:hAnsi="Miriam"/>
          <w:rtl/>
          <w:lang w:eastAsia="he-IL"/>
        </w:rPr>
        <w:t>"</w:t>
      </w:r>
      <w:r w:rsidRPr="006E3790">
        <w:rPr>
          <w:rFonts w:ascii="Miriam" w:hAnsi="Miriam" w:hint="eastAsia"/>
          <w:b/>
          <w:bCs/>
          <w:rtl/>
          <w:lang w:eastAsia="he-IL"/>
        </w:rPr>
        <w:t>קבע</w:t>
      </w:r>
      <w:r w:rsidRPr="006E3790">
        <w:rPr>
          <w:rFonts w:ascii="Miriam" w:hAnsi="Miriam"/>
          <w:b/>
          <w:bCs/>
          <w:rtl/>
          <w:lang w:eastAsia="he-IL"/>
        </w:rPr>
        <w:t xml:space="preserve"> </w:t>
      </w:r>
      <w:r w:rsidRPr="006E3790">
        <w:rPr>
          <w:rFonts w:ascii="Miriam" w:hAnsi="Miriam" w:hint="eastAsia"/>
          <w:b/>
          <w:bCs/>
          <w:rtl/>
          <w:lang w:eastAsia="he-IL"/>
        </w:rPr>
        <w:t>בית</w:t>
      </w:r>
      <w:r w:rsidRPr="006E3790">
        <w:rPr>
          <w:rFonts w:ascii="Miriam" w:hAnsi="Miriam"/>
          <w:b/>
          <w:bCs/>
          <w:rtl/>
          <w:lang w:eastAsia="he-IL"/>
        </w:rPr>
        <w:t xml:space="preserve"> </w:t>
      </w:r>
      <w:r w:rsidRPr="006E3790">
        <w:rPr>
          <w:rFonts w:ascii="Miriam" w:hAnsi="Miriam" w:hint="eastAsia"/>
          <w:b/>
          <w:bCs/>
          <w:rtl/>
          <w:lang w:eastAsia="he-IL"/>
        </w:rPr>
        <w:t>המשפט</w:t>
      </w:r>
      <w:r w:rsidRPr="006E3790">
        <w:rPr>
          <w:rFonts w:ascii="Miriam" w:hAnsi="Miriam"/>
          <w:b/>
          <w:bCs/>
          <w:rtl/>
          <w:lang w:eastAsia="he-IL"/>
        </w:rPr>
        <w:t xml:space="preserve"> </w:t>
      </w:r>
      <w:r w:rsidRPr="006E3790">
        <w:rPr>
          <w:rFonts w:ascii="Miriam" w:hAnsi="Miriam" w:hint="eastAsia"/>
          <w:b/>
          <w:bCs/>
          <w:rtl/>
          <w:lang w:eastAsia="he-IL"/>
        </w:rPr>
        <w:t>את</w:t>
      </w:r>
      <w:r w:rsidRPr="006E3790">
        <w:rPr>
          <w:rFonts w:ascii="Miriam" w:hAnsi="Miriam"/>
          <w:b/>
          <w:bCs/>
          <w:rtl/>
          <w:lang w:eastAsia="he-IL"/>
        </w:rPr>
        <w:t xml:space="preserve"> </w:t>
      </w:r>
      <w:r w:rsidRPr="006E3790">
        <w:rPr>
          <w:rFonts w:ascii="Miriam" w:hAnsi="Miriam" w:hint="eastAsia"/>
          <w:b/>
          <w:bCs/>
          <w:rtl/>
          <w:lang w:eastAsia="he-IL"/>
        </w:rPr>
        <w:t>מתחם</w:t>
      </w:r>
      <w:r w:rsidRPr="006E3790">
        <w:rPr>
          <w:rFonts w:ascii="Miriam" w:hAnsi="Miriam"/>
          <w:b/>
          <w:bCs/>
          <w:rtl/>
          <w:lang w:eastAsia="he-IL"/>
        </w:rPr>
        <w:t xml:space="preserve"> </w:t>
      </w:r>
      <w:r w:rsidRPr="006E3790">
        <w:rPr>
          <w:rFonts w:ascii="Miriam" w:hAnsi="Miriam" w:hint="eastAsia"/>
          <w:b/>
          <w:bCs/>
          <w:rtl/>
          <w:lang w:eastAsia="he-IL"/>
        </w:rPr>
        <w:t>העונש</w:t>
      </w:r>
      <w:r w:rsidRPr="006E3790">
        <w:rPr>
          <w:rFonts w:ascii="Miriam" w:hAnsi="Miriam"/>
          <w:b/>
          <w:bCs/>
          <w:rtl/>
          <w:lang w:eastAsia="he-IL"/>
        </w:rPr>
        <w:t xml:space="preserve"> </w:t>
      </w:r>
      <w:r w:rsidRPr="006E3790">
        <w:rPr>
          <w:rFonts w:ascii="Miriam" w:hAnsi="Miriam" w:hint="eastAsia"/>
          <w:b/>
          <w:bCs/>
          <w:rtl/>
          <w:lang w:eastAsia="he-IL"/>
        </w:rPr>
        <w:t>ההולם</w:t>
      </w:r>
      <w:r w:rsidRPr="006E3790">
        <w:rPr>
          <w:rFonts w:ascii="Miriam" w:hAnsi="Miriam"/>
          <w:b/>
          <w:bCs/>
          <w:rtl/>
          <w:lang w:eastAsia="he-IL"/>
        </w:rPr>
        <w:t xml:space="preserve"> </w:t>
      </w:r>
      <w:r w:rsidRPr="006E3790">
        <w:rPr>
          <w:rFonts w:ascii="Miriam" w:hAnsi="Miriam" w:hint="eastAsia"/>
          <w:b/>
          <w:bCs/>
          <w:rtl/>
          <w:lang w:eastAsia="he-IL"/>
        </w:rPr>
        <w:t>בהתאם</w:t>
      </w:r>
      <w:r w:rsidRPr="006E3790">
        <w:rPr>
          <w:rFonts w:ascii="Miriam" w:hAnsi="Miriam"/>
          <w:b/>
          <w:bCs/>
          <w:rtl/>
          <w:lang w:eastAsia="he-IL"/>
        </w:rPr>
        <w:t xml:space="preserve"> </w:t>
      </w:r>
      <w:r w:rsidRPr="006E3790">
        <w:rPr>
          <w:rFonts w:ascii="Miriam" w:hAnsi="Miriam" w:hint="eastAsia"/>
          <w:b/>
          <w:bCs/>
          <w:rtl/>
          <w:lang w:eastAsia="he-IL"/>
        </w:rPr>
        <w:t>לעיקרון</w:t>
      </w:r>
      <w:r w:rsidRPr="006E3790">
        <w:rPr>
          <w:rFonts w:ascii="Miriam" w:hAnsi="Miriam"/>
          <w:b/>
          <w:bCs/>
          <w:rtl/>
          <w:lang w:eastAsia="he-IL"/>
        </w:rPr>
        <w:t xml:space="preserve"> </w:t>
      </w:r>
      <w:r w:rsidRPr="006E3790">
        <w:rPr>
          <w:rFonts w:ascii="Miriam" w:hAnsi="Miriam" w:hint="eastAsia"/>
          <w:b/>
          <w:bCs/>
          <w:rtl/>
          <w:lang w:eastAsia="he-IL"/>
        </w:rPr>
        <w:t>המנחה</w:t>
      </w:r>
      <w:r w:rsidRPr="006E3790">
        <w:rPr>
          <w:rFonts w:ascii="Miriam" w:hAnsi="Miriam"/>
          <w:b/>
          <w:bCs/>
          <w:rtl/>
          <w:lang w:eastAsia="he-IL"/>
        </w:rPr>
        <w:t xml:space="preserve"> </w:t>
      </w:r>
      <w:r w:rsidRPr="006E3790">
        <w:rPr>
          <w:rFonts w:ascii="Miriam" w:hAnsi="Miriam" w:hint="eastAsia"/>
          <w:b/>
          <w:bCs/>
          <w:rtl/>
          <w:lang w:eastAsia="he-IL"/>
        </w:rPr>
        <w:t>ומצא</w:t>
      </w:r>
      <w:r w:rsidRPr="006E3790">
        <w:rPr>
          <w:rFonts w:ascii="Miriam" w:hAnsi="Miriam"/>
          <w:b/>
          <w:bCs/>
          <w:rtl/>
          <w:lang w:eastAsia="he-IL"/>
        </w:rPr>
        <w:t xml:space="preserve"> </w:t>
      </w:r>
      <w:r w:rsidRPr="006E3790">
        <w:rPr>
          <w:rFonts w:ascii="Miriam" w:hAnsi="Miriam" w:hint="eastAsia"/>
          <w:b/>
          <w:bCs/>
          <w:rtl/>
          <w:lang w:eastAsia="he-IL"/>
        </w:rPr>
        <w:t>כי</w:t>
      </w:r>
      <w:r w:rsidRPr="006E3790">
        <w:rPr>
          <w:rFonts w:ascii="Miriam" w:hAnsi="Miriam"/>
          <w:b/>
          <w:bCs/>
          <w:rtl/>
          <w:lang w:eastAsia="he-IL"/>
        </w:rPr>
        <w:t xml:space="preserve"> </w:t>
      </w:r>
      <w:r w:rsidRPr="006E3790">
        <w:rPr>
          <w:rFonts w:ascii="Miriam" w:hAnsi="Miriam" w:hint="eastAsia"/>
          <w:b/>
          <w:bCs/>
          <w:rtl/>
          <w:lang w:eastAsia="he-IL"/>
        </w:rPr>
        <w:t>הנאשם</w:t>
      </w:r>
      <w:r w:rsidRPr="006E3790">
        <w:rPr>
          <w:rFonts w:ascii="Miriam" w:hAnsi="Miriam"/>
          <w:b/>
          <w:bCs/>
          <w:rtl/>
          <w:lang w:eastAsia="he-IL"/>
        </w:rPr>
        <w:t xml:space="preserve"> </w:t>
      </w:r>
      <w:r w:rsidRPr="006E3790">
        <w:rPr>
          <w:rFonts w:ascii="Miriam" w:hAnsi="Miriam" w:hint="eastAsia"/>
          <w:b/>
          <w:bCs/>
          <w:rtl/>
          <w:lang w:eastAsia="he-IL"/>
        </w:rPr>
        <w:t>השתקם</w:t>
      </w:r>
      <w:r w:rsidRPr="006E3790">
        <w:rPr>
          <w:rFonts w:ascii="Miriam" w:hAnsi="Miriam"/>
          <w:b/>
          <w:bCs/>
          <w:rtl/>
          <w:lang w:eastAsia="he-IL"/>
        </w:rPr>
        <w:t xml:space="preserve"> </w:t>
      </w:r>
      <w:r w:rsidRPr="006E3790">
        <w:rPr>
          <w:rFonts w:ascii="Miriam" w:hAnsi="Miriam" w:hint="eastAsia"/>
          <w:b/>
          <w:bCs/>
          <w:rtl/>
          <w:lang w:eastAsia="he-IL"/>
        </w:rPr>
        <w:t>או</w:t>
      </w:r>
      <w:r w:rsidRPr="006E3790">
        <w:rPr>
          <w:rFonts w:ascii="Miriam" w:hAnsi="Miriam"/>
          <w:b/>
          <w:bCs/>
          <w:rtl/>
          <w:lang w:eastAsia="he-IL"/>
        </w:rPr>
        <w:t xml:space="preserve"> </w:t>
      </w:r>
      <w:r w:rsidRPr="006E3790">
        <w:rPr>
          <w:rFonts w:ascii="Miriam" w:hAnsi="Miriam" w:hint="eastAsia"/>
          <w:b/>
          <w:bCs/>
          <w:rtl/>
          <w:lang w:eastAsia="he-IL"/>
        </w:rPr>
        <w:t>כי</w:t>
      </w:r>
      <w:r w:rsidRPr="006E3790">
        <w:rPr>
          <w:rFonts w:ascii="Miriam" w:hAnsi="Miriam"/>
          <w:b/>
          <w:bCs/>
          <w:rtl/>
          <w:lang w:eastAsia="he-IL"/>
        </w:rPr>
        <w:t xml:space="preserve"> </w:t>
      </w:r>
      <w:r w:rsidRPr="006E3790">
        <w:rPr>
          <w:rFonts w:ascii="Miriam" w:hAnsi="Miriam" w:hint="eastAsia"/>
          <w:b/>
          <w:bCs/>
          <w:rtl/>
          <w:lang w:eastAsia="he-IL"/>
        </w:rPr>
        <w:t>יש</w:t>
      </w:r>
      <w:r w:rsidRPr="006E3790">
        <w:rPr>
          <w:rFonts w:ascii="Miriam" w:hAnsi="Miriam"/>
          <w:b/>
          <w:bCs/>
          <w:rtl/>
          <w:lang w:eastAsia="he-IL"/>
        </w:rPr>
        <w:t xml:space="preserve"> </w:t>
      </w:r>
      <w:r w:rsidRPr="006E3790">
        <w:rPr>
          <w:rFonts w:ascii="Miriam" w:hAnsi="Miriam" w:hint="eastAsia"/>
          <w:b/>
          <w:bCs/>
          <w:rtl/>
          <w:lang w:eastAsia="he-IL"/>
        </w:rPr>
        <w:t>סיכוי</w:t>
      </w:r>
      <w:r w:rsidRPr="006E3790">
        <w:rPr>
          <w:rFonts w:ascii="Miriam" w:hAnsi="Miriam"/>
          <w:b/>
          <w:bCs/>
          <w:rtl/>
          <w:lang w:eastAsia="he-IL"/>
        </w:rPr>
        <w:t xml:space="preserve"> </w:t>
      </w:r>
      <w:r w:rsidRPr="006E3790">
        <w:rPr>
          <w:rFonts w:ascii="Miriam" w:hAnsi="Miriam" w:hint="eastAsia"/>
          <w:b/>
          <w:bCs/>
          <w:rtl/>
          <w:lang w:eastAsia="he-IL"/>
        </w:rPr>
        <w:t>של</w:t>
      </w:r>
      <w:r w:rsidRPr="006E3790">
        <w:rPr>
          <w:rFonts w:ascii="Miriam" w:hAnsi="Miriam"/>
          <w:b/>
          <w:bCs/>
          <w:rtl/>
          <w:lang w:eastAsia="he-IL"/>
        </w:rPr>
        <w:t xml:space="preserve"> </w:t>
      </w:r>
      <w:r w:rsidRPr="006E3790">
        <w:rPr>
          <w:rFonts w:ascii="Miriam" w:hAnsi="Miriam" w:hint="eastAsia"/>
          <w:b/>
          <w:bCs/>
          <w:rtl/>
          <w:lang w:eastAsia="he-IL"/>
        </w:rPr>
        <w:t>ממש</w:t>
      </w:r>
      <w:r w:rsidRPr="006E3790">
        <w:rPr>
          <w:rFonts w:ascii="Miriam" w:hAnsi="Miriam"/>
          <w:b/>
          <w:bCs/>
          <w:rtl/>
          <w:lang w:eastAsia="he-IL"/>
        </w:rPr>
        <w:t xml:space="preserve"> </w:t>
      </w:r>
      <w:r w:rsidRPr="006E3790">
        <w:rPr>
          <w:rFonts w:ascii="Miriam" w:hAnsi="Miriam" w:hint="eastAsia"/>
          <w:b/>
          <w:bCs/>
          <w:rtl/>
          <w:lang w:eastAsia="he-IL"/>
        </w:rPr>
        <w:t>שישתקם</w:t>
      </w:r>
      <w:r w:rsidRPr="006E3790">
        <w:rPr>
          <w:rFonts w:ascii="Miriam" w:hAnsi="Miriam"/>
          <w:b/>
          <w:bCs/>
          <w:rtl/>
          <w:lang w:eastAsia="he-IL"/>
        </w:rPr>
        <w:t xml:space="preserve">, </w:t>
      </w:r>
      <w:r w:rsidRPr="006E3790">
        <w:rPr>
          <w:rFonts w:ascii="Miriam" w:hAnsi="Miriam" w:hint="eastAsia"/>
          <w:b/>
          <w:bCs/>
          <w:rtl/>
          <w:lang w:eastAsia="he-IL"/>
        </w:rPr>
        <w:t>רשאי</w:t>
      </w:r>
      <w:r w:rsidRPr="006E3790">
        <w:rPr>
          <w:rFonts w:ascii="Miriam" w:hAnsi="Miriam"/>
          <w:b/>
          <w:bCs/>
          <w:rtl/>
          <w:lang w:eastAsia="he-IL"/>
        </w:rPr>
        <w:t xml:space="preserve"> </w:t>
      </w:r>
      <w:r w:rsidRPr="006E3790">
        <w:rPr>
          <w:rFonts w:ascii="Miriam" w:hAnsi="Miriam" w:hint="eastAsia"/>
          <w:b/>
          <w:bCs/>
          <w:rtl/>
          <w:lang w:eastAsia="he-IL"/>
        </w:rPr>
        <w:t>הוא</w:t>
      </w:r>
      <w:r w:rsidRPr="006E3790">
        <w:rPr>
          <w:rFonts w:ascii="Miriam" w:hAnsi="Miriam"/>
          <w:b/>
          <w:bCs/>
          <w:rtl/>
          <w:lang w:eastAsia="he-IL"/>
        </w:rPr>
        <w:t xml:space="preserve"> </w:t>
      </w:r>
      <w:r w:rsidRPr="006E3790">
        <w:rPr>
          <w:rFonts w:ascii="Miriam" w:hAnsi="Miriam" w:hint="eastAsia"/>
          <w:b/>
          <w:bCs/>
          <w:rtl/>
          <w:lang w:eastAsia="he-IL"/>
        </w:rPr>
        <w:t>לחרוג</w:t>
      </w:r>
      <w:r w:rsidRPr="006E3790">
        <w:rPr>
          <w:rFonts w:ascii="Miriam" w:hAnsi="Miriam"/>
          <w:b/>
          <w:bCs/>
          <w:rtl/>
          <w:lang w:eastAsia="he-IL"/>
        </w:rPr>
        <w:t xml:space="preserve"> </w:t>
      </w:r>
      <w:r w:rsidRPr="006E3790">
        <w:rPr>
          <w:rFonts w:ascii="Miriam" w:hAnsi="Miriam" w:hint="eastAsia"/>
          <w:b/>
          <w:bCs/>
          <w:rtl/>
          <w:lang w:eastAsia="he-IL"/>
        </w:rPr>
        <w:t>ממתחם</w:t>
      </w:r>
      <w:r w:rsidRPr="006E3790">
        <w:rPr>
          <w:rFonts w:ascii="Miriam" w:hAnsi="Miriam"/>
          <w:b/>
          <w:bCs/>
          <w:rtl/>
          <w:lang w:eastAsia="he-IL"/>
        </w:rPr>
        <w:t xml:space="preserve"> </w:t>
      </w:r>
      <w:r w:rsidRPr="006E3790">
        <w:rPr>
          <w:rFonts w:ascii="Miriam" w:hAnsi="Miriam" w:hint="eastAsia"/>
          <w:b/>
          <w:bCs/>
          <w:rtl/>
          <w:lang w:eastAsia="he-IL"/>
        </w:rPr>
        <w:t>העונש</w:t>
      </w:r>
      <w:r w:rsidRPr="006E3790">
        <w:rPr>
          <w:rFonts w:ascii="Miriam" w:hAnsi="Miriam"/>
          <w:b/>
          <w:bCs/>
          <w:rtl/>
          <w:lang w:eastAsia="he-IL"/>
        </w:rPr>
        <w:t xml:space="preserve"> </w:t>
      </w:r>
      <w:r w:rsidRPr="006E3790">
        <w:rPr>
          <w:rFonts w:ascii="Miriam" w:hAnsi="Miriam" w:hint="eastAsia"/>
          <w:b/>
          <w:bCs/>
          <w:rtl/>
          <w:lang w:eastAsia="he-IL"/>
        </w:rPr>
        <w:t>ההולם</w:t>
      </w:r>
      <w:r w:rsidRPr="006E3790">
        <w:rPr>
          <w:rFonts w:ascii="Miriam" w:hAnsi="Miriam"/>
          <w:b/>
          <w:bCs/>
          <w:rtl/>
          <w:lang w:eastAsia="he-IL"/>
        </w:rPr>
        <w:t xml:space="preserve"> </w:t>
      </w:r>
      <w:r w:rsidRPr="006E3790">
        <w:rPr>
          <w:rFonts w:ascii="Miriam" w:hAnsi="Miriam" w:hint="eastAsia"/>
          <w:b/>
          <w:bCs/>
          <w:rtl/>
          <w:lang w:eastAsia="he-IL"/>
        </w:rPr>
        <w:t>ולקבוע</w:t>
      </w:r>
      <w:r w:rsidRPr="006E3790">
        <w:rPr>
          <w:rFonts w:ascii="Miriam" w:hAnsi="Miriam"/>
          <w:b/>
          <w:bCs/>
          <w:rtl/>
          <w:lang w:eastAsia="he-IL"/>
        </w:rPr>
        <w:t xml:space="preserve"> </w:t>
      </w:r>
      <w:r w:rsidRPr="006E3790">
        <w:rPr>
          <w:rFonts w:ascii="Miriam" w:hAnsi="Miriam" w:hint="eastAsia"/>
          <w:b/>
          <w:bCs/>
          <w:rtl/>
          <w:lang w:eastAsia="he-IL"/>
        </w:rPr>
        <w:t>את</w:t>
      </w:r>
      <w:r w:rsidRPr="006E3790">
        <w:rPr>
          <w:rFonts w:ascii="Miriam" w:hAnsi="Miriam"/>
          <w:b/>
          <w:bCs/>
          <w:rtl/>
          <w:lang w:eastAsia="he-IL"/>
        </w:rPr>
        <w:t xml:space="preserve"> </w:t>
      </w:r>
      <w:r w:rsidRPr="006E3790">
        <w:rPr>
          <w:rFonts w:ascii="Miriam" w:hAnsi="Miriam" w:hint="eastAsia"/>
          <w:b/>
          <w:bCs/>
          <w:rtl/>
          <w:lang w:eastAsia="he-IL"/>
        </w:rPr>
        <w:t>עונשו</w:t>
      </w:r>
      <w:r w:rsidRPr="006E3790">
        <w:rPr>
          <w:rFonts w:ascii="Miriam" w:hAnsi="Miriam"/>
          <w:b/>
          <w:bCs/>
          <w:rtl/>
          <w:lang w:eastAsia="he-IL"/>
        </w:rPr>
        <w:t xml:space="preserve"> </w:t>
      </w:r>
      <w:r w:rsidRPr="006E3790">
        <w:rPr>
          <w:rFonts w:ascii="Miriam" w:hAnsi="Miriam" w:hint="eastAsia"/>
          <w:b/>
          <w:bCs/>
          <w:rtl/>
          <w:lang w:eastAsia="he-IL"/>
        </w:rPr>
        <w:t>של</w:t>
      </w:r>
      <w:r w:rsidRPr="006E3790">
        <w:rPr>
          <w:rFonts w:ascii="Miriam" w:hAnsi="Miriam"/>
          <w:b/>
          <w:bCs/>
          <w:rtl/>
          <w:lang w:eastAsia="he-IL"/>
        </w:rPr>
        <w:t xml:space="preserve"> </w:t>
      </w:r>
      <w:r w:rsidRPr="006E3790">
        <w:rPr>
          <w:rFonts w:ascii="Miriam" w:hAnsi="Miriam" w:hint="eastAsia"/>
          <w:b/>
          <w:bCs/>
          <w:rtl/>
          <w:lang w:eastAsia="he-IL"/>
        </w:rPr>
        <w:t>הנאשם</w:t>
      </w:r>
      <w:r w:rsidRPr="006E3790">
        <w:rPr>
          <w:rFonts w:ascii="Miriam" w:hAnsi="Miriam"/>
          <w:b/>
          <w:bCs/>
          <w:rtl/>
          <w:lang w:eastAsia="he-IL"/>
        </w:rPr>
        <w:t xml:space="preserve"> </w:t>
      </w:r>
      <w:r w:rsidRPr="006E3790">
        <w:rPr>
          <w:rFonts w:ascii="Miriam" w:hAnsi="Miriam" w:hint="eastAsia"/>
          <w:b/>
          <w:bCs/>
          <w:rtl/>
          <w:lang w:eastAsia="he-IL"/>
        </w:rPr>
        <w:t>לפי</w:t>
      </w:r>
      <w:r w:rsidRPr="006E3790">
        <w:rPr>
          <w:rFonts w:ascii="Miriam" w:hAnsi="Miriam"/>
          <w:b/>
          <w:bCs/>
          <w:rtl/>
          <w:lang w:eastAsia="he-IL"/>
        </w:rPr>
        <w:t xml:space="preserve"> </w:t>
      </w:r>
      <w:r w:rsidRPr="006E3790">
        <w:rPr>
          <w:rFonts w:ascii="Miriam" w:hAnsi="Miriam" w:hint="eastAsia"/>
          <w:b/>
          <w:bCs/>
          <w:rtl/>
          <w:lang w:eastAsia="he-IL"/>
        </w:rPr>
        <w:t>שיקולי</w:t>
      </w:r>
      <w:r w:rsidRPr="006E3790">
        <w:rPr>
          <w:rFonts w:ascii="Miriam" w:hAnsi="Miriam"/>
          <w:b/>
          <w:bCs/>
          <w:rtl/>
          <w:lang w:eastAsia="he-IL"/>
        </w:rPr>
        <w:t xml:space="preserve"> </w:t>
      </w:r>
      <w:r w:rsidRPr="006E3790">
        <w:rPr>
          <w:rFonts w:ascii="Miriam" w:hAnsi="Miriam" w:hint="eastAsia"/>
          <w:b/>
          <w:bCs/>
          <w:rtl/>
          <w:lang w:eastAsia="he-IL"/>
        </w:rPr>
        <w:t>שיקומו</w:t>
      </w:r>
      <w:r w:rsidRPr="006E3790">
        <w:rPr>
          <w:rFonts w:ascii="Miriam" w:hAnsi="Miriam"/>
          <w:b/>
          <w:bCs/>
          <w:rtl/>
          <w:lang w:eastAsia="he-IL"/>
        </w:rPr>
        <w:t xml:space="preserve">, </w:t>
      </w:r>
      <w:r w:rsidRPr="006E3790">
        <w:rPr>
          <w:rFonts w:ascii="Miriam" w:hAnsi="Miriam" w:hint="eastAsia"/>
          <w:b/>
          <w:bCs/>
          <w:rtl/>
          <w:lang w:eastAsia="he-IL"/>
        </w:rPr>
        <w:t>וכן</w:t>
      </w:r>
      <w:r w:rsidRPr="006E3790">
        <w:rPr>
          <w:rFonts w:ascii="Miriam" w:hAnsi="Miriam"/>
          <w:b/>
          <w:bCs/>
          <w:rtl/>
          <w:lang w:eastAsia="he-IL"/>
        </w:rPr>
        <w:t xml:space="preserve"> </w:t>
      </w:r>
      <w:r w:rsidRPr="006E3790">
        <w:rPr>
          <w:rFonts w:ascii="Miriam" w:hAnsi="Miriam" w:hint="eastAsia"/>
          <w:b/>
          <w:bCs/>
          <w:rtl/>
          <w:lang w:eastAsia="he-IL"/>
        </w:rPr>
        <w:t>להורות</w:t>
      </w:r>
      <w:r w:rsidRPr="006E3790">
        <w:rPr>
          <w:rFonts w:ascii="Miriam" w:hAnsi="Miriam"/>
          <w:b/>
          <w:bCs/>
          <w:rtl/>
          <w:lang w:eastAsia="he-IL"/>
        </w:rPr>
        <w:t xml:space="preserve"> </w:t>
      </w:r>
      <w:r w:rsidRPr="006E3790">
        <w:rPr>
          <w:rFonts w:ascii="Miriam" w:hAnsi="Miriam" w:hint="eastAsia"/>
          <w:b/>
          <w:bCs/>
          <w:rtl/>
          <w:lang w:eastAsia="he-IL"/>
        </w:rPr>
        <w:t>על</w:t>
      </w:r>
      <w:r w:rsidRPr="006E3790">
        <w:rPr>
          <w:rFonts w:ascii="Miriam" w:hAnsi="Miriam"/>
          <w:b/>
          <w:bCs/>
          <w:rtl/>
          <w:lang w:eastAsia="he-IL"/>
        </w:rPr>
        <w:t xml:space="preserve"> </w:t>
      </w:r>
      <w:r w:rsidRPr="006E3790">
        <w:rPr>
          <w:rFonts w:ascii="Miriam" w:hAnsi="Miriam" w:hint="eastAsia"/>
          <w:b/>
          <w:bCs/>
          <w:rtl/>
          <w:lang w:eastAsia="he-IL"/>
        </w:rPr>
        <w:t>נקיטת</w:t>
      </w:r>
      <w:r w:rsidRPr="006E3790">
        <w:rPr>
          <w:rFonts w:ascii="Miriam" w:hAnsi="Miriam"/>
          <w:b/>
          <w:bCs/>
          <w:rtl/>
          <w:lang w:eastAsia="he-IL"/>
        </w:rPr>
        <w:t xml:space="preserve"> </w:t>
      </w:r>
      <w:r w:rsidRPr="006E3790">
        <w:rPr>
          <w:rFonts w:ascii="Miriam" w:hAnsi="Miriam" w:hint="eastAsia"/>
          <w:b/>
          <w:bCs/>
          <w:rtl/>
          <w:lang w:eastAsia="he-IL"/>
        </w:rPr>
        <w:t>אמצעי</w:t>
      </w:r>
      <w:r w:rsidRPr="006E3790">
        <w:rPr>
          <w:rFonts w:ascii="Miriam" w:hAnsi="Miriam"/>
          <w:b/>
          <w:bCs/>
          <w:rtl/>
          <w:lang w:eastAsia="he-IL"/>
        </w:rPr>
        <w:t xml:space="preserve"> </w:t>
      </w:r>
      <w:r w:rsidRPr="006E3790">
        <w:rPr>
          <w:rFonts w:ascii="Miriam" w:hAnsi="Miriam" w:hint="eastAsia"/>
          <w:b/>
          <w:bCs/>
          <w:rtl/>
          <w:lang w:eastAsia="he-IL"/>
        </w:rPr>
        <w:t>שיקומי</w:t>
      </w:r>
      <w:r w:rsidRPr="006E3790">
        <w:rPr>
          <w:rFonts w:ascii="Miriam" w:hAnsi="Miriam"/>
          <w:b/>
          <w:bCs/>
          <w:rtl/>
          <w:lang w:eastAsia="he-IL"/>
        </w:rPr>
        <w:t xml:space="preserve"> </w:t>
      </w:r>
      <w:r w:rsidRPr="006E3790">
        <w:rPr>
          <w:rFonts w:ascii="Miriam" w:hAnsi="Miriam" w:hint="eastAsia"/>
          <w:b/>
          <w:bCs/>
          <w:rtl/>
          <w:lang w:eastAsia="he-IL"/>
        </w:rPr>
        <w:t>כלפי</w:t>
      </w:r>
      <w:r w:rsidRPr="006E3790">
        <w:rPr>
          <w:rFonts w:ascii="Miriam" w:hAnsi="Miriam"/>
          <w:b/>
          <w:bCs/>
          <w:rtl/>
          <w:lang w:eastAsia="he-IL"/>
        </w:rPr>
        <w:t xml:space="preserve"> </w:t>
      </w:r>
      <w:r w:rsidRPr="006E3790">
        <w:rPr>
          <w:rFonts w:ascii="Miriam" w:hAnsi="Miriam" w:hint="eastAsia"/>
          <w:b/>
          <w:bCs/>
          <w:rtl/>
          <w:lang w:eastAsia="he-IL"/>
        </w:rPr>
        <w:t>הנאשם</w:t>
      </w:r>
      <w:r w:rsidRPr="006E3790">
        <w:rPr>
          <w:rFonts w:ascii="Miriam" w:hAnsi="Miriam"/>
          <w:b/>
          <w:bCs/>
          <w:rtl/>
          <w:lang w:eastAsia="he-IL"/>
        </w:rPr>
        <w:t xml:space="preserve">, </w:t>
      </w:r>
      <w:r w:rsidRPr="006E3790">
        <w:rPr>
          <w:rFonts w:ascii="Miriam" w:hAnsi="Miriam" w:hint="eastAsia"/>
          <w:b/>
          <w:bCs/>
          <w:rtl/>
          <w:lang w:eastAsia="he-IL"/>
        </w:rPr>
        <w:t>לרבות</w:t>
      </w:r>
      <w:r w:rsidRPr="006E3790">
        <w:rPr>
          <w:rFonts w:ascii="Miriam" w:hAnsi="Miriam"/>
          <w:b/>
          <w:bCs/>
          <w:rtl/>
          <w:lang w:eastAsia="he-IL"/>
        </w:rPr>
        <w:t xml:space="preserve"> </w:t>
      </w:r>
      <w:r w:rsidRPr="006E3790">
        <w:rPr>
          <w:rFonts w:ascii="Miriam" w:hAnsi="Miriam" w:hint="eastAsia"/>
          <w:b/>
          <w:bCs/>
          <w:rtl/>
          <w:lang w:eastAsia="he-IL"/>
        </w:rPr>
        <w:t>העמדתו</w:t>
      </w:r>
      <w:r w:rsidRPr="006E3790">
        <w:rPr>
          <w:rFonts w:ascii="Miriam" w:hAnsi="Miriam"/>
          <w:b/>
          <w:bCs/>
          <w:rtl/>
          <w:lang w:eastAsia="he-IL"/>
        </w:rPr>
        <w:t xml:space="preserve"> </w:t>
      </w:r>
      <w:r w:rsidRPr="006E3790">
        <w:rPr>
          <w:rFonts w:ascii="Miriam" w:hAnsi="Miriam" w:hint="eastAsia"/>
          <w:b/>
          <w:bCs/>
          <w:rtl/>
          <w:lang w:eastAsia="he-IL"/>
        </w:rPr>
        <w:t>במבחן</w:t>
      </w:r>
      <w:r w:rsidRPr="006E3790">
        <w:rPr>
          <w:rFonts w:ascii="Miriam" w:hAnsi="Miriam"/>
          <w:b/>
          <w:bCs/>
          <w:rtl/>
          <w:lang w:eastAsia="he-IL"/>
        </w:rPr>
        <w:t>..."</w:t>
      </w:r>
      <w:r w:rsidRPr="006E3790">
        <w:rPr>
          <w:rFonts w:ascii="Miriam" w:hAnsi="Miriam"/>
          <w:rtl/>
          <w:lang w:eastAsia="he-IL"/>
        </w:rPr>
        <w:t>.</w:t>
      </w:r>
    </w:p>
    <w:p w14:paraId="59641FA5" w14:textId="77777777" w:rsidR="00883A10" w:rsidRPr="006E3790" w:rsidRDefault="00883A10" w:rsidP="00883A10">
      <w:pPr>
        <w:numPr>
          <w:ilvl w:val="0"/>
          <w:numId w:val="1"/>
        </w:numPr>
        <w:snapToGrid w:val="0"/>
        <w:spacing w:line="360" w:lineRule="auto"/>
        <w:contextualSpacing/>
        <w:jc w:val="both"/>
        <w:rPr>
          <w:lang w:eastAsia="he-IL"/>
        </w:rPr>
      </w:pPr>
      <w:r w:rsidRPr="006E3790">
        <w:rPr>
          <w:rtl/>
          <w:lang w:eastAsia="he-IL"/>
        </w:rPr>
        <w:t xml:space="preserve">סעיף זה מנחה את בית המשפט לבחון שיקולים פרטניים המצדיקים, במקרה קונקרטי, לפעול מתוך חריג לכלל ולא להטיל על נאשם את העונש ההולם את מעשיו. להעדיף את השיקום על פני ההרתעה והגמול. </w:t>
      </w:r>
    </w:p>
    <w:p w14:paraId="711EE324" w14:textId="77777777" w:rsidR="00883A10" w:rsidRPr="006E3790" w:rsidRDefault="00883A10" w:rsidP="00883A10">
      <w:pPr>
        <w:snapToGrid w:val="0"/>
        <w:ind w:left="360"/>
        <w:contextualSpacing/>
        <w:jc w:val="both"/>
        <w:rPr>
          <w:lang w:eastAsia="he-IL"/>
        </w:rPr>
      </w:pPr>
    </w:p>
    <w:p w14:paraId="48FCD2FD" w14:textId="77777777" w:rsidR="00883A10" w:rsidRPr="006E3790" w:rsidRDefault="00883A10" w:rsidP="00883A10">
      <w:pPr>
        <w:numPr>
          <w:ilvl w:val="0"/>
          <w:numId w:val="1"/>
        </w:numPr>
        <w:snapToGrid w:val="0"/>
        <w:spacing w:line="360" w:lineRule="auto"/>
        <w:contextualSpacing/>
        <w:jc w:val="both"/>
        <w:rPr>
          <w:lang w:eastAsia="he-IL"/>
        </w:rPr>
      </w:pPr>
      <w:r w:rsidRPr="006E3790">
        <w:rPr>
          <w:rtl/>
          <w:lang w:eastAsia="he-IL"/>
        </w:rPr>
        <w:t xml:space="preserve">במקרה זה, שירות המבחן ממליץ על הטלת ענישה שיקומית מובהקת, אך ב"כ הנאשם בעצמו, כנראה מתוך הבנת ההמלצה על רקע ההנחיות שבפסיקה, מבקש להחמיר עם הנאשם ולהטיל עליו מאסר לריצוי בעבודות שירות. </w:t>
      </w:r>
    </w:p>
    <w:p w14:paraId="263717F1" w14:textId="77777777" w:rsidR="00883A10" w:rsidRPr="006E3790" w:rsidRDefault="00883A10" w:rsidP="00883A10">
      <w:pPr>
        <w:snapToGrid w:val="0"/>
        <w:ind w:left="720"/>
        <w:contextualSpacing/>
        <w:rPr>
          <w:rtl/>
          <w:lang w:eastAsia="he-IL"/>
        </w:rPr>
      </w:pPr>
    </w:p>
    <w:p w14:paraId="2A9E3ED6" w14:textId="77777777" w:rsidR="00883A10" w:rsidRPr="006E3790" w:rsidRDefault="00883A10" w:rsidP="00883A10">
      <w:pPr>
        <w:snapToGrid w:val="0"/>
        <w:spacing w:line="360" w:lineRule="auto"/>
        <w:ind w:left="360"/>
        <w:contextualSpacing/>
        <w:jc w:val="both"/>
        <w:rPr>
          <w:rtl/>
          <w:lang w:eastAsia="he-IL"/>
        </w:rPr>
      </w:pPr>
      <w:r w:rsidRPr="006E3790">
        <w:rPr>
          <w:rtl/>
          <w:lang w:eastAsia="he-IL"/>
        </w:rPr>
        <w:t xml:space="preserve">השאלה הטעונה הכרעה היא, האם שיקולי שיקומי של הנאשם, שגם המאשימה מסכימה כי קיימים במקרה זה, צריכים להוביל לכך שבית המשפט יימנע מהטלת מאסר מאחורי סורג ובריח ויסתפק בהטלת מאסר בעבודות שירות. </w:t>
      </w:r>
    </w:p>
    <w:p w14:paraId="13DD59C2" w14:textId="77777777" w:rsidR="00883A10" w:rsidRPr="006E3790" w:rsidRDefault="00883A10" w:rsidP="00883A10">
      <w:pPr>
        <w:snapToGrid w:val="0"/>
        <w:spacing w:line="360" w:lineRule="auto"/>
        <w:ind w:left="360"/>
        <w:contextualSpacing/>
        <w:jc w:val="both"/>
        <w:rPr>
          <w:lang w:eastAsia="he-IL"/>
        </w:rPr>
      </w:pPr>
      <w:r w:rsidRPr="006E3790">
        <w:rPr>
          <w:rtl/>
          <w:lang w:eastAsia="he-IL"/>
        </w:rPr>
        <w:t xml:space="preserve">לאחר שבחנתי את השיקולים לכאן ולכאן, מצאתי כי יש להיענות בחיוב לשאלה זו. </w:t>
      </w:r>
    </w:p>
    <w:p w14:paraId="2DC91BEE" w14:textId="77777777" w:rsidR="00883A10" w:rsidRPr="006E3790" w:rsidRDefault="00883A10" w:rsidP="00883A10">
      <w:pPr>
        <w:snapToGrid w:val="0"/>
        <w:ind w:left="720"/>
        <w:contextualSpacing/>
        <w:rPr>
          <w:rtl/>
          <w:lang w:eastAsia="he-IL"/>
        </w:rPr>
      </w:pPr>
    </w:p>
    <w:p w14:paraId="174132A2" w14:textId="77777777" w:rsidR="00883A10" w:rsidRPr="006E3790" w:rsidRDefault="00883A10" w:rsidP="00883A10">
      <w:pPr>
        <w:numPr>
          <w:ilvl w:val="0"/>
          <w:numId w:val="1"/>
        </w:numPr>
        <w:snapToGrid w:val="0"/>
        <w:spacing w:line="360" w:lineRule="auto"/>
        <w:contextualSpacing/>
        <w:jc w:val="both"/>
        <w:rPr>
          <w:lang w:eastAsia="he-IL"/>
        </w:rPr>
      </w:pPr>
      <w:r w:rsidRPr="006E3790">
        <w:rPr>
          <w:rtl/>
          <w:lang w:eastAsia="he-IL"/>
        </w:rPr>
        <w:t>על פי האמור בתסקירים הרבים שהוגשו במסגרת התיק, מדובר במי שהתגייס באופן מלא להליך הטיפולי, שיתף איתו פעולה והתמסר להליך באופן מיטיב. זאת חרף קשיים אובייקטיביים שנבעו מחוסר יציבות בתפקוד גורמי הטיפול בתקופת הקורונה ומצבו הכלכלי של הנאשם. לאורך תקופה ממושכת, הנאשם מסר בדיקות שתן נקיות. נמסר, כי הנאשם העמיק בטיפול וגם בהבנת הקשר העמוק שבין קשייו מחייו הצעירים להרגל שסיגל בצריכת חומרים ממכרים ועד ביצוע העבירה. מאז מעצרו של הנאשם הוא נמנע לחלוטין משימוש בחומרים ממכרים. בתסקירים ניתן מידע גם לגבי התהליך שעברה משפחתו של הנאשם, ובכלל זאת ייצוב הקשר הזוגי. הנאשם מתפקד כאב לשני ילדים קטינים וברור כי שליחתו למאסר מאחורי סורג ובריח תפגע קשות במשפחה ובילדים, על לא עוול בכפם.</w:t>
      </w:r>
    </w:p>
    <w:p w14:paraId="3B403B08" w14:textId="77777777" w:rsidR="00883A10" w:rsidRPr="006E3790" w:rsidRDefault="00883A10" w:rsidP="00883A10">
      <w:pPr>
        <w:snapToGrid w:val="0"/>
        <w:spacing w:line="360" w:lineRule="auto"/>
        <w:ind w:left="360"/>
        <w:contextualSpacing/>
        <w:jc w:val="both"/>
        <w:rPr>
          <w:lang w:eastAsia="he-IL"/>
        </w:rPr>
      </w:pPr>
      <w:r w:rsidRPr="006E3790">
        <w:rPr>
          <w:rtl/>
          <w:lang w:eastAsia="he-IL"/>
        </w:rPr>
        <w:t xml:space="preserve">לעניין זה יש לקחת בחשבון גם את חלוף הזמן המשמעותי מביצוע העבירות באוגוסט 2018 ועד היום. מדובר בתקופה שבמהלכה הנאשם שהה במעצר ממש מספר חודשים, לאחר מכן שהה במעצר בית מלא תקופה ארוכה ורק בחודשים האחרונים, בהדרגה, הוקלו תנאי השחרור, בד בבד עם התקדמות ההליך הטיפולי.  לאורך כל התקופה הנאשם נמצא תחת פיקוח מתמיד, נתון שגם הוא מלמד על שלילת החירות שהנאשם היה בה. </w:t>
      </w:r>
    </w:p>
    <w:p w14:paraId="2A257501" w14:textId="77777777" w:rsidR="00883A10" w:rsidRPr="006E3790" w:rsidRDefault="00883A10" w:rsidP="00883A10">
      <w:pPr>
        <w:snapToGrid w:val="0"/>
        <w:ind w:left="360"/>
        <w:contextualSpacing/>
        <w:jc w:val="both"/>
        <w:rPr>
          <w:lang w:eastAsia="he-IL"/>
        </w:rPr>
      </w:pPr>
    </w:p>
    <w:p w14:paraId="7A066BB2" w14:textId="77777777" w:rsidR="00883A10" w:rsidRPr="006E3790" w:rsidRDefault="00883A10" w:rsidP="00883A10">
      <w:pPr>
        <w:numPr>
          <w:ilvl w:val="0"/>
          <w:numId w:val="1"/>
        </w:numPr>
        <w:snapToGrid w:val="0"/>
        <w:spacing w:line="360" w:lineRule="auto"/>
        <w:contextualSpacing/>
        <w:jc w:val="both"/>
        <w:rPr>
          <w:lang w:eastAsia="he-IL"/>
        </w:rPr>
      </w:pPr>
      <w:r w:rsidRPr="006E3790">
        <w:rPr>
          <w:rtl/>
          <w:lang w:eastAsia="he-IL"/>
        </w:rPr>
        <w:t xml:space="preserve"> שירות המבחן מתרשם כי כיום המסוכנות הנשקפת מהנאשם איננה גבוהה, כי אין חשש ממשי להתדרדרות לשימוש בחומרים ממכרים וכי הנאשם רכש כלים להמשך תפקוד נורמטיבי בכל מישורי חייו. </w:t>
      </w:r>
    </w:p>
    <w:p w14:paraId="635E7EAD" w14:textId="77777777" w:rsidR="00883A10" w:rsidRPr="006E3790" w:rsidRDefault="00883A10" w:rsidP="00883A10">
      <w:pPr>
        <w:snapToGrid w:val="0"/>
        <w:ind w:left="360"/>
        <w:contextualSpacing/>
        <w:jc w:val="both"/>
        <w:rPr>
          <w:lang w:eastAsia="he-IL"/>
        </w:rPr>
      </w:pPr>
    </w:p>
    <w:p w14:paraId="3B2EAC28" w14:textId="77777777" w:rsidR="00883A10" w:rsidRPr="006E3790" w:rsidRDefault="00883A10" w:rsidP="00883A10">
      <w:pPr>
        <w:numPr>
          <w:ilvl w:val="0"/>
          <w:numId w:val="1"/>
        </w:numPr>
        <w:snapToGrid w:val="0"/>
        <w:spacing w:line="360" w:lineRule="auto"/>
        <w:contextualSpacing/>
        <w:jc w:val="both"/>
        <w:rPr>
          <w:lang w:eastAsia="he-IL"/>
        </w:rPr>
      </w:pPr>
      <w:r w:rsidRPr="006E3790">
        <w:rPr>
          <w:rtl/>
          <w:lang w:eastAsia="he-IL"/>
        </w:rPr>
        <w:t xml:space="preserve">לאור זאת, נראה כי הטלת מאסר לריצוי בעבודות שירות, גם אם ברף הגבוה, בצד ענישה כלכלית משמעותית נלווית, יהווה איזון ראוי בין כלל שיקולי הענישה. </w:t>
      </w:r>
    </w:p>
    <w:p w14:paraId="088F574C" w14:textId="77777777" w:rsidR="00883A10" w:rsidRPr="006E3790" w:rsidRDefault="00883A10" w:rsidP="00883A10">
      <w:pPr>
        <w:spacing w:line="360" w:lineRule="auto"/>
        <w:jc w:val="both"/>
        <w:rPr>
          <w:rFonts w:ascii="David" w:hAnsi="David"/>
          <w:b/>
          <w:bCs/>
          <w:u w:val="single"/>
          <w:rtl/>
        </w:rPr>
      </w:pPr>
    </w:p>
    <w:p w14:paraId="7E14AD23" w14:textId="77777777" w:rsidR="00883A10" w:rsidRPr="006E3790" w:rsidRDefault="00883A10" w:rsidP="00883A10">
      <w:pPr>
        <w:spacing w:line="360" w:lineRule="auto"/>
        <w:jc w:val="both"/>
        <w:rPr>
          <w:rFonts w:ascii="David" w:hAnsi="David"/>
          <w:b/>
          <w:bCs/>
          <w:u w:val="single"/>
          <w:rtl/>
        </w:rPr>
      </w:pPr>
      <w:r w:rsidRPr="006E3790">
        <w:rPr>
          <w:rFonts w:ascii="David" w:hAnsi="David"/>
          <w:b/>
          <w:bCs/>
          <w:u w:val="single"/>
          <w:rtl/>
        </w:rPr>
        <w:t>סוף דבר:</w:t>
      </w:r>
    </w:p>
    <w:p w14:paraId="7A431032" w14:textId="77777777" w:rsidR="00883A10" w:rsidRPr="006E3790" w:rsidRDefault="00883A10" w:rsidP="00883A10">
      <w:pPr>
        <w:numPr>
          <w:ilvl w:val="0"/>
          <w:numId w:val="1"/>
        </w:numPr>
        <w:snapToGrid w:val="0"/>
        <w:spacing w:line="360" w:lineRule="auto"/>
        <w:contextualSpacing/>
        <w:jc w:val="both"/>
        <w:rPr>
          <w:lang w:eastAsia="he-IL"/>
        </w:rPr>
      </w:pPr>
      <w:r w:rsidRPr="006E3790">
        <w:rPr>
          <w:rtl/>
          <w:lang w:eastAsia="he-IL"/>
        </w:rPr>
        <w:t>לאחר ששקלתי את מכלול השיקולים כמפורט לעיל אני מטילה על הנאשם את העונשים הבאים:</w:t>
      </w:r>
    </w:p>
    <w:p w14:paraId="79D1515C" w14:textId="77777777" w:rsidR="00883A10" w:rsidRPr="006E3790" w:rsidRDefault="00883A10" w:rsidP="00883A10">
      <w:pPr>
        <w:numPr>
          <w:ilvl w:val="0"/>
          <w:numId w:val="2"/>
        </w:numPr>
        <w:snapToGrid w:val="0"/>
        <w:spacing w:line="360" w:lineRule="auto"/>
        <w:contextualSpacing/>
        <w:jc w:val="both"/>
        <w:rPr>
          <w:rFonts w:ascii="Arial" w:hAnsi="Arial"/>
          <w:lang w:eastAsia="he-IL"/>
        </w:rPr>
      </w:pPr>
      <w:r w:rsidRPr="006E3790">
        <w:rPr>
          <w:rtl/>
          <w:lang w:eastAsia="he-IL"/>
        </w:rPr>
        <w:t xml:space="preserve">9 חודשי מאסר לריצוי בדרך של עבודות שירות. </w:t>
      </w:r>
    </w:p>
    <w:p w14:paraId="6E2B38B8" w14:textId="77777777" w:rsidR="00883A10" w:rsidRPr="006E3790" w:rsidRDefault="00883A10" w:rsidP="00883A10">
      <w:pPr>
        <w:snapToGrid w:val="0"/>
        <w:spacing w:line="360" w:lineRule="auto"/>
        <w:ind w:left="720"/>
        <w:contextualSpacing/>
        <w:jc w:val="both"/>
        <w:rPr>
          <w:rFonts w:ascii="Arial" w:hAnsi="Arial"/>
          <w:rtl/>
          <w:lang w:eastAsia="he-IL"/>
        </w:rPr>
      </w:pPr>
      <w:r w:rsidRPr="006E3790">
        <w:rPr>
          <w:rFonts w:ascii="Arial" w:hAnsi="Arial"/>
          <w:rtl/>
          <w:lang w:eastAsia="he-IL"/>
        </w:rPr>
        <w:t>בהתאם לחוות דעת הממונה, הנאשם יבצע את עבודות השירות במוסד המשקם באשקלון ויתייצב לריצוי העונש ביום 18.1.2022 בשלוחת דרום, סמוך לכלא באר-שבע.</w:t>
      </w:r>
    </w:p>
    <w:p w14:paraId="0B2BE641" w14:textId="77777777" w:rsidR="00883A10" w:rsidRPr="006E3790" w:rsidRDefault="00883A10" w:rsidP="00883A10">
      <w:pPr>
        <w:snapToGrid w:val="0"/>
        <w:spacing w:line="360" w:lineRule="auto"/>
        <w:ind w:left="720"/>
        <w:contextualSpacing/>
        <w:jc w:val="both"/>
        <w:rPr>
          <w:rtl/>
          <w:lang w:eastAsia="he-IL"/>
        </w:rPr>
      </w:pPr>
      <w:r w:rsidRPr="006E3790">
        <w:rPr>
          <w:rFonts w:ascii="Arial" w:hAnsi="Arial"/>
          <w:rtl/>
          <w:lang w:eastAsia="he-IL"/>
        </w:rPr>
        <w:t>מוסבר לנאשם כי עליו לעמוד בתנאי העבודה, וכי כל הפרה של תנאי עבודות השירות עלולה להביא להפסקה מנהלית של העבודות ולריצוי יתרת התקופה במאסר ממש.</w:t>
      </w:r>
    </w:p>
    <w:p w14:paraId="2E2D0562" w14:textId="77777777" w:rsidR="00883A10" w:rsidRPr="006E3790" w:rsidRDefault="00883A10" w:rsidP="00883A10">
      <w:pPr>
        <w:snapToGrid w:val="0"/>
        <w:ind w:left="720"/>
        <w:contextualSpacing/>
        <w:jc w:val="both"/>
        <w:rPr>
          <w:lang w:eastAsia="he-IL"/>
        </w:rPr>
      </w:pPr>
    </w:p>
    <w:p w14:paraId="10345C2B" w14:textId="77777777" w:rsidR="00883A10" w:rsidRPr="006E3790" w:rsidRDefault="00883A10" w:rsidP="00883A10">
      <w:pPr>
        <w:numPr>
          <w:ilvl w:val="0"/>
          <w:numId w:val="2"/>
        </w:numPr>
        <w:snapToGrid w:val="0"/>
        <w:spacing w:line="360" w:lineRule="auto"/>
        <w:contextualSpacing/>
        <w:jc w:val="both"/>
        <w:rPr>
          <w:lang w:eastAsia="he-IL"/>
        </w:rPr>
      </w:pPr>
      <w:r w:rsidRPr="006E3790">
        <w:rPr>
          <w:rFonts w:ascii="Arial" w:hAnsi="Arial"/>
          <w:rtl/>
          <w:lang w:eastAsia="he-IL"/>
        </w:rPr>
        <w:t xml:space="preserve">מאסר על תנאי לתקופה של 3 חודשים. </w:t>
      </w:r>
      <w:r w:rsidRPr="006E3790">
        <w:rPr>
          <w:rFonts w:ascii="Arial" w:hAnsi="Arial"/>
          <w:sz w:val="28"/>
          <w:rtl/>
          <w:lang w:eastAsia="he-IL"/>
        </w:rPr>
        <w:t>המאסר המותנה יופעל אם תוך תקופה של 3 שנים מהיום, יעבור הנאשם עבירת סמים מסוג עוון.</w:t>
      </w:r>
    </w:p>
    <w:p w14:paraId="43C08FC0" w14:textId="77777777" w:rsidR="00883A10" w:rsidRPr="006E3790" w:rsidRDefault="00883A10" w:rsidP="00883A10">
      <w:pPr>
        <w:snapToGrid w:val="0"/>
        <w:ind w:left="720"/>
        <w:contextualSpacing/>
        <w:jc w:val="both"/>
        <w:rPr>
          <w:rtl/>
          <w:lang w:eastAsia="he-IL"/>
        </w:rPr>
      </w:pPr>
    </w:p>
    <w:p w14:paraId="4D578015" w14:textId="77777777" w:rsidR="00883A10" w:rsidRPr="006E3790" w:rsidRDefault="00883A10" w:rsidP="00883A10">
      <w:pPr>
        <w:numPr>
          <w:ilvl w:val="0"/>
          <w:numId w:val="2"/>
        </w:numPr>
        <w:spacing w:line="360" w:lineRule="auto"/>
        <w:contextualSpacing/>
        <w:jc w:val="both"/>
        <w:rPr>
          <w:rFonts w:ascii="Arial" w:hAnsi="Arial"/>
        </w:rPr>
      </w:pPr>
      <w:r w:rsidRPr="006E3790">
        <w:rPr>
          <w:rFonts w:ascii="Arial" w:hAnsi="Arial"/>
          <w:rtl/>
        </w:rPr>
        <w:t xml:space="preserve">מאסר על תנאי לתקופה של 8 חודשים </w:t>
      </w:r>
      <w:r w:rsidRPr="006E3790">
        <w:rPr>
          <w:rFonts w:ascii="Arial" w:hAnsi="Arial"/>
          <w:szCs w:val="22"/>
          <w:rtl/>
        </w:rPr>
        <w:t>המאסר המותנה יופעל אם תוך תקופה של 3 שנים מהיום, יעבור הנאשם  עבירת סמים מסוג פשע.</w:t>
      </w:r>
    </w:p>
    <w:p w14:paraId="30D97C79" w14:textId="77777777" w:rsidR="00883A10" w:rsidRPr="006E3790" w:rsidRDefault="00883A10" w:rsidP="00883A10">
      <w:pPr>
        <w:snapToGrid w:val="0"/>
        <w:ind w:left="720"/>
        <w:contextualSpacing/>
        <w:rPr>
          <w:rFonts w:ascii="Arial" w:hAnsi="Arial"/>
          <w:rtl/>
          <w:lang w:eastAsia="he-IL"/>
        </w:rPr>
      </w:pPr>
    </w:p>
    <w:p w14:paraId="2288F571" w14:textId="77777777" w:rsidR="00883A10" w:rsidRPr="006E3790" w:rsidRDefault="00883A10" w:rsidP="00883A10">
      <w:pPr>
        <w:numPr>
          <w:ilvl w:val="0"/>
          <w:numId w:val="2"/>
        </w:numPr>
        <w:spacing w:line="360" w:lineRule="auto"/>
        <w:contextualSpacing/>
        <w:jc w:val="both"/>
        <w:rPr>
          <w:rFonts w:ascii="Arial" w:hAnsi="Arial"/>
        </w:rPr>
      </w:pPr>
      <w:r w:rsidRPr="006E3790">
        <w:rPr>
          <w:rFonts w:ascii="Arial" w:hAnsi="Arial"/>
          <w:rtl/>
        </w:rPr>
        <w:t xml:space="preserve">קנס בסך 20,000 ₪ או 100 ימי מאסר תמורתו. הקנס ישולם ב-20 תשלומים חודשיים שווים ורצופים החל מיום 1.2.2022. </w:t>
      </w:r>
    </w:p>
    <w:p w14:paraId="7B3CAE76" w14:textId="77777777" w:rsidR="00883A10" w:rsidRPr="006E3790" w:rsidRDefault="00883A10" w:rsidP="00883A10">
      <w:pPr>
        <w:snapToGrid w:val="0"/>
        <w:ind w:left="720"/>
        <w:contextualSpacing/>
        <w:rPr>
          <w:rFonts w:ascii="Arial" w:hAnsi="Arial"/>
          <w:rtl/>
          <w:lang w:eastAsia="he-IL"/>
        </w:rPr>
      </w:pPr>
    </w:p>
    <w:p w14:paraId="61FDF0D5" w14:textId="77777777" w:rsidR="00883A10" w:rsidRPr="006E3790" w:rsidRDefault="00883A10" w:rsidP="00883A10">
      <w:pPr>
        <w:numPr>
          <w:ilvl w:val="0"/>
          <w:numId w:val="2"/>
        </w:numPr>
        <w:spacing w:line="360" w:lineRule="auto"/>
        <w:contextualSpacing/>
        <w:jc w:val="both"/>
        <w:rPr>
          <w:rFonts w:ascii="Arial" w:hAnsi="Arial"/>
        </w:rPr>
      </w:pPr>
      <w:r w:rsidRPr="006E3790">
        <w:rPr>
          <w:rFonts w:ascii="Arial" w:hAnsi="Arial"/>
          <w:rtl/>
        </w:rPr>
        <w:t xml:space="preserve">פיצוי בסך 32,000 ₪ לחברת החשמל. הפיצוי ישולם ב-16 תשלומים חודשיים שווים ורצופים החל מיום 1.2.2022. </w:t>
      </w:r>
    </w:p>
    <w:p w14:paraId="660D00E8" w14:textId="77777777" w:rsidR="00883A10" w:rsidRPr="00883A10" w:rsidRDefault="00883A10" w:rsidP="00883A10">
      <w:pPr>
        <w:spacing w:line="360" w:lineRule="auto"/>
        <w:jc w:val="both"/>
        <w:rPr>
          <w:rFonts w:ascii="Calibri" w:hAnsi="Calibri"/>
          <w:rtl/>
        </w:rPr>
      </w:pPr>
    </w:p>
    <w:p w14:paraId="1BE8A2D8" w14:textId="77777777" w:rsidR="00883A10" w:rsidRPr="00883A10" w:rsidRDefault="00883A10" w:rsidP="00883A10">
      <w:pPr>
        <w:spacing w:line="360" w:lineRule="auto"/>
        <w:jc w:val="both"/>
        <w:rPr>
          <w:rFonts w:ascii="Calibri" w:hAnsi="Calibri"/>
          <w:b/>
          <w:bCs/>
          <w:rtl/>
        </w:rPr>
      </w:pPr>
      <w:r w:rsidRPr="00883A10">
        <w:rPr>
          <w:rFonts w:ascii="Calibri" w:hAnsi="Calibri" w:hint="eastAsia"/>
          <w:b/>
          <w:bCs/>
          <w:rtl/>
        </w:rPr>
        <w:t>ניתן</w:t>
      </w:r>
      <w:r w:rsidRPr="00883A10">
        <w:rPr>
          <w:rFonts w:ascii="Calibri" w:hAnsi="Calibri"/>
          <w:b/>
          <w:bCs/>
          <w:rtl/>
        </w:rPr>
        <w:t xml:space="preserve"> </w:t>
      </w:r>
      <w:r w:rsidRPr="00883A10">
        <w:rPr>
          <w:rFonts w:ascii="Calibri" w:hAnsi="Calibri" w:hint="eastAsia"/>
          <w:b/>
          <w:bCs/>
          <w:rtl/>
        </w:rPr>
        <w:t>בזאת</w:t>
      </w:r>
      <w:r w:rsidRPr="00883A10">
        <w:rPr>
          <w:rFonts w:ascii="Calibri" w:hAnsi="Calibri"/>
          <w:b/>
          <w:bCs/>
          <w:rtl/>
        </w:rPr>
        <w:t xml:space="preserve"> </w:t>
      </w:r>
      <w:r w:rsidRPr="00883A10">
        <w:rPr>
          <w:rFonts w:ascii="Calibri" w:hAnsi="Calibri" w:hint="eastAsia"/>
          <w:b/>
          <w:bCs/>
          <w:rtl/>
        </w:rPr>
        <w:t>צו</w:t>
      </w:r>
      <w:r w:rsidRPr="00883A10">
        <w:rPr>
          <w:rFonts w:ascii="Calibri" w:hAnsi="Calibri"/>
          <w:b/>
          <w:bCs/>
          <w:rtl/>
        </w:rPr>
        <w:t xml:space="preserve"> </w:t>
      </w:r>
      <w:r w:rsidRPr="00883A10">
        <w:rPr>
          <w:rFonts w:ascii="Calibri" w:hAnsi="Calibri" w:hint="eastAsia"/>
          <w:b/>
          <w:bCs/>
          <w:rtl/>
        </w:rPr>
        <w:t>להשמדת</w:t>
      </w:r>
      <w:r w:rsidRPr="00883A10">
        <w:rPr>
          <w:rFonts w:ascii="Calibri" w:hAnsi="Calibri"/>
          <w:b/>
          <w:bCs/>
          <w:rtl/>
        </w:rPr>
        <w:t xml:space="preserve"> </w:t>
      </w:r>
      <w:r w:rsidRPr="00883A10">
        <w:rPr>
          <w:rFonts w:ascii="Calibri" w:hAnsi="Calibri" w:hint="eastAsia"/>
          <w:b/>
          <w:bCs/>
          <w:rtl/>
        </w:rPr>
        <w:t>מוצג</w:t>
      </w:r>
      <w:r w:rsidRPr="00883A10">
        <w:rPr>
          <w:rFonts w:ascii="Calibri" w:hAnsi="Calibri"/>
          <w:b/>
          <w:bCs/>
          <w:rtl/>
        </w:rPr>
        <w:t xml:space="preserve"> – </w:t>
      </w:r>
      <w:r w:rsidRPr="00883A10">
        <w:rPr>
          <w:rFonts w:ascii="Calibri" w:hAnsi="Calibri" w:hint="eastAsia"/>
          <w:b/>
          <w:bCs/>
          <w:rtl/>
        </w:rPr>
        <w:t>סמים</w:t>
      </w:r>
      <w:r w:rsidRPr="00883A10">
        <w:rPr>
          <w:rFonts w:ascii="Calibri" w:hAnsi="Calibri"/>
          <w:b/>
          <w:bCs/>
          <w:rtl/>
        </w:rPr>
        <w:t xml:space="preserve"> </w:t>
      </w:r>
      <w:r w:rsidRPr="00883A10">
        <w:rPr>
          <w:rFonts w:ascii="Calibri" w:hAnsi="Calibri" w:hint="eastAsia"/>
          <w:b/>
          <w:bCs/>
          <w:rtl/>
        </w:rPr>
        <w:t>וציוד</w:t>
      </w:r>
      <w:r w:rsidRPr="00883A10">
        <w:rPr>
          <w:rFonts w:ascii="Calibri" w:hAnsi="Calibri"/>
          <w:b/>
          <w:bCs/>
          <w:rtl/>
        </w:rPr>
        <w:t xml:space="preserve"> </w:t>
      </w:r>
      <w:r w:rsidRPr="00883A10">
        <w:rPr>
          <w:rFonts w:ascii="Calibri" w:hAnsi="Calibri" w:hint="eastAsia"/>
          <w:b/>
          <w:bCs/>
          <w:rtl/>
        </w:rPr>
        <w:t>בכפוף</w:t>
      </w:r>
      <w:r w:rsidRPr="00883A10">
        <w:rPr>
          <w:rFonts w:ascii="Calibri" w:hAnsi="Calibri"/>
          <w:b/>
          <w:bCs/>
          <w:rtl/>
        </w:rPr>
        <w:t xml:space="preserve"> </w:t>
      </w:r>
      <w:r w:rsidRPr="00883A10">
        <w:rPr>
          <w:rFonts w:ascii="Calibri" w:hAnsi="Calibri" w:hint="eastAsia"/>
          <w:b/>
          <w:bCs/>
          <w:rtl/>
        </w:rPr>
        <w:t>לחלוף</w:t>
      </w:r>
      <w:r w:rsidRPr="00883A10">
        <w:rPr>
          <w:rFonts w:ascii="Calibri" w:hAnsi="Calibri"/>
          <w:b/>
          <w:bCs/>
          <w:rtl/>
        </w:rPr>
        <w:t xml:space="preserve"> </w:t>
      </w:r>
      <w:r w:rsidRPr="00883A10">
        <w:rPr>
          <w:rFonts w:ascii="Calibri" w:hAnsi="Calibri" w:hint="eastAsia"/>
          <w:b/>
          <w:bCs/>
          <w:rtl/>
        </w:rPr>
        <w:t>תקופת</w:t>
      </w:r>
      <w:r w:rsidRPr="00883A10">
        <w:rPr>
          <w:rFonts w:ascii="Calibri" w:hAnsi="Calibri"/>
          <w:b/>
          <w:bCs/>
          <w:rtl/>
        </w:rPr>
        <w:t xml:space="preserve"> </w:t>
      </w:r>
      <w:r w:rsidRPr="00883A10">
        <w:rPr>
          <w:rFonts w:ascii="Calibri" w:hAnsi="Calibri" w:hint="eastAsia"/>
          <w:b/>
          <w:bCs/>
          <w:rtl/>
        </w:rPr>
        <w:t>הערעור</w:t>
      </w:r>
      <w:r w:rsidRPr="00883A10">
        <w:rPr>
          <w:rFonts w:ascii="Calibri" w:hAnsi="Calibri"/>
          <w:b/>
          <w:bCs/>
          <w:rtl/>
        </w:rPr>
        <w:t>.</w:t>
      </w:r>
    </w:p>
    <w:p w14:paraId="46BBF4C9" w14:textId="77777777" w:rsidR="00883A10" w:rsidRPr="00883A10" w:rsidRDefault="00883A10" w:rsidP="00883A10">
      <w:pPr>
        <w:spacing w:line="360" w:lineRule="auto"/>
        <w:jc w:val="both"/>
        <w:rPr>
          <w:rFonts w:ascii="Calibri" w:hAnsi="Calibri"/>
          <w:b/>
          <w:bCs/>
          <w:rtl/>
        </w:rPr>
      </w:pPr>
      <w:r w:rsidRPr="00883A10">
        <w:rPr>
          <w:rFonts w:ascii="Calibri" w:hAnsi="Calibri" w:hint="eastAsia"/>
          <w:b/>
          <w:bCs/>
          <w:rtl/>
        </w:rPr>
        <w:t>העתק</w:t>
      </w:r>
      <w:r w:rsidRPr="00883A10">
        <w:rPr>
          <w:rFonts w:ascii="Calibri" w:hAnsi="Calibri"/>
          <w:b/>
          <w:bCs/>
          <w:rtl/>
        </w:rPr>
        <w:t xml:space="preserve"> </w:t>
      </w:r>
      <w:r w:rsidRPr="00883A10">
        <w:rPr>
          <w:rFonts w:ascii="Calibri" w:hAnsi="Calibri" w:hint="eastAsia"/>
          <w:b/>
          <w:bCs/>
          <w:rtl/>
        </w:rPr>
        <w:t>גזר</w:t>
      </w:r>
      <w:r w:rsidRPr="00883A10">
        <w:rPr>
          <w:rFonts w:ascii="Calibri" w:hAnsi="Calibri"/>
          <w:b/>
          <w:bCs/>
          <w:rtl/>
        </w:rPr>
        <w:t xml:space="preserve"> </w:t>
      </w:r>
      <w:r w:rsidRPr="00883A10">
        <w:rPr>
          <w:rFonts w:ascii="Calibri" w:hAnsi="Calibri" w:hint="eastAsia"/>
          <w:b/>
          <w:bCs/>
          <w:rtl/>
        </w:rPr>
        <w:t>הדין</w:t>
      </w:r>
      <w:r w:rsidRPr="00883A10">
        <w:rPr>
          <w:rFonts w:ascii="Calibri" w:hAnsi="Calibri"/>
          <w:b/>
          <w:bCs/>
          <w:rtl/>
        </w:rPr>
        <w:t xml:space="preserve"> </w:t>
      </w:r>
      <w:r w:rsidRPr="00883A10">
        <w:rPr>
          <w:rFonts w:ascii="Calibri" w:hAnsi="Calibri" w:hint="eastAsia"/>
          <w:b/>
          <w:bCs/>
          <w:rtl/>
        </w:rPr>
        <w:t>לשירות</w:t>
      </w:r>
      <w:r w:rsidRPr="00883A10">
        <w:rPr>
          <w:rFonts w:ascii="Calibri" w:hAnsi="Calibri"/>
          <w:b/>
          <w:bCs/>
          <w:rtl/>
        </w:rPr>
        <w:t xml:space="preserve"> </w:t>
      </w:r>
      <w:r w:rsidRPr="00883A10">
        <w:rPr>
          <w:rFonts w:ascii="Calibri" w:hAnsi="Calibri" w:hint="eastAsia"/>
          <w:b/>
          <w:bCs/>
          <w:rtl/>
        </w:rPr>
        <w:t>המבחן</w:t>
      </w:r>
      <w:r w:rsidRPr="00883A10">
        <w:rPr>
          <w:rFonts w:ascii="Calibri" w:hAnsi="Calibri"/>
          <w:b/>
          <w:bCs/>
          <w:rtl/>
        </w:rPr>
        <w:t xml:space="preserve"> </w:t>
      </w:r>
      <w:r w:rsidRPr="00883A10">
        <w:rPr>
          <w:rFonts w:ascii="Calibri" w:hAnsi="Calibri" w:hint="eastAsia"/>
          <w:b/>
          <w:bCs/>
          <w:rtl/>
        </w:rPr>
        <w:t>ולממונה</w:t>
      </w:r>
      <w:r w:rsidRPr="00883A10">
        <w:rPr>
          <w:rFonts w:ascii="Calibri" w:hAnsi="Calibri"/>
          <w:b/>
          <w:bCs/>
          <w:rtl/>
        </w:rPr>
        <w:t xml:space="preserve"> </w:t>
      </w:r>
      <w:r w:rsidRPr="00883A10">
        <w:rPr>
          <w:rFonts w:ascii="Calibri" w:hAnsi="Calibri" w:hint="eastAsia"/>
          <w:b/>
          <w:bCs/>
          <w:rtl/>
        </w:rPr>
        <w:t>על</w:t>
      </w:r>
      <w:r w:rsidRPr="00883A10">
        <w:rPr>
          <w:rFonts w:ascii="Calibri" w:hAnsi="Calibri"/>
          <w:b/>
          <w:bCs/>
          <w:rtl/>
        </w:rPr>
        <w:t xml:space="preserve"> </w:t>
      </w:r>
      <w:r w:rsidRPr="00883A10">
        <w:rPr>
          <w:rFonts w:ascii="Calibri" w:hAnsi="Calibri" w:hint="eastAsia"/>
          <w:b/>
          <w:bCs/>
          <w:rtl/>
        </w:rPr>
        <w:t>עבודות</w:t>
      </w:r>
      <w:r w:rsidRPr="00883A10">
        <w:rPr>
          <w:rFonts w:ascii="Calibri" w:hAnsi="Calibri"/>
          <w:b/>
          <w:bCs/>
          <w:rtl/>
        </w:rPr>
        <w:t xml:space="preserve"> </w:t>
      </w:r>
      <w:r w:rsidRPr="00883A10">
        <w:rPr>
          <w:rFonts w:ascii="Calibri" w:hAnsi="Calibri" w:hint="eastAsia"/>
          <w:b/>
          <w:bCs/>
          <w:rtl/>
        </w:rPr>
        <w:t>השירות</w:t>
      </w:r>
      <w:r w:rsidRPr="00883A10">
        <w:rPr>
          <w:rFonts w:ascii="Calibri" w:hAnsi="Calibri"/>
          <w:b/>
          <w:bCs/>
          <w:rtl/>
        </w:rPr>
        <w:t>.</w:t>
      </w:r>
    </w:p>
    <w:p w14:paraId="33AAA554" w14:textId="77777777" w:rsidR="00883A10" w:rsidRPr="005E1751" w:rsidRDefault="005E1751" w:rsidP="00883A10">
      <w:pPr>
        <w:spacing w:line="360" w:lineRule="auto"/>
        <w:jc w:val="both"/>
        <w:rPr>
          <w:rFonts w:ascii="Calibri" w:hAnsi="Calibri"/>
          <w:b/>
          <w:bCs/>
          <w:color w:val="FFFFFF"/>
          <w:sz w:val="2"/>
          <w:szCs w:val="2"/>
          <w:rtl/>
        </w:rPr>
      </w:pPr>
      <w:r w:rsidRPr="005E1751">
        <w:rPr>
          <w:rFonts w:ascii="Calibri" w:hAnsi="Calibri"/>
          <w:b/>
          <w:bCs/>
          <w:color w:val="FFFFFF"/>
          <w:sz w:val="2"/>
          <w:szCs w:val="2"/>
          <w:rtl/>
        </w:rPr>
        <w:t>5129371</w:t>
      </w:r>
    </w:p>
    <w:p w14:paraId="349546FB" w14:textId="77777777" w:rsidR="00883A10" w:rsidRPr="00883A10" w:rsidRDefault="005E1751" w:rsidP="00883A10">
      <w:pPr>
        <w:spacing w:line="360" w:lineRule="auto"/>
        <w:jc w:val="both"/>
        <w:rPr>
          <w:rFonts w:ascii="Calibri" w:hAnsi="Calibri"/>
          <w:b/>
          <w:bCs/>
        </w:rPr>
      </w:pPr>
      <w:r w:rsidRPr="005E1751">
        <w:rPr>
          <w:rFonts w:ascii="Calibri" w:hAnsi="Calibri"/>
          <w:b/>
          <w:bCs/>
          <w:color w:val="FFFFFF"/>
          <w:sz w:val="2"/>
          <w:szCs w:val="2"/>
          <w:rtl/>
        </w:rPr>
        <w:t>54678313</w:t>
      </w:r>
      <w:r w:rsidR="00883A10" w:rsidRPr="00883A10">
        <w:rPr>
          <w:rFonts w:ascii="Calibri" w:hAnsi="Calibri" w:hint="eastAsia"/>
          <w:b/>
          <w:bCs/>
          <w:rtl/>
        </w:rPr>
        <w:t>זכות</w:t>
      </w:r>
      <w:r w:rsidR="00883A10" w:rsidRPr="00883A10">
        <w:rPr>
          <w:rFonts w:ascii="Calibri" w:hAnsi="Calibri"/>
          <w:b/>
          <w:bCs/>
          <w:rtl/>
        </w:rPr>
        <w:t xml:space="preserve"> </w:t>
      </w:r>
      <w:r w:rsidR="00883A10" w:rsidRPr="00883A10">
        <w:rPr>
          <w:rFonts w:ascii="Calibri" w:hAnsi="Calibri" w:hint="eastAsia"/>
          <w:b/>
          <w:bCs/>
          <w:rtl/>
        </w:rPr>
        <w:t>ערעור</w:t>
      </w:r>
      <w:r w:rsidR="00883A10" w:rsidRPr="00883A10">
        <w:rPr>
          <w:rFonts w:ascii="Calibri" w:hAnsi="Calibri"/>
          <w:b/>
          <w:bCs/>
          <w:rtl/>
        </w:rPr>
        <w:t xml:space="preserve"> </w:t>
      </w:r>
      <w:r w:rsidR="00883A10" w:rsidRPr="00883A10">
        <w:rPr>
          <w:rFonts w:ascii="Calibri" w:hAnsi="Calibri" w:hint="eastAsia"/>
          <w:b/>
          <w:bCs/>
          <w:rtl/>
        </w:rPr>
        <w:t>כחוק</w:t>
      </w:r>
      <w:r w:rsidR="00883A10" w:rsidRPr="00883A10">
        <w:rPr>
          <w:rFonts w:ascii="Calibri" w:hAnsi="Calibri"/>
          <w:b/>
          <w:bCs/>
          <w:rtl/>
        </w:rPr>
        <w:t>.</w:t>
      </w:r>
    </w:p>
    <w:p w14:paraId="5DD0DF40" w14:textId="77777777" w:rsidR="00883A10" w:rsidRPr="002B7D23" w:rsidRDefault="00883A10" w:rsidP="00883A10">
      <w:pPr>
        <w:rPr>
          <w:rFonts w:ascii="David" w:hAnsi="David"/>
          <w:sz w:val="26"/>
          <w:szCs w:val="26"/>
          <w:rtl/>
        </w:rPr>
      </w:pPr>
    </w:p>
    <w:p w14:paraId="311192D0" w14:textId="77777777" w:rsidR="00883A10" w:rsidRPr="002B7D23" w:rsidRDefault="005E1751" w:rsidP="00883A10">
      <w:pPr>
        <w:rPr>
          <w:rFonts w:ascii="David" w:hAnsi="David"/>
          <w:sz w:val="26"/>
          <w:szCs w:val="26"/>
          <w:rtl/>
        </w:rPr>
      </w:pPr>
      <w:bookmarkStart w:id="8" w:name="Nitan"/>
      <w:r>
        <w:rPr>
          <w:rFonts w:ascii="David" w:hAnsi="David"/>
          <w:b/>
          <w:bCs/>
          <w:sz w:val="26"/>
          <w:szCs w:val="26"/>
          <w:rtl/>
        </w:rPr>
        <w:t xml:space="preserve">ניתן היום,  כ"ח כסלו תשפ"ב, 02 דצמבר 2021, במעמד הצדדים. </w:t>
      </w:r>
      <w:bookmarkEnd w:id="8"/>
    </w:p>
    <w:p w14:paraId="0A39F302" w14:textId="77777777" w:rsidR="00883A10" w:rsidRPr="002B7D23" w:rsidRDefault="00883A10" w:rsidP="005E1751">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6C2C451A" w14:textId="77777777" w:rsidR="00883A10" w:rsidRPr="00D46D63" w:rsidRDefault="00D46D63" w:rsidP="00883A10">
      <w:pPr>
        <w:jc w:val="center"/>
        <w:rPr>
          <w:rFonts w:ascii="David" w:hAnsi="David"/>
          <w:color w:val="FFFFFF"/>
          <w:sz w:val="2"/>
          <w:szCs w:val="2"/>
          <w:rtl/>
        </w:rPr>
      </w:pPr>
      <w:r w:rsidRPr="00D46D63">
        <w:rPr>
          <w:rFonts w:ascii="David" w:hAnsi="David"/>
          <w:color w:val="FFFFFF"/>
          <w:sz w:val="2"/>
          <w:szCs w:val="2"/>
          <w:rtl/>
        </w:rPr>
        <w:t>5129371</w:t>
      </w:r>
    </w:p>
    <w:p w14:paraId="7963EB2E" w14:textId="77777777" w:rsidR="00C324CD" w:rsidRPr="00D46D63" w:rsidRDefault="00D46D63" w:rsidP="005E1751">
      <w:pPr>
        <w:keepNext/>
        <w:rPr>
          <w:rFonts w:ascii="David" w:hAnsi="David"/>
          <w:color w:val="FFFFFF"/>
          <w:sz w:val="2"/>
          <w:szCs w:val="2"/>
          <w:rtl/>
        </w:rPr>
      </w:pPr>
      <w:r w:rsidRPr="00D46D63">
        <w:rPr>
          <w:rFonts w:ascii="David" w:hAnsi="David"/>
          <w:color w:val="FFFFFF"/>
          <w:sz w:val="2"/>
          <w:szCs w:val="2"/>
          <w:rtl/>
        </w:rPr>
        <w:t>54678313</w:t>
      </w:r>
    </w:p>
    <w:p w14:paraId="094243EB" w14:textId="77777777" w:rsidR="005E1751" w:rsidRPr="005E1751" w:rsidRDefault="005E1751" w:rsidP="005E1751">
      <w:pPr>
        <w:keepNext/>
        <w:rPr>
          <w:rFonts w:ascii="David" w:hAnsi="David"/>
          <w:color w:val="000000"/>
          <w:sz w:val="22"/>
          <w:szCs w:val="22"/>
          <w:rtl/>
        </w:rPr>
      </w:pPr>
      <w:r w:rsidRPr="005E1751">
        <w:rPr>
          <w:rFonts w:ascii="David" w:hAnsi="David"/>
          <w:color w:val="000000"/>
          <w:sz w:val="22"/>
          <w:szCs w:val="22"/>
          <w:rtl/>
        </w:rPr>
        <w:t>ענת חולתא 54678313</w:t>
      </w:r>
    </w:p>
    <w:p w14:paraId="4E3439C1" w14:textId="77777777" w:rsidR="005E1751" w:rsidRDefault="005E1751" w:rsidP="005E1751">
      <w:r w:rsidRPr="005E1751">
        <w:rPr>
          <w:color w:val="000000"/>
          <w:rtl/>
        </w:rPr>
        <w:t>נוסח מסמך זה כפוף לשינויי ניסוח ועריכה</w:t>
      </w:r>
    </w:p>
    <w:p w14:paraId="44988179" w14:textId="77777777" w:rsidR="005E1751" w:rsidRDefault="005E1751" w:rsidP="005E1751">
      <w:pPr>
        <w:rPr>
          <w:rtl/>
        </w:rPr>
      </w:pPr>
    </w:p>
    <w:p w14:paraId="29ABC910" w14:textId="77777777" w:rsidR="005E1751" w:rsidRDefault="005E1751" w:rsidP="005E1751">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3E4D36F1" w14:textId="77777777" w:rsidR="00D46D63" w:rsidRPr="00D46D63" w:rsidRDefault="00D46D63" w:rsidP="00D46D63">
      <w:pPr>
        <w:keepNext/>
        <w:rPr>
          <w:rFonts w:ascii="David" w:hAnsi="David"/>
          <w:color w:val="000000"/>
          <w:sz w:val="22"/>
          <w:szCs w:val="22"/>
          <w:rtl/>
        </w:rPr>
      </w:pPr>
    </w:p>
    <w:sectPr w:rsidR="00D46D63" w:rsidRPr="00D46D63" w:rsidSect="00D46D63">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D5A0D" w14:textId="77777777" w:rsidR="005879BA" w:rsidRDefault="005879BA" w:rsidP="00352D2E">
      <w:r>
        <w:separator/>
      </w:r>
    </w:p>
  </w:endnote>
  <w:endnote w:type="continuationSeparator" w:id="0">
    <w:p w14:paraId="0523BC06" w14:textId="77777777" w:rsidR="005879BA" w:rsidRDefault="005879BA" w:rsidP="00352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53CC0" w14:textId="77777777" w:rsidR="00D46D63" w:rsidRDefault="00D46D63" w:rsidP="00D46D6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B088E0E" w14:textId="77777777" w:rsidR="001F3996" w:rsidRPr="00D46D63" w:rsidRDefault="00D46D63" w:rsidP="00D46D63">
    <w:pPr>
      <w:pStyle w:val="a5"/>
      <w:pBdr>
        <w:top w:val="single" w:sz="4" w:space="1" w:color="auto"/>
        <w:between w:val="single" w:sz="4" w:space="0" w:color="auto"/>
      </w:pBdr>
      <w:spacing w:after="60"/>
      <w:jc w:val="center"/>
      <w:rPr>
        <w:rFonts w:ascii="FrankRuehl" w:hAnsi="FrankRuehl" w:cs="FrankRuehl"/>
        <w:color w:val="000000"/>
      </w:rPr>
    </w:pPr>
    <w:r w:rsidRPr="00D46D6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EC74B" w14:textId="77777777" w:rsidR="00D46D63" w:rsidRDefault="00D46D63" w:rsidP="00D46D6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D3D2B">
      <w:rPr>
        <w:rFonts w:ascii="FrankRuehl" w:hAnsi="FrankRuehl" w:cs="FrankRuehl"/>
        <w:noProof/>
        <w:rtl/>
      </w:rPr>
      <w:t>1</w:t>
    </w:r>
    <w:r>
      <w:rPr>
        <w:rFonts w:ascii="FrankRuehl" w:hAnsi="FrankRuehl" w:cs="FrankRuehl"/>
        <w:rtl/>
      </w:rPr>
      <w:fldChar w:fldCharType="end"/>
    </w:r>
  </w:p>
  <w:p w14:paraId="00002A91" w14:textId="77777777" w:rsidR="001F3996" w:rsidRPr="00D46D63" w:rsidRDefault="00D46D63" w:rsidP="00D46D63">
    <w:pPr>
      <w:pStyle w:val="a5"/>
      <w:pBdr>
        <w:top w:val="single" w:sz="4" w:space="1" w:color="auto"/>
        <w:between w:val="single" w:sz="4" w:space="0" w:color="auto"/>
      </w:pBdr>
      <w:spacing w:after="60"/>
      <w:jc w:val="center"/>
      <w:rPr>
        <w:rFonts w:ascii="FrankRuehl" w:hAnsi="FrankRuehl" w:cs="FrankRuehl"/>
        <w:color w:val="000000"/>
      </w:rPr>
    </w:pPr>
    <w:r w:rsidRPr="00D46D63">
      <w:rPr>
        <w:rFonts w:ascii="FrankRuehl" w:hAnsi="FrankRuehl" w:cs="FrankRuehl"/>
        <w:color w:val="000000"/>
      </w:rPr>
      <w:pict w14:anchorId="770E3D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20D00" w14:textId="77777777" w:rsidR="005879BA" w:rsidRDefault="005879BA" w:rsidP="00352D2E">
      <w:r>
        <w:separator/>
      </w:r>
    </w:p>
  </w:footnote>
  <w:footnote w:type="continuationSeparator" w:id="0">
    <w:p w14:paraId="676E9796" w14:textId="77777777" w:rsidR="005879BA" w:rsidRDefault="005879BA" w:rsidP="00352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D5B46" w14:textId="77777777" w:rsidR="005E1751" w:rsidRPr="00D46D63" w:rsidRDefault="00D46D63" w:rsidP="00D46D6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61099-12-18</w:t>
    </w:r>
    <w:r>
      <w:rPr>
        <w:rFonts w:ascii="David" w:hAnsi="David"/>
        <w:color w:val="000000"/>
        <w:sz w:val="22"/>
        <w:szCs w:val="22"/>
        <w:rtl/>
      </w:rPr>
      <w:tab/>
      <w:t xml:space="preserve"> מדינת ישראל נ' יצחק חסן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E77EC" w14:textId="77777777" w:rsidR="005E1751" w:rsidRPr="00D46D63" w:rsidRDefault="00D46D63" w:rsidP="00D46D6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61099-12-18</w:t>
    </w:r>
    <w:r>
      <w:rPr>
        <w:rFonts w:ascii="David" w:hAnsi="David"/>
        <w:color w:val="000000"/>
        <w:sz w:val="22"/>
        <w:szCs w:val="22"/>
        <w:rtl/>
      </w:rPr>
      <w:tab/>
      <w:t xml:space="preserve"> מדינת ישראל נ' יצחק חסן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2768B"/>
    <w:multiLevelType w:val="hybridMultilevel"/>
    <w:tmpl w:val="FFECB426"/>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62047AD2"/>
    <w:multiLevelType w:val="hybridMultilevel"/>
    <w:tmpl w:val="E3B2AA3A"/>
    <w:lvl w:ilvl="0" w:tplc="F400628E">
      <w:start w:val="1"/>
      <w:numFmt w:val="decimal"/>
      <w:lvlText w:val="%1."/>
      <w:lvlJc w:val="left"/>
      <w:pPr>
        <w:ind w:left="360" w:hanging="360"/>
      </w:pPr>
      <w:rPr>
        <w:rFonts w:cs="David"/>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062755218">
    <w:abstractNumId w:val="1"/>
  </w:num>
  <w:num w:numId="2" w16cid:durableId="1081023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3A10"/>
    <w:rsid w:val="000A16E0"/>
    <w:rsid w:val="000D3D2B"/>
    <w:rsid w:val="000E500D"/>
    <w:rsid w:val="00100856"/>
    <w:rsid w:val="001B5A3B"/>
    <w:rsid w:val="001C5D4D"/>
    <w:rsid w:val="001F3996"/>
    <w:rsid w:val="00296F54"/>
    <w:rsid w:val="00352D2E"/>
    <w:rsid w:val="005879BA"/>
    <w:rsid w:val="005E1751"/>
    <w:rsid w:val="00883A10"/>
    <w:rsid w:val="00977262"/>
    <w:rsid w:val="00C063B6"/>
    <w:rsid w:val="00C324CD"/>
    <w:rsid w:val="00D46D63"/>
    <w:rsid w:val="00FB7D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4F5DBC"/>
  <w15:chartTrackingRefBased/>
  <w15:docId w15:val="{CCFC2863-2DDA-41A5-886D-984BE1A5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3A1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83A10"/>
    <w:pPr>
      <w:tabs>
        <w:tab w:val="center" w:pos="4153"/>
        <w:tab w:val="right" w:pos="8306"/>
      </w:tabs>
    </w:pPr>
  </w:style>
  <w:style w:type="character" w:customStyle="1" w:styleId="a4">
    <w:name w:val="כותרת עליונה תו"/>
    <w:link w:val="a3"/>
    <w:rsid w:val="00883A10"/>
    <w:rPr>
      <w:rFonts w:ascii="Times New Roman" w:eastAsia="Times New Roman" w:hAnsi="Times New Roman" w:cs="David"/>
      <w:sz w:val="24"/>
      <w:szCs w:val="24"/>
    </w:rPr>
  </w:style>
  <w:style w:type="paragraph" w:styleId="a5">
    <w:name w:val="footer"/>
    <w:basedOn w:val="a"/>
    <w:link w:val="a6"/>
    <w:rsid w:val="00883A10"/>
    <w:pPr>
      <w:tabs>
        <w:tab w:val="center" w:pos="4153"/>
        <w:tab w:val="right" w:pos="8306"/>
      </w:tabs>
    </w:pPr>
  </w:style>
  <w:style w:type="character" w:customStyle="1" w:styleId="a6">
    <w:name w:val="כותרת תחתונה תו"/>
    <w:link w:val="a5"/>
    <w:rsid w:val="00883A10"/>
    <w:rPr>
      <w:rFonts w:ascii="Times New Roman" w:eastAsia="Times New Roman" w:hAnsi="Times New Roman" w:cs="David"/>
      <w:sz w:val="24"/>
      <w:szCs w:val="24"/>
    </w:rPr>
  </w:style>
  <w:style w:type="table" w:styleId="a7">
    <w:name w:val="Table Grid"/>
    <w:basedOn w:val="a1"/>
    <w:rsid w:val="00883A1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83A10"/>
  </w:style>
  <w:style w:type="character" w:styleId="Hyperlink">
    <w:name w:val="Hyperlink"/>
    <w:rsid w:val="005E17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70301/40d.a" TargetMode="External"/><Relationship Id="rId3" Type="http://schemas.openxmlformats.org/officeDocument/2006/relationships/settings" Target="settings.xml"/><Relationship Id="rId21" Type="http://schemas.openxmlformats.org/officeDocument/2006/relationships/hyperlink" Target="http://www.nevo.co.il/law/70301/452"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70301/40d.a"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654963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7634418"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case/18119161"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70301/400"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52" TargetMode="External"/><Relationship Id="rId22" Type="http://schemas.openxmlformats.org/officeDocument/2006/relationships/hyperlink" Target="http://www.nevo.co.il/case/18045843" TargetMode="External"/><Relationship Id="rId27" Type="http://schemas.openxmlformats.org/officeDocument/2006/relationships/hyperlink" Target="http://www.nevo.co.il/law/70301" TargetMode="External"/><Relationship Id="rId30" Type="http://schemas.openxmlformats.org/officeDocument/2006/relationships/header" Target="header2.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3001</Words>
  <Characters>15005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17971</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4915205</vt:i4>
      </vt:variant>
      <vt:variant>
        <vt:i4>57</vt:i4>
      </vt:variant>
      <vt:variant>
        <vt:i4>0</vt:i4>
      </vt:variant>
      <vt:variant>
        <vt:i4>5</vt:i4>
      </vt:variant>
      <vt:variant>
        <vt:lpwstr>http://www.nevo.co.il/law/70301/40d.a</vt:lpwstr>
      </vt:variant>
      <vt:variant>
        <vt:lpwstr/>
      </vt:variant>
      <vt:variant>
        <vt:i4>3997808</vt:i4>
      </vt:variant>
      <vt:variant>
        <vt:i4>54</vt:i4>
      </vt:variant>
      <vt:variant>
        <vt:i4>0</vt:i4>
      </vt:variant>
      <vt:variant>
        <vt:i4>5</vt:i4>
      </vt:variant>
      <vt:variant>
        <vt:lpwstr>http://www.nevo.co.il/case/26549634</vt:lpwstr>
      </vt:variant>
      <vt:variant>
        <vt:lpwstr/>
      </vt:variant>
      <vt:variant>
        <vt:i4>3211380</vt:i4>
      </vt:variant>
      <vt:variant>
        <vt:i4>51</vt:i4>
      </vt:variant>
      <vt:variant>
        <vt:i4>0</vt:i4>
      </vt:variant>
      <vt:variant>
        <vt:i4>5</vt:i4>
      </vt:variant>
      <vt:variant>
        <vt:lpwstr>http://www.nevo.co.il/case/27634418</vt:lpwstr>
      </vt:variant>
      <vt:variant>
        <vt:lpwstr/>
      </vt:variant>
      <vt:variant>
        <vt:i4>4128892</vt:i4>
      </vt:variant>
      <vt:variant>
        <vt:i4>48</vt:i4>
      </vt:variant>
      <vt:variant>
        <vt:i4>0</vt:i4>
      </vt:variant>
      <vt:variant>
        <vt:i4>5</vt:i4>
      </vt:variant>
      <vt:variant>
        <vt:lpwstr>http://www.nevo.co.il/case/18119161</vt:lpwstr>
      </vt:variant>
      <vt:variant>
        <vt:lpwstr/>
      </vt:variant>
      <vt:variant>
        <vt:i4>3145840</vt:i4>
      </vt:variant>
      <vt:variant>
        <vt:i4>45</vt:i4>
      </vt:variant>
      <vt:variant>
        <vt:i4>0</vt:i4>
      </vt:variant>
      <vt:variant>
        <vt:i4>5</vt:i4>
      </vt:variant>
      <vt:variant>
        <vt:lpwstr>http://www.nevo.co.il/case/18045843</vt:lpwstr>
      </vt:variant>
      <vt:variant>
        <vt:lpwstr/>
      </vt:variant>
      <vt:variant>
        <vt:i4>6291553</vt:i4>
      </vt:variant>
      <vt:variant>
        <vt:i4>42</vt:i4>
      </vt:variant>
      <vt:variant>
        <vt:i4>0</vt:i4>
      </vt:variant>
      <vt:variant>
        <vt:i4>5</vt:i4>
      </vt:variant>
      <vt:variant>
        <vt:lpwstr>http://www.nevo.co.il/law/70301/452</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http://www.nevo.co.il/law/70301/400</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6291553</vt:i4>
      </vt:variant>
      <vt:variant>
        <vt:i4>21</vt:i4>
      </vt:variant>
      <vt:variant>
        <vt:i4>0</vt:i4>
      </vt:variant>
      <vt:variant>
        <vt:i4>5</vt:i4>
      </vt:variant>
      <vt:variant>
        <vt:lpwstr>http://www.nevo.co.il/law/70301/452</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2025-04-23T00:00:00Z</dcterms:created>
  <dcterms:modified xsi:type="dcterms:W3CDTF">2025-04-23T00:00:00Z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61099</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יצחק חסן</vt:lpwstr>
  </property>
  <property fmtid="{D5CDD505-2E9C-101B-9397-08002B2CF9AE}" pid="10" name="LAWYER">
    <vt:lpwstr>אורלי פיטוסי;רועי אטיאס</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20211202</vt:lpwstr>
  </property>
  <property fmtid="{D5CDD505-2E9C-101B-9397-08002B2CF9AE}" pid="14" name="TYPE_N_DATE">
    <vt:lpwstr>38020211202</vt:lpwstr>
  </property>
  <property fmtid="{D5CDD505-2E9C-101B-9397-08002B2CF9AE}" pid="15" name="WORDNUMPAGES">
    <vt:lpwstr>9</vt:lpwstr>
  </property>
  <property fmtid="{D5CDD505-2E9C-101B-9397-08002B2CF9AE}" pid="16" name="TYPE_ABS_DATE">
    <vt:lpwstr>380020211202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18045843;18119161;27634418;26549634</vt:lpwstr>
  </property>
  <property fmtid="{D5CDD505-2E9C-101B-9397-08002B2CF9AE}" pid="36" name="LAWLISTTMP1">
    <vt:lpwstr>4216/006;007.a;007.c</vt:lpwstr>
  </property>
  <property fmtid="{D5CDD505-2E9C-101B-9397-08002B2CF9AE}" pid="37" name="LAWLISTTMP2">
    <vt:lpwstr>70301/400;452;040d.a</vt:lpwstr>
  </property>
</Properties>
</file>