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45"/>
        <w:gridCol w:w="3578"/>
      </w:tblGrid>
      <w:tr w:rsidR="002668D8" w:rsidRPr="009D18C9" w14:paraId="6535FA3A" w14:textId="77777777" w:rsidTr="008171EB">
        <w:trPr>
          <w:trHeight w:hRule="exact" w:val="418"/>
          <w:jc w:val="center"/>
        </w:trPr>
        <w:tc>
          <w:tcPr>
            <w:tcW w:w="8523" w:type="dxa"/>
            <w:gridSpan w:val="2"/>
          </w:tcPr>
          <w:p w14:paraId="3CC4CE95" w14:textId="77777777" w:rsidR="002668D8" w:rsidRPr="00BA1840" w:rsidRDefault="002668D8" w:rsidP="001053CC">
            <w:pPr>
              <w:pStyle w:val="a3"/>
              <w:jc w:val="center"/>
              <w:rPr>
                <w:rFonts w:ascii="Tahoma" w:hAnsi="Tahoma" w:cs="David"/>
                <w:color w:val="000080"/>
                <w:sz w:val="32"/>
                <w:szCs w:val="32"/>
                <w:rtl/>
                <w:lang w:val="en-US" w:eastAsia="en-US"/>
              </w:rPr>
            </w:pPr>
            <w:r w:rsidRPr="00BA1840">
              <w:rPr>
                <w:rFonts w:ascii="Tahoma" w:hAnsi="Tahoma" w:cs="David"/>
                <w:b/>
                <w:bCs/>
                <w:color w:val="000080"/>
                <w:sz w:val="32"/>
                <w:szCs w:val="32"/>
                <w:rtl/>
                <w:lang w:val="en-US" w:eastAsia="en-US"/>
              </w:rPr>
              <w:t>בית משפט השלום בתל אביב - יפו</w:t>
            </w:r>
          </w:p>
        </w:tc>
      </w:tr>
      <w:tr w:rsidR="002668D8" w:rsidRPr="009D18C9" w14:paraId="3BFC5516" w14:textId="77777777" w:rsidTr="008171EB">
        <w:trPr>
          <w:trHeight w:val="337"/>
          <w:jc w:val="center"/>
        </w:trPr>
        <w:tc>
          <w:tcPr>
            <w:tcW w:w="4945" w:type="dxa"/>
          </w:tcPr>
          <w:p w14:paraId="62CD6393" w14:textId="77777777" w:rsidR="002668D8" w:rsidRPr="009D18C9" w:rsidRDefault="002668D8" w:rsidP="001053CC">
            <w:pPr>
              <w:rPr>
                <w:sz w:val="26"/>
                <w:szCs w:val="26"/>
                <w:rtl/>
              </w:rPr>
            </w:pPr>
            <w:r w:rsidRPr="009D18C9">
              <w:rPr>
                <w:sz w:val="26"/>
                <w:szCs w:val="26"/>
                <w:rtl/>
              </w:rPr>
              <w:t>ת"פ</w:t>
            </w:r>
            <w:r w:rsidRPr="009D18C9">
              <w:rPr>
                <w:rFonts w:hint="cs"/>
                <w:sz w:val="26"/>
                <w:szCs w:val="26"/>
                <w:rtl/>
              </w:rPr>
              <w:t xml:space="preserve"> </w:t>
            </w:r>
            <w:r w:rsidRPr="009D18C9">
              <w:rPr>
                <w:sz w:val="26"/>
                <w:szCs w:val="26"/>
                <w:rtl/>
              </w:rPr>
              <w:t>11545-01-19</w:t>
            </w:r>
            <w:r w:rsidRPr="009D18C9">
              <w:rPr>
                <w:rFonts w:hint="cs"/>
                <w:sz w:val="26"/>
                <w:szCs w:val="26"/>
                <w:rtl/>
              </w:rPr>
              <w:t xml:space="preserve"> </w:t>
            </w:r>
            <w:r w:rsidRPr="009D18C9">
              <w:rPr>
                <w:sz w:val="26"/>
                <w:szCs w:val="26"/>
                <w:rtl/>
              </w:rPr>
              <w:t>מדינת ישראל נ' עמר</w:t>
            </w:r>
          </w:p>
        </w:tc>
        <w:tc>
          <w:tcPr>
            <w:tcW w:w="3578" w:type="dxa"/>
          </w:tcPr>
          <w:p w14:paraId="7C71FCCE" w14:textId="77777777" w:rsidR="002668D8" w:rsidRPr="00BA1840" w:rsidRDefault="002668D8" w:rsidP="001053CC">
            <w:pPr>
              <w:pStyle w:val="a3"/>
              <w:jc w:val="right"/>
              <w:rPr>
                <w:rFonts w:cs="FrankRuehl"/>
                <w:sz w:val="28"/>
                <w:szCs w:val="28"/>
                <w:rtl/>
                <w:lang w:val="en-US" w:eastAsia="en-US"/>
              </w:rPr>
            </w:pPr>
          </w:p>
        </w:tc>
      </w:tr>
    </w:tbl>
    <w:p w14:paraId="5A58F659" w14:textId="77777777" w:rsidR="002668D8" w:rsidRPr="009D18C9" w:rsidRDefault="002668D8" w:rsidP="002668D8">
      <w:pPr>
        <w:pStyle w:val="a3"/>
        <w:rPr>
          <w:rtl/>
        </w:rPr>
      </w:pPr>
      <w:r w:rsidRPr="009D18C9">
        <w:rPr>
          <w:rFonts w:hint="cs"/>
          <w:rtl/>
        </w:rPr>
        <w:t xml:space="preserve"> </w:t>
      </w:r>
    </w:p>
    <w:p w14:paraId="21EF8781" w14:textId="77777777" w:rsidR="002668D8" w:rsidRPr="009D18C9" w:rsidRDefault="002668D8" w:rsidP="002668D8">
      <w:pPr>
        <w:rPr>
          <w:rtl/>
        </w:rPr>
      </w:pPr>
    </w:p>
    <w:p w14:paraId="7D2E2B2A" w14:textId="77777777" w:rsidR="002668D8" w:rsidRPr="009D18C9" w:rsidRDefault="002668D8" w:rsidP="002668D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1"/>
        <w:gridCol w:w="4209"/>
        <w:gridCol w:w="3380"/>
      </w:tblGrid>
      <w:tr w:rsidR="002668D8" w:rsidRPr="009D18C9" w14:paraId="3FA9806A" w14:textId="77777777" w:rsidTr="002668D8">
        <w:trPr>
          <w:trHeight w:val="295"/>
          <w:jc w:val="center"/>
        </w:trPr>
        <w:tc>
          <w:tcPr>
            <w:tcW w:w="8820" w:type="dxa"/>
            <w:gridSpan w:val="3"/>
            <w:tcBorders>
              <w:top w:val="nil"/>
              <w:left w:val="nil"/>
              <w:bottom w:val="nil"/>
              <w:right w:val="nil"/>
            </w:tcBorders>
            <w:shd w:val="clear" w:color="auto" w:fill="auto"/>
          </w:tcPr>
          <w:p w14:paraId="6F3AD926" w14:textId="77777777" w:rsidR="002668D8" w:rsidRPr="009D18C9" w:rsidRDefault="002668D8" w:rsidP="002668D8">
            <w:pPr>
              <w:jc w:val="both"/>
              <w:rPr>
                <w:rFonts w:ascii="Arial" w:hAnsi="Arial"/>
                <w:b/>
                <w:bCs/>
                <w:sz w:val="26"/>
                <w:szCs w:val="26"/>
              </w:rPr>
            </w:pPr>
            <w:r w:rsidRPr="009D18C9">
              <w:rPr>
                <w:rFonts w:ascii="Arial" w:hAnsi="Arial" w:hint="cs"/>
                <w:b/>
                <w:bCs/>
                <w:sz w:val="26"/>
                <w:szCs w:val="26"/>
                <w:rtl/>
              </w:rPr>
              <w:t>ל</w:t>
            </w:r>
            <w:r w:rsidRPr="009D18C9">
              <w:rPr>
                <w:rFonts w:ascii="Arial" w:hAnsi="Arial"/>
                <w:b/>
                <w:bCs/>
                <w:sz w:val="26"/>
                <w:szCs w:val="26"/>
                <w:rtl/>
              </w:rPr>
              <w:t xml:space="preserve">פני </w:t>
            </w:r>
            <w:r w:rsidRPr="009D18C9">
              <w:rPr>
                <w:b/>
                <w:bCs/>
                <w:sz w:val="26"/>
                <w:szCs w:val="26"/>
                <w:rtl/>
              </w:rPr>
              <w:t>כב' השופטת נעה תבור, סגנית הנשיא</w:t>
            </w:r>
          </w:p>
        </w:tc>
      </w:tr>
      <w:tr w:rsidR="002668D8" w:rsidRPr="009D18C9" w14:paraId="35494176" w14:textId="77777777" w:rsidTr="002668D8">
        <w:trPr>
          <w:trHeight w:val="355"/>
          <w:jc w:val="center"/>
        </w:trPr>
        <w:tc>
          <w:tcPr>
            <w:tcW w:w="885" w:type="dxa"/>
            <w:tcBorders>
              <w:top w:val="nil"/>
              <w:left w:val="nil"/>
              <w:bottom w:val="nil"/>
              <w:right w:val="nil"/>
            </w:tcBorders>
            <w:shd w:val="clear" w:color="auto" w:fill="auto"/>
          </w:tcPr>
          <w:p w14:paraId="64B034DA" w14:textId="77777777" w:rsidR="002668D8" w:rsidRPr="009D18C9" w:rsidRDefault="002668D8" w:rsidP="002668D8">
            <w:pPr>
              <w:jc w:val="both"/>
              <w:rPr>
                <w:rFonts w:ascii="Arial" w:hAnsi="Arial"/>
                <w:b/>
                <w:bCs/>
                <w:sz w:val="26"/>
                <w:szCs w:val="26"/>
              </w:rPr>
            </w:pPr>
            <w:bookmarkStart w:id="0" w:name="FirstAppellant"/>
            <w:bookmarkStart w:id="1" w:name="FirstLawyer"/>
            <w:bookmarkStart w:id="2" w:name="LastJudge"/>
            <w:bookmarkEnd w:id="2"/>
            <w:r w:rsidRPr="009D18C9">
              <w:rPr>
                <w:rFonts w:ascii="Arial" w:hAnsi="Arial" w:hint="cs"/>
                <w:b/>
                <w:bCs/>
                <w:sz w:val="26"/>
                <w:szCs w:val="26"/>
                <w:rtl/>
              </w:rPr>
              <w:t>ה</w:t>
            </w:r>
            <w:r w:rsidRPr="009D18C9">
              <w:rPr>
                <w:rFonts w:ascii="Arial" w:hAnsi="Arial"/>
                <w:b/>
                <w:bCs/>
                <w:sz w:val="26"/>
                <w:szCs w:val="26"/>
                <w:rtl/>
              </w:rPr>
              <w:t>מאשימה</w:t>
            </w:r>
          </w:p>
        </w:tc>
        <w:tc>
          <w:tcPr>
            <w:tcW w:w="4384" w:type="dxa"/>
            <w:tcBorders>
              <w:top w:val="nil"/>
              <w:left w:val="nil"/>
              <w:bottom w:val="nil"/>
              <w:right w:val="nil"/>
            </w:tcBorders>
            <w:shd w:val="clear" w:color="auto" w:fill="auto"/>
          </w:tcPr>
          <w:p w14:paraId="56E880EF" w14:textId="77777777" w:rsidR="002668D8" w:rsidRPr="009D18C9" w:rsidRDefault="002668D8" w:rsidP="001053CC">
            <w:pPr>
              <w:rPr>
                <w:b/>
                <w:bCs/>
                <w:sz w:val="26"/>
                <w:szCs w:val="26"/>
                <w:rtl/>
              </w:rPr>
            </w:pPr>
            <w:r w:rsidRPr="009D18C9">
              <w:rPr>
                <w:rFonts w:ascii="Arial" w:hAnsi="Arial"/>
                <w:b/>
                <w:bCs/>
                <w:sz w:val="26"/>
                <w:szCs w:val="26"/>
                <w:rtl/>
              </w:rPr>
              <w:t>מדינת ישראל</w:t>
            </w:r>
          </w:p>
          <w:p w14:paraId="30A746B0" w14:textId="77777777" w:rsidR="002668D8" w:rsidRPr="009D18C9" w:rsidRDefault="002668D8" w:rsidP="001053CC">
            <w:pPr>
              <w:rPr>
                <w:b/>
                <w:bCs/>
                <w:sz w:val="26"/>
                <w:szCs w:val="26"/>
              </w:rPr>
            </w:pPr>
            <w:r w:rsidRPr="009D18C9">
              <w:rPr>
                <w:rFonts w:hint="cs"/>
                <w:b/>
                <w:bCs/>
                <w:sz w:val="26"/>
                <w:szCs w:val="26"/>
                <w:rtl/>
              </w:rPr>
              <w:t>ע"י ב"כ עו"ד דליה וייסברג</w:t>
            </w:r>
          </w:p>
        </w:tc>
        <w:tc>
          <w:tcPr>
            <w:tcW w:w="3551" w:type="dxa"/>
            <w:tcBorders>
              <w:top w:val="nil"/>
              <w:left w:val="nil"/>
              <w:bottom w:val="nil"/>
              <w:right w:val="nil"/>
            </w:tcBorders>
            <w:shd w:val="clear" w:color="auto" w:fill="auto"/>
          </w:tcPr>
          <w:p w14:paraId="1C4F9D10" w14:textId="77777777" w:rsidR="002668D8" w:rsidRPr="009D18C9" w:rsidRDefault="002668D8" w:rsidP="002668D8">
            <w:pPr>
              <w:jc w:val="both"/>
              <w:rPr>
                <w:rFonts w:ascii="Arial" w:hAnsi="Arial"/>
                <w:b/>
                <w:bCs/>
                <w:sz w:val="26"/>
                <w:szCs w:val="26"/>
              </w:rPr>
            </w:pPr>
          </w:p>
        </w:tc>
      </w:tr>
      <w:bookmarkEnd w:id="0"/>
      <w:bookmarkEnd w:id="1"/>
      <w:tr w:rsidR="002668D8" w:rsidRPr="009D18C9" w14:paraId="25B7C498" w14:textId="77777777" w:rsidTr="002668D8">
        <w:trPr>
          <w:trHeight w:val="373"/>
          <w:jc w:val="center"/>
        </w:trPr>
        <w:tc>
          <w:tcPr>
            <w:tcW w:w="885" w:type="dxa"/>
            <w:tcBorders>
              <w:top w:val="nil"/>
              <w:left w:val="nil"/>
              <w:bottom w:val="nil"/>
              <w:right w:val="nil"/>
            </w:tcBorders>
            <w:shd w:val="clear" w:color="auto" w:fill="auto"/>
          </w:tcPr>
          <w:p w14:paraId="56610CC1" w14:textId="77777777" w:rsidR="002668D8" w:rsidRPr="009D18C9" w:rsidRDefault="002668D8" w:rsidP="002668D8">
            <w:pPr>
              <w:jc w:val="both"/>
              <w:rPr>
                <w:rFonts w:ascii="Arial" w:hAnsi="Arial"/>
                <w:b/>
                <w:bCs/>
                <w:sz w:val="26"/>
                <w:szCs w:val="26"/>
                <w:rtl/>
              </w:rPr>
            </w:pPr>
          </w:p>
        </w:tc>
        <w:tc>
          <w:tcPr>
            <w:tcW w:w="7935" w:type="dxa"/>
            <w:gridSpan w:val="2"/>
            <w:tcBorders>
              <w:top w:val="nil"/>
              <w:left w:val="nil"/>
              <w:bottom w:val="nil"/>
              <w:right w:val="nil"/>
            </w:tcBorders>
            <w:shd w:val="clear" w:color="auto" w:fill="auto"/>
          </w:tcPr>
          <w:p w14:paraId="64332D7D" w14:textId="77777777" w:rsidR="002668D8" w:rsidRPr="009D18C9" w:rsidRDefault="002668D8" w:rsidP="002668D8">
            <w:pPr>
              <w:jc w:val="center"/>
              <w:rPr>
                <w:rFonts w:ascii="Arial" w:hAnsi="Arial"/>
                <w:b/>
                <w:bCs/>
                <w:sz w:val="26"/>
                <w:szCs w:val="26"/>
                <w:rtl/>
              </w:rPr>
            </w:pPr>
          </w:p>
          <w:p w14:paraId="1A650B66" w14:textId="77777777" w:rsidR="002668D8" w:rsidRPr="009D18C9" w:rsidRDefault="002668D8" w:rsidP="002668D8">
            <w:pPr>
              <w:jc w:val="center"/>
              <w:rPr>
                <w:rFonts w:ascii="Arial" w:hAnsi="Arial"/>
                <w:b/>
                <w:bCs/>
                <w:sz w:val="26"/>
                <w:szCs w:val="26"/>
                <w:rtl/>
              </w:rPr>
            </w:pPr>
            <w:r w:rsidRPr="009D18C9">
              <w:rPr>
                <w:rFonts w:ascii="Arial" w:hAnsi="Arial"/>
                <w:b/>
                <w:bCs/>
                <w:sz w:val="26"/>
                <w:szCs w:val="26"/>
                <w:rtl/>
              </w:rPr>
              <w:t>נגד</w:t>
            </w:r>
          </w:p>
          <w:p w14:paraId="31730C9E" w14:textId="77777777" w:rsidR="002668D8" w:rsidRPr="009D18C9" w:rsidRDefault="002668D8" w:rsidP="002668D8">
            <w:pPr>
              <w:jc w:val="both"/>
              <w:rPr>
                <w:rFonts w:ascii="Arial" w:hAnsi="Arial"/>
                <w:b/>
                <w:bCs/>
                <w:sz w:val="26"/>
                <w:szCs w:val="26"/>
              </w:rPr>
            </w:pPr>
          </w:p>
        </w:tc>
      </w:tr>
      <w:tr w:rsidR="002668D8" w:rsidRPr="009D18C9" w14:paraId="188F3BBF" w14:textId="77777777" w:rsidTr="002668D8">
        <w:trPr>
          <w:trHeight w:val="355"/>
          <w:jc w:val="center"/>
        </w:trPr>
        <w:tc>
          <w:tcPr>
            <w:tcW w:w="885" w:type="dxa"/>
            <w:tcBorders>
              <w:top w:val="nil"/>
              <w:left w:val="nil"/>
              <w:bottom w:val="nil"/>
              <w:right w:val="nil"/>
            </w:tcBorders>
            <w:shd w:val="clear" w:color="auto" w:fill="auto"/>
          </w:tcPr>
          <w:p w14:paraId="15FDC1BB" w14:textId="77777777" w:rsidR="002668D8" w:rsidRPr="009D18C9" w:rsidRDefault="002668D8" w:rsidP="001053CC">
            <w:pPr>
              <w:rPr>
                <w:rFonts w:ascii="Arial" w:hAnsi="Arial"/>
                <w:b/>
                <w:bCs/>
                <w:sz w:val="26"/>
                <w:szCs w:val="26"/>
                <w:rtl/>
              </w:rPr>
            </w:pPr>
            <w:r w:rsidRPr="009D18C9">
              <w:rPr>
                <w:rFonts w:ascii="Arial" w:hAnsi="Arial" w:hint="cs"/>
                <w:b/>
                <w:bCs/>
                <w:sz w:val="26"/>
                <w:szCs w:val="26"/>
                <w:rtl/>
              </w:rPr>
              <w:t>ה</w:t>
            </w:r>
            <w:r w:rsidRPr="009D18C9">
              <w:rPr>
                <w:rFonts w:ascii="Arial" w:hAnsi="Arial"/>
                <w:b/>
                <w:bCs/>
                <w:sz w:val="26"/>
                <w:szCs w:val="26"/>
                <w:rtl/>
              </w:rPr>
              <w:t>נאשם</w:t>
            </w:r>
          </w:p>
        </w:tc>
        <w:tc>
          <w:tcPr>
            <w:tcW w:w="4384" w:type="dxa"/>
            <w:tcBorders>
              <w:top w:val="nil"/>
              <w:left w:val="nil"/>
              <w:bottom w:val="nil"/>
              <w:right w:val="nil"/>
            </w:tcBorders>
            <w:shd w:val="clear" w:color="auto" w:fill="auto"/>
          </w:tcPr>
          <w:p w14:paraId="42FDD37D" w14:textId="77777777" w:rsidR="002668D8" w:rsidRPr="009D18C9" w:rsidRDefault="002668D8" w:rsidP="001053CC">
            <w:pPr>
              <w:rPr>
                <w:b/>
                <w:bCs/>
                <w:sz w:val="26"/>
                <w:szCs w:val="26"/>
                <w:rtl/>
              </w:rPr>
            </w:pPr>
            <w:r w:rsidRPr="009D18C9">
              <w:rPr>
                <w:rFonts w:ascii="Arial" w:hAnsi="Arial"/>
                <w:b/>
                <w:bCs/>
                <w:sz w:val="26"/>
                <w:szCs w:val="26"/>
                <w:rtl/>
              </w:rPr>
              <w:t>ויקי עמר</w:t>
            </w:r>
          </w:p>
          <w:p w14:paraId="1EA730DD" w14:textId="77777777" w:rsidR="002668D8" w:rsidRPr="009D18C9" w:rsidRDefault="002668D8" w:rsidP="001053CC">
            <w:pPr>
              <w:rPr>
                <w:b/>
                <w:bCs/>
                <w:sz w:val="26"/>
                <w:szCs w:val="26"/>
                <w:rtl/>
              </w:rPr>
            </w:pPr>
            <w:r w:rsidRPr="009D18C9">
              <w:rPr>
                <w:rFonts w:hint="cs"/>
                <w:b/>
                <w:bCs/>
                <w:sz w:val="26"/>
                <w:szCs w:val="26"/>
                <w:rtl/>
              </w:rPr>
              <w:t>ע"י ב"כ עו"ד עידן שני</w:t>
            </w:r>
          </w:p>
        </w:tc>
        <w:tc>
          <w:tcPr>
            <w:tcW w:w="3551" w:type="dxa"/>
            <w:tcBorders>
              <w:top w:val="nil"/>
              <w:left w:val="nil"/>
              <w:bottom w:val="nil"/>
              <w:right w:val="nil"/>
            </w:tcBorders>
            <w:shd w:val="clear" w:color="auto" w:fill="auto"/>
          </w:tcPr>
          <w:p w14:paraId="0F0A4895" w14:textId="77777777" w:rsidR="002668D8" w:rsidRPr="009D18C9" w:rsidRDefault="002668D8" w:rsidP="002668D8">
            <w:pPr>
              <w:jc w:val="right"/>
              <w:rPr>
                <w:rFonts w:ascii="Arial" w:hAnsi="Arial"/>
                <w:b/>
                <w:bCs/>
                <w:sz w:val="26"/>
                <w:szCs w:val="26"/>
              </w:rPr>
            </w:pPr>
          </w:p>
        </w:tc>
      </w:tr>
    </w:tbl>
    <w:p w14:paraId="49F3CA08" w14:textId="77777777" w:rsidR="008171EB" w:rsidRDefault="008171EB" w:rsidP="009D18C9">
      <w:pPr>
        <w:rPr>
          <w:rtl/>
        </w:rPr>
      </w:pPr>
    </w:p>
    <w:p w14:paraId="289A5EDD" w14:textId="77777777" w:rsidR="008171EB" w:rsidRPr="008171EB" w:rsidRDefault="008171EB" w:rsidP="008171EB">
      <w:pPr>
        <w:spacing w:after="120" w:line="240" w:lineRule="exact"/>
        <w:ind w:left="283" w:hanging="283"/>
        <w:jc w:val="both"/>
        <w:rPr>
          <w:rFonts w:ascii="FrankRuehl" w:hAnsi="FrankRuehl" w:cs="FrankRuehl"/>
          <w:rtl/>
        </w:rPr>
      </w:pPr>
    </w:p>
    <w:p w14:paraId="4536027A" w14:textId="77777777" w:rsidR="00816134" w:rsidRDefault="00816134" w:rsidP="00816134">
      <w:pPr>
        <w:rPr>
          <w:rtl/>
        </w:rPr>
      </w:pPr>
      <w:bookmarkStart w:id="3" w:name="LawTable"/>
      <w:bookmarkEnd w:id="3"/>
    </w:p>
    <w:p w14:paraId="4409D305" w14:textId="77777777" w:rsidR="00816134" w:rsidRPr="00816134" w:rsidRDefault="00816134" w:rsidP="00816134">
      <w:pPr>
        <w:spacing w:before="120" w:after="120" w:line="240" w:lineRule="exact"/>
        <w:ind w:left="283" w:hanging="283"/>
        <w:jc w:val="both"/>
        <w:rPr>
          <w:rFonts w:ascii="FrankRuehl" w:hAnsi="FrankRuehl" w:cs="FrankRuehl"/>
          <w:rtl/>
        </w:rPr>
      </w:pPr>
    </w:p>
    <w:p w14:paraId="47F13258" w14:textId="77777777" w:rsidR="00816134" w:rsidRPr="00816134" w:rsidRDefault="00816134" w:rsidP="00816134">
      <w:pPr>
        <w:spacing w:before="120" w:after="120" w:line="240" w:lineRule="exact"/>
        <w:ind w:left="283" w:hanging="283"/>
        <w:jc w:val="both"/>
        <w:rPr>
          <w:rFonts w:ascii="FrankRuehl" w:hAnsi="FrankRuehl" w:cs="FrankRuehl"/>
          <w:rtl/>
        </w:rPr>
      </w:pPr>
    </w:p>
    <w:p w14:paraId="0B253768" w14:textId="77777777" w:rsidR="00816134" w:rsidRPr="00816134" w:rsidRDefault="00816134" w:rsidP="00816134">
      <w:pPr>
        <w:spacing w:before="120" w:after="120" w:line="240" w:lineRule="exact"/>
        <w:ind w:left="283" w:hanging="283"/>
        <w:jc w:val="both"/>
        <w:rPr>
          <w:rFonts w:ascii="FrankRuehl" w:hAnsi="FrankRuehl" w:cs="FrankRuehl"/>
          <w:rtl/>
        </w:rPr>
      </w:pPr>
      <w:r w:rsidRPr="00816134">
        <w:rPr>
          <w:rFonts w:ascii="FrankRuehl" w:hAnsi="FrankRuehl" w:cs="FrankRuehl"/>
          <w:rtl/>
        </w:rPr>
        <w:t xml:space="preserve">חקיקה שאוזכרה: </w:t>
      </w:r>
    </w:p>
    <w:p w14:paraId="2DCB57AA" w14:textId="77777777" w:rsidR="00816134" w:rsidRPr="00816134" w:rsidRDefault="00816134" w:rsidP="00816134">
      <w:pPr>
        <w:spacing w:before="120" w:after="120" w:line="240" w:lineRule="exact"/>
        <w:ind w:left="283" w:hanging="283"/>
        <w:jc w:val="both"/>
        <w:rPr>
          <w:rFonts w:ascii="FrankRuehl" w:hAnsi="FrankRuehl" w:cs="FrankRuehl"/>
          <w:rtl/>
        </w:rPr>
      </w:pPr>
      <w:hyperlink r:id="rId7" w:history="1">
        <w:r w:rsidRPr="00816134">
          <w:rPr>
            <w:rFonts w:ascii="FrankRuehl" w:hAnsi="FrankRuehl" w:cs="FrankRuehl"/>
            <w:color w:val="0000FF"/>
            <w:rtl/>
          </w:rPr>
          <w:t>פקודת הסמים המסוכנים [נוסח חדש], תשל"ג-1973</w:t>
        </w:r>
      </w:hyperlink>
      <w:r w:rsidRPr="00816134">
        <w:rPr>
          <w:rFonts w:ascii="FrankRuehl" w:hAnsi="FrankRuehl" w:cs="FrankRuehl"/>
          <w:rtl/>
        </w:rPr>
        <w:t xml:space="preserve">: סע'  </w:t>
      </w:r>
      <w:hyperlink r:id="rId8" w:history="1">
        <w:r w:rsidRPr="00816134">
          <w:rPr>
            <w:rFonts w:ascii="FrankRuehl" w:hAnsi="FrankRuehl" w:cs="FrankRuehl"/>
            <w:color w:val="0000FF"/>
            <w:rtl/>
          </w:rPr>
          <w:t>6</w:t>
        </w:r>
      </w:hyperlink>
      <w:r w:rsidRPr="00816134">
        <w:rPr>
          <w:rFonts w:ascii="FrankRuehl" w:hAnsi="FrankRuehl" w:cs="FrankRuehl"/>
          <w:rtl/>
        </w:rPr>
        <w:t xml:space="preserve">, </w:t>
      </w:r>
      <w:hyperlink r:id="rId9" w:history="1">
        <w:r w:rsidRPr="00816134">
          <w:rPr>
            <w:rFonts w:ascii="FrankRuehl" w:hAnsi="FrankRuehl" w:cs="FrankRuehl"/>
            <w:color w:val="0000FF"/>
            <w:rtl/>
          </w:rPr>
          <w:t>7(א)</w:t>
        </w:r>
      </w:hyperlink>
      <w:r w:rsidRPr="00816134">
        <w:rPr>
          <w:rFonts w:ascii="FrankRuehl" w:hAnsi="FrankRuehl" w:cs="FrankRuehl"/>
          <w:rtl/>
        </w:rPr>
        <w:t xml:space="preserve">, </w:t>
      </w:r>
      <w:hyperlink r:id="rId10" w:history="1">
        <w:r w:rsidRPr="00816134">
          <w:rPr>
            <w:rFonts w:ascii="FrankRuehl" w:hAnsi="FrankRuehl" w:cs="FrankRuehl"/>
            <w:color w:val="0000FF"/>
            <w:rtl/>
          </w:rPr>
          <w:t>7(ג)</w:t>
        </w:r>
      </w:hyperlink>
      <w:r w:rsidRPr="00816134">
        <w:rPr>
          <w:rFonts w:ascii="FrankRuehl" w:hAnsi="FrankRuehl" w:cs="FrankRuehl"/>
          <w:rtl/>
        </w:rPr>
        <w:t xml:space="preserve">, </w:t>
      </w:r>
      <w:hyperlink r:id="rId11" w:history="1">
        <w:r w:rsidRPr="00816134">
          <w:rPr>
            <w:rFonts w:ascii="FrankRuehl" w:hAnsi="FrankRuehl" w:cs="FrankRuehl"/>
            <w:color w:val="0000FF"/>
            <w:rtl/>
          </w:rPr>
          <w:t>9(א)</w:t>
        </w:r>
      </w:hyperlink>
      <w:r w:rsidRPr="00816134">
        <w:rPr>
          <w:rFonts w:ascii="FrankRuehl" w:hAnsi="FrankRuehl" w:cs="FrankRuehl"/>
          <w:rtl/>
        </w:rPr>
        <w:t xml:space="preserve">, </w:t>
      </w:r>
      <w:hyperlink r:id="rId12" w:history="1">
        <w:r w:rsidRPr="00816134">
          <w:rPr>
            <w:rFonts w:ascii="FrankRuehl" w:hAnsi="FrankRuehl" w:cs="FrankRuehl"/>
            <w:color w:val="0000FF"/>
            <w:rtl/>
          </w:rPr>
          <w:t>ד</w:t>
        </w:r>
      </w:hyperlink>
      <w:r w:rsidRPr="00816134">
        <w:rPr>
          <w:rFonts w:ascii="FrankRuehl" w:hAnsi="FrankRuehl" w:cs="FrankRuehl"/>
          <w:rtl/>
        </w:rPr>
        <w:t xml:space="preserve">, </w:t>
      </w:r>
      <w:hyperlink r:id="rId13" w:history="1">
        <w:r w:rsidRPr="00816134">
          <w:rPr>
            <w:rFonts w:ascii="FrankRuehl" w:hAnsi="FrankRuehl" w:cs="FrankRuehl"/>
            <w:color w:val="0000FF"/>
            <w:rtl/>
          </w:rPr>
          <w:t>10</w:t>
        </w:r>
      </w:hyperlink>
    </w:p>
    <w:p w14:paraId="6CEEE827" w14:textId="77777777" w:rsidR="00816134" w:rsidRPr="00816134" w:rsidRDefault="00816134" w:rsidP="00816134">
      <w:pPr>
        <w:rPr>
          <w:rtl/>
        </w:rPr>
      </w:pPr>
      <w:bookmarkStart w:id="4" w:name="LawTable_End"/>
      <w:bookmarkEnd w:id="4"/>
    </w:p>
    <w:p w14:paraId="244D0061" w14:textId="77777777" w:rsidR="002668D8" w:rsidRPr="009D18C9" w:rsidRDefault="002668D8" w:rsidP="002668D8">
      <w:pPr>
        <w:rPr>
          <w:b/>
          <w:b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668D8" w14:paraId="6EFC4EDF" w14:textId="77777777" w:rsidTr="002668D8">
        <w:trPr>
          <w:trHeight w:val="355"/>
          <w:jc w:val="center"/>
        </w:trPr>
        <w:tc>
          <w:tcPr>
            <w:tcW w:w="8820" w:type="dxa"/>
            <w:tcBorders>
              <w:top w:val="nil"/>
              <w:left w:val="nil"/>
              <w:bottom w:val="nil"/>
              <w:right w:val="nil"/>
            </w:tcBorders>
            <w:shd w:val="clear" w:color="auto" w:fill="auto"/>
          </w:tcPr>
          <w:p w14:paraId="39144568" w14:textId="77777777" w:rsidR="009D18C9" w:rsidRPr="009D18C9" w:rsidRDefault="009D18C9" w:rsidP="009D18C9">
            <w:pPr>
              <w:jc w:val="center"/>
              <w:rPr>
                <w:rFonts w:ascii="Arial" w:hAnsi="Arial"/>
                <w:b/>
                <w:bCs/>
                <w:sz w:val="28"/>
                <w:szCs w:val="28"/>
                <w:u w:val="single"/>
                <w:rtl/>
              </w:rPr>
            </w:pPr>
            <w:bookmarkStart w:id="5" w:name="PsakDin" w:colFirst="0" w:colLast="0"/>
            <w:r w:rsidRPr="009D18C9">
              <w:rPr>
                <w:rFonts w:ascii="Arial" w:hAnsi="Arial"/>
                <w:b/>
                <w:bCs/>
                <w:sz w:val="28"/>
                <w:szCs w:val="28"/>
                <w:u w:val="single"/>
                <w:rtl/>
              </w:rPr>
              <w:t>גזר דין</w:t>
            </w:r>
          </w:p>
          <w:p w14:paraId="59B77B26" w14:textId="77777777" w:rsidR="002668D8" w:rsidRPr="009D18C9" w:rsidRDefault="002668D8" w:rsidP="009D18C9">
            <w:pPr>
              <w:jc w:val="center"/>
              <w:rPr>
                <w:rFonts w:ascii="Arial" w:hAnsi="Arial"/>
                <w:bCs/>
                <w:sz w:val="28"/>
                <w:szCs w:val="28"/>
                <w:u w:val="single"/>
                <w:rtl/>
              </w:rPr>
            </w:pPr>
          </w:p>
        </w:tc>
      </w:tr>
      <w:bookmarkEnd w:id="5"/>
    </w:tbl>
    <w:p w14:paraId="606ABAB2" w14:textId="77777777" w:rsidR="002668D8" w:rsidRPr="00B05847" w:rsidRDefault="002668D8" w:rsidP="002668D8">
      <w:pPr>
        <w:rPr>
          <w:rFonts w:ascii="Arial" w:hAnsi="Arial"/>
          <w:rtl/>
        </w:rPr>
      </w:pPr>
    </w:p>
    <w:p w14:paraId="798917E7" w14:textId="77777777" w:rsidR="002668D8" w:rsidRPr="005F7F0A" w:rsidRDefault="002668D8" w:rsidP="002668D8">
      <w:pPr>
        <w:spacing w:line="360" w:lineRule="auto"/>
        <w:jc w:val="both"/>
        <w:rPr>
          <w:rtl/>
        </w:rPr>
      </w:pPr>
      <w:r>
        <w:rPr>
          <w:rFonts w:hint="cs"/>
          <w:b/>
          <w:bCs/>
          <w:u w:val="single"/>
          <w:rtl/>
        </w:rPr>
        <w:t>כללי</w:t>
      </w:r>
    </w:p>
    <w:p w14:paraId="1B66DF93" w14:textId="77777777" w:rsidR="002668D8" w:rsidRDefault="002668D8" w:rsidP="002668D8">
      <w:pPr>
        <w:pStyle w:val="a9"/>
        <w:numPr>
          <w:ilvl w:val="0"/>
          <w:numId w:val="1"/>
        </w:numPr>
        <w:spacing w:line="360" w:lineRule="auto"/>
        <w:ind w:left="368"/>
        <w:jc w:val="both"/>
        <w:rPr>
          <w:rFonts w:cs="David"/>
          <w:sz w:val="24"/>
          <w:szCs w:val="24"/>
        </w:rPr>
      </w:pPr>
      <w:bookmarkStart w:id="6" w:name="ABSTRACT_START"/>
      <w:bookmarkEnd w:id="6"/>
      <w:r w:rsidRPr="008779B6">
        <w:rPr>
          <w:rFonts w:cs="David" w:hint="cs"/>
          <w:sz w:val="24"/>
          <w:szCs w:val="24"/>
          <w:rtl/>
        </w:rPr>
        <w:t>הנאשם</w:t>
      </w:r>
      <w:r>
        <w:rPr>
          <w:rFonts w:cs="David" w:hint="cs"/>
          <w:sz w:val="24"/>
          <w:szCs w:val="24"/>
          <w:rtl/>
        </w:rPr>
        <w:t xml:space="preserve">, יליד 1987, </w:t>
      </w:r>
      <w:r w:rsidRPr="008779B6">
        <w:rPr>
          <w:rFonts w:cs="David" w:hint="cs"/>
          <w:sz w:val="24"/>
          <w:szCs w:val="24"/>
          <w:rtl/>
        </w:rPr>
        <w:t xml:space="preserve">הורשע על </w:t>
      </w:r>
      <w:r>
        <w:rPr>
          <w:rFonts w:cs="David" w:hint="cs"/>
          <w:sz w:val="24"/>
          <w:szCs w:val="24"/>
          <w:rtl/>
        </w:rPr>
        <w:t xml:space="preserve">פי </w:t>
      </w:r>
      <w:r w:rsidRPr="008779B6">
        <w:rPr>
          <w:rFonts w:cs="David" w:hint="cs"/>
          <w:sz w:val="24"/>
          <w:szCs w:val="24"/>
          <w:rtl/>
        </w:rPr>
        <w:t xml:space="preserve"> הודאתו ובמסגרת הסכמה דיונית, בעבירה של </w:t>
      </w:r>
      <w:r w:rsidRPr="008779B6">
        <w:rPr>
          <w:rFonts w:cs="David" w:hint="cs"/>
          <w:b/>
          <w:bCs/>
          <w:sz w:val="24"/>
          <w:szCs w:val="24"/>
          <w:rtl/>
        </w:rPr>
        <w:t xml:space="preserve">גידול סם מסוכן </w:t>
      </w:r>
      <w:r w:rsidRPr="008779B6">
        <w:rPr>
          <w:rFonts w:cs="David" w:hint="cs"/>
          <w:sz w:val="24"/>
          <w:szCs w:val="24"/>
          <w:rtl/>
        </w:rPr>
        <w:t xml:space="preserve">לפי </w:t>
      </w:r>
      <w:hyperlink r:id="rId14" w:history="1">
        <w:r w:rsidR="008171EB" w:rsidRPr="008171EB">
          <w:rPr>
            <w:rStyle w:val="Hyperlink"/>
            <w:rFonts w:cs="David" w:hint="cs"/>
            <w:sz w:val="24"/>
            <w:szCs w:val="24"/>
            <w:rtl/>
          </w:rPr>
          <w:t>סעיף</w:t>
        </w:r>
        <w:r w:rsidR="008171EB" w:rsidRPr="008171EB">
          <w:rPr>
            <w:rStyle w:val="Hyperlink"/>
            <w:rFonts w:cs="David"/>
            <w:sz w:val="24"/>
            <w:szCs w:val="24"/>
            <w:rtl/>
          </w:rPr>
          <w:t xml:space="preserve"> 6</w:t>
        </w:r>
      </w:hyperlink>
      <w:r w:rsidRPr="008779B6">
        <w:rPr>
          <w:rFonts w:cs="David" w:hint="cs"/>
          <w:sz w:val="24"/>
          <w:szCs w:val="24"/>
          <w:rtl/>
        </w:rPr>
        <w:t xml:space="preserve"> ל</w:t>
      </w:r>
      <w:hyperlink r:id="rId15" w:history="1">
        <w:r w:rsidR="009D18C9" w:rsidRPr="009D18C9">
          <w:rPr>
            <w:rFonts w:cs="David" w:hint="cs"/>
            <w:color w:val="0000FF"/>
            <w:sz w:val="24"/>
            <w:szCs w:val="24"/>
            <w:u w:val="single"/>
            <w:rtl/>
          </w:rPr>
          <w:t>פקודת</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הסמים</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המסוכנים</w:t>
        </w:r>
      </w:hyperlink>
      <w:r w:rsidRPr="008779B6">
        <w:rPr>
          <w:rFonts w:cs="David" w:hint="cs"/>
          <w:sz w:val="24"/>
          <w:szCs w:val="24"/>
          <w:rtl/>
        </w:rPr>
        <w:t xml:space="preserve"> התשל"ג </w:t>
      </w:r>
      <w:r w:rsidRPr="008779B6">
        <w:rPr>
          <w:rFonts w:cs="David"/>
          <w:sz w:val="24"/>
          <w:szCs w:val="24"/>
          <w:rtl/>
        </w:rPr>
        <w:t>–</w:t>
      </w:r>
      <w:r w:rsidRPr="008779B6">
        <w:rPr>
          <w:rFonts w:cs="David" w:hint="cs"/>
          <w:sz w:val="24"/>
          <w:szCs w:val="24"/>
          <w:rtl/>
        </w:rPr>
        <w:t xml:space="preserve"> 1973,</w:t>
      </w:r>
      <w:r w:rsidRPr="008779B6">
        <w:rPr>
          <w:rFonts w:cs="David" w:hint="cs"/>
          <w:b/>
          <w:bCs/>
          <w:sz w:val="24"/>
          <w:szCs w:val="24"/>
          <w:rtl/>
        </w:rPr>
        <w:t xml:space="preserve"> החזקת סם שלא לצריכה עצמית </w:t>
      </w:r>
      <w:r w:rsidRPr="008779B6">
        <w:rPr>
          <w:rFonts w:cs="David" w:hint="cs"/>
          <w:sz w:val="24"/>
          <w:szCs w:val="24"/>
          <w:rtl/>
        </w:rPr>
        <w:t xml:space="preserve">לפי </w:t>
      </w:r>
      <w:hyperlink r:id="rId16" w:history="1">
        <w:r w:rsidR="008171EB" w:rsidRPr="008171EB">
          <w:rPr>
            <w:rStyle w:val="Hyperlink"/>
            <w:rFonts w:cs="David" w:hint="cs"/>
            <w:sz w:val="24"/>
            <w:szCs w:val="24"/>
            <w:rtl/>
          </w:rPr>
          <w:t>סעיף</w:t>
        </w:r>
        <w:r w:rsidR="008171EB" w:rsidRPr="008171EB">
          <w:rPr>
            <w:rStyle w:val="Hyperlink"/>
            <w:rFonts w:cs="David"/>
            <w:sz w:val="24"/>
            <w:szCs w:val="24"/>
            <w:rtl/>
          </w:rPr>
          <w:t xml:space="preserve"> 7(</w:t>
        </w:r>
        <w:r w:rsidR="008171EB" w:rsidRPr="008171EB">
          <w:rPr>
            <w:rStyle w:val="Hyperlink"/>
            <w:rFonts w:cs="David" w:hint="cs"/>
            <w:sz w:val="24"/>
            <w:szCs w:val="24"/>
            <w:rtl/>
          </w:rPr>
          <w:t>א</w:t>
        </w:r>
        <w:r w:rsidR="008171EB" w:rsidRPr="008171EB">
          <w:rPr>
            <w:rStyle w:val="Hyperlink"/>
            <w:rFonts w:cs="David"/>
            <w:sz w:val="24"/>
            <w:szCs w:val="24"/>
            <w:rtl/>
          </w:rPr>
          <w:t>)</w:t>
        </w:r>
      </w:hyperlink>
      <w:r w:rsidRPr="008779B6">
        <w:rPr>
          <w:rFonts w:cs="David" w:hint="cs"/>
          <w:sz w:val="24"/>
          <w:szCs w:val="24"/>
          <w:rtl/>
        </w:rPr>
        <w:t xml:space="preserve"> + </w:t>
      </w:r>
      <w:hyperlink r:id="rId17" w:history="1">
        <w:r w:rsidR="008171EB" w:rsidRPr="008171EB">
          <w:rPr>
            <w:rStyle w:val="Hyperlink"/>
            <w:rFonts w:cs="David"/>
            <w:sz w:val="24"/>
            <w:szCs w:val="24"/>
            <w:rtl/>
          </w:rPr>
          <w:t>7(</w:t>
        </w:r>
        <w:r w:rsidR="008171EB" w:rsidRPr="008171EB">
          <w:rPr>
            <w:rStyle w:val="Hyperlink"/>
            <w:rFonts w:cs="David" w:hint="cs"/>
            <w:sz w:val="24"/>
            <w:szCs w:val="24"/>
            <w:rtl/>
          </w:rPr>
          <w:t>ג</w:t>
        </w:r>
        <w:r w:rsidR="008171EB" w:rsidRPr="008171EB">
          <w:rPr>
            <w:rStyle w:val="Hyperlink"/>
            <w:rFonts w:cs="David"/>
            <w:sz w:val="24"/>
            <w:szCs w:val="24"/>
            <w:rtl/>
          </w:rPr>
          <w:t>)</w:t>
        </w:r>
      </w:hyperlink>
      <w:r w:rsidRPr="008779B6">
        <w:rPr>
          <w:rFonts w:cs="David" w:hint="cs"/>
          <w:sz w:val="24"/>
          <w:szCs w:val="24"/>
          <w:rtl/>
        </w:rPr>
        <w:t xml:space="preserve"> רישא לפקודה, בעבירה של </w:t>
      </w:r>
      <w:r w:rsidRPr="008779B6">
        <w:rPr>
          <w:rFonts w:cs="David" w:hint="cs"/>
          <w:b/>
          <w:bCs/>
          <w:sz w:val="24"/>
          <w:szCs w:val="24"/>
          <w:rtl/>
        </w:rPr>
        <w:t>החזקת חצרים</w:t>
      </w:r>
      <w:r>
        <w:rPr>
          <w:rFonts w:cs="David" w:hint="cs"/>
          <w:b/>
          <w:bCs/>
          <w:sz w:val="24"/>
          <w:szCs w:val="24"/>
          <w:rtl/>
        </w:rPr>
        <w:t xml:space="preserve"> לשם הכנת סם מסוכן</w:t>
      </w:r>
      <w:r w:rsidRPr="008779B6">
        <w:rPr>
          <w:rFonts w:cs="David" w:hint="cs"/>
          <w:b/>
          <w:bCs/>
          <w:sz w:val="24"/>
          <w:szCs w:val="24"/>
          <w:rtl/>
        </w:rPr>
        <w:t xml:space="preserve"> </w:t>
      </w:r>
      <w:r w:rsidRPr="008779B6">
        <w:rPr>
          <w:rFonts w:cs="David" w:hint="cs"/>
          <w:sz w:val="24"/>
          <w:szCs w:val="24"/>
          <w:rtl/>
        </w:rPr>
        <w:t xml:space="preserve">לפי </w:t>
      </w:r>
      <w:hyperlink r:id="rId18" w:history="1">
        <w:r w:rsidR="008171EB" w:rsidRPr="008171EB">
          <w:rPr>
            <w:rStyle w:val="Hyperlink"/>
            <w:rFonts w:cs="David" w:hint="cs"/>
            <w:sz w:val="24"/>
            <w:szCs w:val="24"/>
            <w:rtl/>
          </w:rPr>
          <w:t>סעיף</w:t>
        </w:r>
        <w:r w:rsidR="008171EB" w:rsidRPr="008171EB">
          <w:rPr>
            <w:rStyle w:val="Hyperlink"/>
            <w:rFonts w:cs="David"/>
            <w:sz w:val="24"/>
            <w:szCs w:val="24"/>
            <w:rtl/>
          </w:rPr>
          <w:t xml:space="preserve"> 9(</w:t>
        </w:r>
        <w:r w:rsidR="008171EB" w:rsidRPr="008171EB">
          <w:rPr>
            <w:rStyle w:val="Hyperlink"/>
            <w:rFonts w:cs="David" w:hint="cs"/>
            <w:sz w:val="24"/>
            <w:szCs w:val="24"/>
            <w:rtl/>
          </w:rPr>
          <w:t>א</w:t>
        </w:r>
        <w:r w:rsidR="008171EB" w:rsidRPr="008171EB">
          <w:rPr>
            <w:rStyle w:val="Hyperlink"/>
            <w:rFonts w:cs="David"/>
            <w:sz w:val="24"/>
            <w:szCs w:val="24"/>
            <w:rtl/>
          </w:rPr>
          <w:t>)</w:t>
        </w:r>
      </w:hyperlink>
      <w:r w:rsidRPr="008779B6">
        <w:rPr>
          <w:rFonts w:cs="David" w:hint="cs"/>
          <w:sz w:val="24"/>
          <w:szCs w:val="24"/>
          <w:rtl/>
        </w:rPr>
        <w:t xml:space="preserve"> + (</w:t>
      </w:r>
      <w:hyperlink r:id="rId19" w:history="1">
        <w:r w:rsidR="008171EB" w:rsidRPr="008171EB">
          <w:rPr>
            <w:rStyle w:val="Hyperlink"/>
            <w:rFonts w:cs="David" w:hint="cs"/>
            <w:sz w:val="24"/>
            <w:szCs w:val="24"/>
            <w:rtl/>
          </w:rPr>
          <w:t>ד</w:t>
        </w:r>
      </w:hyperlink>
      <w:r w:rsidRPr="008779B6">
        <w:rPr>
          <w:rFonts w:cs="David" w:hint="cs"/>
          <w:sz w:val="24"/>
          <w:szCs w:val="24"/>
          <w:rtl/>
        </w:rPr>
        <w:t xml:space="preserve">) רישא לפקודה ובעבירה של </w:t>
      </w:r>
      <w:r w:rsidRPr="008779B6">
        <w:rPr>
          <w:rFonts w:cs="David" w:hint="cs"/>
          <w:b/>
          <w:bCs/>
          <w:sz w:val="24"/>
          <w:szCs w:val="24"/>
          <w:rtl/>
        </w:rPr>
        <w:t>החזקת כלים</w:t>
      </w:r>
      <w:r w:rsidRPr="008779B6">
        <w:rPr>
          <w:rFonts w:cs="David" w:hint="cs"/>
          <w:sz w:val="24"/>
          <w:szCs w:val="24"/>
          <w:rtl/>
        </w:rPr>
        <w:t xml:space="preserve"> </w:t>
      </w:r>
      <w:r>
        <w:rPr>
          <w:rFonts w:cs="David" w:hint="cs"/>
          <w:sz w:val="24"/>
          <w:szCs w:val="24"/>
          <w:rtl/>
        </w:rPr>
        <w:t xml:space="preserve">להכנת סם מסוכן </w:t>
      </w:r>
      <w:r w:rsidRPr="008779B6">
        <w:rPr>
          <w:rFonts w:cs="David" w:hint="cs"/>
          <w:sz w:val="24"/>
          <w:szCs w:val="24"/>
          <w:rtl/>
        </w:rPr>
        <w:t xml:space="preserve">לפי </w:t>
      </w:r>
      <w:hyperlink r:id="rId20" w:history="1">
        <w:r w:rsidR="008171EB" w:rsidRPr="008171EB">
          <w:rPr>
            <w:rStyle w:val="Hyperlink"/>
            <w:rFonts w:cs="David" w:hint="cs"/>
            <w:sz w:val="24"/>
            <w:szCs w:val="24"/>
            <w:rtl/>
          </w:rPr>
          <w:t>סעיף</w:t>
        </w:r>
        <w:r w:rsidR="008171EB" w:rsidRPr="008171EB">
          <w:rPr>
            <w:rStyle w:val="Hyperlink"/>
            <w:rFonts w:cs="David"/>
            <w:sz w:val="24"/>
            <w:szCs w:val="24"/>
            <w:rtl/>
          </w:rPr>
          <w:t xml:space="preserve"> 10</w:t>
        </w:r>
      </w:hyperlink>
      <w:r w:rsidRPr="008779B6">
        <w:rPr>
          <w:rFonts w:cs="David" w:hint="cs"/>
          <w:sz w:val="24"/>
          <w:szCs w:val="24"/>
          <w:rtl/>
        </w:rPr>
        <w:t xml:space="preserve"> לפקודה. </w:t>
      </w:r>
    </w:p>
    <w:p w14:paraId="549BB82F" w14:textId="77777777" w:rsidR="002668D8" w:rsidRPr="008779B6" w:rsidRDefault="002668D8" w:rsidP="002668D8">
      <w:pPr>
        <w:spacing w:line="360" w:lineRule="auto"/>
        <w:ind w:left="368"/>
        <w:jc w:val="both"/>
        <w:rPr>
          <w:rtl/>
        </w:rPr>
      </w:pPr>
      <w:bookmarkStart w:id="7" w:name="ABSTRACT_END"/>
      <w:bookmarkEnd w:id="7"/>
      <w:r w:rsidRPr="008779B6">
        <w:rPr>
          <w:rFonts w:hint="cs"/>
          <w:rtl/>
        </w:rPr>
        <w:t xml:space="preserve">על פי עובדות כתב האישום, ביום 13.9.18 שכר הנאשם שתי יחידות דיור המחוברות זו לזו באמצעות גרם מדרגות, תמורת דמי שכירות של 5,000 ₪ בחודש, וזאת בכוונה להקים בדירה מעבדת סמים. בסמוך לכך, צייד הנאשם את הדירה בציוד רב לגידול הקנבוס, ובכלל זה מערכות מיזוג ואוורור, דשנים, ספקי כוח, מפוחי אוויר, לוחות חשמל, מנורות להט וכבלי חשמל. </w:t>
      </w:r>
    </w:p>
    <w:p w14:paraId="74F5BC3C" w14:textId="77777777" w:rsidR="002668D8" w:rsidRDefault="002668D8" w:rsidP="002668D8">
      <w:pPr>
        <w:spacing w:line="360" w:lineRule="auto"/>
        <w:ind w:left="368"/>
        <w:jc w:val="both"/>
        <w:rPr>
          <w:rtl/>
        </w:rPr>
      </w:pPr>
      <w:r>
        <w:rPr>
          <w:rFonts w:hint="cs"/>
          <w:rtl/>
        </w:rPr>
        <w:t xml:space="preserve">בהמשך ועד ליום 30.12.2018, הנאשם גידל, ייצר, הפיק והחזיק בדירה סם מסוכן מסוג קנבוס שלא לשימוש עצמי. ביום 30.12.2018 החזיק הנאשם במעבדה 252 שתילים של צמחי קנבוס אותם גידל, במשקל כולל של 45.75 ק"ג נטו. הנאשם תכנן למצות מהשתילים סם קנבוס ולמכור קילוגרם ב- 40,000 ₪. </w:t>
      </w:r>
    </w:p>
    <w:p w14:paraId="12434FD9" w14:textId="77777777" w:rsidR="002668D8" w:rsidRDefault="002668D8" w:rsidP="002668D8">
      <w:pPr>
        <w:spacing w:line="360" w:lineRule="auto"/>
        <w:jc w:val="both"/>
        <w:rPr>
          <w:rtl/>
        </w:rPr>
      </w:pPr>
    </w:p>
    <w:p w14:paraId="3B5AE9A9" w14:textId="77777777" w:rsidR="002668D8" w:rsidRDefault="002668D8" w:rsidP="002668D8">
      <w:pPr>
        <w:pStyle w:val="a9"/>
        <w:numPr>
          <w:ilvl w:val="0"/>
          <w:numId w:val="1"/>
        </w:numPr>
        <w:spacing w:line="360" w:lineRule="auto"/>
        <w:ind w:left="368"/>
        <w:jc w:val="both"/>
        <w:rPr>
          <w:rFonts w:cs="David"/>
          <w:sz w:val="24"/>
          <w:szCs w:val="24"/>
        </w:rPr>
      </w:pPr>
      <w:r>
        <w:rPr>
          <w:rFonts w:cs="David" w:hint="cs"/>
          <w:sz w:val="24"/>
          <w:szCs w:val="24"/>
          <w:rtl/>
        </w:rPr>
        <w:t xml:space="preserve">ההסדר בין הצדדים לא כל הסכמות לעונש. הוסכם כי קודם טיעונים לעונש יופנה הנאשם לשירות המבחן לעריכת תסקיר בעניינו. </w:t>
      </w:r>
    </w:p>
    <w:p w14:paraId="29C2CA38" w14:textId="77777777" w:rsidR="002668D8" w:rsidRDefault="002668D8" w:rsidP="002668D8">
      <w:pPr>
        <w:pStyle w:val="a9"/>
        <w:spacing w:line="360" w:lineRule="auto"/>
        <w:ind w:left="368"/>
        <w:jc w:val="both"/>
        <w:rPr>
          <w:rFonts w:cs="David"/>
          <w:sz w:val="24"/>
          <w:szCs w:val="24"/>
          <w:rtl/>
        </w:rPr>
      </w:pPr>
    </w:p>
    <w:p w14:paraId="30D4874F" w14:textId="77777777" w:rsidR="002668D8" w:rsidRDefault="002668D8" w:rsidP="002668D8">
      <w:pPr>
        <w:spacing w:line="360" w:lineRule="auto"/>
        <w:jc w:val="both"/>
        <w:rPr>
          <w:b/>
          <w:bCs/>
          <w:u w:val="single"/>
          <w:rtl/>
        </w:rPr>
      </w:pPr>
      <w:r>
        <w:rPr>
          <w:rFonts w:hint="cs"/>
          <w:b/>
          <w:bCs/>
          <w:u w:val="single"/>
          <w:rtl/>
        </w:rPr>
        <w:t>תסקיר שירות המבחן  וחוות דעת ממונה על עבידות שירות</w:t>
      </w:r>
    </w:p>
    <w:p w14:paraId="6457A7AE" w14:textId="77777777" w:rsidR="002668D8" w:rsidRPr="008779B6" w:rsidRDefault="002668D8" w:rsidP="002668D8">
      <w:pPr>
        <w:pStyle w:val="a9"/>
        <w:numPr>
          <w:ilvl w:val="0"/>
          <w:numId w:val="1"/>
        </w:numPr>
        <w:spacing w:line="360" w:lineRule="auto"/>
        <w:ind w:left="368"/>
        <w:jc w:val="both"/>
        <w:rPr>
          <w:rFonts w:cs="David"/>
          <w:sz w:val="24"/>
          <w:szCs w:val="24"/>
          <w:rtl/>
        </w:rPr>
      </w:pPr>
      <w:r w:rsidRPr="008779B6">
        <w:rPr>
          <w:rFonts w:cs="David" w:hint="cs"/>
          <w:sz w:val="24"/>
          <w:szCs w:val="24"/>
          <w:rtl/>
        </w:rPr>
        <w:t xml:space="preserve">שירות המבחן ערך בעניינו של הנאשם שני תסקירים. </w:t>
      </w:r>
      <w:r w:rsidRPr="008779B6">
        <w:rPr>
          <w:rFonts w:cs="David" w:hint="cs"/>
          <w:sz w:val="24"/>
          <w:szCs w:val="24"/>
          <w:u w:val="single"/>
          <w:rtl/>
        </w:rPr>
        <w:t>בתסקיר ראשון מתאריך 3/11/19</w:t>
      </w:r>
      <w:r w:rsidRPr="00866006">
        <w:rPr>
          <w:rFonts w:cs="David" w:hint="cs"/>
          <w:sz w:val="24"/>
          <w:szCs w:val="24"/>
          <w:rtl/>
        </w:rPr>
        <w:t xml:space="preserve"> נסקרו בפירוט</w:t>
      </w:r>
      <w:r w:rsidRPr="008779B6">
        <w:rPr>
          <w:rFonts w:cs="David" w:hint="cs"/>
          <w:sz w:val="24"/>
          <w:szCs w:val="24"/>
          <w:rtl/>
        </w:rPr>
        <w:t xml:space="preserve"> </w:t>
      </w:r>
      <w:r>
        <w:rPr>
          <w:rFonts w:cs="David" w:hint="cs"/>
          <w:sz w:val="24"/>
          <w:szCs w:val="24"/>
          <w:rtl/>
        </w:rPr>
        <w:t xml:space="preserve">ובאופן מקצועי מכלול נסיבותיו האישיות של הנאשם. </w:t>
      </w:r>
      <w:r w:rsidRPr="008779B6">
        <w:rPr>
          <w:rFonts w:cs="David" w:hint="cs"/>
          <w:sz w:val="24"/>
          <w:szCs w:val="24"/>
          <w:rtl/>
        </w:rPr>
        <w:t xml:space="preserve">מדובר באדם </w:t>
      </w:r>
      <w:r>
        <w:rPr>
          <w:rFonts w:cs="David" w:hint="cs"/>
          <w:sz w:val="24"/>
          <w:szCs w:val="24"/>
          <w:rtl/>
        </w:rPr>
        <w:t>בן 33</w:t>
      </w:r>
      <w:r w:rsidRPr="008779B6">
        <w:rPr>
          <w:rFonts w:cs="David" w:hint="cs"/>
          <w:sz w:val="24"/>
          <w:szCs w:val="24"/>
          <w:rtl/>
        </w:rPr>
        <w:t xml:space="preserve">, נשוי ואב לפעוטה בת שנה וחצי, מתגורר בתל אביב ועובד </w:t>
      </w:r>
      <w:r>
        <w:rPr>
          <w:rFonts w:cs="David" w:hint="cs"/>
          <w:sz w:val="24"/>
          <w:szCs w:val="24"/>
          <w:rtl/>
        </w:rPr>
        <w:t xml:space="preserve">מספר חודשים </w:t>
      </w:r>
      <w:r w:rsidRPr="008779B6">
        <w:rPr>
          <w:rFonts w:cs="David" w:hint="cs"/>
          <w:sz w:val="24"/>
          <w:szCs w:val="24"/>
          <w:rtl/>
        </w:rPr>
        <w:t>כטבח</w:t>
      </w:r>
      <w:r>
        <w:rPr>
          <w:rFonts w:cs="David" w:hint="cs"/>
          <w:sz w:val="24"/>
          <w:szCs w:val="24"/>
          <w:rtl/>
        </w:rPr>
        <w:t>. שירות המבחן</w:t>
      </w:r>
      <w:r w:rsidRPr="008779B6">
        <w:rPr>
          <w:rFonts w:cs="David" w:hint="cs"/>
          <w:sz w:val="24"/>
          <w:szCs w:val="24"/>
          <w:rtl/>
        </w:rPr>
        <w:t xml:space="preserve"> </w:t>
      </w:r>
      <w:r>
        <w:rPr>
          <w:rFonts w:cs="David" w:hint="cs"/>
          <w:sz w:val="24"/>
          <w:szCs w:val="24"/>
          <w:rtl/>
        </w:rPr>
        <w:t>תיאר את ה</w:t>
      </w:r>
      <w:r w:rsidRPr="008779B6">
        <w:rPr>
          <w:rFonts w:cs="David" w:hint="cs"/>
          <w:sz w:val="24"/>
          <w:szCs w:val="24"/>
          <w:rtl/>
        </w:rPr>
        <w:t xml:space="preserve">נסיבות </w:t>
      </w:r>
      <w:r>
        <w:rPr>
          <w:rFonts w:cs="David" w:hint="cs"/>
          <w:sz w:val="24"/>
          <w:szCs w:val="24"/>
          <w:rtl/>
        </w:rPr>
        <w:t xml:space="preserve">המורכבות בהן גדל ואשר בשל צנעת הפרט לא אפרט. כן תואר כי </w:t>
      </w:r>
      <w:r w:rsidRPr="008779B6">
        <w:rPr>
          <w:rFonts w:cs="David" w:hint="cs"/>
          <w:sz w:val="24"/>
          <w:szCs w:val="24"/>
          <w:rtl/>
        </w:rPr>
        <w:t xml:space="preserve">הנאשם מצוי בחובות גדולים </w:t>
      </w:r>
      <w:r>
        <w:rPr>
          <w:rFonts w:cs="David" w:hint="cs"/>
          <w:sz w:val="24"/>
          <w:szCs w:val="24"/>
          <w:rtl/>
        </w:rPr>
        <w:t xml:space="preserve">בין היתר </w:t>
      </w:r>
      <w:r w:rsidRPr="008779B6">
        <w:rPr>
          <w:rFonts w:cs="David" w:hint="cs"/>
          <w:sz w:val="24"/>
          <w:szCs w:val="24"/>
          <w:rtl/>
        </w:rPr>
        <w:t>לגורמים בשוק האפור</w:t>
      </w:r>
      <w:r>
        <w:rPr>
          <w:rFonts w:cs="David" w:hint="cs"/>
          <w:sz w:val="24"/>
          <w:szCs w:val="24"/>
          <w:rtl/>
        </w:rPr>
        <w:t xml:space="preserve"> וכי </w:t>
      </w:r>
      <w:r w:rsidRPr="008779B6">
        <w:rPr>
          <w:rFonts w:cs="David" w:hint="cs"/>
          <w:sz w:val="24"/>
          <w:szCs w:val="24"/>
          <w:rtl/>
        </w:rPr>
        <w:t xml:space="preserve">גידול הסם </w:t>
      </w:r>
      <w:r>
        <w:rPr>
          <w:rFonts w:cs="David" w:hint="cs"/>
          <w:sz w:val="24"/>
          <w:szCs w:val="24"/>
          <w:rtl/>
        </w:rPr>
        <w:t>נעשה</w:t>
      </w:r>
      <w:r w:rsidRPr="008779B6">
        <w:rPr>
          <w:rFonts w:cs="David" w:hint="cs"/>
          <w:sz w:val="24"/>
          <w:szCs w:val="24"/>
          <w:rtl/>
        </w:rPr>
        <w:t xml:space="preserve"> </w:t>
      </w:r>
      <w:r>
        <w:rPr>
          <w:rFonts w:cs="David" w:hint="cs"/>
          <w:sz w:val="24"/>
          <w:szCs w:val="24"/>
          <w:rtl/>
        </w:rPr>
        <w:t>ב</w:t>
      </w:r>
      <w:r w:rsidRPr="008779B6">
        <w:rPr>
          <w:rFonts w:cs="David" w:hint="cs"/>
          <w:sz w:val="24"/>
          <w:szCs w:val="24"/>
          <w:rtl/>
        </w:rPr>
        <w:t>כוונה ל</w:t>
      </w:r>
      <w:r>
        <w:rPr>
          <w:rFonts w:cs="David" w:hint="cs"/>
          <w:sz w:val="24"/>
          <w:szCs w:val="24"/>
          <w:rtl/>
        </w:rPr>
        <w:t xml:space="preserve">הפיק </w:t>
      </w:r>
      <w:r w:rsidRPr="008779B6">
        <w:rPr>
          <w:rFonts w:cs="David" w:hint="cs"/>
          <w:sz w:val="24"/>
          <w:szCs w:val="24"/>
          <w:rtl/>
        </w:rPr>
        <w:t>רווח כספי ו</w:t>
      </w:r>
      <w:r>
        <w:rPr>
          <w:rFonts w:cs="David" w:hint="cs"/>
          <w:sz w:val="24"/>
          <w:szCs w:val="24"/>
          <w:rtl/>
        </w:rPr>
        <w:t>צמצום עלויות ה</w:t>
      </w:r>
      <w:r w:rsidRPr="008779B6">
        <w:rPr>
          <w:rFonts w:cs="David" w:hint="cs"/>
          <w:sz w:val="24"/>
          <w:szCs w:val="24"/>
          <w:rtl/>
        </w:rPr>
        <w:t xml:space="preserve">שימוש </w:t>
      </w:r>
      <w:r>
        <w:rPr>
          <w:rFonts w:cs="David" w:hint="cs"/>
          <w:sz w:val="24"/>
          <w:szCs w:val="24"/>
          <w:rtl/>
        </w:rPr>
        <w:t>ה</w:t>
      </w:r>
      <w:r w:rsidRPr="008779B6">
        <w:rPr>
          <w:rFonts w:cs="David" w:hint="cs"/>
          <w:sz w:val="24"/>
          <w:szCs w:val="24"/>
          <w:rtl/>
        </w:rPr>
        <w:t>עצמי.</w:t>
      </w:r>
      <w:r>
        <w:rPr>
          <w:rFonts w:cs="David" w:hint="cs"/>
          <w:sz w:val="24"/>
          <w:szCs w:val="24"/>
          <w:rtl/>
        </w:rPr>
        <w:t xml:space="preserve"> ברקע לביצוע העבירה בעית התמכרות לסמים.</w:t>
      </w:r>
    </w:p>
    <w:p w14:paraId="11C8B114" w14:textId="77777777" w:rsidR="002668D8" w:rsidRDefault="002668D8" w:rsidP="002668D8">
      <w:pPr>
        <w:spacing w:line="360" w:lineRule="auto"/>
        <w:ind w:left="368"/>
        <w:jc w:val="both"/>
        <w:rPr>
          <w:rtl/>
        </w:rPr>
      </w:pPr>
      <w:r>
        <w:rPr>
          <w:rFonts w:hint="cs"/>
          <w:rtl/>
        </w:rPr>
        <w:t>במסגרת פיקוח המעצר שולב הנאשם ביחידה להתמכרויות והשתתף בטיפול קבוצתי בהתמדה. בעת כתיבת התסקיר נמצא בטיפול פרטני.</w:t>
      </w:r>
    </w:p>
    <w:p w14:paraId="5B3E1133" w14:textId="77777777" w:rsidR="002668D8" w:rsidRDefault="002668D8" w:rsidP="002668D8">
      <w:pPr>
        <w:spacing w:line="360" w:lineRule="auto"/>
        <w:ind w:left="368"/>
        <w:jc w:val="both"/>
        <w:rPr>
          <w:rtl/>
        </w:rPr>
      </w:pPr>
      <w:r>
        <w:rPr>
          <w:rFonts w:hint="cs"/>
          <w:rtl/>
        </w:rPr>
        <w:t>שירות המבחן התרשם כי ההליך המשפטי המתנהל מהווה עבור הנאשם גורם מרתיע ומארגן שהוביל לשינוי אורח חייו. לאור כל האמור המליצה קצינת המבחן על העמדתו בצו מבחן למשך שנה, והטלת ענישה מוחשית בדרך של בעבודות שירות.</w:t>
      </w:r>
    </w:p>
    <w:p w14:paraId="7726AF8F" w14:textId="77777777" w:rsidR="002668D8" w:rsidRPr="00896BC6" w:rsidRDefault="002668D8" w:rsidP="002668D8">
      <w:pPr>
        <w:spacing w:line="360" w:lineRule="auto"/>
        <w:ind w:left="368"/>
        <w:jc w:val="both"/>
        <w:rPr>
          <w:rtl/>
        </w:rPr>
      </w:pPr>
      <w:r w:rsidRPr="008779B6">
        <w:rPr>
          <w:rFonts w:hint="cs"/>
          <w:u w:val="single"/>
          <w:rtl/>
        </w:rPr>
        <w:t>בתסקיר משלים מיום 16.03.20</w:t>
      </w:r>
      <w:r>
        <w:rPr>
          <w:rFonts w:hint="cs"/>
          <w:rtl/>
        </w:rPr>
        <w:t xml:space="preserve">  נמסר כי הנאשם מתמיד בטיפול ביחידה לטיפול בהתמכרויות, לצד תוכנית "אוניברסיטה בעם", שיתף פעולה ונעזר בתכנים אשר הועברו, ומוסר בדיקות שתן נקיות. נמסר כי הנאשם משקיע מאמצים רבים בשמירה על ניקיון מחומרים ממכרים, ממוקד בשיפור מצבו הכלכלי, מכיר בצורה טובה יותר בגורמי הסיכון שלו ומגלה אחריות במילוי תפקידיו השונים. הנאשם עודנו מתמודד עם מצב כלכלי ירוד, כאשר נתון לחובות גבוהים, אף לגורמים שוליים בשוק האפור, דבר שמוביל ללחצים רבים ולחששות מתוצאות ההליך המשפטי. שירות המבחן חוזר על המלצתו להעמיד את הנאשם בצו מבחן למשך שנה. לענין ענישה קונקרטית עתר שירות המבחן להטלת צו של"צ בהיקף משמעותי על מנת שלא לפגוע ב</w:t>
      </w:r>
      <w:r w:rsidRPr="00896BC6">
        <w:rPr>
          <w:rFonts w:hint="cs"/>
          <w:rtl/>
        </w:rPr>
        <w:t>הליך השיקומי</w:t>
      </w:r>
      <w:r>
        <w:rPr>
          <w:rFonts w:hint="cs"/>
          <w:rtl/>
        </w:rPr>
        <w:t>.</w:t>
      </w:r>
      <w:r>
        <w:rPr>
          <w:rFonts w:hint="cs"/>
        </w:rPr>
        <w:t xml:space="preserve"> </w:t>
      </w:r>
    </w:p>
    <w:p w14:paraId="2229FF95" w14:textId="77777777" w:rsidR="002668D8" w:rsidRPr="000F2EB9" w:rsidRDefault="002668D8" w:rsidP="002668D8">
      <w:pPr>
        <w:spacing w:line="360" w:lineRule="auto"/>
        <w:ind w:left="368"/>
        <w:jc w:val="both"/>
        <w:rPr>
          <w:b/>
          <w:bCs/>
          <w:u w:val="single"/>
          <w:rtl/>
        </w:rPr>
      </w:pPr>
      <w:r>
        <w:rPr>
          <w:rFonts w:hint="cs"/>
          <w:rtl/>
        </w:rPr>
        <w:t xml:space="preserve"> </w:t>
      </w:r>
      <w:r>
        <w:rPr>
          <w:rFonts w:hint="cs"/>
          <w:u w:val="single"/>
          <w:rtl/>
        </w:rPr>
        <w:t>מחוות דעת הממונה על עבודות שירות מיום 01.06.20</w:t>
      </w:r>
      <w:r w:rsidRPr="000F2EB9">
        <w:rPr>
          <w:rFonts w:ascii="David" w:hAnsi="David" w:hint="cs"/>
          <w:rtl/>
        </w:rPr>
        <w:t xml:space="preserve"> </w:t>
      </w:r>
      <w:r>
        <w:rPr>
          <w:rFonts w:ascii="David" w:hAnsi="David" w:hint="cs"/>
          <w:rtl/>
        </w:rPr>
        <w:t xml:space="preserve">נמצא הנאשם כשיר לרצות מאסר בדרך של עבודות שירות. </w:t>
      </w:r>
    </w:p>
    <w:p w14:paraId="403EA9B5" w14:textId="77777777" w:rsidR="002668D8" w:rsidRDefault="002668D8" w:rsidP="002668D8">
      <w:pPr>
        <w:spacing w:line="360" w:lineRule="auto"/>
        <w:ind w:left="368"/>
        <w:jc w:val="both"/>
        <w:rPr>
          <w:rtl/>
        </w:rPr>
      </w:pPr>
    </w:p>
    <w:p w14:paraId="3F014F88" w14:textId="77777777" w:rsidR="002668D8" w:rsidRDefault="002668D8" w:rsidP="002668D8">
      <w:pPr>
        <w:spacing w:line="360" w:lineRule="auto"/>
        <w:jc w:val="both"/>
        <w:rPr>
          <w:b/>
          <w:bCs/>
          <w:u w:val="single"/>
          <w:rtl/>
        </w:rPr>
      </w:pPr>
      <w:r>
        <w:rPr>
          <w:rFonts w:hint="cs"/>
          <w:b/>
          <w:bCs/>
          <w:u w:val="single"/>
          <w:rtl/>
        </w:rPr>
        <w:t>טיעוני הצדדים</w:t>
      </w:r>
    </w:p>
    <w:p w14:paraId="3054F8E3" w14:textId="77777777" w:rsidR="002668D8" w:rsidRDefault="002668D8" w:rsidP="002668D8">
      <w:pPr>
        <w:pStyle w:val="a9"/>
        <w:numPr>
          <w:ilvl w:val="0"/>
          <w:numId w:val="1"/>
        </w:numPr>
        <w:spacing w:line="360" w:lineRule="auto"/>
        <w:ind w:left="368"/>
        <w:jc w:val="both"/>
        <w:rPr>
          <w:rFonts w:cs="David"/>
          <w:sz w:val="24"/>
          <w:szCs w:val="24"/>
        </w:rPr>
      </w:pPr>
      <w:r>
        <w:rPr>
          <w:rFonts w:cs="David" w:hint="cs"/>
          <w:b/>
          <w:bCs/>
          <w:sz w:val="24"/>
          <w:szCs w:val="24"/>
          <w:u w:val="single"/>
          <w:rtl/>
        </w:rPr>
        <w:t>ב"כ המאשימה,</w:t>
      </w:r>
      <w:r w:rsidRPr="0097011E">
        <w:rPr>
          <w:rFonts w:cs="David" w:hint="cs"/>
          <w:sz w:val="24"/>
          <w:szCs w:val="24"/>
          <w:rtl/>
        </w:rPr>
        <w:t xml:space="preserve"> הגישה בפתח טיעוניה את תמונות המעבדה ת/1 ולאחר מכן התייחסה לעובדות כתב האישום ולערכים המוגנים העומדים בבסיס עבירות סמים. </w:t>
      </w:r>
      <w:r>
        <w:rPr>
          <w:rFonts w:cs="David" w:hint="cs"/>
          <w:sz w:val="24"/>
          <w:szCs w:val="24"/>
          <w:rtl/>
        </w:rPr>
        <w:t xml:space="preserve">בענייננו הדגישה ב"כ המאשימה את כמות הסם שגידל הנאשם ואת כוונתו למכור את הסמים ולקבל תמורתם סכום גבוה בסך 40,000 ש"ח. לאחר שהפנתה לפסיקה ובשל הצורך להחמיר בענישה בעבירות מסוג זה ובשל התאוצה שצוברות עבירות אלו, טענה המאשימה כי מתחם העונש ההולם נע מ- 24 חודשי מאסר בפועל ל-48 חודשי מאסר בפועל. באשר לעונש המתאים לנאשם טענה המאשימה כי לנגד עיניה, עברו הנקי של הנאשם, הודאתו בהזדמנות הראשונה ובעיקר ההליך הטיפולי שעבר במסגרת שירות המבחן. עם זאת, לטענת המאשימה, בעבירות כגון דא יש ליתן משקל בכורה לאינטרס הציבורי ולהעדיפו על פני שיקולי שיקום. באיזון בין מכלול השיקולים סברה המאשימה כי ניתן לחרוג במעט, בשלושה חודשים, מהמתחם לו עתרה וזאת מטעמי </w:t>
      </w:r>
      <w:r>
        <w:rPr>
          <w:rFonts w:cs="David" w:hint="cs"/>
          <w:sz w:val="24"/>
          <w:szCs w:val="24"/>
          <w:rtl/>
        </w:rPr>
        <w:lastRenderedPageBreak/>
        <w:t xml:space="preserve">שיקום. המאשימה ביקשה לגזור על הנאשם 21 חודשי מאסר בפועל בנוסף למאסר על תנאי וקנס. </w:t>
      </w:r>
    </w:p>
    <w:p w14:paraId="46DCE632" w14:textId="77777777" w:rsidR="002668D8" w:rsidRPr="00476911" w:rsidRDefault="002668D8" w:rsidP="002668D8">
      <w:pPr>
        <w:pStyle w:val="a9"/>
        <w:numPr>
          <w:ilvl w:val="0"/>
          <w:numId w:val="1"/>
        </w:numPr>
        <w:spacing w:line="360" w:lineRule="auto"/>
        <w:ind w:left="368"/>
        <w:jc w:val="both"/>
        <w:rPr>
          <w:rFonts w:cs="David"/>
          <w:b/>
          <w:bCs/>
          <w:sz w:val="24"/>
          <w:szCs w:val="24"/>
          <w:u w:val="single"/>
        </w:rPr>
      </w:pPr>
      <w:r>
        <w:rPr>
          <w:rFonts w:cs="David" w:hint="cs"/>
          <w:b/>
          <w:bCs/>
          <w:sz w:val="24"/>
          <w:szCs w:val="24"/>
          <w:u w:val="single"/>
          <w:rtl/>
        </w:rPr>
        <w:t>ב"כ הנאשם</w:t>
      </w:r>
      <w:r>
        <w:rPr>
          <w:rFonts w:cs="David" w:hint="cs"/>
          <w:sz w:val="24"/>
          <w:szCs w:val="24"/>
          <w:rtl/>
        </w:rPr>
        <w:t xml:space="preserve">, הדגיש בפתח טיעוניו את הודאת הנאשם במיוחס לו כבר בתחנת המשטרה ולאחר מכן בבית המשפט בכתב האישום כלשונו ומבלי שבוצע תיקון כלשהו. באשר לנסיבות ביצוע העבירה טען כי הנאשם נתפס בשלב מוקדם לאחר תקופה של 3 חודשים מבלי שהיה חשד כי בוצע סחר בסם. הסנגור התייחס בהרחבה לתסקירים החיובים שהתקבלו בעניינו של הנאשם, לקשיים ולמורכבות שעבר בחייו וחרף זאת לא הסתבך בפלילים עד למקרה שבדיון. הסנגור הדגיש את ההליך הטיפולי שהנאשם עבר בשנה האחרונה ואת הכלים שרכש אשר מלמדים על הצלחת ההליך השיקומי. הסנגור טען שגזירת עונש מאסר בפועל ולו בדרך של עבודות שירות תפגע באופן ממשי בהליך השיקומי ובמצב הכלכלי. ב"כ הנאשם הפנה לפסקי דין ולמדיניות הענישה הנוהגת בעבירות דומות שראשיתה עונש בעבודות שירות. בעניינו של הנאשם בשים לב להודאתו, עברו הנקי, להליך הטיפולי ולהתרשמות שירות המבחן ביקש הסנגור לחרוג לקולה מהמתחם באופן מהותי אשר יהיה בו לקדם את ההליך השיקומי ולהסתפק בענישה שאינה כוללת עונש מאסר מאחורי סורג ובריח. </w:t>
      </w:r>
    </w:p>
    <w:p w14:paraId="2377DBD1" w14:textId="77777777" w:rsidR="002668D8" w:rsidRDefault="002668D8" w:rsidP="002668D8">
      <w:pPr>
        <w:pStyle w:val="a9"/>
        <w:numPr>
          <w:ilvl w:val="0"/>
          <w:numId w:val="1"/>
        </w:numPr>
        <w:spacing w:line="360" w:lineRule="auto"/>
        <w:ind w:left="368"/>
        <w:jc w:val="both"/>
        <w:rPr>
          <w:rFonts w:cs="David"/>
          <w:sz w:val="24"/>
          <w:szCs w:val="24"/>
        </w:rPr>
      </w:pPr>
      <w:r w:rsidRPr="00CB5F09">
        <w:rPr>
          <w:rFonts w:cs="David" w:hint="cs"/>
          <w:b/>
          <w:bCs/>
          <w:sz w:val="24"/>
          <w:szCs w:val="24"/>
          <w:u w:val="single"/>
          <w:rtl/>
        </w:rPr>
        <w:t>הנאשם</w:t>
      </w:r>
      <w:r>
        <w:rPr>
          <w:rFonts w:cs="David" w:hint="cs"/>
          <w:sz w:val="24"/>
          <w:szCs w:val="24"/>
          <w:rtl/>
        </w:rPr>
        <w:t xml:space="preserve"> עצמו התייחס להתמכרותו לשימוש בסמים ולהליך השיקומי שעבר בעקבות הסתבכותו בתיק. כיום הוא אב לפעוטה ואשתו בהריון. הנאשם סיפר על הטיפול שעבר, על התנדבותו בעמותה ועל הבנתו לחומרת מעשיו. הנאשם ביקש מבית המשפט להתחשב בו לאפשר לו להמשיך לתפקד באופן נורמטיבי ולהיות אב מיטיב לילדיו. </w:t>
      </w:r>
    </w:p>
    <w:p w14:paraId="483897A0" w14:textId="77777777" w:rsidR="002668D8" w:rsidRDefault="002668D8" w:rsidP="002668D8">
      <w:pPr>
        <w:pStyle w:val="a9"/>
        <w:spacing w:line="360" w:lineRule="auto"/>
        <w:ind w:left="368"/>
        <w:jc w:val="both"/>
        <w:rPr>
          <w:rFonts w:cs="David"/>
          <w:b/>
          <w:bCs/>
          <w:sz w:val="24"/>
          <w:szCs w:val="24"/>
          <w:u w:val="single"/>
          <w:rtl/>
        </w:rPr>
      </w:pPr>
    </w:p>
    <w:p w14:paraId="3E1D9F87" w14:textId="77777777" w:rsidR="002668D8" w:rsidRPr="00EA2687" w:rsidRDefault="002668D8" w:rsidP="002668D8">
      <w:pPr>
        <w:spacing w:line="360" w:lineRule="auto"/>
        <w:jc w:val="both"/>
        <w:rPr>
          <w:b/>
          <w:bCs/>
          <w:u w:val="single"/>
          <w:rtl/>
        </w:rPr>
      </w:pPr>
      <w:r>
        <w:rPr>
          <w:rFonts w:hint="cs"/>
          <w:b/>
          <w:bCs/>
          <w:u w:val="single"/>
          <w:rtl/>
        </w:rPr>
        <w:t>דיון והכרעה</w:t>
      </w:r>
    </w:p>
    <w:p w14:paraId="117DE60C" w14:textId="77777777" w:rsidR="002668D8" w:rsidRPr="00F91A53" w:rsidRDefault="002668D8" w:rsidP="002668D8">
      <w:pPr>
        <w:pStyle w:val="a9"/>
        <w:numPr>
          <w:ilvl w:val="0"/>
          <w:numId w:val="1"/>
        </w:numPr>
        <w:spacing w:line="360" w:lineRule="auto"/>
        <w:ind w:left="368"/>
        <w:jc w:val="both"/>
        <w:rPr>
          <w:rFonts w:ascii="David" w:hAnsi="David" w:cs="David"/>
          <w:sz w:val="24"/>
          <w:szCs w:val="24"/>
        </w:rPr>
      </w:pPr>
      <w:r w:rsidRPr="00F91A53">
        <w:rPr>
          <w:rFonts w:cs="David" w:hint="cs"/>
          <w:b/>
          <w:bCs/>
          <w:sz w:val="24"/>
          <w:szCs w:val="24"/>
          <w:rtl/>
        </w:rPr>
        <w:t>הערכים המוגנים</w:t>
      </w:r>
      <w:r w:rsidRPr="00F91A53">
        <w:rPr>
          <w:rFonts w:cs="David" w:hint="cs"/>
          <w:sz w:val="24"/>
          <w:szCs w:val="24"/>
          <w:rtl/>
        </w:rPr>
        <w:t>,</w:t>
      </w:r>
      <w:r w:rsidRPr="00F91A53">
        <w:rPr>
          <w:rFonts w:cs="David" w:hint="cs"/>
          <w:b/>
          <w:bCs/>
          <w:sz w:val="24"/>
          <w:szCs w:val="24"/>
          <w:rtl/>
        </w:rPr>
        <w:t xml:space="preserve"> נסיבות ביצוע העבירה ומידת הפגיעה בערכים המוגנים</w:t>
      </w:r>
      <w:r w:rsidRPr="00F91A53">
        <w:rPr>
          <w:rFonts w:cs="David" w:hint="cs"/>
          <w:sz w:val="24"/>
          <w:szCs w:val="24"/>
          <w:rtl/>
        </w:rPr>
        <w:t xml:space="preserve"> </w:t>
      </w:r>
      <w:r w:rsidRPr="00F91A53">
        <w:rPr>
          <w:rFonts w:cs="David"/>
          <w:sz w:val="24"/>
          <w:szCs w:val="24"/>
          <w:rtl/>
        </w:rPr>
        <w:t>–</w:t>
      </w:r>
      <w:r w:rsidRPr="00F91A53">
        <w:rPr>
          <w:rFonts w:cs="David" w:hint="cs"/>
          <w:sz w:val="24"/>
          <w:szCs w:val="24"/>
          <w:rtl/>
        </w:rPr>
        <w:t xml:space="preserve"> רבות נכתב על הערכים המוגנים עליהם מופקדת </w:t>
      </w:r>
      <w:hyperlink r:id="rId21" w:history="1">
        <w:r w:rsidR="009D18C9" w:rsidRPr="009D18C9">
          <w:rPr>
            <w:rFonts w:cs="David" w:hint="cs"/>
            <w:color w:val="0000FF"/>
            <w:sz w:val="24"/>
            <w:szCs w:val="24"/>
            <w:u w:val="single"/>
            <w:rtl/>
          </w:rPr>
          <w:t>פקודת</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הסמים</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המסוכנים</w:t>
        </w:r>
      </w:hyperlink>
      <w:r>
        <w:rPr>
          <w:rFonts w:cs="David" w:hint="cs"/>
          <w:sz w:val="24"/>
          <w:szCs w:val="24"/>
          <w:rtl/>
        </w:rPr>
        <w:t>.</w:t>
      </w:r>
      <w:r w:rsidRPr="00F91A53">
        <w:rPr>
          <w:rFonts w:cs="David" w:hint="cs"/>
          <w:sz w:val="24"/>
          <w:szCs w:val="24"/>
          <w:rtl/>
        </w:rPr>
        <w:t xml:space="preserve"> </w:t>
      </w:r>
      <w:r>
        <w:rPr>
          <w:rFonts w:ascii="Arial" w:hAnsi="Arial" w:cs="David" w:hint="cs"/>
          <w:sz w:val="24"/>
          <w:szCs w:val="24"/>
          <w:rtl/>
        </w:rPr>
        <w:t>בראש הערכים ניצבת החובה להגן</w:t>
      </w:r>
      <w:r w:rsidRPr="00F91A53">
        <w:rPr>
          <w:rFonts w:ascii="Arial" w:hAnsi="Arial" w:cs="David" w:hint="cs"/>
          <w:sz w:val="24"/>
          <w:szCs w:val="24"/>
          <w:rtl/>
        </w:rPr>
        <w:t xml:space="preserve"> על שלום הציבור </w:t>
      </w:r>
      <w:r w:rsidRPr="00F91A53">
        <w:rPr>
          <w:rFonts w:ascii="David" w:hAnsi="David" w:cs="David"/>
          <w:sz w:val="24"/>
          <w:szCs w:val="24"/>
          <w:rtl/>
        </w:rPr>
        <w:t>ועל בריאותו</w:t>
      </w:r>
      <w:r>
        <w:rPr>
          <w:rFonts w:ascii="David" w:hAnsi="David" w:cs="David" w:hint="cs"/>
          <w:sz w:val="24"/>
          <w:szCs w:val="24"/>
          <w:rtl/>
        </w:rPr>
        <w:t xml:space="preserve"> מפני </w:t>
      </w:r>
      <w:r w:rsidRPr="00F91A53">
        <w:rPr>
          <w:rFonts w:ascii="David" w:hAnsi="David" w:cs="David"/>
          <w:sz w:val="24"/>
          <w:szCs w:val="24"/>
          <w:rtl/>
        </w:rPr>
        <w:t>פגיעתם הרעה של הסמים</w:t>
      </w:r>
      <w:r>
        <w:rPr>
          <w:rFonts w:ascii="David" w:hAnsi="David" w:cs="David" w:hint="cs"/>
          <w:sz w:val="24"/>
          <w:szCs w:val="24"/>
          <w:rtl/>
        </w:rPr>
        <w:t>. לגידול סמים בכמויות כפי שגידל הנאשם עלולה להיות השפעה ישירה על צרכני סמים והשפעה עקיפה בדמות הגדלת מעגל המשתמשים והמכורים והנזקים הנגרמים לחברה בשל ריבוי תופעות התמכרות.</w:t>
      </w:r>
      <w:r w:rsidRPr="00F91A53">
        <w:rPr>
          <w:rFonts w:ascii="David" w:hAnsi="David" w:cs="David"/>
          <w:sz w:val="24"/>
          <w:szCs w:val="24"/>
          <w:rtl/>
        </w:rPr>
        <w:t xml:space="preserve"> </w:t>
      </w:r>
      <w:r>
        <w:rPr>
          <w:rFonts w:ascii="David" w:hAnsi="David" w:cs="David" w:hint="cs"/>
          <w:sz w:val="24"/>
          <w:szCs w:val="24"/>
          <w:rtl/>
        </w:rPr>
        <w:t>מעבדות לגידול סמים מתרבות ברחבי הארץ כפטריות אחרי הגשם. הגידול הפשוט יחסית לצד סיכוי לרווחים גבוהים מהווה פיתוי עבור רבים. במלחמתו בתופעה זו נוטל בית</w:t>
      </w:r>
      <w:r w:rsidRPr="00F91A53">
        <w:rPr>
          <w:rFonts w:ascii="David" w:hAnsi="David" w:cs="David"/>
          <w:sz w:val="24"/>
          <w:szCs w:val="24"/>
          <w:rtl/>
        </w:rPr>
        <w:t xml:space="preserve"> המשפט </w:t>
      </w:r>
      <w:r>
        <w:rPr>
          <w:rFonts w:ascii="David" w:hAnsi="David" w:cs="David" w:hint="cs"/>
          <w:sz w:val="24"/>
          <w:szCs w:val="24"/>
          <w:rtl/>
        </w:rPr>
        <w:t xml:space="preserve">חלק בדרך של הטלת ענישה מחמירה נוכח </w:t>
      </w:r>
      <w:r w:rsidRPr="00F91A53">
        <w:rPr>
          <w:rFonts w:ascii="David" w:hAnsi="David" w:cs="David"/>
          <w:sz w:val="24"/>
          <w:szCs w:val="24"/>
          <w:rtl/>
        </w:rPr>
        <w:t xml:space="preserve">פוטנציאל הנזק הרב הגלום בה, ראו בהקשר זה </w:t>
      </w:r>
      <w:r w:rsidRPr="00F91A53">
        <w:rPr>
          <w:rFonts w:ascii="David" w:eastAsia="Times New Roman" w:hAnsi="David" w:cs="David"/>
          <w:sz w:val="24"/>
          <w:szCs w:val="24"/>
          <w:rtl/>
        </w:rPr>
        <w:t>ב</w:t>
      </w:r>
      <w:hyperlink r:id="rId22" w:history="1">
        <w:r w:rsidR="009D18C9" w:rsidRPr="009D18C9">
          <w:rPr>
            <w:rFonts w:ascii="David" w:eastAsia="Times New Roman" w:hAnsi="David" w:cs="David"/>
            <w:color w:val="0000FF"/>
            <w:sz w:val="24"/>
            <w:szCs w:val="24"/>
            <w:u w:val="single"/>
            <w:rtl/>
          </w:rPr>
          <w:t>עפ"ג 12819-11-15</w:t>
        </w:r>
      </w:hyperlink>
      <w:r w:rsidRPr="00F91A53">
        <w:rPr>
          <w:rFonts w:ascii="David" w:eastAsia="Times New Roman" w:hAnsi="David" w:cs="David"/>
          <w:sz w:val="24"/>
          <w:szCs w:val="24"/>
          <w:rtl/>
        </w:rPr>
        <w:t xml:space="preserve"> (מחוזי תל-אביב) </w:t>
      </w:r>
      <w:r w:rsidRPr="00F91A53">
        <w:rPr>
          <w:rFonts w:ascii="David" w:eastAsia="Times New Roman" w:hAnsi="David" w:cs="David"/>
          <w:b/>
          <w:bCs/>
          <w:sz w:val="24"/>
          <w:szCs w:val="24"/>
          <w:rtl/>
        </w:rPr>
        <w:t>מדינת ישראל נגד גיא בן צבי</w:t>
      </w:r>
      <w:r w:rsidRPr="00F91A53">
        <w:rPr>
          <w:rFonts w:ascii="David" w:eastAsia="Times New Roman" w:hAnsi="David" w:cs="David"/>
          <w:sz w:val="24"/>
          <w:szCs w:val="24"/>
          <w:rtl/>
        </w:rPr>
        <w:t xml:space="preserve"> (16.12.15)</w:t>
      </w:r>
      <w:r w:rsidRPr="00F91A53">
        <w:rPr>
          <w:rFonts w:ascii="David" w:hAnsi="David" w:cs="David"/>
          <w:sz w:val="24"/>
          <w:szCs w:val="24"/>
          <w:rtl/>
        </w:rPr>
        <w:t xml:space="preserve">. עמדה זו יפה גם באשר לנאשם שלפני. גידול סמים היא עבירה מתוכננת שאינה מבוצעת בהיסח הדעת. לאורך תקופה בת 3 חודשים, ותוך השקעת משאבים כספיים ניכרים, הקים הנאשם מעבדה </w:t>
      </w:r>
      <w:r>
        <w:rPr>
          <w:rFonts w:ascii="David" w:hAnsi="David" w:cs="David" w:hint="cs"/>
          <w:sz w:val="24"/>
          <w:szCs w:val="24"/>
          <w:rtl/>
        </w:rPr>
        <w:t xml:space="preserve">וצייד אותה היטב באופן שאפשר גידול </w:t>
      </w:r>
      <w:r w:rsidRPr="00F91A53">
        <w:rPr>
          <w:rFonts w:ascii="David" w:hAnsi="David" w:cs="David"/>
          <w:sz w:val="24"/>
          <w:szCs w:val="24"/>
          <w:rtl/>
        </w:rPr>
        <w:t>כמות נכבדה שתילי קנבוס</w:t>
      </w:r>
      <w:r>
        <w:rPr>
          <w:rFonts w:ascii="David" w:hAnsi="David" w:cs="David" w:hint="cs"/>
          <w:sz w:val="24"/>
          <w:szCs w:val="24"/>
          <w:rtl/>
        </w:rPr>
        <w:t xml:space="preserve">. המשקל </w:t>
      </w:r>
      <w:r w:rsidRPr="00F91A53">
        <w:rPr>
          <w:rFonts w:ascii="David" w:hAnsi="David" w:cs="David"/>
          <w:sz w:val="24"/>
          <w:szCs w:val="24"/>
          <w:rtl/>
        </w:rPr>
        <w:t xml:space="preserve"> </w:t>
      </w:r>
      <w:r>
        <w:rPr>
          <w:rFonts w:ascii="David" w:hAnsi="David" w:cs="David" w:hint="cs"/>
          <w:sz w:val="24"/>
          <w:szCs w:val="24"/>
          <w:rtl/>
        </w:rPr>
        <w:t>ה</w:t>
      </w:r>
      <w:r w:rsidRPr="00F91A53">
        <w:rPr>
          <w:rFonts w:ascii="David" w:hAnsi="David" w:cs="David"/>
          <w:sz w:val="24"/>
          <w:szCs w:val="24"/>
          <w:rtl/>
        </w:rPr>
        <w:t xml:space="preserve">כולל </w:t>
      </w:r>
      <w:r>
        <w:rPr>
          <w:rFonts w:ascii="David" w:hAnsi="David" w:cs="David" w:hint="cs"/>
          <w:sz w:val="24"/>
          <w:szCs w:val="24"/>
          <w:rtl/>
        </w:rPr>
        <w:t>שהגיע ל</w:t>
      </w:r>
      <w:r w:rsidRPr="00F91A53">
        <w:rPr>
          <w:rFonts w:ascii="David" w:hAnsi="David" w:cs="David"/>
          <w:sz w:val="24"/>
          <w:szCs w:val="24"/>
          <w:rtl/>
        </w:rPr>
        <w:t xml:space="preserve">-45 ק"ג, </w:t>
      </w:r>
      <w:r>
        <w:rPr>
          <w:rFonts w:ascii="David" w:hAnsi="David" w:cs="David" w:hint="cs"/>
          <w:sz w:val="24"/>
          <w:szCs w:val="24"/>
          <w:rtl/>
        </w:rPr>
        <w:t xml:space="preserve">נמצא בהלימה לכמות השתילים הגדולה (252). להיקף הגידול </w:t>
      </w:r>
      <w:r w:rsidRPr="00F91A53">
        <w:rPr>
          <w:rFonts w:ascii="David" w:hAnsi="David" w:cs="David"/>
          <w:sz w:val="24"/>
          <w:szCs w:val="24"/>
          <w:rtl/>
        </w:rPr>
        <w:t xml:space="preserve">שווי כספי ניכר ואין חולק כי הנאשם </w:t>
      </w:r>
      <w:r>
        <w:rPr>
          <w:rFonts w:ascii="David" w:hAnsi="David" w:cs="David" w:hint="cs"/>
          <w:sz w:val="24"/>
          <w:szCs w:val="24"/>
          <w:rtl/>
        </w:rPr>
        <w:t xml:space="preserve">התכוון </w:t>
      </w:r>
      <w:r w:rsidRPr="00F91A53">
        <w:rPr>
          <w:rFonts w:ascii="David" w:hAnsi="David" w:cs="David"/>
          <w:sz w:val="24"/>
          <w:szCs w:val="24"/>
          <w:rtl/>
        </w:rPr>
        <w:t>למכור קילוגרם אחד של סם ב</w:t>
      </w:r>
      <w:r>
        <w:rPr>
          <w:rFonts w:ascii="David" w:hAnsi="David" w:cs="David" w:hint="cs"/>
          <w:sz w:val="24"/>
          <w:szCs w:val="24"/>
          <w:rtl/>
        </w:rPr>
        <w:t>תמורה ל</w:t>
      </w:r>
      <w:r w:rsidRPr="00F91A53">
        <w:rPr>
          <w:rFonts w:ascii="David" w:hAnsi="David" w:cs="David"/>
          <w:sz w:val="24"/>
          <w:szCs w:val="24"/>
          <w:rtl/>
        </w:rPr>
        <w:t>-</w:t>
      </w:r>
      <w:r>
        <w:rPr>
          <w:rFonts w:ascii="David" w:hAnsi="David" w:cs="David" w:hint="cs"/>
          <w:sz w:val="24"/>
          <w:szCs w:val="24"/>
          <w:rtl/>
        </w:rPr>
        <w:t xml:space="preserve"> </w:t>
      </w:r>
      <w:r w:rsidRPr="00F91A53">
        <w:rPr>
          <w:rFonts w:ascii="David" w:hAnsi="David" w:cs="David"/>
          <w:sz w:val="24"/>
          <w:szCs w:val="24"/>
          <w:rtl/>
        </w:rPr>
        <w:t xml:space="preserve">40,000 ₪. </w:t>
      </w:r>
      <w:r>
        <w:rPr>
          <w:rFonts w:ascii="David" w:hAnsi="David" w:cs="David" w:hint="cs"/>
          <w:sz w:val="24"/>
          <w:szCs w:val="24"/>
          <w:rtl/>
        </w:rPr>
        <w:t xml:space="preserve">נתון עובדתי זה מוסיף נופך של חומרה לנסיבות ביצוע העבירות ויש בו ללמד על פוטנציאל הנזק הרב כתוצאה מביצוען. </w:t>
      </w:r>
    </w:p>
    <w:p w14:paraId="25EF1255" w14:textId="77777777" w:rsidR="002668D8" w:rsidRDefault="002668D8" w:rsidP="002668D8">
      <w:pPr>
        <w:pStyle w:val="a9"/>
        <w:numPr>
          <w:ilvl w:val="0"/>
          <w:numId w:val="1"/>
        </w:numPr>
        <w:spacing w:before="240" w:line="360" w:lineRule="auto"/>
        <w:ind w:left="368"/>
        <w:jc w:val="both"/>
        <w:rPr>
          <w:rFonts w:cs="David"/>
          <w:sz w:val="24"/>
          <w:szCs w:val="24"/>
        </w:rPr>
      </w:pPr>
      <w:r w:rsidRPr="00B64AA3">
        <w:rPr>
          <w:rFonts w:cs="David" w:hint="cs"/>
          <w:b/>
          <w:bCs/>
          <w:sz w:val="24"/>
          <w:szCs w:val="24"/>
          <w:rtl/>
        </w:rPr>
        <w:t>מדיניות הענישה</w:t>
      </w:r>
      <w:r>
        <w:rPr>
          <w:rFonts w:cs="David" w:hint="cs"/>
          <w:b/>
          <w:bCs/>
          <w:sz w:val="24"/>
          <w:szCs w:val="24"/>
          <w:rtl/>
        </w:rPr>
        <w:t xml:space="preserve"> ומתחם העונש ההולם</w:t>
      </w:r>
      <w:r w:rsidRPr="00B64AA3">
        <w:rPr>
          <w:rFonts w:cs="David" w:hint="cs"/>
          <w:sz w:val="24"/>
          <w:szCs w:val="24"/>
          <w:rtl/>
        </w:rPr>
        <w:t xml:space="preserve"> </w:t>
      </w:r>
      <w:r w:rsidRPr="00B64AA3">
        <w:rPr>
          <w:rFonts w:ascii="Arial" w:hAnsi="Arial" w:cs="David"/>
          <w:b/>
          <w:bCs/>
          <w:sz w:val="24"/>
          <w:szCs w:val="24"/>
          <w:rtl/>
        </w:rPr>
        <w:t>–</w:t>
      </w:r>
      <w:r w:rsidRPr="00B64AA3">
        <w:rPr>
          <w:rFonts w:cs="David" w:hint="cs"/>
          <w:sz w:val="24"/>
          <w:szCs w:val="24"/>
          <w:rtl/>
        </w:rPr>
        <w:t xml:space="preserve"> בעבירות </w:t>
      </w:r>
      <w:r>
        <w:rPr>
          <w:rFonts w:cs="David" w:hint="cs"/>
          <w:sz w:val="24"/>
          <w:szCs w:val="24"/>
          <w:rtl/>
        </w:rPr>
        <w:t>בהן הורשע הנאשם</w:t>
      </w:r>
      <w:r w:rsidRPr="00B64AA3">
        <w:rPr>
          <w:rFonts w:cs="David" w:hint="cs"/>
          <w:sz w:val="24"/>
          <w:szCs w:val="24"/>
          <w:rtl/>
        </w:rPr>
        <w:t xml:space="preserve"> מושתים לרוב עונשי מאסר בפועל שאורכ</w:t>
      </w:r>
      <w:r>
        <w:rPr>
          <w:rFonts w:cs="David" w:hint="cs"/>
          <w:sz w:val="24"/>
          <w:szCs w:val="24"/>
          <w:rtl/>
        </w:rPr>
        <w:t>ם</w:t>
      </w:r>
      <w:r w:rsidRPr="00B64AA3">
        <w:rPr>
          <w:rFonts w:cs="David" w:hint="cs"/>
          <w:sz w:val="24"/>
          <w:szCs w:val="24"/>
          <w:rtl/>
        </w:rPr>
        <w:t xml:space="preserve"> משתנה בהתאם לכמות הסם ולנסיבות ההחזקה והגידול. בגזר דין ש</w:t>
      </w:r>
      <w:r>
        <w:rPr>
          <w:rFonts w:cs="David" w:hint="cs"/>
          <w:sz w:val="24"/>
          <w:szCs w:val="24"/>
          <w:rtl/>
        </w:rPr>
        <w:t>ניתן על ידי</w:t>
      </w:r>
      <w:r w:rsidRPr="00B64AA3">
        <w:rPr>
          <w:rFonts w:cs="David" w:hint="cs"/>
          <w:sz w:val="24"/>
          <w:szCs w:val="24"/>
          <w:rtl/>
        </w:rPr>
        <w:t xml:space="preserve"> ביום 16.05.19 במסגרת </w:t>
      </w:r>
      <w:hyperlink r:id="rId23"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2275-06-17</w:t>
        </w:r>
      </w:hyperlink>
      <w:r w:rsidRPr="00DC6017">
        <w:rPr>
          <w:rFonts w:cs="David" w:hint="cs"/>
          <w:sz w:val="24"/>
          <w:szCs w:val="24"/>
          <w:rtl/>
        </w:rPr>
        <w:t xml:space="preserve"> </w:t>
      </w:r>
      <w:r w:rsidRPr="00DC6017">
        <w:rPr>
          <w:rFonts w:cs="David" w:hint="cs"/>
          <w:b/>
          <w:bCs/>
          <w:sz w:val="24"/>
          <w:szCs w:val="24"/>
          <w:rtl/>
        </w:rPr>
        <w:t>מדינת ישראל נ' גבריאל ואח'</w:t>
      </w:r>
      <w:r w:rsidRPr="00DC6017">
        <w:rPr>
          <w:rFonts w:cs="David" w:hint="cs"/>
          <w:sz w:val="24"/>
          <w:szCs w:val="24"/>
          <w:rtl/>
        </w:rPr>
        <w:t xml:space="preserve"> </w:t>
      </w:r>
      <w:r>
        <w:rPr>
          <w:rFonts w:cs="David" w:hint="cs"/>
          <w:sz w:val="24"/>
          <w:szCs w:val="24"/>
          <w:rtl/>
        </w:rPr>
        <w:t xml:space="preserve">(להלן: "עניין גבריאל") </w:t>
      </w:r>
      <w:r w:rsidRPr="00B64AA3">
        <w:rPr>
          <w:rFonts w:cs="David" w:hint="cs"/>
          <w:sz w:val="24"/>
          <w:szCs w:val="24"/>
          <w:rtl/>
        </w:rPr>
        <w:t xml:space="preserve">התייחסתי בהרחבה למדיניות הענישה הנוהגת בעבירות כגון אלה </w:t>
      </w:r>
      <w:r>
        <w:rPr>
          <w:rFonts w:cs="David" w:hint="cs"/>
          <w:sz w:val="24"/>
          <w:szCs w:val="24"/>
          <w:rtl/>
        </w:rPr>
        <w:t xml:space="preserve">בנסיבות דומות, </w:t>
      </w:r>
      <w:r w:rsidRPr="00B64AA3">
        <w:rPr>
          <w:rFonts w:cs="David" w:hint="cs"/>
          <w:sz w:val="24"/>
          <w:szCs w:val="24"/>
          <w:rtl/>
        </w:rPr>
        <w:t xml:space="preserve">ואין לי אלא להפנות לאמור שם בפסקה 20. </w:t>
      </w:r>
      <w:r>
        <w:rPr>
          <w:rFonts w:cs="David" w:hint="cs"/>
          <w:sz w:val="24"/>
          <w:szCs w:val="24"/>
          <w:rtl/>
        </w:rPr>
        <w:t>בתמצית אפנה ל</w:t>
      </w:r>
      <w:hyperlink r:id="rId24" w:history="1">
        <w:r w:rsidR="00AD1183" w:rsidRPr="00AD1183">
          <w:rPr>
            <w:rFonts w:cs="David" w:hint="cs"/>
            <w:color w:val="0000FF"/>
            <w:sz w:val="24"/>
            <w:szCs w:val="24"/>
            <w:u w:val="single"/>
            <w:rtl/>
          </w:rPr>
          <w:t>רע</w:t>
        </w:r>
        <w:r w:rsidR="00AD1183" w:rsidRPr="00AD1183">
          <w:rPr>
            <w:rFonts w:cs="David"/>
            <w:color w:val="0000FF"/>
            <w:sz w:val="24"/>
            <w:szCs w:val="24"/>
            <w:u w:val="single"/>
            <w:rtl/>
          </w:rPr>
          <w:t>"</w:t>
        </w:r>
        <w:r w:rsidR="00AD1183" w:rsidRPr="00AD1183">
          <w:rPr>
            <w:rFonts w:cs="David" w:hint="cs"/>
            <w:color w:val="0000FF"/>
            <w:sz w:val="24"/>
            <w:szCs w:val="24"/>
            <w:u w:val="single"/>
            <w:rtl/>
          </w:rPr>
          <w:t>פ</w:t>
        </w:r>
        <w:r w:rsidR="00AD1183" w:rsidRPr="00AD1183">
          <w:rPr>
            <w:rFonts w:cs="David"/>
            <w:color w:val="0000FF"/>
            <w:sz w:val="24"/>
            <w:szCs w:val="24"/>
            <w:u w:val="single"/>
            <w:rtl/>
          </w:rPr>
          <w:t xml:space="preserve"> 2194/14 </w:t>
        </w:r>
        <w:r w:rsidR="00AD1183" w:rsidRPr="00AD1183">
          <w:rPr>
            <w:rFonts w:cs="David" w:hint="cs"/>
            <w:color w:val="0000FF"/>
            <w:sz w:val="24"/>
            <w:szCs w:val="24"/>
            <w:u w:val="single"/>
            <w:rtl/>
          </w:rPr>
          <w:t>בן</w:t>
        </w:r>
        <w:r w:rsidR="00AD1183" w:rsidRPr="00AD1183">
          <w:rPr>
            <w:rFonts w:cs="David"/>
            <w:color w:val="0000FF"/>
            <w:sz w:val="24"/>
            <w:szCs w:val="24"/>
            <w:u w:val="single"/>
            <w:rtl/>
          </w:rPr>
          <w:t xml:space="preserve"> </w:t>
        </w:r>
        <w:r w:rsidR="00AD1183" w:rsidRPr="00AD1183">
          <w:rPr>
            <w:rFonts w:cs="David" w:hint="cs"/>
            <w:color w:val="0000FF"/>
            <w:sz w:val="24"/>
            <w:szCs w:val="24"/>
            <w:u w:val="single"/>
            <w:rtl/>
          </w:rPr>
          <w:t>שמעון</w:t>
        </w:r>
        <w:r w:rsidR="00AD1183" w:rsidRPr="00AD1183">
          <w:rPr>
            <w:rFonts w:cs="David"/>
            <w:color w:val="0000FF"/>
            <w:sz w:val="24"/>
            <w:szCs w:val="24"/>
            <w:u w:val="single"/>
            <w:rtl/>
          </w:rPr>
          <w:t xml:space="preserve"> </w:t>
        </w:r>
        <w:r w:rsidR="00AD1183" w:rsidRPr="00AD1183">
          <w:rPr>
            <w:rFonts w:cs="David" w:hint="cs"/>
            <w:color w:val="0000FF"/>
            <w:sz w:val="24"/>
            <w:szCs w:val="24"/>
            <w:u w:val="single"/>
            <w:rtl/>
          </w:rPr>
          <w:t>נ</w:t>
        </w:r>
        <w:r w:rsidR="00AD1183" w:rsidRPr="00AD1183">
          <w:rPr>
            <w:rFonts w:cs="David"/>
            <w:color w:val="0000FF"/>
            <w:sz w:val="24"/>
            <w:szCs w:val="24"/>
            <w:u w:val="single"/>
            <w:rtl/>
          </w:rPr>
          <w:t xml:space="preserve">' </w:t>
        </w:r>
        <w:r w:rsidR="00AD1183" w:rsidRPr="00AD1183">
          <w:rPr>
            <w:rFonts w:cs="David" w:hint="cs"/>
            <w:color w:val="0000FF"/>
            <w:sz w:val="24"/>
            <w:szCs w:val="24"/>
            <w:u w:val="single"/>
            <w:rtl/>
          </w:rPr>
          <w:t>מדינת</w:t>
        </w:r>
        <w:r w:rsidR="00AD1183" w:rsidRPr="00AD1183">
          <w:rPr>
            <w:rFonts w:cs="David"/>
            <w:color w:val="0000FF"/>
            <w:sz w:val="24"/>
            <w:szCs w:val="24"/>
            <w:u w:val="single"/>
            <w:rtl/>
          </w:rPr>
          <w:t xml:space="preserve"> </w:t>
        </w:r>
        <w:r w:rsidR="00AD1183" w:rsidRPr="00AD1183">
          <w:rPr>
            <w:rFonts w:cs="David" w:hint="cs"/>
            <w:color w:val="0000FF"/>
            <w:sz w:val="24"/>
            <w:szCs w:val="24"/>
            <w:u w:val="single"/>
            <w:rtl/>
          </w:rPr>
          <w:t>ישראל</w:t>
        </w:r>
        <w:r w:rsidR="00AD1183" w:rsidRPr="00AD1183">
          <w:rPr>
            <w:rFonts w:cs="David"/>
            <w:color w:val="0000FF"/>
            <w:sz w:val="24"/>
            <w:szCs w:val="24"/>
            <w:u w:val="single"/>
            <w:rtl/>
          </w:rPr>
          <w:t xml:space="preserve"> </w:t>
        </w:r>
      </w:hyperlink>
      <w:r>
        <w:rPr>
          <w:rFonts w:cs="David" w:hint="cs"/>
          <w:sz w:val="24"/>
          <w:szCs w:val="24"/>
          <w:rtl/>
        </w:rPr>
        <w:t xml:space="preserve"> (10.9.14) שם אושר מתחם שבין 18-30 חודשי מאסר בגין גידול קנאביס במשקל 33.5 ק"ג. </w:t>
      </w:r>
      <w:hyperlink r:id="rId25"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א</w:t>
        </w:r>
        <w:r w:rsidR="009D18C9" w:rsidRPr="009D18C9">
          <w:rPr>
            <w:rFonts w:cs="David"/>
            <w:color w:val="0000FF"/>
            <w:sz w:val="24"/>
            <w:szCs w:val="24"/>
            <w:u w:val="single"/>
            <w:rtl/>
          </w:rPr>
          <w:t>) 44986-07-15</w:t>
        </w:r>
      </w:hyperlink>
      <w:r>
        <w:rPr>
          <w:rFonts w:cs="David" w:hint="cs"/>
          <w:sz w:val="24"/>
          <w:szCs w:val="24"/>
          <w:rtl/>
        </w:rPr>
        <w:t xml:space="preserve"> </w:t>
      </w:r>
      <w:r w:rsidRPr="003C7C00">
        <w:rPr>
          <w:rFonts w:cs="David" w:hint="cs"/>
          <w:b/>
          <w:bCs/>
          <w:sz w:val="24"/>
          <w:szCs w:val="24"/>
          <w:rtl/>
        </w:rPr>
        <w:t>מדינת ישראל נ' סופר</w:t>
      </w:r>
      <w:r>
        <w:rPr>
          <w:rFonts w:cs="David" w:hint="cs"/>
          <w:sz w:val="24"/>
          <w:szCs w:val="24"/>
          <w:rtl/>
        </w:rPr>
        <w:t xml:space="preserve"> (23.4.17) נקבע מתחם שבין 17-30 חודשי מאסר בגין גידול 250 שתילים במשקל כ- 34 ק"ג. בנוסף לכך אפנה לפסק דין שניתן לאחרונה על ידי בית המשפט העליון ב</w:t>
      </w:r>
      <w:hyperlink r:id="rId26" w:history="1">
        <w:r w:rsidR="009D18C9" w:rsidRPr="009D18C9">
          <w:rPr>
            <w:rFonts w:cs="David" w:hint="cs"/>
            <w:color w:val="0000FF"/>
            <w:sz w:val="24"/>
            <w:szCs w:val="24"/>
            <w:u w:val="single"/>
            <w:rtl/>
          </w:rPr>
          <w:t>רע</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666/20</w:t>
        </w:r>
      </w:hyperlink>
      <w:r>
        <w:rPr>
          <w:rFonts w:cs="David" w:hint="cs"/>
          <w:sz w:val="24"/>
          <w:szCs w:val="24"/>
          <w:rtl/>
        </w:rPr>
        <w:t xml:space="preserve"> </w:t>
      </w:r>
      <w:r w:rsidRPr="00DC6017">
        <w:rPr>
          <w:rFonts w:cs="David" w:hint="cs"/>
          <w:b/>
          <w:bCs/>
          <w:sz w:val="24"/>
          <w:szCs w:val="24"/>
          <w:rtl/>
        </w:rPr>
        <w:t>עמרם נ' מדינת ישראל</w:t>
      </w:r>
      <w:r>
        <w:rPr>
          <w:rFonts w:cs="David" w:hint="cs"/>
          <w:sz w:val="24"/>
          <w:szCs w:val="24"/>
          <w:rtl/>
        </w:rPr>
        <w:t xml:space="preserve"> (03.02.20) שם נקבע מתחם שנע מ-15 חודשי מאסר ועד 36 חודשי מאסר לנאשם שגידל למעלה ממאה שתילי סם במשקל כולל של כעשרה קילוגרם והחזיק בנוסף סם שחולק לשקיות במשקל כולל של 1.7 קילוגרם. בשים לב לעברו הנקי וחרף היותו מאובחן כסובל מתסמונת אספרגר לא מצא בית המשפט לקבל המלצת שירות המבחן וגזר על הנאשם 12 חודשי מאסר בפועל לאחר חריגה קלה לקולה ממתחם העונש ההולם. בית המשפט המחוזי ובית המשפט העליון לא מצאו להתערב באיזון שערך בית משפט השלום בגזירת העונש. עוד ראו </w:t>
      </w:r>
      <w:hyperlink r:id="rId27" w:history="1">
        <w:r w:rsidR="009D18C9" w:rsidRPr="009D18C9">
          <w:rPr>
            <w:rFonts w:cs="David" w:hint="cs"/>
            <w:color w:val="0000FF"/>
            <w:sz w:val="24"/>
            <w:szCs w:val="24"/>
            <w:u w:val="single"/>
            <w:rtl/>
          </w:rPr>
          <w:t>עפ</w:t>
        </w:r>
        <w:r w:rsidR="009D18C9" w:rsidRPr="009D18C9">
          <w:rPr>
            <w:rFonts w:cs="David"/>
            <w:color w:val="0000FF"/>
            <w:sz w:val="24"/>
            <w:szCs w:val="24"/>
            <w:u w:val="single"/>
            <w:rtl/>
          </w:rPr>
          <w:t>"</w:t>
        </w:r>
        <w:r w:rsidR="009D18C9" w:rsidRPr="009D18C9">
          <w:rPr>
            <w:rFonts w:cs="David" w:hint="cs"/>
            <w:color w:val="0000FF"/>
            <w:sz w:val="24"/>
            <w:szCs w:val="24"/>
            <w:u w:val="single"/>
            <w:rtl/>
          </w:rPr>
          <w:t>ג</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א</w:t>
        </w:r>
        <w:r w:rsidR="009D18C9" w:rsidRPr="009D18C9">
          <w:rPr>
            <w:rFonts w:cs="David"/>
            <w:color w:val="0000FF"/>
            <w:sz w:val="24"/>
            <w:szCs w:val="24"/>
            <w:u w:val="single"/>
            <w:rtl/>
          </w:rPr>
          <w:t>) 44763-08-19</w:t>
        </w:r>
      </w:hyperlink>
      <w:r>
        <w:rPr>
          <w:rFonts w:cs="David" w:hint="cs"/>
          <w:sz w:val="24"/>
          <w:szCs w:val="24"/>
          <w:rtl/>
        </w:rPr>
        <w:t xml:space="preserve"> </w:t>
      </w:r>
      <w:r w:rsidRPr="00FA29A3">
        <w:rPr>
          <w:rFonts w:cs="David" w:hint="cs"/>
          <w:b/>
          <w:bCs/>
          <w:sz w:val="24"/>
          <w:szCs w:val="24"/>
          <w:rtl/>
        </w:rPr>
        <w:t>אוחנה נ' מדינת ישראל</w:t>
      </w:r>
      <w:r>
        <w:rPr>
          <w:rFonts w:cs="David" w:hint="cs"/>
          <w:sz w:val="24"/>
          <w:szCs w:val="24"/>
          <w:rtl/>
        </w:rPr>
        <w:t xml:space="preserve"> שם נגזרו 9 חודשי מאסר בעבודות שירות בגין גידול 14 ק"ג (שליש מהכמות בתיקנו).</w:t>
      </w:r>
    </w:p>
    <w:p w14:paraId="5F9F14A7" w14:textId="77777777" w:rsidR="002668D8" w:rsidRDefault="002668D8" w:rsidP="002668D8">
      <w:pPr>
        <w:pStyle w:val="a9"/>
        <w:numPr>
          <w:ilvl w:val="0"/>
          <w:numId w:val="1"/>
        </w:numPr>
        <w:spacing w:before="240" w:line="360" w:lineRule="auto"/>
        <w:ind w:left="368"/>
        <w:jc w:val="both"/>
        <w:rPr>
          <w:rFonts w:cs="David"/>
          <w:sz w:val="24"/>
          <w:szCs w:val="24"/>
        </w:rPr>
      </w:pPr>
      <w:r w:rsidRPr="00514843">
        <w:rPr>
          <w:rFonts w:cs="David" w:hint="cs"/>
          <w:sz w:val="24"/>
          <w:szCs w:val="24"/>
          <w:rtl/>
        </w:rPr>
        <w:t xml:space="preserve">בעניין גבריאל, שנדון כאמור לעיל בפני, דובר בשני נאשמים שכל אחד מהם גידל 30 ק"ג קנביס בביתו שלו ובנוסף סייע לחברו בהחזקת 30 ק"ג נוספים שלא לצריכתם העצמית. מתחם העונש ההולם שקבעתי שם נע מ- 18 ל-36 חודשי מאסר בפועל ורכיבים נלווים. גם בעניינם של הנאשמים שם, כמו בעניינו של נאשם זה, התקבלו תסקירים חיוביים ביותר והשניים, נעדרי עבר פלילי, עברו הליך שיקומי מרשים באופן שהצדיק סטייה מסוימת לקולה ממתחם העונש ההולם. משכך מצאתי לגזור על הנאשמים 15 חודשי מאסר בפועל לצד רכיבים נלווים. במסגרת הערעור שהגישו הנאשמים לבית המשפט המחוזי ולאחר שהתקבלו תסקירים חיוביים נוספים משירות המבחן, הוקל עונשם ל-12 חודשי מאסר בפועל וזאת בשים לב ל"מיהותם של המערערים והתהליך הארוך והחיובי שעשו מאז מתן הכרעת הדין בבית משפט קמא ועד היום". בית המשפט לא התערב במתחם העונש </w:t>
      </w:r>
      <w:r>
        <w:rPr>
          <w:rFonts w:cs="David" w:hint="cs"/>
          <w:sz w:val="24"/>
          <w:szCs w:val="24"/>
          <w:rtl/>
        </w:rPr>
        <w:t>שנקבע</w:t>
      </w:r>
      <w:r w:rsidRPr="00514843">
        <w:rPr>
          <w:rFonts w:cs="David" w:hint="cs"/>
          <w:sz w:val="24"/>
          <w:szCs w:val="24"/>
          <w:rtl/>
        </w:rPr>
        <w:t xml:space="preserve"> ראו </w:t>
      </w:r>
      <w:hyperlink r:id="rId28" w:history="1">
        <w:r w:rsidR="009D18C9" w:rsidRPr="009D18C9">
          <w:rPr>
            <w:rFonts w:cs="David" w:hint="cs"/>
            <w:color w:val="0000FF"/>
            <w:sz w:val="24"/>
            <w:szCs w:val="24"/>
            <w:u w:val="single"/>
            <w:rtl/>
          </w:rPr>
          <w:t>עפ</w:t>
        </w:r>
        <w:r w:rsidR="009D18C9" w:rsidRPr="009D18C9">
          <w:rPr>
            <w:rFonts w:cs="David"/>
            <w:color w:val="0000FF"/>
            <w:sz w:val="24"/>
            <w:szCs w:val="24"/>
            <w:u w:val="single"/>
            <w:rtl/>
          </w:rPr>
          <w:t>"</w:t>
        </w:r>
        <w:r w:rsidR="009D18C9" w:rsidRPr="009D18C9">
          <w:rPr>
            <w:rFonts w:cs="David" w:hint="cs"/>
            <w:color w:val="0000FF"/>
            <w:sz w:val="24"/>
            <w:szCs w:val="24"/>
            <w:u w:val="single"/>
            <w:rtl/>
          </w:rPr>
          <w:t>ג</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מח</w:t>
        </w:r>
        <w:r w:rsidR="009D18C9" w:rsidRPr="009D18C9">
          <w:rPr>
            <w:rFonts w:cs="David"/>
            <w:color w:val="0000FF"/>
            <w:sz w:val="24"/>
            <w:szCs w:val="24"/>
            <w:u w:val="single"/>
            <w:rtl/>
          </w:rPr>
          <w:t>-</w:t>
        </w:r>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א</w:t>
        </w:r>
        <w:r w:rsidR="009D18C9" w:rsidRPr="009D18C9">
          <w:rPr>
            <w:rFonts w:cs="David"/>
            <w:color w:val="0000FF"/>
            <w:sz w:val="24"/>
            <w:szCs w:val="24"/>
            <w:u w:val="single"/>
            <w:rtl/>
          </w:rPr>
          <w:t>) 28685-06-19</w:t>
        </w:r>
      </w:hyperlink>
      <w:r w:rsidRPr="00EC74E0">
        <w:rPr>
          <w:rFonts w:cs="David" w:hint="cs"/>
          <w:sz w:val="24"/>
          <w:szCs w:val="24"/>
          <w:rtl/>
        </w:rPr>
        <w:t xml:space="preserve"> </w:t>
      </w:r>
      <w:r w:rsidRPr="00EC74E0">
        <w:rPr>
          <w:rFonts w:cs="David" w:hint="cs"/>
          <w:b/>
          <w:bCs/>
          <w:sz w:val="24"/>
          <w:szCs w:val="24"/>
          <w:rtl/>
        </w:rPr>
        <w:t>גבריאל נ' מדינת ישראל</w:t>
      </w:r>
      <w:r w:rsidRPr="00EC74E0">
        <w:rPr>
          <w:rFonts w:cs="David" w:hint="cs"/>
          <w:sz w:val="24"/>
          <w:szCs w:val="24"/>
          <w:rtl/>
        </w:rPr>
        <w:t xml:space="preserve"> (10.02.20)</w:t>
      </w:r>
      <w:r w:rsidRPr="00514843">
        <w:rPr>
          <w:rFonts w:cs="David" w:hint="cs"/>
          <w:sz w:val="24"/>
          <w:szCs w:val="24"/>
          <w:rtl/>
        </w:rPr>
        <w:t xml:space="preserve">. </w:t>
      </w:r>
    </w:p>
    <w:p w14:paraId="74E83956" w14:textId="77777777" w:rsidR="002668D8" w:rsidRDefault="002668D8" w:rsidP="002668D8">
      <w:pPr>
        <w:pStyle w:val="a9"/>
        <w:numPr>
          <w:ilvl w:val="0"/>
          <w:numId w:val="1"/>
        </w:numPr>
        <w:spacing w:before="240" w:line="360" w:lineRule="auto"/>
        <w:ind w:left="368"/>
        <w:jc w:val="both"/>
        <w:rPr>
          <w:rFonts w:cs="David"/>
          <w:sz w:val="24"/>
          <w:szCs w:val="24"/>
        </w:rPr>
      </w:pPr>
      <w:r>
        <w:rPr>
          <w:rFonts w:cs="David" w:hint="cs"/>
          <w:sz w:val="24"/>
          <w:szCs w:val="24"/>
          <w:rtl/>
        </w:rPr>
        <w:t>עיינתי בפסיקה שהוגשה על ידי ההגנה ולא מצאתי כי יש בה להקל בקביעת המתחם. ב</w:t>
      </w:r>
      <w:hyperlink r:id="rId29"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3256/16</w:t>
        </w:r>
      </w:hyperlink>
      <w:r>
        <w:rPr>
          <w:rFonts w:cs="David" w:hint="cs"/>
          <w:sz w:val="24"/>
          <w:szCs w:val="24"/>
          <w:rtl/>
        </w:rPr>
        <w:t xml:space="preserve"> </w:t>
      </w:r>
      <w:r w:rsidRPr="003C7C00">
        <w:rPr>
          <w:rFonts w:cs="David" w:hint="cs"/>
          <w:b/>
          <w:bCs/>
          <w:sz w:val="24"/>
          <w:szCs w:val="24"/>
          <w:rtl/>
        </w:rPr>
        <w:t>מדינת ישראל נ' חכים</w:t>
      </w:r>
      <w:r>
        <w:rPr>
          <w:rFonts w:cs="David" w:hint="cs"/>
          <w:sz w:val="24"/>
          <w:szCs w:val="24"/>
          <w:rtl/>
        </w:rPr>
        <w:t xml:space="preserve">, אמנם נקבע מתחם שתחתיתו 12 חודשי מאסר והנאשם נשלח למאסר בעבודות שירות. עם זאת, בערעור שהוגש על פסק הדין ציין בית המשפט המחוזי כי גזר הדין חורג במידה ניכרת מהמתחם ורק בשל נסיבות יוצאות דופן לא החמירו עם הנאשם (והנסיבות מפורטות בסעיף 22 לגזר הדין המקורי וכוללות בין היתר מעצר לתקופה של 4 חודשים, שיחרור לקהילה סגורה ונסיבות אישיות חריגות). </w:t>
      </w:r>
      <w:hyperlink r:id="rId30"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47627-07-15</w:t>
        </w:r>
      </w:hyperlink>
      <w:r>
        <w:rPr>
          <w:rFonts w:cs="David" w:hint="cs"/>
          <w:sz w:val="24"/>
          <w:szCs w:val="24"/>
          <w:rtl/>
        </w:rPr>
        <w:t xml:space="preserve"> </w:t>
      </w:r>
      <w:r w:rsidRPr="003C7C00">
        <w:rPr>
          <w:rFonts w:cs="David" w:hint="cs"/>
          <w:b/>
          <w:bCs/>
          <w:sz w:val="24"/>
          <w:szCs w:val="24"/>
          <w:rtl/>
        </w:rPr>
        <w:t>מדינת ישראל נ' יצחקי</w:t>
      </w:r>
      <w:r>
        <w:rPr>
          <w:rFonts w:cs="David" w:hint="cs"/>
          <w:sz w:val="24"/>
          <w:szCs w:val="24"/>
          <w:rtl/>
        </w:rPr>
        <w:t xml:space="preserve"> נגזר עונש מאסר לתקופה של 12 חודשים על נאשמת בגידול כמויות גדולות של סמים אך זאת כאשר חלק מן העובדות המוסכמות כללו התייחסות לכך שהיוזמה והביצוע של הגידול היה על ידי אחר המבוגר ממנה אשר לא אותר. </w:t>
      </w:r>
      <w:hyperlink r:id="rId31"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33806-01-16</w:t>
        </w:r>
      </w:hyperlink>
      <w:r>
        <w:rPr>
          <w:rFonts w:cs="David" w:hint="cs"/>
          <w:sz w:val="24"/>
          <w:szCs w:val="24"/>
          <w:rtl/>
        </w:rPr>
        <w:t xml:space="preserve"> דובר על כמויות קטנות בהרבה, ב</w:t>
      </w:r>
      <w:hyperlink r:id="rId32" w:history="1">
        <w:r w:rsidR="009D18C9" w:rsidRPr="009D18C9">
          <w:rPr>
            <w:rFonts w:cs="David" w:hint="cs"/>
            <w:color w:val="0000FF"/>
            <w:sz w:val="24"/>
            <w:szCs w:val="24"/>
            <w:u w:val="single"/>
            <w:rtl/>
          </w:rPr>
          <w:t>ת</w:t>
        </w:r>
        <w:r w:rsidR="009D18C9" w:rsidRPr="009D18C9">
          <w:rPr>
            <w:rFonts w:cs="David"/>
            <w:color w:val="0000FF"/>
            <w:sz w:val="24"/>
            <w:szCs w:val="24"/>
            <w:u w:val="single"/>
            <w:rtl/>
          </w:rPr>
          <w:t>"</w:t>
        </w:r>
        <w:r w:rsidR="009D18C9" w:rsidRPr="009D18C9">
          <w:rPr>
            <w:rFonts w:cs="David" w:hint="cs"/>
            <w:color w:val="0000FF"/>
            <w:sz w:val="24"/>
            <w:szCs w:val="24"/>
            <w:u w:val="single"/>
            <w:rtl/>
          </w:rPr>
          <w:t>פ</w:t>
        </w:r>
        <w:r w:rsidR="009D18C9" w:rsidRPr="009D18C9">
          <w:rPr>
            <w:rFonts w:cs="David"/>
            <w:color w:val="0000FF"/>
            <w:sz w:val="24"/>
            <w:szCs w:val="24"/>
            <w:u w:val="single"/>
            <w:rtl/>
          </w:rPr>
          <w:t xml:space="preserve"> 20589-02-18</w:t>
        </w:r>
      </w:hyperlink>
      <w:r>
        <w:rPr>
          <w:rFonts w:cs="David" w:hint="cs"/>
          <w:sz w:val="24"/>
          <w:szCs w:val="24"/>
          <w:rtl/>
        </w:rPr>
        <w:t xml:space="preserve"> דובר על מי שגידל 22 שתילים בלבד. </w:t>
      </w:r>
    </w:p>
    <w:p w14:paraId="0BEC7CF3" w14:textId="77777777" w:rsidR="002668D8" w:rsidRPr="00514843" w:rsidRDefault="002668D8" w:rsidP="002668D8">
      <w:pPr>
        <w:pStyle w:val="a9"/>
        <w:numPr>
          <w:ilvl w:val="0"/>
          <w:numId w:val="1"/>
        </w:numPr>
        <w:spacing w:before="240" w:line="360" w:lineRule="auto"/>
        <w:ind w:left="368"/>
        <w:jc w:val="both"/>
        <w:rPr>
          <w:rFonts w:cs="David"/>
          <w:sz w:val="24"/>
          <w:szCs w:val="24"/>
        </w:rPr>
      </w:pPr>
      <w:r>
        <w:rPr>
          <w:rFonts w:ascii="David" w:hAnsi="David" w:cs="David" w:hint="cs"/>
          <w:sz w:val="24"/>
          <w:szCs w:val="24"/>
          <w:rtl/>
        </w:rPr>
        <w:t xml:space="preserve">שקלתי משך התקופה בה גודלו הסמים וכמובן סוג הסם ולאחר התחשבות במכלול נסיבות ביצוע העבירה ומדיניות הענישה שפורטה לעיל, </w:t>
      </w:r>
      <w:r w:rsidRPr="00514843">
        <w:rPr>
          <w:rFonts w:ascii="David" w:hAnsi="David" w:cs="David"/>
          <w:sz w:val="24"/>
          <w:szCs w:val="24"/>
          <w:rtl/>
        </w:rPr>
        <w:t xml:space="preserve">אני קובעת </w:t>
      </w:r>
      <w:r w:rsidRPr="00514843">
        <w:rPr>
          <w:rFonts w:ascii="David" w:hAnsi="David" w:cs="David"/>
          <w:b/>
          <w:bCs/>
          <w:sz w:val="24"/>
          <w:szCs w:val="24"/>
          <w:rtl/>
        </w:rPr>
        <w:t>שמתחם העונש ההולם את נסיבות ביצוע העבירה במקרה שלפני נע בין 18 ל</w:t>
      </w:r>
      <w:r>
        <w:rPr>
          <w:rFonts w:ascii="David" w:hAnsi="David" w:cs="David" w:hint="cs"/>
          <w:b/>
          <w:bCs/>
          <w:sz w:val="24"/>
          <w:szCs w:val="24"/>
          <w:rtl/>
        </w:rPr>
        <w:t xml:space="preserve">בין </w:t>
      </w:r>
      <w:r w:rsidRPr="00514843">
        <w:rPr>
          <w:rFonts w:ascii="David" w:hAnsi="David" w:cs="David"/>
          <w:b/>
          <w:bCs/>
          <w:sz w:val="24"/>
          <w:szCs w:val="24"/>
          <w:rtl/>
        </w:rPr>
        <w:t>36 חודשי מאסר</w:t>
      </w:r>
      <w:r w:rsidRPr="00514843">
        <w:rPr>
          <w:rFonts w:ascii="David" w:hAnsi="David" w:cs="David" w:hint="cs"/>
          <w:b/>
          <w:bCs/>
          <w:sz w:val="24"/>
          <w:szCs w:val="24"/>
          <w:rtl/>
        </w:rPr>
        <w:t xml:space="preserve"> ורכיבים נלווים</w:t>
      </w:r>
      <w:r w:rsidRPr="00514843">
        <w:rPr>
          <w:rFonts w:ascii="David" w:hAnsi="David" w:cs="David"/>
          <w:b/>
          <w:bCs/>
          <w:sz w:val="24"/>
          <w:szCs w:val="24"/>
          <w:rtl/>
        </w:rPr>
        <w:t>.</w:t>
      </w:r>
      <w:r>
        <w:rPr>
          <w:rFonts w:ascii="David" w:hAnsi="David" w:cs="David" w:hint="cs"/>
          <w:b/>
          <w:bCs/>
          <w:sz w:val="24"/>
          <w:szCs w:val="24"/>
          <w:rtl/>
        </w:rPr>
        <w:t xml:space="preserve"> </w:t>
      </w:r>
    </w:p>
    <w:p w14:paraId="0A822E8D" w14:textId="77777777" w:rsidR="002668D8" w:rsidRDefault="002668D8" w:rsidP="002668D8">
      <w:pPr>
        <w:pStyle w:val="a9"/>
        <w:numPr>
          <w:ilvl w:val="0"/>
          <w:numId w:val="1"/>
        </w:numPr>
        <w:spacing w:line="360" w:lineRule="auto"/>
        <w:ind w:left="368"/>
        <w:jc w:val="both"/>
        <w:rPr>
          <w:rFonts w:ascii="David" w:hAnsi="David" w:cs="David"/>
          <w:sz w:val="24"/>
          <w:szCs w:val="24"/>
        </w:rPr>
      </w:pPr>
      <w:r w:rsidRPr="0096624D">
        <w:rPr>
          <w:rFonts w:ascii="David" w:hAnsi="David" w:cs="David" w:hint="cs"/>
          <w:b/>
          <w:bCs/>
          <w:sz w:val="24"/>
          <w:szCs w:val="24"/>
          <w:rtl/>
        </w:rPr>
        <w:t>העונש המתאים לנאשם</w:t>
      </w:r>
      <w:r>
        <w:rPr>
          <w:rFonts w:ascii="David" w:hAnsi="David" w:cs="David" w:hint="cs"/>
          <w:sz w:val="24"/>
          <w:szCs w:val="24"/>
          <w:rtl/>
        </w:rPr>
        <w:t xml:space="preserve"> -</w:t>
      </w:r>
      <w:r w:rsidRPr="009D1902">
        <w:rPr>
          <w:rFonts w:ascii="David" w:hAnsi="David" w:cs="David"/>
          <w:sz w:val="24"/>
          <w:szCs w:val="24"/>
          <w:rtl/>
        </w:rPr>
        <w:t xml:space="preserve"> השאלה המרכזית המתעוררת במקרה זה הי</w:t>
      </w:r>
      <w:r>
        <w:rPr>
          <w:rFonts w:ascii="David" w:hAnsi="David" w:cs="David" w:hint="cs"/>
          <w:sz w:val="24"/>
          <w:szCs w:val="24"/>
          <w:rtl/>
        </w:rPr>
        <w:t xml:space="preserve">א </w:t>
      </w:r>
      <w:r w:rsidRPr="009D1902">
        <w:rPr>
          <w:rFonts w:ascii="David" w:hAnsi="David" w:cs="David"/>
          <w:sz w:val="24"/>
          <w:szCs w:val="24"/>
          <w:rtl/>
        </w:rPr>
        <w:t xml:space="preserve">האם ועד כמה </w:t>
      </w:r>
      <w:r>
        <w:rPr>
          <w:rFonts w:ascii="David" w:hAnsi="David" w:cs="David" w:hint="cs"/>
          <w:sz w:val="24"/>
          <w:szCs w:val="24"/>
          <w:rtl/>
        </w:rPr>
        <w:t>יש</w:t>
      </w:r>
      <w:r>
        <w:rPr>
          <w:rFonts w:ascii="David" w:hAnsi="David" w:cs="David"/>
          <w:sz w:val="24"/>
          <w:szCs w:val="24"/>
          <w:rtl/>
        </w:rPr>
        <w:t xml:space="preserve"> לסטות לקול</w:t>
      </w:r>
      <w:r>
        <w:rPr>
          <w:rFonts w:ascii="David" w:hAnsi="David" w:cs="David" w:hint="cs"/>
          <w:sz w:val="24"/>
          <w:szCs w:val="24"/>
          <w:rtl/>
        </w:rPr>
        <w:t>ה</w:t>
      </w:r>
      <w:r w:rsidRPr="009D1902">
        <w:rPr>
          <w:rFonts w:ascii="David" w:hAnsi="David" w:cs="David"/>
          <w:sz w:val="24"/>
          <w:szCs w:val="24"/>
          <w:rtl/>
        </w:rPr>
        <w:t xml:space="preserve"> ממתחם העונש ההולם מטעמי שיקום</w:t>
      </w:r>
      <w:r>
        <w:rPr>
          <w:rFonts w:ascii="David" w:hAnsi="David" w:cs="David" w:hint="cs"/>
          <w:sz w:val="24"/>
          <w:szCs w:val="24"/>
          <w:rtl/>
        </w:rPr>
        <w:t xml:space="preserve">. התסקירים מצביעים באופן ברור על התגייסות לטיפול ועליה על נתיב חיובי. הנאשם שולב ביחידה לנפגעי התמכרות וכיום מוסר בדיקות נקיות, השתלב בסדנה העוסקת בהתנהלות כלכלית, שולב בפעילות התנדבותית ושיתף פעולה בכל מה שהוצע על ידי שירות המבחן. הנאשם עקבי בכך במשך תקופה ממושכת למדי וניכר כי ההליך הנוכחי פעל פעולה מרתיעה ומחוללת שינוי. </w:t>
      </w:r>
      <w:r w:rsidRPr="009D1902">
        <w:rPr>
          <w:rFonts w:ascii="David" w:hAnsi="David" w:cs="David"/>
          <w:sz w:val="24"/>
          <w:szCs w:val="24"/>
          <w:rtl/>
        </w:rPr>
        <w:t>ראוי לציין, כי אף ה</w:t>
      </w:r>
      <w:r>
        <w:rPr>
          <w:rFonts w:ascii="David" w:hAnsi="David" w:cs="David" w:hint="cs"/>
          <w:sz w:val="24"/>
          <w:szCs w:val="24"/>
          <w:rtl/>
        </w:rPr>
        <w:t xml:space="preserve">מאשימה </w:t>
      </w:r>
      <w:r w:rsidRPr="009D1902">
        <w:rPr>
          <w:rFonts w:ascii="David" w:hAnsi="David" w:cs="David"/>
          <w:sz w:val="24"/>
          <w:szCs w:val="24"/>
          <w:rtl/>
        </w:rPr>
        <w:t xml:space="preserve">סבורה כי מדובר במקרה אשר מצדיק סטייה </w:t>
      </w:r>
      <w:r>
        <w:rPr>
          <w:rFonts w:ascii="David" w:hAnsi="David" w:cs="David" w:hint="cs"/>
          <w:sz w:val="24"/>
          <w:szCs w:val="24"/>
          <w:rtl/>
        </w:rPr>
        <w:t xml:space="preserve">מסוימת </w:t>
      </w:r>
      <w:r>
        <w:rPr>
          <w:rFonts w:ascii="David" w:hAnsi="David" w:cs="David"/>
          <w:sz w:val="24"/>
          <w:szCs w:val="24"/>
          <w:rtl/>
        </w:rPr>
        <w:t>לקול</w:t>
      </w:r>
      <w:r>
        <w:rPr>
          <w:rFonts w:ascii="David" w:hAnsi="David" w:cs="David" w:hint="cs"/>
          <w:sz w:val="24"/>
          <w:szCs w:val="24"/>
          <w:rtl/>
        </w:rPr>
        <w:t>ה</w:t>
      </w:r>
      <w:r w:rsidRPr="009D1902">
        <w:rPr>
          <w:rFonts w:ascii="David" w:hAnsi="David" w:cs="David"/>
          <w:sz w:val="24"/>
          <w:szCs w:val="24"/>
          <w:rtl/>
        </w:rPr>
        <w:t xml:space="preserve"> ממתחם העונש ההולם משיקולי שיקום. </w:t>
      </w:r>
      <w:r>
        <w:rPr>
          <w:rFonts w:ascii="David" w:hAnsi="David" w:cs="David" w:hint="cs"/>
          <w:sz w:val="24"/>
          <w:szCs w:val="24"/>
          <w:rtl/>
        </w:rPr>
        <w:t xml:space="preserve">עם זאת סטייה ממתחם ענישה אין משמעה בהכרח הימנעות ממאסר כליל. לעיתים אותה סטיה מובילה להקלה בלבד וגם בכך יש כדי להביע תמיכה בדרך שאדם עשה ובהתגייסות לאפיק טיפולי. </w:t>
      </w:r>
    </w:p>
    <w:p w14:paraId="3F409A82" w14:textId="77777777" w:rsidR="002668D8" w:rsidRDefault="002668D8" w:rsidP="002668D8">
      <w:pPr>
        <w:pStyle w:val="a9"/>
        <w:numPr>
          <w:ilvl w:val="0"/>
          <w:numId w:val="1"/>
        </w:numPr>
        <w:spacing w:line="360" w:lineRule="auto"/>
        <w:ind w:left="368"/>
        <w:jc w:val="both"/>
        <w:rPr>
          <w:rFonts w:ascii="David" w:hAnsi="David" w:cs="David"/>
          <w:sz w:val="24"/>
          <w:szCs w:val="24"/>
        </w:rPr>
      </w:pPr>
      <w:r>
        <w:rPr>
          <w:rFonts w:cs="David" w:hint="cs"/>
          <w:sz w:val="24"/>
          <w:szCs w:val="24"/>
          <w:rtl/>
        </w:rPr>
        <w:t>חלק מן האינטרס הציבורי הוא לחזק אדם על המפנה החיובי שערך ולסייע ב</w:t>
      </w:r>
      <w:r w:rsidRPr="0096624D">
        <w:rPr>
          <w:rFonts w:cs="David" w:hint="cs"/>
          <w:sz w:val="24"/>
          <w:szCs w:val="24"/>
          <w:rtl/>
        </w:rPr>
        <w:t xml:space="preserve">שימור </w:t>
      </w:r>
      <w:r>
        <w:rPr>
          <w:rFonts w:cs="David" w:hint="cs"/>
          <w:sz w:val="24"/>
          <w:szCs w:val="24"/>
          <w:rtl/>
        </w:rPr>
        <w:t>הישגיו.</w:t>
      </w:r>
      <w:r w:rsidRPr="0096624D">
        <w:rPr>
          <w:rFonts w:cs="David" w:hint="cs"/>
          <w:sz w:val="24"/>
          <w:szCs w:val="24"/>
          <w:rtl/>
        </w:rPr>
        <w:t xml:space="preserve"> עם </w:t>
      </w:r>
      <w:r w:rsidRPr="0096624D">
        <w:rPr>
          <w:rFonts w:ascii="David" w:hAnsi="David" w:cs="David" w:hint="cs"/>
          <w:sz w:val="24"/>
          <w:szCs w:val="24"/>
          <w:rtl/>
        </w:rPr>
        <w:t>זאת</w:t>
      </w:r>
      <w:r w:rsidRPr="0096624D">
        <w:rPr>
          <w:rFonts w:cs="David" w:hint="cs"/>
          <w:sz w:val="24"/>
          <w:szCs w:val="24"/>
          <w:rtl/>
        </w:rPr>
        <w:t xml:space="preserve"> במקרה הנוכחי, אינני סבורה שיש מקום לחריגה כה משמעותית ממתחם העונש ההולם</w:t>
      </w:r>
      <w:r>
        <w:rPr>
          <w:rFonts w:cs="David" w:hint="cs"/>
          <w:sz w:val="24"/>
          <w:szCs w:val="24"/>
          <w:rtl/>
        </w:rPr>
        <w:t xml:space="preserve"> עד כדי הסתפקות בעבודות שירות.</w:t>
      </w:r>
      <w:r w:rsidRPr="0096624D">
        <w:rPr>
          <w:rFonts w:cs="David" w:hint="cs"/>
          <w:sz w:val="24"/>
          <w:szCs w:val="24"/>
          <w:rtl/>
        </w:rPr>
        <w:t xml:space="preserve"> </w:t>
      </w:r>
      <w:r>
        <w:rPr>
          <w:rFonts w:cs="David" w:hint="cs"/>
          <w:sz w:val="24"/>
          <w:szCs w:val="24"/>
          <w:rtl/>
        </w:rPr>
        <w:t>ה</w:t>
      </w:r>
      <w:r w:rsidRPr="0096624D">
        <w:rPr>
          <w:rFonts w:cs="David" w:hint="cs"/>
          <w:sz w:val="24"/>
          <w:szCs w:val="24"/>
          <w:rtl/>
        </w:rPr>
        <w:t xml:space="preserve">עבירות </w:t>
      </w:r>
      <w:r>
        <w:rPr>
          <w:rFonts w:cs="David" w:hint="cs"/>
          <w:sz w:val="24"/>
          <w:szCs w:val="24"/>
          <w:rtl/>
        </w:rPr>
        <w:t>בהן הורשע הנאשם מבוצעות על פי רוב על ידי נאשמים נורמטיביים</w:t>
      </w:r>
      <w:r w:rsidRPr="0096624D">
        <w:rPr>
          <w:rFonts w:cs="David" w:hint="cs"/>
          <w:sz w:val="24"/>
          <w:szCs w:val="24"/>
          <w:rtl/>
        </w:rPr>
        <w:t xml:space="preserve">. </w:t>
      </w:r>
      <w:r>
        <w:rPr>
          <w:rFonts w:cs="David" w:hint="cs"/>
          <w:sz w:val="24"/>
          <w:szCs w:val="24"/>
          <w:rtl/>
        </w:rPr>
        <w:t xml:space="preserve">ברגע התפיסה חווים אנשים  אלו טלטלה אמיתית, הטעות המרה שעשו מכה על פניהם ובמרבית המקרים מתקבלים תסקירים חיוביים מאד המעידים על התגייסות מלאה לטיפול. ואף על פי כן, </w:t>
      </w:r>
      <w:r w:rsidRPr="0096624D">
        <w:rPr>
          <w:rFonts w:cs="David" w:hint="cs"/>
          <w:sz w:val="24"/>
          <w:szCs w:val="24"/>
          <w:rtl/>
        </w:rPr>
        <w:t>האינטרס הציבורי הרחב יותר, זה הדן במיגור נגע הסמים, זה השומר על הציבור מפני מגדלי הסמים</w:t>
      </w:r>
      <w:r>
        <w:rPr>
          <w:rFonts w:cs="David" w:hint="cs"/>
          <w:sz w:val="24"/>
          <w:szCs w:val="24"/>
          <w:rtl/>
        </w:rPr>
        <w:t>, זה הדואג מפני עתיד שבו יצטרפו מכורים נוספים למעגל הנזקקים</w:t>
      </w:r>
      <w:r w:rsidRPr="0096624D">
        <w:rPr>
          <w:rFonts w:cs="David" w:hint="cs"/>
          <w:sz w:val="24"/>
          <w:szCs w:val="24"/>
          <w:rtl/>
        </w:rPr>
        <w:t xml:space="preserve"> המשתמשים בסמים, אינו יכול לסגת מפני הג</w:t>
      </w:r>
      <w:r>
        <w:rPr>
          <w:rFonts w:cs="David" w:hint="cs"/>
          <w:sz w:val="24"/>
          <w:szCs w:val="24"/>
          <w:rtl/>
        </w:rPr>
        <w:t>י</w:t>
      </w:r>
      <w:r w:rsidRPr="0096624D">
        <w:rPr>
          <w:rFonts w:cs="David" w:hint="cs"/>
          <w:sz w:val="24"/>
          <w:szCs w:val="24"/>
          <w:rtl/>
        </w:rPr>
        <w:t>זרה הצרה המציבה את הנאשם</w:t>
      </w:r>
      <w:r>
        <w:rPr>
          <w:rFonts w:cs="David" w:hint="cs"/>
          <w:sz w:val="24"/>
          <w:szCs w:val="24"/>
          <w:rtl/>
        </w:rPr>
        <w:t xml:space="preserve"> לבדו </w:t>
      </w:r>
      <w:r w:rsidRPr="0096624D">
        <w:rPr>
          <w:rFonts w:cs="David" w:hint="cs"/>
          <w:sz w:val="24"/>
          <w:szCs w:val="24"/>
          <w:rtl/>
        </w:rPr>
        <w:t xml:space="preserve"> במרכז.</w:t>
      </w:r>
      <w:r>
        <w:rPr>
          <w:rFonts w:cs="David" w:hint="cs"/>
          <w:sz w:val="24"/>
          <w:szCs w:val="24"/>
          <w:rtl/>
        </w:rPr>
        <w:t xml:space="preserve"> </w:t>
      </w:r>
      <w:r>
        <w:rPr>
          <w:rFonts w:ascii="David" w:hAnsi="David" w:cs="David" w:hint="cs"/>
          <w:sz w:val="24"/>
          <w:szCs w:val="24"/>
          <w:rtl/>
        </w:rPr>
        <w:t>במקרה שלפני בשים לב לכמות הגדולה ולכוונה להפיק רווח משמעותי בדרך של הפצת הסם לא אוכל להיעתר לבקשת ההגנה ולהימנע כליל ממאסר.</w:t>
      </w:r>
    </w:p>
    <w:p w14:paraId="2C744B6A" w14:textId="77777777" w:rsidR="002668D8" w:rsidRPr="0096624D" w:rsidRDefault="002668D8" w:rsidP="002668D8">
      <w:pPr>
        <w:pStyle w:val="a9"/>
        <w:numPr>
          <w:ilvl w:val="0"/>
          <w:numId w:val="1"/>
        </w:numPr>
        <w:spacing w:line="360" w:lineRule="auto"/>
        <w:ind w:left="368"/>
        <w:jc w:val="both"/>
        <w:rPr>
          <w:rFonts w:cs="David"/>
          <w:sz w:val="24"/>
          <w:szCs w:val="24"/>
        </w:rPr>
      </w:pPr>
      <w:r w:rsidRPr="0096624D">
        <w:rPr>
          <w:rFonts w:cs="David" w:hint="cs"/>
          <w:sz w:val="24"/>
          <w:szCs w:val="24"/>
          <w:rtl/>
        </w:rPr>
        <w:t xml:space="preserve">  ב</w:t>
      </w:r>
      <w:hyperlink r:id="rId33" w:history="1">
        <w:r w:rsidR="009D18C9" w:rsidRPr="009D18C9">
          <w:rPr>
            <w:rFonts w:cs="David" w:hint="cs"/>
            <w:b/>
            <w:bCs/>
            <w:color w:val="0000FF"/>
            <w:sz w:val="24"/>
            <w:szCs w:val="24"/>
            <w:u w:val="single"/>
            <w:rtl/>
          </w:rPr>
          <w:t>רע</w:t>
        </w:r>
        <w:r w:rsidR="009D18C9" w:rsidRPr="009D18C9">
          <w:rPr>
            <w:rFonts w:cs="David"/>
            <w:b/>
            <w:bCs/>
            <w:color w:val="0000FF"/>
            <w:sz w:val="24"/>
            <w:szCs w:val="24"/>
            <w:u w:val="single"/>
            <w:rtl/>
          </w:rPr>
          <w:t>"</w:t>
        </w:r>
        <w:r w:rsidR="009D18C9" w:rsidRPr="009D18C9">
          <w:rPr>
            <w:rFonts w:cs="David" w:hint="cs"/>
            <w:b/>
            <w:bCs/>
            <w:color w:val="0000FF"/>
            <w:sz w:val="24"/>
            <w:szCs w:val="24"/>
            <w:u w:val="single"/>
            <w:rtl/>
          </w:rPr>
          <w:t>פ</w:t>
        </w:r>
        <w:r w:rsidR="009D18C9" w:rsidRPr="009D18C9">
          <w:rPr>
            <w:rFonts w:cs="David"/>
            <w:b/>
            <w:bCs/>
            <w:color w:val="0000FF"/>
            <w:sz w:val="24"/>
            <w:szCs w:val="24"/>
            <w:u w:val="single"/>
            <w:rtl/>
          </w:rPr>
          <w:t xml:space="preserve"> 4512/15</w:t>
        </w:r>
      </w:hyperlink>
      <w:r w:rsidRPr="0096624D">
        <w:rPr>
          <w:rFonts w:cs="David" w:hint="cs"/>
          <w:b/>
          <w:bCs/>
          <w:sz w:val="24"/>
          <w:szCs w:val="24"/>
          <w:u w:val="single"/>
          <w:rtl/>
        </w:rPr>
        <w:t xml:space="preserve"> </w:t>
      </w:r>
      <w:r w:rsidRPr="0096624D">
        <w:rPr>
          <w:rFonts w:cs="David"/>
          <w:b/>
          <w:bCs/>
          <w:sz w:val="24"/>
          <w:szCs w:val="24"/>
          <w:u w:val="single"/>
          <w:rtl/>
        </w:rPr>
        <w:t>אברהם</w:t>
      </w:r>
      <w:r w:rsidRPr="0096624D">
        <w:rPr>
          <w:rFonts w:cs="David"/>
          <w:b/>
          <w:bCs/>
          <w:sz w:val="24"/>
          <w:szCs w:val="24"/>
          <w:u w:val="single"/>
        </w:rPr>
        <w:t xml:space="preserve"> </w:t>
      </w:r>
      <w:r w:rsidRPr="0096624D">
        <w:rPr>
          <w:rFonts w:cs="David"/>
          <w:b/>
          <w:bCs/>
          <w:sz w:val="24"/>
          <w:szCs w:val="24"/>
          <w:u w:val="single"/>
          <w:rtl/>
        </w:rPr>
        <w:t>הרוש</w:t>
      </w:r>
      <w:r w:rsidRPr="0096624D">
        <w:rPr>
          <w:rFonts w:cs="David" w:hint="cs"/>
          <w:b/>
          <w:bCs/>
          <w:sz w:val="24"/>
          <w:szCs w:val="24"/>
          <w:u w:val="single"/>
          <w:rtl/>
        </w:rPr>
        <w:t xml:space="preserve"> נ'</w:t>
      </w:r>
      <w:r w:rsidRPr="0096624D">
        <w:rPr>
          <w:rFonts w:cs="David"/>
          <w:b/>
          <w:bCs/>
          <w:sz w:val="24"/>
          <w:szCs w:val="24"/>
          <w:u w:val="single"/>
          <w:rtl/>
        </w:rPr>
        <w:t xml:space="preserve"> מדינת</w:t>
      </w:r>
      <w:r w:rsidRPr="0096624D">
        <w:rPr>
          <w:rFonts w:cs="David"/>
          <w:b/>
          <w:bCs/>
          <w:sz w:val="24"/>
          <w:szCs w:val="24"/>
          <w:u w:val="single"/>
        </w:rPr>
        <w:t xml:space="preserve"> </w:t>
      </w:r>
      <w:r w:rsidRPr="0096624D">
        <w:rPr>
          <w:rFonts w:cs="David"/>
          <w:b/>
          <w:bCs/>
          <w:sz w:val="24"/>
          <w:szCs w:val="24"/>
          <w:u w:val="single"/>
          <w:rtl/>
        </w:rPr>
        <w:t>ישראל</w:t>
      </w:r>
      <w:r w:rsidRPr="0096624D">
        <w:rPr>
          <w:rFonts w:cs="David" w:hint="cs"/>
          <w:b/>
          <w:bCs/>
          <w:sz w:val="24"/>
          <w:szCs w:val="24"/>
          <w:u w:val="single"/>
          <w:rtl/>
        </w:rPr>
        <w:t xml:space="preserve"> </w:t>
      </w:r>
      <w:r w:rsidRPr="0096624D">
        <w:rPr>
          <w:rFonts w:cs="David" w:hint="cs"/>
          <w:sz w:val="24"/>
          <w:szCs w:val="24"/>
          <w:rtl/>
        </w:rPr>
        <w:t xml:space="preserve">(06.07.15) ענין </w:t>
      </w:r>
      <w:r w:rsidRPr="0096624D">
        <w:rPr>
          <w:rFonts w:cs="David" w:hint="cs"/>
          <w:b/>
          <w:bCs/>
          <w:sz w:val="24"/>
          <w:szCs w:val="24"/>
          <w:rtl/>
        </w:rPr>
        <w:t>הרוש</w:t>
      </w:r>
      <w:r w:rsidRPr="0096624D">
        <w:rPr>
          <w:rFonts w:cs="David" w:hint="cs"/>
          <w:sz w:val="24"/>
          <w:szCs w:val="24"/>
          <w:rtl/>
        </w:rPr>
        <w:t xml:space="preserve"> שהוזכר לעיל, דן בית המשפט העליון בסוגיה זו ממש וקבע:</w:t>
      </w:r>
    </w:p>
    <w:p w14:paraId="047DE15A" w14:textId="77777777" w:rsidR="002668D8" w:rsidRPr="00E50BF8" w:rsidRDefault="002668D8" w:rsidP="002668D8">
      <w:pPr>
        <w:pStyle w:val="ab"/>
        <w:jc w:val="both"/>
        <w:rPr>
          <w:rFonts w:ascii="Miriam" w:hAnsi="Miriam" w:cs="Miriam"/>
          <w:i w:val="0"/>
          <w:iCs w:val="0"/>
          <w:sz w:val="24"/>
          <w:szCs w:val="24"/>
          <w:rtl/>
        </w:rPr>
      </w:pPr>
      <w:r w:rsidRPr="00E50BF8">
        <w:rPr>
          <w:rFonts w:eastAsia="Times New Roman" w:cs="David"/>
          <w:b/>
          <w:bCs/>
          <w:i w:val="0"/>
          <w:iCs w:val="0"/>
          <w:color w:val="auto"/>
          <w:sz w:val="24"/>
          <w:szCs w:val="24"/>
          <w:rtl/>
        </w:rPr>
        <w:t xml:space="preserve">"אמת נכון הדבר, כי האינטרס שעניינו שיקומו של הנאשם, איננו אינטרס אישי של אותו נאשם בלבד, אלא שמדובר באינטרס חברתי כולל, לשקם את מי שסרו מדרכם ולהחזירם לדרך המוטב. יחד עם זאת, יש לזכור כי אינטרס זה מונח לצד יתר שיקולי הענישה העומדים על הפרק בעת שנגזר עונשו של הנאשם" </w:t>
      </w:r>
      <w:r w:rsidRPr="00E50BF8">
        <w:rPr>
          <w:rFonts w:eastAsia="Times New Roman" w:cs="David"/>
          <w:i w:val="0"/>
          <w:iCs w:val="0"/>
          <w:color w:val="auto"/>
          <w:sz w:val="24"/>
          <w:szCs w:val="24"/>
          <w:rtl/>
        </w:rPr>
        <w:t>(פסקה 9 והפסיקה המאוזכרת שם).</w:t>
      </w:r>
    </w:p>
    <w:p w14:paraId="6C3AE3E1" w14:textId="77777777" w:rsidR="002668D8" w:rsidRDefault="002668D8" w:rsidP="002668D8">
      <w:pPr>
        <w:pStyle w:val="a9"/>
        <w:spacing w:line="360" w:lineRule="auto"/>
        <w:jc w:val="both"/>
        <w:rPr>
          <w:rFonts w:cs="David"/>
          <w:sz w:val="24"/>
          <w:szCs w:val="24"/>
          <w:rtl/>
        </w:rPr>
      </w:pPr>
      <w:r>
        <w:rPr>
          <w:rFonts w:cs="David" w:hint="cs"/>
          <w:sz w:val="24"/>
          <w:szCs w:val="24"/>
          <w:rtl/>
        </w:rPr>
        <w:t>בית המשפט הוסיף וקבע:</w:t>
      </w:r>
    </w:p>
    <w:p w14:paraId="2A4512B2" w14:textId="77777777" w:rsidR="002668D8" w:rsidRDefault="002668D8" w:rsidP="002668D8">
      <w:pPr>
        <w:pStyle w:val="ab"/>
        <w:jc w:val="both"/>
        <w:rPr>
          <w:rFonts w:cs="David"/>
          <w:sz w:val="24"/>
          <w:szCs w:val="24"/>
          <w:rtl/>
        </w:rPr>
      </w:pPr>
      <w:r w:rsidRPr="00E50BF8">
        <w:rPr>
          <w:rFonts w:eastAsia="Times New Roman" w:cs="David" w:hint="cs"/>
          <w:b/>
          <w:bCs/>
          <w:i w:val="0"/>
          <w:iCs w:val="0"/>
          <w:color w:val="auto"/>
          <w:sz w:val="24"/>
          <w:szCs w:val="24"/>
          <w:rtl/>
        </w:rPr>
        <w:t>"כאשר בעבירות סמים עסקינן על בית המשפט לנקוט ביד קשה כדי להרתיע עבריינים פוטנציאליים מפני ביצוען [...] הענישה בעבירות מסוג זה נועדה קודם לכל לשרת את מטרת הגמול לעבריין על עיסוק בסם העלול לסכן חיי אדם ולפגוע בבריאות המשתמשים בו, שנית, על העונש להעביר מסר חד משמעי ל הרתעה ביחס לעבריינים פוטנציאליים ...".</w:t>
      </w:r>
    </w:p>
    <w:p w14:paraId="36EAF621" w14:textId="77777777" w:rsidR="002668D8" w:rsidRPr="009B0D95" w:rsidRDefault="002668D8" w:rsidP="002668D8">
      <w:pPr>
        <w:pStyle w:val="a9"/>
        <w:numPr>
          <w:ilvl w:val="0"/>
          <w:numId w:val="1"/>
        </w:numPr>
        <w:spacing w:line="360" w:lineRule="auto"/>
        <w:ind w:left="368"/>
        <w:jc w:val="both"/>
        <w:rPr>
          <w:rFonts w:ascii="David" w:hAnsi="David" w:cs="David"/>
          <w:sz w:val="24"/>
          <w:szCs w:val="24"/>
        </w:rPr>
      </w:pPr>
      <w:r>
        <w:rPr>
          <w:rFonts w:cs="David" w:hint="cs"/>
          <w:sz w:val="24"/>
          <w:szCs w:val="24"/>
          <w:rtl/>
        </w:rPr>
        <w:t xml:space="preserve">שקלתי העובדה שהנאשם נשלח לקבלת חוות דעת הממונה על עבודות שירות בתאריך 6.11.19 לאחר שהתקבל התסקיר הראשון. עם זאת באותה החלטה ציין בית המשפט כי אין בהפניה זו לעורר ציפייה והדבר נעשה בהתאם להמלצת שירות המבחן. מדיניות הענישה אליה הפניתי  אשר חוזקה בפסיקה מן העת האחרונה אינה מאפשרת הסתפקות בעבודות שירות. השינוי שחל בנאשם מוערך ואני נותנת אמון בנאשם שישכיל להמשיך בנתיב זה למען עצמו, למען עתידו ובוודאי עבור ילדיו. </w:t>
      </w:r>
    </w:p>
    <w:p w14:paraId="6EF1240E" w14:textId="77777777" w:rsidR="002668D8" w:rsidRPr="009D1902" w:rsidRDefault="002668D8" w:rsidP="002668D8">
      <w:pPr>
        <w:pStyle w:val="a9"/>
        <w:numPr>
          <w:ilvl w:val="0"/>
          <w:numId w:val="1"/>
        </w:numPr>
        <w:spacing w:line="360" w:lineRule="auto"/>
        <w:ind w:left="368"/>
        <w:jc w:val="both"/>
        <w:rPr>
          <w:rFonts w:ascii="David" w:hAnsi="David" w:cs="David"/>
          <w:sz w:val="24"/>
          <w:szCs w:val="24"/>
          <w:rtl/>
        </w:rPr>
      </w:pPr>
      <w:r>
        <w:rPr>
          <w:rFonts w:cs="David" w:hint="cs"/>
          <w:sz w:val="24"/>
          <w:szCs w:val="24"/>
          <w:rtl/>
        </w:rPr>
        <w:t xml:space="preserve">שקלתי העדר הרשעות קודמות, קבלת אחריות מלאה ובהזדמנות הראשונה, והדרך הטיפולית ומצאתי כי ניתן לחרוג במידה מסוימת מן המתחם. </w:t>
      </w:r>
    </w:p>
    <w:p w14:paraId="340125A6" w14:textId="77777777" w:rsidR="002668D8" w:rsidRDefault="002668D8" w:rsidP="002668D8">
      <w:pPr>
        <w:spacing w:line="360" w:lineRule="auto"/>
        <w:jc w:val="both"/>
        <w:rPr>
          <w:rtl/>
        </w:rPr>
      </w:pPr>
    </w:p>
    <w:p w14:paraId="2B0E0ED3" w14:textId="77777777" w:rsidR="002668D8" w:rsidRPr="007B166A" w:rsidRDefault="002668D8" w:rsidP="002668D8">
      <w:pPr>
        <w:spacing w:line="360" w:lineRule="auto"/>
        <w:jc w:val="both"/>
        <w:rPr>
          <w:b/>
          <w:bCs/>
          <w:u w:val="single"/>
          <w:rtl/>
        </w:rPr>
      </w:pPr>
      <w:r w:rsidRPr="007B166A">
        <w:rPr>
          <w:rFonts w:hint="cs"/>
          <w:b/>
          <w:bCs/>
          <w:u w:val="single"/>
          <w:rtl/>
        </w:rPr>
        <w:t xml:space="preserve">סוף דבר </w:t>
      </w:r>
      <w:r w:rsidRPr="007B166A">
        <w:rPr>
          <w:b/>
          <w:bCs/>
          <w:u w:val="single"/>
          <w:rtl/>
        </w:rPr>
        <w:t>–</w:t>
      </w:r>
      <w:r w:rsidRPr="007B166A">
        <w:rPr>
          <w:rFonts w:hint="cs"/>
          <w:b/>
          <w:bCs/>
          <w:u w:val="single"/>
          <w:rtl/>
        </w:rPr>
        <w:t xml:space="preserve"> אני גוזרת על הנאשם את העונשים הבאים:</w:t>
      </w:r>
    </w:p>
    <w:p w14:paraId="555B6CFF" w14:textId="77777777" w:rsidR="002668D8" w:rsidRPr="00727900" w:rsidRDefault="002668D8" w:rsidP="002668D8">
      <w:pPr>
        <w:pStyle w:val="a9"/>
        <w:numPr>
          <w:ilvl w:val="1"/>
          <w:numId w:val="2"/>
        </w:numPr>
        <w:spacing w:line="360" w:lineRule="auto"/>
        <w:ind w:left="1076"/>
        <w:jc w:val="both"/>
        <w:rPr>
          <w:rFonts w:ascii="Times New Roman" w:eastAsia="Times New Roman" w:hAnsi="Times New Roman" w:cs="David"/>
          <w:sz w:val="24"/>
          <w:szCs w:val="24"/>
        </w:rPr>
      </w:pPr>
      <w:r>
        <w:rPr>
          <w:rFonts w:cs="David" w:hint="cs"/>
          <w:b/>
          <w:bCs/>
          <w:sz w:val="24"/>
          <w:szCs w:val="24"/>
          <w:rtl/>
        </w:rPr>
        <w:t xml:space="preserve">15 </w:t>
      </w:r>
      <w:r w:rsidRPr="00D61DF6">
        <w:rPr>
          <w:rFonts w:cs="David" w:hint="cs"/>
          <w:b/>
          <w:bCs/>
          <w:sz w:val="24"/>
          <w:szCs w:val="24"/>
          <w:rtl/>
        </w:rPr>
        <w:t xml:space="preserve">חודשי מאסר בפועל </w:t>
      </w:r>
      <w:r>
        <w:rPr>
          <w:rFonts w:cs="David" w:hint="cs"/>
          <w:b/>
          <w:bCs/>
          <w:sz w:val="24"/>
          <w:szCs w:val="24"/>
          <w:rtl/>
        </w:rPr>
        <w:t xml:space="preserve"> בניכוי ימי מעצרו מיום 31.12.18 ועד 23.01.19. </w:t>
      </w:r>
    </w:p>
    <w:p w14:paraId="2F716341" w14:textId="77777777" w:rsidR="002668D8" w:rsidRPr="00237DC5" w:rsidRDefault="002668D8" w:rsidP="002668D8">
      <w:pPr>
        <w:pStyle w:val="a9"/>
        <w:spacing w:line="360" w:lineRule="auto"/>
        <w:ind w:left="1076"/>
        <w:jc w:val="both"/>
        <w:rPr>
          <w:rFonts w:ascii="Times New Roman" w:eastAsia="Times New Roman" w:hAnsi="Times New Roman" w:cs="David"/>
          <w:sz w:val="24"/>
          <w:szCs w:val="24"/>
          <w:rtl/>
        </w:rPr>
      </w:pPr>
      <w:r w:rsidRPr="00237DC5">
        <w:rPr>
          <w:rFonts w:ascii="Times New Roman" w:eastAsia="Times New Roman" w:hAnsi="Times New Roman" w:cs="David"/>
          <w:sz w:val="24"/>
          <w:szCs w:val="24"/>
          <w:rtl/>
        </w:rPr>
        <w:t>הנאשם יתייצב למאסר</w:t>
      </w:r>
      <w:r>
        <w:rPr>
          <w:rFonts w:ascii="Times New Roman" w:eastAsia="Times New Roman" w:hAnsi="Times New Roman" w:cs="David" w:hint="cs"/>
          <w:sz w:val="24"/>
          <w:szCs w:val="24"/>
          <w:rtl/>
        </w:rPr>
        <w:t>ו</w:t>
      </w:r>
      <w:r w:rsidRPr="00237DC5">
        <w:rPr>
          <w:rFonts w:ascii="Times New Roman" w:eastAsia="Times New Roman" w:hAnsi="Times New Roman" w:cs="David"/>
          <w:sz w:val="24"/>
          <w:szCs w:val="24"/>
          <w:rtl/>
        </w:rPr>
        <w:t xml:space="preserve"> בבימ"ר ניצן ביום</w:t>
      </w:r>
      <w:r>
        <w:rPr>
          <w:rFonts w:ascii="Times New Roman" w:eastAsia="Times New Roman" w:hAnsi="Times New Roman" w:cs="David" w:hint="cs"/>
          <w:sz w:val="24"/>
          <w:szCs w:val="24"/>
          <w:rtl/>
        </w:rPr>
        <w:t xml:space="preserve"> </w:t>
      </w:r>
      <w:r>
        <w:rPr>
          <w:rFonts w:ascii="Times New Roman" w:eastAsia="Times New Roman" w:hAnsi="Times New Roman" w:cs="David"/>
          <w:sz w:val="24"/>
          <w:szCs w:val="24"/>
        </w:rPr>
        <w:t>16/8/20</w:t>
      </w:r>
      <w:r>
        <w:rPr>
          <w:rFonts w:ascii="Times New Roman" w:eastAsia="Times New Roman" w:hAnsi="Times New Roman" w:cs="David" w:hint="cs"/>
          <w:sz w:val="24"/>
          <w:szCs w:val="24"/>
          <w:rtl/>
        </w:rPr>
        <w:t xml:space="preserve"> ע</w:t>
      </w:r>
      <w:r w:rsidRPr="00237DC5">
        <w:rPr>
          <w:rFonts w:ascii="Times New Roman" w:eastAsia="Times New Roman" w:hAnsi="Times New Roman" w:cs="David"/>
          <w:sz w:val="24"/>
          <w:szCs w:val="24"/>
          <w:rtl/>
        </w:rPr>
        <w:t>ד השעה 10:00, או לפי החלטת שב"ס, כשברשות</w:t>
      </w:r>
      <w:r>
        <w:rPr>
          <w:rFonts w:ascii="Times New Roman" w:eastAsia="Times New Roman" w:hAnsi="Times New Roman" w:cs="David" w:hint="cs"/>
          <w:sz w:val="24"/>
          <w:szCs w:val="24"/>
          <w:rtl/>
        </w:rPr>
        <w:t xml:space="preserve">ו </w:t>
      </w:r>
      <w:r w:rsidRPr="00237DC5">
        <w:rPr>
          <w:rFonts w:ascii="Times New Roman" w:eastAsia="Times New Roman" w:hAnsi="Times New Roman" w:cs="David"/>
          <w:sz w:val="24"/>
          <w:szCs w:val="24"/>
          <w:rtl/>
        </w:rPr>
        <w:t>תעודת זהות או דרכון. על ה</w:t>
      </w:r>
      <w:r>
        <w:rPr>
          <w:rFonts w:ascii="Times New Roman" w:eastAsia="Times New Roman" w:hAnsi="Times New Roman" w:cs="David" w:hint="cs"/>
          <w:sz w:val="24"/>
          <w:szCs w:val="24"/>
          <w:rtl/>
        </w:rPr>
        <w:t xml:space="preserve">נאשם </w:t>
      </w:r>
      <w:r w:rsidRPr="00237DC5">
        <w:rPr>
          <w:rFonts w:ascii="Times New Roman" w:eastAsia="Times New Roman" w:hAnsi="Times New Roman" w:cs="David"/>
          <w:sz w:val="24"/>
          <w:szCs w:val="24"/>
          <w:rtl/>
        </w:rPr>
        <w:t>לתאם את הכניסה למאסר כולל האפשרות למיון מוקדם עם ענף אבחון ומיון של שב"ס בטלפונים: 08-9787377, 08-9787336.</w:t>
      </w:r>
      <w:r>
        <w:rPr>
          <w:rFonts w:ascii="Times New Roman" w:eastAsia="Times New Roman" w:hAnsi="Times New Roman" w:cs="David" w:hint="cs"/>
          <w:sz w:val="24"/>
          <w:szCs w:val="24"/>
          <w:rtl/>
        </w:rPr>
        <w:t xml:space="preserve"> במסגרת התיאום ייבדק גם מצבו הנפשי.</w:t>
      </w:r>
    </w:p>
    <w:p w14:paraId="2BF98EAE" w14:textId="77777777" w:rsidR="002668D8" w:rsidRDefault="002668D8" w:rsidP="002668D8">
      <w:pPr>
        <w:spacing w:line="360" w:lineRule="auto"/>
        <w:ind w:left="1011"/>
        <w:jc w:val="both"/>
        <w:rPr>
          <w:b/>
          <w:bCs/>
          <w:u w:val="single"/>
          <w:rtl/>
        </w:rPr>
      </w:pPr>
      <w:r w:rsidRPr="00012CF7">
        <w:rPr>
          <w:rFonts w:hint="cs"/>
          <w:b/>
          <w:bCs/>
          <w:u w:val="single"/>
          <w:rtl/>
        </w:rPr>
        <w:t>ניתן צו עיכוב יציאה מהארץ. על הנאשם להפקיד דרכו</w:t>
      </w:r>
      <w:r>
        <w:rPr>
          <w:rFonts w:hint="cs"/>
          <w:b/>
          <w:bCs/>
          <w:u w:val="single"/>
          <w:rtl/>
        </w:rPr>
        <w:t>נו</w:t>
      </w:r>
      <w:r w:rsidRPr="00012CF7">
        <w:rPr>
          <w:rFonts w:hint="cs"/>
          <w:b/>
          <w:bCs/>
          <w:u w:val="single"/>
          <w:rtl/>
        </w:rPr>
        <w:t xml:space="preserve"> באופן מידי במזכירות בית המשפט.</w:t>
      </w:r>
      <w:r>
        <w:rPr>
          <w:rFonts w:hint="cs"/>
          <w:b/>
          <w:bCs/>
          <w:u w:val="single"/>
          <w:rtl/>
        </w:rPr>
        <w:t xml:space="preserve"> </w:t>
      </w:r>
    </w:p>
    <w:p w14:paraId="1FE3696D" w14:textId="77777777" w:rsidR="002668D8" w:rsidRDefault="002668D8" w:rsidP="002668D8">
      <w:pPr>
        <w:spacing w:line="360" w:lineRule="auto"/>
        <w:ind w:left="1011"/>
        <w:jc w:val="both"/>
        <w:rPr>
          <w:b/>
          <w:bCs/>
          <w:u w:val="single"/>
          <w:rtl/>
        </w:rPr>
      </w:pPr>
      <w:r>
        <w:rPr>
          <w:rFonts w:hint="cs"/>
          <w:b/>
          <w:bCs/>
          <w:u w:val="single"/>
          <w:rtl/>
        </w:rPr>
        <w:t xml:space="preserve">הערבויות שנקבעו בתיק המעצר, יחולו עד להתייצבות הנאשם למאסר. </w:t>
      </w:r>
    </w:p>
    <w:p w14:paraId="7250479F" w14:textId="77777777" w:rsidR="002668D8" w:rsidRDefault="002668D8" w:rsidP="002668D8">
      <w:pPr>
        <w:pStyle w:val="a9"/>
        <w:numPr>
          <w:ilvl w:val="1"/>
          <w:numId w:val="2"/>
        </w:numPr>
        <w:spacing w:line="360" w:lineRule="auto"/>
        <w:ind w:left="1076"/>
        <w:jc w:val="both"/>
        <w:rPr>
          <w:rFonts w:cs="David"/>
          <w:sz w:val="24"/>
          <w:szCs w:val="24"/>
        </w:rPr>
      </w:pPr>
      <w:r w:rsidRPr="007D151E">
        <w:rPr>
          <w:rFonts w:cs="David" w:hint="cs"/>
          <w:b/>
          <w:bCs/>
          <w:sz w:val="24"/>
          <w:szCs w:val="24"/>
          <w:rtl/>
        </w:rPr>
        <w:t>10 חודשי מאסר על תנאי</w:t>
      </w:r>
      <w:r w:rsidRPr="00034871">
        <w:rPr>
          <w:rFonts w:cs="David" w:hint="cs"/>
          <w:sz w:val="24"/>
          <w:szCs w:val="24"/>
          <w:rtl/>
        </w:rPr>
        <w:t xml:space="preserve"> והתנאי הוא שבמשך שלוש שנים מיום </w:t>
      </w:r>
      <w:r>
        <w:rPr>
          <w:rFonts w:cs="David" w:hint="cs"/>
          <w:sz w:val="24"/>
          <w:szCs w:val="24"/>
          <w:rtl/>
        </w:rPr>
        <w:t xml:space="preserve">שחרורו לא יעבור עבירה מסוג פשע לפי </w:t>
      </w:r>
      <w:hyperlink r:id="rId34" w:history="1">
        <w:r w:rsidR="009D18C9" w:rsidRPr="009D18C9">
          <w:rPr>
            <w:rFonts w:cs="David" w:hint="cs"/>
            <w:color w:val="0000FF"/>
            <w:sz w:val="24"/>
            <w:szCs w:val="24"/>
            <w:u w:val="single"/>
            <w:rtl/>
          </w:rPr>
          <w:t>פקודת</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הסמים</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המסוכנים</w:t>
        </w:r>
      </w:hyperlink>
      <w:r>
        <w:rPr>
          <w:rFonts w:cs="David" w:hint="cs"/>
          <w:sz w:val="24"/>
          <w:szCs w:val="24"/>
          <w:rtl/>
        </w:rPr>
        <w:t xml:space="preserve"> [נוסח חדש] תשל"ג-1973. </w:t>
      </w:r>
    </w:p>
    <w:p w14:paraId="0CD8947A" w14:textId="77777777" w:rsidR="002668D8" w:rsidRPr="00034871" w:rsidRDefault="002668D8" w:rsidP="002668D8">
      <w:pPr>
        <w:pStyle w:val="a9"/>
        <w:numPr>
          <w:ilvl w:val="1"/>
          <w:numId w:val="2"/>
        </w:numPr>
        <w:spacing w:line="360" w:lineRule="auto"/>
        <w:ind w:left="1076"/>
        <w:jc w:val="both"/>
        <w:rPr>
          <w:rFonts w:cs="David"/>
          <w:sz w:val="24"/>
          <w:szCs w:val="24"/>
        </w:rPr>
      </w:pPr>
      <w:r w:rsidRPr="007D151E">
        <w:rPr>
          <w:rFonts w:cs="David" w:hint="cs"/>
          <w:b/>
          <w:bCs/>
          <w:sz w:val="24"/>
          <w:szCs w:val="24"/>
          <w:rtl/>
        </w:rPr>
        <w:t>6 חודשי מאסר על תנאי</w:t>
      </w:r>
      <w:r>
        <w:rPr>
          <w:rFonts w:cs="David" w:hint="cs"/>
          <w:sz w:val="24"/>
          <w:szCs w:val="24"/>
          <w:rtl/>
        </w:rPr>
        <w:t xml:space="preserve"> והתנאי </w:t>
      </w:r>
      <w:r w:rsidRPr="00034871">
        <w:rPr>
          <w:rFonts w:cs="David" w:hint="cs"/>
          <w:sz w:val="24"/>
          <w:szCs w:val="24"/>
          <w:rtl/>
        </w:rPr>
        <w:t xml:space="preserve">שבמשך </w:t>
      </w:r>
      <w:r>
        <w:rPr>
          <w:rFonts w:cs="David" w:hint="cs"/>
          <w:sz w:val="24"/>
          <w:szCs w:val="24"/>
          <w:rtl/>
        </w:rPr>
        <w:t>שלוש שנים מיום שחרורו לא יעבור עבירת</w:t>
      </w:r>
      <w:r w:rsidRPr="00034871">
        <w:rPr>
          <w:rFonts w:cs="David" w:hint="cs"/>
          <w:sz w:val="24"/>
          <w:szCs w:val="24"/>
          <w:rtl/>
        </w:rPr>
        <w:t xml:space="preserve"> עוון</w:t>
      </w:r>
      <w:r>
        <w:rPr>
          <w:rFonts w:cs="David" w:hint="cs"/>
          <w:sz w:val="24"/>
          <w:szCs w:val="24"/>
          <w:rtl/>
        </w:rPr>
        <w:t xml:space="preserve"> לפי </w:t>
      </w:r>
      <w:hyperlink r:id="rId35" w:history="1">
        <w:r w:rsidR="009D18C9" w:rsidRPr="009D18C9">
          <w:rPr>
            <w:rFonts w:cs="David" w:hint="cs"/>
            <w:color w:val="0000FF"/>
            <w:sz w:val="24"/>
            <w:szCs w:val="24"/>
            <w:u w:val="single"/>
            <w:rtl/>
          </w:rPr>
          <w:t>פקודת</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הסמים</w:t>
        </w:r>
        <w:r w:rsidR="009D18C9" w:rsidRPr="009D18C9">
          <w:rPr>
            <w:rFonts w:cs="David"/>
            <w:color w:val="0000FF"/>
            <w:sz w:val="24"/>
            <w:szCs w:val="24"/>
            <w:u w:val="single"/>
            <w:rtl/>
          </w:rPr>
          <w:t xml:space="preserve"> </w:t>
        </w:r>
        <w:r w:rsidR="009D18C9" w:rsidRPr="009D18C9">
          <w:rPr>
            <w:rFonts w:cs="David" w:hint="cs"/>
            <w:color w:val="0000FF"/>
            <w:sz w:val="24"/>
            <w:szCs w:val="24"/>
            <w:u w:val="single"/>
            <w:rtl/>
          </w:rPr>
          <w:t>המסוכנים</w:t>
        </w:r>
      </w:hyperlink>
      <w:r>
        <w:rPr>
          <w:rFonts w:cs="David" w:hint="cs"/>
          <w:sz w:val="24"/>
          <w:szCs w:val="24"/>
          <w:rtl/>
        </w:rPr>
        <w:t xml:space="preserve"> הנ"ל</w:t>
      </w:r>
      <w:r w:rsidRPr="00034871">
        <w:rPr>
          <w:rFonts w:cs="David" w:hint="cs"/>
          <w:sz w:val="24"/>
          <w:szCs w:val="24"/>
          <w:rtl/>
        </w:rPr>
        <w:t xml:space="preserve">. </w:t>
      </w:r>
    </w:p>
    <w:p w14:paraId="6BC4CD95" w14:textId="77777777" w:rsidR="002668D8" w:rsidRPr="00034871" w:rsidRDefault="002668D8" w:rsidP="002668D8">
      <w:pPr>
        <w:pStyle w:val="a9"/>
        <w:numPr>
          <w:ilvl w:val="1"/>
          <w:numId w:val="2"/>
        </w:numPr>
        <w:spacing w:line="360" w:lineRule="auto"/>
        <w:ind w:left="1076"/>
        <w:jc w:val="both"/>
        <w:rPr>
          <w:rFonts w:cs="David"/>
          <w:sz w:val="24"/>
          <w:szCs w:val="24"/>
        </w:rPr>
      </w:pPr>
      <w:r w:rsidRPr="007D151E">
        <w:rPr>
          <w:rFonts w:cs="David" w:hint="cs"/>
          <w:b/>
          <w:bCs/>
          <w:sz w:val="24"/>
          <w:szCs w:val="24"/>
          <w:rtl/>
        </w:rPr>
        <w:t>קנס בסך 5,000 ₪</w:t>
      </w:r>
      <w:r w:rsidRPr="00034871">
        <w:rPr>
          <w:rFonts w:cs="David" w:hint="cs"/>
          <w:sz w:val="24"/>
          <w:szCs w:val="24"/>
          <w:rtl/>
        </w:rPr>
        <w:t xml:space="preserve"> </w:t>
      </w:r>
      <w:r>
        <w:rPr>
          <w:rFonts w:cs="David" w:hint="cs"/>
          <w:sz w:val="24"/>
          <w:szCs w:val="24"/>
          <w:rtl/>
        </w:rPr>
        <w:t xml:space="preserve">או 21 ימי מאסר תמורתם. הקנס </w:t>
      </w:r>
      <w:r w:rsidRPr="00034871">
        <w:rPr>
          <w:rFonts w:cs="David" w:hint="cs"/>
          <w:sz w:val="24"/>
          <w:szCs w:val="24"/>
          <w:rtl/>
        </w:rPr>
        <w:t>ישולם</w:t>
      </w:r>
      <w:r>
        <w:rPr>
          <w:rFonts w:cs="David" w:hint="cs"/>
          <w:sz w:val="24"/>
          <w:szCs w:val="24"/>
          <w:rtl/>
        </w:rPr>
        <w:t xml:space="preserve"> ב- 5 תשלומים חודשיים שווים ורצופים שהראשון בהם ביום 1.8.20 והבאים בכל 1 לחודש שלאחר מכן. לא ישולם תשלום במועדו תעמוד יתרת הקנס לפירעון מידי.  לבקשת הנאשם, סכום פיקדון ישמש לתשלום הקנס, וזאת לאחר התייצבות למאסר. </w:t>
      </w:r>
    </w:p>
    <w:p w14:paraId="780FAEFB" w14:textId="77777777" w:rsidR="002668D8" w:rsidRPr="00332684" w:rsidRDefault="002668D8" w:rsidP="002668D8">
      <w:pPr>
        <w:spacing w:before="120" w:after="120" w:line="360" w:lineRule="auto"/>
        <w:jc w:val="both"/>
        <w:rPr>
          <w:b/>
          <w:bCs/>
        </w:rPr>
      </w:pPr>
      <w:r w:rsidRPr="00332684">
        <w:rPr>
          <w:rFonts w:hint="cs"/>
          <w:b/>
          <w:bCs/>
          <w:rtl/>
        </w:rPr>
        <w:t>המזכירות תעביר העתק גזר הדין לשירות המבחן.</w:t>
      </w:r>
    </w:p>
    <w:p w14:paraId="0CB8DC15" w14:textId="77777777" w:rsidR="002668D8" w:rsidRDefault="002668D8" w:rsidP="002668D8">
      <w:pPr>
        <w:spacing w:line="360" w:lineRule="auto"/>
        <w:jc w:val="both"/>
        <w:rPr>
          <w:b/>
          <w:bCs/>
          <w:rtl/>
        </w:rPr>
      </w:pPr>
      <w:r>
        <w:rPr>
          <w:rFonts w:hint="cs"/>
          <w:b/>
          <w:bCs/>
          <w:rtl/>
        </w:rPr>
        <w:t>הסמים יושמדו.</w:t>
      </w:r>
    </w:p>
    <w:p w14:paraId="2ADFBFB6" w14:textId="77777777" w:rsidR="002668D8" w:rsidRDefault="002668D8" w:rsidP="002668D8">
      <w:pPr>
        <w:spacing w:line="360" w:lineRule="auto"/>
        <w:jc w:val="both"/>
        <w:rPr>
          <w:b/>
          <w:bCs/>
          <w:rtl/>
        </w:rPr>
      </w:pPr>
    </w:p>
    <w:p w14:paraId="64CA77CA" w14:textId="77777777" w:rsidR="002668D8" w:rsidRDefault="002668D8" w:rsidP="002668D8">
      <w:pPr>
        <w:spacing w:line="360" w:lineRule="auto"/>
        <w:jc w:val="both"/>
        <w:rPr>
          <w:b/>
          <w:bCs/>
          <w:rtl/>
        </w:rPr>
      </w:pPr>
      <w:r>
        <w:rPr>
          <w:rFonts w:hint="cs"/>
          <w:b/>
          <w:bCs/>
          <w:rtl/>
        </w:rPr>
        <w:t>ניתן צו כללי למוצגים לפי שיקול דעת קצין משטרה.</w:t>
      </w:r>
    </w:p>
    <w:p w14:paraId="466275F2" w14:textId="77777777" w:rsidR="002668D8" w:rsidRPr="002F0EAC" w:rsidRDefault="002668D8" w:rsidP="002668D8">
      <w:pPr>
        <w:spacing w:before="120" w:after="120" w:line="360" w:lineRule="auto"/>
        <w:jc w:val="both"/>
        <w:rPr>
          <w:b/>
          <w:bCs/>
        </w:rPr>
      </w:pPr>
      <w:r w:rsidRPr="002F0EAC">
        <w:rPr>
          <w:b/>
          <w:bCs/>
          <w:rtl/>
        </w:rPr>
        <w:t>ככל שהופקד פיקדון בתיק על ידי הנאשם, ובהיעדר מניעה על פי דין, יש להחזירו לידיו או לידי</w:t>
      </w:r>
      <w:r w:rsidRPr="002F0EAC">
        <w:rPr>
          <w:rFonts w:hint="cs"/>
          <w:b/>
          <w:bCs/>
          <w:rtl/>
        </w:rPr>
        <w:t xml:space="preserve"> </w:t>
      </w:r>
      <w:r w:rsidRPr="002F0EAC">
        <w:rPr>
          <w:b/>
          <w:bCs/>
          <w:rtl/>
        </w:rPr>
        <w:t xml:space="preserve">גורם אחר לפי בקשת הנאשם. </w:t>
      </w:r>
    </w:p>
    <w:p w14:paraId="4A539E87" w14:textId="77777777" w:rsidR="002668D8" w:rsidRPr="005C2240" w:rsidRDefault="002668D8" w:rsidP="002668D8">
      <w:pPr>
        <w:spacing w:before="120" w:after="120" w:line="360" w:lineRule="auto"/>
        <w:jc w:val="both"/>
        <w:rPr>
          <w:u w:val="single"/>
        </w:rPr>
      </w:pPr>
      <w:r w:rsidRPr="005C2240">
        <w:rPr>
          <w:rFonts w:hint="cs"/>
          <w:b/>
          <w:bCs/>
          <w:u w:val="single"/>
          <w:rtl/>
        </w:rPr>
        <w:t>זכות ערעור לבית המשפט המחוזי בתוך 45 יום.</w:t>
      </w:r>
    </w:p>
    <w:p w14:paraId="04F5842D" w14:textId="77777777" w:rsidR="002668D8" w:rsidRPr="00B05847" w:rsidRDefault="002668D8" w:rsidP="002668D8">
      <w:pPr>
        <w:rPr>
          <w:rtl/>
        </w:rPr>
      </w:pPr>
    </w:p>
    <w:p w14:paraId="59DC71BC" w14:textId="77777777" w:rsidR="002668D8" w:rsidRDefault="009D18C9" w:rsidP="002668D8">
      <w:pPr>
        <w:rPr>
          <w:rtl/>
        </w:rPr>
      </w:pPr>
      <w:bookmarkStart w:id="8" w:name="Nitan"/>
      <w:r>
        <w:rPr>
          <w:rFonts w:ascii="Arial" w:hAnsi="Arial"/>
          <w:b/>
          <w:bCs/>
          <w:rtl/>
        </w:rPr>
        <w:t xml:space="preserve">ניתן היום,  ז' תמוז תש"פ, 29 יוני 2020, במעמד הצדדים. </w:t>
      </w:r>
      <w:bookmarkEnd w:id="8"/>
    </w:p>
    <w:p w14:paraId="79042CC2" w14:textId="77777777" w:rsidR="002668D8" w:rsidRPr="009D18C9" w:rsidRDefault="009D18C9" w:rsidP="002668D8">
      <w:pPr>
        <w:rPr>
          <w:color w:val="FFFFFF"/>
          <w:sz w:val="2"/>
          <w:szCs w:val="2"/>
          <w:rtl/>
        </w:rPr>
      </w:pPr>
      <w:r w:rsidRPr="009D18C9">
        <w:rPr>
          <w:color w:val="FFFFFF"/>
          <w:sz w:val="2"/>
          <w:szCs w:val="2"/>
          <w:rtl/>
        </w:rPr>
        <w:t>5129371</w:t>
      </w:r>
    </w:p>
    <w:p w14:paraId="30360B29" w14:textId="77777777" w:rsidR="002668D8" w:rsidRPr="009D18C9" w:rsidRDefault="009D18C9" w:rsidP="002668D8">
      <w:pPr>
        <w:rPr>
          <w:color w:val="FFFFFF"/>
          <w:sz w:val="2"/>
          <w:szCs w:val="2"/>
          <w:rtl/>
        </w:rPr>
      </w:pPr>
      <w:r w:rsidRPr="009D18C9">
        <w:rPr>
          <w:color w:val="FFFFFF"/>
          <w:sz w:val="2"/>
          <w:szCs w:val="2"/>
          <w:rtl/>
        </w:rPr>
        <w:t>54678313</w:t>
      </w:r>
    </w:p>
    <w:p w14:paraId="2456E0F7" w14:textId="77777777" w:rsidR="002668D8" w:rsidRPr="00250B83" w:rsidRDefault="002668D8" w:rsidP="009D18C9">
      <w:pPr>
        <w:jc w:val="center"/>
      </w:pPr>
      <w:r w:rsidRPr="00250B83">
        <w:rPr>
          <w:rFonts w:hint="cs"/>
          <w:rtl/>
        </w:rPr>
        <w:t xml:space="preserve">   </w:t>
      </w:r>
      <w:r w:rsidRPr="00250B83">
        <w:rPr>
          <w:rFonts w:hint="cs"/>
          <w:rtl/>
        </w:rPr>
        <w:tab/>
      </w:r>
      <w:r w:rsidRPr="00250B83">
        <w:rPr>
          <w:rFonts w:hint="cs"/>
          <w:rtl/>
        </w:rPr>
        <w:tab/>
      </w:r>
      <w:r w:rsidRPr="00250B83">
        <w:rPr>
          <w:rFonts w:hint="cs"/>
          <w:rtl/>
        </w:rPr>
        <w:tab/>
      </w:r>
      <w:r w:rsidRPr="00250B83">
        <w:rPr>
          <w:rFonts w:hint="cs"/>
          <w:rtl/>
        </w:rPr>
        <w:tab/>
      </w:r>
      <w:r w:rsidRPr="00250B83">
        <w:rPr>
          <w:rFonts w:hint="cs"/>
          <w:rtl/>
        </w:rPr>
        <w:tab/>
      </w:r>
    </w:p>
    <w:p w14:paraId="340118A2" w14:textId="77777777" w:rsidR="002668D8" w:rsidRPr="00250B83" w:rsidRDefault="002668D8" w:rsidP="002668D8">
      <w:pPr>
        <w:jc w:val="center"/>
        <w:rPr>
          <w:rFonts w:ascii="Arial" w:hAnsi="Arial"/>
          <w:rtl/>
        </w:rPr>
      </w:pPr>
    </w:p>
    <w:p w14:paraId="291ABB78" w14:textId="77777777" w:rsidR="002668D8" w:rsidRPr="00250B83" w:rsidRDefault="002668D8" w:rsidP="002668D8">
      <w:pPr>
        <w:rPr>
          <w:rtl/>
        </w:rPr>
      </w:pPr>
    </w:p>
    <w:p w14:paraId="0196C26A" w14:textId="77777777" w:rsidR="002668D8" w:rsidRDefault="002668D8" w:rsidP="002668D8">
      <w:pPr>
        <w:pStyle w:val="a3"/>
        <w:jc w:val="center"/>
        <w:rPr>
          <w:rtl/>
        </w:rPr>
      </w:pPr>
    </w:p>
    <w:p w14:paraId="0FAD0B7E" w14:textId="77777777" w:rsidR="008814A7" w:rsidRPr="009D18C9" w:rsidRDefault="008814A7" w:rsidP="009D18C9">
      <w:pPr>
        <w:keepNext/>
        <w:rPr>
          <w:rFonts w:ascii="David" w:hAnsi="David"/>
          <w:color w:val="000000"/>
          <w:sz w:val="22"/>
          <w:szCs w:val="22"/>
          <w:rtl/>
        </w:rPr>
      </w:pPr>
    </w:p>
    <w:p w14:paraId="7C9E8FFA" w14:textId="77777777" w:rsidR="009D18C9" w:rsidRPr="009D18C9" w:rsidRDefault="009D18C9" w:rsidP="009D18C9">
      <w:pPr>
        <w:keepNext/>
        <w:rPr>
          <w:rFonts w:ascii="David" w:hAnsi="David"/>
          <w:color w:val="000000"/>
          <w:sz w:val="22"/>
          <w:szCs w:val="22"/>
          <w:rtl/>
        </w:rPr>
      </w:pPr>
      <w:r w:rsidRPr="009D18C9">
        <w:rPr>
          <w:rFonts w:ascii="David" w:hAnsi="David"/>
          <w:color w:val="000000"/>
          <w:sz w:val="22"/>
          <w:szCs w:val="22"/>
          <w:rtl/>
        </w:rPr>
        <w:t>נעה תבור 54678313</w:t>
      </w:r>
    </w:p>
    <w:p w14:paraId="6A065FCB" w14:textId="77777777" w:rsidR="009D18C9" w:rsidRDefault="009D18C9" w:rsidP="009D18C9">
      <w:r w:rsidRPr="009D18C9">
        <w:rPr>
          <w:color w:val="000000"/>
          <w:rtl/>
        </w:rPr>
        <w:t>נוסח מסמך זה כפוף לשינויי ניסוח ועריכה</w:t>
      </w:r>
    </w:p>
    <w:p w14:paraId="1195DB9F" w14:textId="77777777" w:rsidR="009D18C9" w:rsidRDefault="009D18C9" w:rsidP="009D18C9">
      <w:pPr>
        <w:rPr>
          <w:rtl/>
        </w:rPr>
      </w:pPr>
    </w:p>
    <w:p w14:paraId="3D171351" w14:textId="77777777" w:rsidR="009D18C9" w:rsidRDefault="009D18C9" w:rsidP="009D18C9">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394CD8E0" w14:textId="77777777" w:rsidR="009D18C9" w:rsidRPr="009D18C9" w:rsidRDefault="009D18C9" w:rsidP="009D18C9">
      <w:pPr>
        <w:jc w:val="center"/>
        <w:rPr>
          <w:color w:val="0000FF"/>
          <w:u w:val="single"/>
        </w:rPr>
      </w:pPr>
    </w:p>
    <w:sectPr w:rsidR="009D18C9" w:rsidRPr="009D18C9" w:rsidSect="009D18C9">
      <w:headerReference w:type="even" r:id="rId37"/>
      <w:headerReference w:type="default" r:id="rId38"/>
      <w:footerReference w:type="even" r:id="rId39"/>
      <w:footerReference w:type="default" r:id="rId40"/>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E7B8E" w14:textId="77777777" w:rsidR="00502522" w:rsidRDefault="00502522" w:rsidP="00C14DF7">
      <w:r>
        <w:separator/>
      </w:r>
    </w:p>
  </w:endnote>
  <w:endnote w:type="continuationSeparator" w:id="0">
    <w:p w14:paraId="550815DA" w14:textId="77777777" w:rsidR="00502522" w:rsidRDefault="00502522" w:rsidP="00C1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68C18A" w14:textId="77777777" w:rsidR="009D18C9" w:rsidRDefault="009D18C9" w:rsidP="009D18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7D5B037" w14:textId="77777777" w:rsidR="001053CC" w:rsidRPr="009D18C9" w:rsidRDefault="009D18C9" w:rsidP="009D18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67F4FA" w14:textId="77777777" w:rsidR="009D18C9" w:rsidRDefault="009D18C9" w:rsidP="009D18C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57CCD">
      <w:rPr>
        <w:rFonts w:ascii="FrankRuehl" w:hAnsi="FrankRuehl" w:cs="FrankRuehl"/>
        <w:noProof/>
        <w:rtl/>
      </w:rPr>
      <w:t>1</w:t>
    </w:r>
    <w:r>
      <w:rPr>
        <w:rFonts w:ascii="FrankRuehl" w:hAnsi="FrankRuehl" w:cs="FrankRuehl"/>
        <w:rtl/>
      </w:rPr>
      <w:fldChar w:fldCharType="end"/>
    </w:r>
  </w:p>
  <w:p w14:paraId="4A2DFAF4" w14:textId="77777777" w:rsidR="001053CC" w:rsidRPr="009D18C9" w:rsidRDefault="009D18C9" w:rsidP="009D18C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8C5B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A71AE2" w14:textId="77777777" w:rsidR="00502522" w:rsidRDefault="00502522" w:rsidP="00C14DF7">
      <w:r>
        <w:separator/>
      </w:r>
    </w:p>
  </w:footnote>
  <w:footnote w:type="continuationSeparator" w:id="0">
    <w:p w14:paraId="72F22620" w14:textId="77777777" w:rsidR="00502522" w:rsidRDefault="00502522" w:rsidP="00C14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8B2051" w14:textId="77777777" w:rsidR="009D18C9" w:rsidRPr="009D18C9" w:rsidRDefault="009D18C9" w:rsidP="009D18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11545-01-19</w:t>
    </w:r>
    <w:r>
      <w:rPr>
        <w:rFonts w:ascii="David" w:hAnsi="David"/>
        <w:color w:val="000000"/>
        <w:sz w:val="22"/>
        <w:szCs w:val="22"/>
        <w:rtl/>
      </w:rPr>
      <w:tab/>
      <w:t xml:space="preserve"> מדינת ישראל נ' ויקי עמר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792639" w14:textId="77777777" w:rsidR="009D18C9" w:rsidRPr="009D18C9" w:rsidRDefault="009D18C9" w:rsidP="009D18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11545-01-19</w:t>
    </w:r>
    <w:r>
      <w:rPr>
        <w:rFonts w:ascii="David" w:hAnsi="David"/>
        <w:color w:val="000000"/>
        <w:sz w:val="22"/>
        <w:szCs w:val="22"/>
        <w:rtl/>
      </w:rPr>
      <w:tab/>
      <w:t xml:space="preserve"> מדינת ישראל נ' ויקי עמר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753FDA"/>
    <w:multiLevelType w:val="hybridMultilevel"/>
    <w:tmpl w:val="46CED8E4"/>
    <w:lvl w:ilvl="0" w:tplc="4EFEED6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74748"/>
    <w:multiLevelType w:val="hybridMultilevel"/>
    <w:tmpl w:val="6DE695DC"/>
    <w:lvl w:ilvl="0" w:tplc="0C60154E">
      <w:start w:val="1"/>
      <w:numFmt w:val="decimal"/>
      <w:lvlText w:val="%1."/>
      <w:lvlJc w:val="left"/>
      <w:pPr>
        <w:ind w:left="720" w:hanging="360"/>
      </w:pPr>
      <w:rPr>
        <w:rFonts w:ascii="David" w:hAnsi="David" w:cs="David" w:hint="default"/>
        <w:b w:val="0"/>
        <w:bCs w:val="0"/>
        <w:sz w:val="24"/>
        <w:szCs w:val="24"/>
        <w:lang w:val="en-US"/>
      </w:rPr>
    </w:lvl>
    <w:lvl w:ilvl="1" w:tplc="9726F892">
      <w:start w:val="1"/>
      <w:numFmt w:val="hebrew1"/>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17987">
    <w:abstractNumId w:val="0"/>
  </w:num>
  <w:num w:numId="2" w16cid:durableId="267204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668D8"/>
    <w:rsid w:val="001053CC"/>
    <w:rsid w:val="00156EFC"/>
    <w:rsid w:val="001B5A3B"/>
    <w:rsid w:val="002668D8"/>
    <w:rsid w:val="00285EB5"/>
    <w:rsid w:val="003439F0"/>
    <w:rsid w:val="00357CCD"/>
    <w:rsid w:val="00502522"/>
    <w:rsid w:val="00816134"/>
    <w:rsid w:val="008171EB"/>
    <w:rsid w:val="008814A7"/>
    <w:rsid w:val="009D18C9"/>
    <w:rsid w:val="00AD1183"/>
    <w:rsid w:val="00B612A2"/>
    <w:rsid w:val="00BA1840"/>
    <w:rsid w:val="00BD7424"/>
    <w:rsid w:val="00C14D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EFF859A"/>
  <w15:chartTrackingRefBased/>
  <w15:docId w15:val="{BC1F69AE-82BF-4BA7-B6BB-3A41E62D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668D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668D8"/>
    <w:pPr>
      <w:tabs>
        <w:tab w:val="center" w:pos="4153"/>
        <w:tab w:val="right" w:pos="8306"/>
      </w:tabs>
    </w:pPr>
    <w:rPr>
      <w:rFonts w:cs="Times New Roman"/>
      <w:lang w:val="x-none" w:eastAsia="x-none"/>
    </w:rPr>
  </w:style>
  <w:style w:type="character" w:customStyle="1" w:styleId="a4">
    <w:name w:val="כותרת עליונה תו"/>
    <w:link w:val="a3"/>
    <w:rsid w:val="002668D8"/>
    <w:rPr>
      <w:rFonts w:ascii="Times New Roman" w:eastAsia="Times New Roman" w:hAnsi="Times New Roman" w:cs="David"/>
      <w:sz w:val="24"/>
      <w:szCs w:val="24"/>
    </w:rPr>
  </w:style>
  <w:style w:type="paragraph" w:styleId="a5">
    <w:name w:val="footer"/>
    <w:basedOn w:val="a"/>
    <w:link w:val="a6"/>
    <w:rsid w:val="002668D8"/>
    <w:pPr>
      <w:tabs>
        <w:tab w:val="center" w:pos="4153"/>
        <w:tab w:val="right" w:pos="8306"/>
      </w:tabs>
    </w:pPr>
    <w:rPr>
      <w:rFonts w:cs="Times New Roman"/>
      <w:lang w:val="x-none" w:eastAsia="x-none"/>
    </w:rPr>
  </w:style>
  <w:style w:type="character" w:customStyle="1" w:styleId="a6">
    <w:name w:val="כותרת תחתונה תו"/>
    <w:link w:val="a5"/>
    <w:rsid w:val="002668D8"/>
    <w:rPr>
      <w:rFonts w:ascii="Times New Roman" w:eastAsia="Times New Roman" w:hAnsi="Times New Roman" w:cs="David"/>
      <w:sz w:val="24"/>
      <w:szCs w:val="24"/>
    </w:rPr>
  </w:style>
  <w:style w:type="table" w:styleId="a7">
    <w:name w:val="Table Grid"/>
    <w:basedOn w:val="a1"/>
    <w:rsid w:val="002668D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668D8"/>
  </w:style>
  <w:style w:type="paragraph" w:styleId="a9">
    <w:name w:val="List Paragraph"/>
    <w:basedOn w:val="a"/>
    <w:link w:val="aa"/>
    <w:qFormat/>
    <w:rsid w:val="002668D8"/>
    <w:pPr>
      <w:ind w:left="720"/>
      <w:contextualSpacing/>
    </w:pPr>
    <w:rPr>
      <w:rFonts w:ascii="Calibri" w:eastAsia="Calibri" w:hAnsi="Calibri" w:cs="Times New Roman"/>
      <w:sz w:val="20"/>
      <w:szCs w:val="20"/>
      <w:lang w:val="x-none" w:eastAsia="x-none"/>
    </w:rPr>
  </w:style>
  <w:style w:type="character" w:customStyle="1" w:styleId="aa">
    <w:name w:val="פיסקת רשימה תו"/>
    <w:link w:val="a9"/>
    <w:locked/>
    <w:rsid w:val="002668D8"/>
    <w:rPr>
      <w:rFonts w:ascii="Calibri" w:eastAsia="Calibri" w:hAnsi="Calibri" w:cs="Arial"/>
    </w:rPr>
  </w:style>
  <w:style w:type="paragraph" w:styleId="ab">
    <w:name w:val="Quote"/>
    <w:basedOn w:val="a"/>
    <w:next w:val="a"/>
    <w:link w:val="ac"/>
    <w:qFormat/>
    <w:rsid w:val="002668D8"/>
    <w:pPr>
      <w:spacing w:before="200" w:after="160" w:line="259" w:lineRule="auto"/>
      <w:ind w:left="864" w:right="864"/>
      <w:jc w:val="center"/>
    </w:pPr>
    <w:rPr>
      <w:rFonts w:ascii="Calibri" w:eastAsia="Calibri" w:hAnsi="Calibri" w:cs="Times New Roman"/>
      <w:i/>
      <w:iCs/>
      <w:color w:val="404040"/>
      <w:sz w:val="20"/>
      <w:szCs w:val="20"/>
      <w:lang w:val="x-none" w:eastAsia="x-none"/>
    </w:rPr>
  </w:style>
  <w:style w:type="character" w:customStyle="1" w:styleId="ac">
    <w:name w:val="ציטוט תו"/>
    <w:link w:val="ab"/>
    <w:rsid w:val="002668D8"/>
    <w:rPr>
      <w:i/>
      <w:iCs/>
      <w:color w:val="404040"/>
    </w:rPr>
  </w:style>
  <w:style w:type="character" w:styleId="Hyperlink">
    <w:name w:val="Hyperlink"/>
    <w:rsid w:val="009D18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law/4216/9.a" TargetMode="External"/><Relationship Id="rId26" Type="http://schemas.openxmlformats.org/officeDocument/2006/relationships/hyperlink" Target="http://www.nevo.co.il/case/26396568" TargetMode="External"/><Relationship Id="rId39" Type="http://schemas.openxmlformats.org/officeDocument/2006/relationships/footer" Target="footer1.xml"/><Relationship Id="rId21" Type="http://schemas.openxmlformats.org/officeDocument/2006/relationships/hyperlink" Target="http://www.nevo.co.il/law/4216" TargetMode="External"/><Relationship Id="rId34" Type="http://schemas.openxmlformats.org/officeDocument/2006/relationships/hyperlink" Target="http://www.nevo.co.il/law/4216" TargetMode="External"/><Relationship Id="rId42"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4216/10" TargetMode="External"/><Relationship Id="rId29" Type="http://schemas.openxmlformats.org/officeDocument/2006/relationships/hyperlink" Target="http://www.nevo.co.il/case/21634426"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9.a" TargetMode="External"/><Relationship Id="rId24" Type="http://schemas.openxmlformats.org/officeDocument/2006/relationships/hyperlink" Target="http://www.nevo.co.il/case/13070717" TargetMode="External"/><Relationship Id="rId32" Type="http://schemas.openxmlformats.org/officeDocument/2006/relationships/hyperlink" Target="http://www.nevo.co.il/case/23631077"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22696402" TargetMode="External"/><Relationship Id="rId28" Type="http://schemas.openxmlformats.org/officeDocument/2006/relationships/hyperlink" Target="http://www.nevo.co.il/case/25778575"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law/4216/9.d" TargetMode="External"/><Relationship Id="rId31" Type="http://schemas.openxmlformats.org/officeDocument/2006/relationships/hyperlink" Target="http://www.nevo.co.il/case/20889417"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case/20705570" TargetMode="External"/><Relationship Id="rId27" Type="http://schemas.openxmlformats.org/officeDocument/2006/relationships/hyperlink" Target="http://www.nevo.co.il/case/25976759" TargetMode="External"/><Relationship Id="rId30" Type="http://schemas.openxmlformats.org/officeDocument/2006/relationships/hyperlink" Target="http://www.nevo.co.il/case/20459560" TargetMode="External"/><Relationship Id="rId35" Type="http://schemas.openxmlformats.org/officeDocument/2006/relationships/hyperlink" Target="http://www.nevo.co.il/law/4216"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4216/9.d"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0456248" TargetMode="External"/><Relationship Id="rId33" Type="http://schemas.openxmlformats.org/officeDocument/2006/relationships/hyperlink" Target="http://www.nevo.co.il/case/20402486"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2507</Words>
  <Characters>12535</Characters>
  <Application>Microsoft Office Word</Application>
  <DocSecurity>0</DocSecurity>
  <Lines>104</Lines>
  <Paragraphs>30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15012</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8257637</vt:i4>
      </vt:variant>
      <vt:variant>
        <vt:i4>84</vt:i4>
      </vt:variant>
      <vt:variant>
        <vt:i4>0</vt:i4>
      </vt:variant>
      <vt:variant>
        <vt:i4>5</vt:i4>
      </vt:variant>
      <vt:variant>
        <vt:lpwstr>http://www.nevo.co.il/law/4216</vt:lpwstr>
      </vt:variant>
      <vt:variant>
        <vt:lpwstr/>
      </vt:variant>
      <vt:variant>
        <vt:i4>8257637</vt:i4>
      </vt:variant>
      <vt:variant>
        <vt:i4>81</vt:i4>
      </vt:variant>
      <vt:variant>
        <vt:i4>0</vt:i4>
      </vt:variant>
      <vt:variant>
        <vt:i4>5</vt:i4>
      </vt:variant>
      <vt:variant>
        <vt:lpwstr>http://www.nevo.co.il/law/4216</vt:lpwstr>
      </vt:variant>
      <vt:variant>
        <vt:lpwstr/>
      </vt:variant>
      <vt:variant>
        <vt:i4>3932272</vt:i4>
      </vt:variant>
      <vt:variant>
        <vt:i4>78</vt:i4>
      </vt:variant>
      <vt:variant>
        <vt:i4>0</vt:i4>
      </vt:variant>
      <vt:variant>
        <vt:i4>5</vt:i4>
      </vt:variant>
      <vt:variant>
        <vt:lpwstr>http://www.nevo.co.il/case/20402486</vt:lpwstr>
      </vt:variant>
      <vt:variant>
        <vt:lpwstr/>
      </vt:variant>
      <vt:variant>
        <vt:i4>3276916</vt:i4>
      </vt:variant>
      <vt:variant>
        <vt:i4>75</vt:i4>
      </vt:variant>
      <vt:variant>
        <vt:i4>0</vt:i4>
      </vt:variant>
      <vt:variant>
        <vt:i4>5</vt:i4>
      </vt:variant>
      <vt:variant>
        <vt:lpwstr>http://www.nevo.co.il/case/23631077</vt:lpwstr>
      </vt:variant>
      <vt:variant>
        <vt:lpwstr/>
      </vt:variant>
      <vt:variant>
        <vt:i4>3276920</vt:i4>
      </vt:variant>
      <vt:variant>
        <vt:i4>72</vt:i4>
      </vt:variant>
      <vt:variant>
        <vt:i4>0</vt:i4>
      </vt:variant>
      <vt:variant>
        <vt:i4>5</vt:i4>
      </vt:variant>
      <vt:variant>
        <vt:lpwstr>http://www.nevo.co.il/case/20889417</vt:lpwstr>
      </vt:variant>
      <vt:variant>
        <vt:lpwstr/>
      </vt:variant>
      <vt:variant>
        <vt:i4>3735668</vt:i4>
      </vt:variant>
      <vt:variant>
        <vt:i4>69</vt:i4>
      </vt:variant>
      <vt:variant>
        <vt:i4>0</vt:i4>
      </vt:variant>
      <vt:variant>
        <vt:i4>5</vt:i4>
      </vt:variant>
      <vt:variant>
        <vt:lpwstr>http://www.nevo.co.il/case/20459560</vt:lpwstr>
      </vt:variant>
      <vt:variant>
        <vt:lpwstr/>
      </vt:variant>
      <vt:variant>
        <vt:i4>3276914</vt:i4>
      </vt:variant>
      <vt:variant>
        <vt:i4>66</vt:i4>
      </vt:variant>
      <vt:variant>
        <vt:i4>0</vt:i4>
      </vt:variant>
      <vt:variant>
        <vt:i4>5</vt:i4>
      </vt:variant>
      <vt:variant>
        <vt:lpwstr>http://www.nevo.co.il/case/21634426</vt:lpwstr>
      </vt:variant>
      <vt:variant>
        <vt:lpwstr/>
      </vt:variant>
      <vt:variant>
        <vt:i4>3801203</vt:i4>
      </vt:variant>
      <vt:variant>
        <vt:i4>63</vt:i4>
      </vt:variant>
      <vt:variant>
        <vt:i4>0</vt:i4>
      </vt:variant>
      <vt:variant>
        <vt:i4>5</vt:i4>
      </vt:variant>
      <vt:variant>
        <vt:lpwstr>http://www.nevo.co.il/case/25778575</vt:lpwstr>
      </vt:variant>
      <vt:variant>
        <vt:lpwstr/>
      </vt:variant>
      <vt:variant>
        <vt:i4>3670129</vt:i4>
      </vt:variant>
      <vt:variant>
        <vt:i4>60</vt:i4>
      </vt:variant>
      <vt:variant>
        <vt:i4>0</vt:i4>
      </vt:variant>
      <vt:variant>
        <vt:i4>5</vt:i4>
      </vt:variant>
      <vt:variant>
        <vt:lpwstr>http://www.nevo.co.il/case/25976759</vt:lpwstr>
      </vt:variant>
      <vt:variant>
        <vt:lpwstr/>
      </vt:variant>
      <vt:variant>
        <vt:i4>3211390</vt:i4>
      </vt:variant>
      <vt:variant>
        <vt:i4>57</vt:i4>
      </vt:variant>
      <vt:variant>
        <vt:i4>0</vt:i4>
      </vt:variant>
      <vt:variant>
        <vt:i4>5</vt:i4>
      </vt:variant>
      <vt:variant>
        <vt:lpwstr>http://www.nevo.co.il/case/26396568</vt:lpwstr>
      </vt:variant>
      <vt:variant>
        <vt:lpwstr/>
      </vt:variant>
      <vt:variant>
        <vt:i4>3407987</vt:i4>
      </vt:variant>
      <vt:variant>
        <vt:i4>54</vt:i4>
      </vt:variant>
      <vt:variant>
        <vt:i4>0</vt:i4>
      </vt:variant>
      <vt:variant>
        <vt:i4>5</vt:i4>
      </vt:variant>
      <vt:variant>
        <vt:lpwstr>http://www.nevo.co.il/case/20456248</vt:lpwstr>
      </vt:variant>
      <vt:variant>
        <vt:lpwstr/>
      </vt:variant>
      <vt:variant>
        <vt:i4>3145847</vt:i4>
      </vt:variant>
      <vt:variant>
        <vt:i4>51</vt:i4>
      </vt:variant>
      <vt:variant>
        <vt:i4>0</vt:i4>
      </vt:variant>
      <vt:variant>
        <vt:i4>5</vt:i4>
      </vt:variant>
      <vt:variant>
        <vt:lpwstr>http://www.nevo.co.il/case/13070717</vt:lpwstr>
      </vt:variant>
      <vt:variant>
        <vt:lpwstr/>
      </vt:variant>
      <vt:variant>
        <vt:i4>3276923</vt:i4>
      </vt:variant>
      <vt:variant>
        <vt:i4>48</vt:i4>
      </vt:variant>
      <vt:variant>
        <vt:i4>0</vt:i4>
      </vt:variant>
      <vt:variant>
        <vt:i4>5</vt:i4>
      </vt:variant>
      <vt:variant>
        <vt:lpwstr>http://www.nevo.co.il/case/22696402</vt:lpwstr>
      </vt:variant>
      <vt:variant>
        <vt:lpwstr/>
      </vt:variant>
      <vt:variant>
        <vt:i4>3604593</vt:i4>
      </vt:variant>
      <vt:variant>
        <vt:i4>45</vt:i4>
      </vt:variant>
      <vt:variant>
        <vt:i4>0</vt:i4>
      </vt:variant>
      <vt:variant>
        <vt:i4>5</vt:i4>
      </vt:variant>
      <vt:variant>
        <vt:lpwstr>http://www.nevo.co.il/case/20705570</vt:lpwstr>
      </vt:variant>
      <vt:variant>
        <vt:lpwstr/>
      </vt:variant>
      <vt:variant>
        <vt:i4>8257637</vt:i4>
      </vt:variant>
      <vt:variant>
        <vt:i4>42</vt:i4>
      </vt:variant>
      <vt:variant>
        <vt:i4>0</vt:i4>
      </vt:variant>
      <vt:variant>
        <vt:i4>5</vt:i4>
      </vt:variant>
      <vt:variant>
        <vt:lpwstr>http://www.nevo.co.il/law/4216</vt:lpwstr>
      </vt:variant>
      <vt:variant>
        <vt:lpwstr/>
      </vt:variant>
      <vt:variant>
        <vt:i4>5177418</vt:i4>
      </vt:variant>
      <vt:variant>
        <vt:i4>39</vt:i4>
      </vt:variant>
      <vt:variant>
        <vt:i4>0</vt:i4>
      </vt:variant>
      <vt:variant>
        <vt:i4>5</vt:i4>
      </vt:variant>
      <vt:variant>
        <vt:lpwstr>http://www.nevo.co.il/law/4216/10</vt:lpwstr>
      </vt:variant>
      <vt:variant>
        <vt:lpwstr/>
      </vt:variant>
      <vt:variant>
        <vt:i4>2293860</vt:i4>
      </vt:variant>
      <vt:variant>
        <vt:i4>36</vt:i4>
      </vt:variant>
      <vt:variant>
        <vt:i4>0</vt:i4>
      </vt:variant>
      <vt:variant>
        <vt:i4>5</vt:i4>
      </vt:variant>
      <vt:variant>
        <vt:lpwstr>http://www.nevo.co.il/law/4216/9.d</vt:lpwstr>
      </vt:variant>
      <vt:variant>
        <vt:lpwstr/>
      </vt:variant>
      <vt:variant>
        <vt:i4>2490468</vt:i4>
      </vt:variant>
      <vt:variant>
        <vt:i4>33</vt:i4>
      </vt:variant>
      <vt:variant>
        <vt:i4>0</vt:i4>
      </vt:variant>
      <vt:variant>
        <vt:i4>5</vt:i4>
      </vt:variant>
      <vt:variant>
        <vt:lpwstr>http://www.nevo.co.il/law/4216/9.a</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5177418</vt:i4>
      </vt:variant>
      <vt:variant>
        <vt:i4>18</vt:i4>
      </vt:variant>
      <vt:variant>
        <vt:i4>0</vt:i4>
      </vt:variant>
      <vt:variant>
        <vt:i4>5</vt:i4>
      </vt:variant>
      <vt:variant>
        <vt:lpwstr>http://www.nevo.co.il/law/4216/10</vt:lpwstr>
      </vt:variant>
      <vt:variant>
        <vt:lpwstr/>
      </vt:variant>
      <vt:variant>
        <vt:i4>2293860</vt:i4>
      </vt:variant>
      <vt:variant>
        <vt:i4>15</vt:i4>
      </vt:variant>
      <vt:variant>
        <vt:i4>0</vt:i4>
      </vt:variant>
      <vt:variant>
        <vt:i4>5</vt:i4>
      </vt:variant>
      <vt:variant>
        <vt:lpwstr>http://www.nevo.co.il/law/4216/9.d</vt:lpwstr>
      </vt:variant>
      <vt:variant>
        <vt:lpwstr/>
      </vt:variant>
      <vt:variant>
        <vt:i4>2490468</vt:i4>
      </vt:variant>
      <vt:variant>
        <vt:i4>12</vt:i4>
      </vt:variant>
      <vt:variant>
        <vt:i4>0</vt:i4>
      </vt:variant>
      <vt:variant>
        <vt:i4>5</vt:i4>
      </vt:variant>
      <vt:variant>
        <vt:lpwstr>http://www.nevo.co.il/law/4216/9.a</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2025-04-23T00:00:00Z</dcterms:created>
  <dcterms:modified xsi:type="dcterms:W3CDTF">2025-04-23T00:00:00Z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11545</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ויקי עמר</vt:lpwstr>
  </property>
  <property fmtid="{D5CDD505-2E9C-101B-9397-08002B2CF9AE}" pid="10" name="LAWYER">
    <vt:lpwstr>דליה וייסברג;עידן שני</vt:lpwstr>
  </property>
  <property fmtid="{D5CDD505-2E9C-101B-9397-08002B2CF9AE}" pid="11" name="JUDGE">
    <vt:lpwstr>נעה תבור</vt:lpwstr>
  </property>
  <property fmtid="{D5CDD505-2E9C-101B-9397-08002B2CF9AE}" pid="12" name="CITY">
    <vt:lpwstr>ת"א</vt:lpwstr>
  </property>
  <property fmtid="{D5CDD505-2E9C-101B-9397-08002B2CF9AE}" pid="13" name="DATE">
    <vt:lpwstr>20200629</vt:lpwstr>
  </property>
  <property fmtid="{D5CDD505-2E9C-101B-9397-08002B2CF9AE}" pid="14" name="TYPE_N_DATE">
    <vt:lpwstr>38020200629</vt:lpwstr>
  </property>
  <property fmtid="{D5CDD505-2E9C-101B-9397-08002B2CF9AE}" pid="15" name="WORDNUMPAGES">
    <vt:lpwstr>7</vt:lpwstr>
  </property>
  <property fmtid="{D5CDD505-2E9C-101B-9397-08002B2CF9AE}" pid="16" name="TYPE_ABS_DATE">
    <vt:lpwstr>380020200629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20705570;22696402;13070717;20456248;26396568;25976759;25778575;21634426;20459560;20889417;23631077;20402486</vt:lpwstr>
  </property>
  <property fmtid="{D5CDD505-2E9C-101B-9397-08002B2CF9AE}" pid="36" name="LAWLISTTMP1">
    <vt:lpwstr>4216/006;007.a;007.c;009.a;009.d;010</vt:lpwstr>
  </property>
</Properties>
</file>