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D1643" w:rsidRPr="00573417" w14:paraId="42C083F6" w14:textId="77777777" w:rsidTr="009B3CBF">
        <w:trPr>
          <w:trHeight w:hRule="exact" w:val="418"/>
          <w:jc w:val="center"/>
        </w:trPr>
        <w:tc>
          <w:tcPr>
            <w:tcW w:w="8721" w:type="dxa"/>
            <w:gridSpan w:val="2"/>
          </w:tcPr>
          <w:p w14:paraId="60A8B1F9" w14:textId="77777777" w:rsidR="00DD1643" w:rsidRPr="00573417" w:rsidRDefault="00DD1643" w:rsidP="00C23C1B">
            <w:pPr>
              <w:pStyle w:val="a3"/>
              <w:jc w:val="center"/>
              <w:rPr>
                <w:rFonts w:ascii="Tahoma" w:hAnsi="Tahoma" w:cs="FrankRuehl"/>
                <w:b/>
                <w:bCs/>
                <w:color w:val="000080"/>
                <w:sz w:val="28"/>
                <w:szCs w:val="28"/>
                <w:rtl/>
              </w:rPr>
            </w:pPr>
            <w:bookmarkStart w:id="0" w:name="LastJudge"/>
            <w:r w:rsidRPr="00573417">
              <w:rPr>
                <w:rFonts w:ascii="Tahoma" w:hAnsi="Tahoma" w:cs="FrankRuehl"/>
                <w:b/>
                <w:bCs/>
                <w:color w:val="000080"/>
                <w:sz w:val="28"/>
                <w:szCs w:val="28"/>
                <w:rtl/>
              </w:rPr>
              <w:t>בית משפט השלום בירושלים</w:t>
            </w:r>
          </w:p>
        </w:tc>
      </w:tr>
      <w:tr w:rsidR="00DD1643" w:rsidRPr="00573417" w14:paraId="1F2934D9" w14:textId="77777777" w:rsidTr="009B3CBF">
        <w:trPr>
          <w:trHeight w:val="337"/>
          <w:jc w:val="center"/>
        </w:trPr>
        <w:tc>
          <w:tcPr>
            <w:tcW w:w="5060" w:type="dxa"/>
          </w:tcPr>
          <w:p w14:paraId="6E933A6C" w14:textId="77777777" w:rsidR="00DD1643" w:rsidRPr="00573417" w:rsidRDefault="00DD1643" w:rsidP="00C23C1B">
            <w:pPr>
              <w:rPr>
                <w:rFonts w:cs="FrankRuehl"/>
                <w:b/>
                <w:bCs/>
                <w:sz w:val="28"/>
                <w:szCs w:val="28"/>
                <w:rtl/>
              </w:rPr>
            </w:pPr>
            <w:r w:rsidRPr="00573417">
              <w:rPr>
                <w:rFonts w:cs="FrankRuehl"/>
                <w:b/>
                <w:bCs/>
                <w:sz w:val="28"/>
                <w:szCs w:val="28"/>
                <w:rtl/>
              </w:rPr>
              <w:t>ת"פ</w:t>
            </w:r>
            <w:r w:rsidRPr="00573417">
              <w:rPr>
                <w:rFonts w:cs="FrankRuehl" w:hint="cs"/>
                <w:b/>
                <w:bCs/>
                <w:sz w:val="28"/>
                <w:szCs w:val="28"/>
                <w:rtl/>
              </w:rPr>
              <w:t xml:space="preserve"> </w:t>
            </w:r>
            <w:r w:rsidRPr="00573417">
              <w:rPr>
                <w:rFonts w:cs="FrankRuehl"/>
                <w:b/>
                <w:bCs/>
                <w:sz w:val="28"/>
                <w:szCs w:val="28"/>
                <w:rtl/>
              </w:rPr>
              <w:t>15638-01-19</w:t>
            </w:r>
            <w:r w:rsidRPr="00573417">
              <w:rPr>
                <w:rFonts w:cs="FrankRuehl" w:hint="cs"/>
                <w:b/>
                <w:bCs/>
                <w:sz w:val="28"/>
                <w:szCs w:val="28"/>
                <w:rtl/>
              </w:rPr>
              <w:t xml:space="preserve"> </w:t>
            </w:r>
            <w:r w:rsidRPr="00573417">
              <w:rPr>
                <w:rFonts w:cs="FrankRuehl"/>
                <w:b/>
                <w:bCs/>
                <w:sz w:val="28"/>
                <w:szCs w:val="28"/>
                <w:rtl/>
              </w:rPr>
              <w:t>מדינת ישראל נ' סרף(אחר/נוסף)</w:t>
            </w:r>
          </w:p>
          <w:p w14:paraId="21353B12" w14:textId="77777777" w:rsidR="00DD1643" w:rsidRPr="00573417" w:rsidRDefault="00DD1643" w:rsidP="00C23C1B">
            <w:pPr>
              <w:pStyle w:val="a3"/>
              <w:rPr>
                <w:rFonts w:cs="FrankRuehl"/>
                <w:b/>
                <w:bCs/>
                <w:sz w:val="28"/>
                <w:szCs w:val="28"/>
                <w:rtl/>
              </w:rPr>
            </w:pPr>
          </w:p>
        </w:tc>
        <w:tc>
          <w:tcPr>
            <w:tcW w:w="3661" w:type="dxa"/>
          </w:tcPr>
          <w:p w14:paraId="1227E281" w14:textId="77777777" w:rsidR="00DD1643" w:rsidRPr="00573417" w:rsidRDefault="00DD1643" w:rsidP="00C23C1B">
            <w:pPr>
              <w:pStyle w:val="a3"/>
              <w:jc w:val="right"/>
              <w:rPr>
                <w:rFonts w:cs="FrankRuehl"/>
                <w:sz w:val="28"/>
                <w:szCs w:val="28"/>
                <w:rtl/>
              </w:rPr>
            </w:pPr>
          </w:p>
        </w:tc>
      </w:tr>
    </w:tbl>
    <w:p w14:paraId="0ADD3556" w14:textId="77777777" w:rsidR="00DD1643" w:rsidRPr="00573417" w:rsidRDefault="00DD1643" w:rsidP="00DD1643">
      <w:pPr>
        <w:pStyle w:val="a3"/>
        <w:rPr>
          <w:rtl/>
        </w:rPr>
      </w:pPr>
      <w:r w:rsidRPr="00573417">
        <w:rPr>
          <w:rFonts w:hint="cs"/>
          <w:rtl/>
        </w:rPr>
        <w:t xml:space="preserve"> </w:t>
      </w:r>
    </w:p>
    <w:p w14:paraId="6353E92D" w14:textId="77777777" w:rsidR="00DD1643" w:rsidRPr="00573417" w:rsidRDefault="00DD1643" w:rsidP="00DD1643">
      <w:pPr>
        <w:rPr>
          <w:rFonts w:cs="FrankRuehl"/>
          <w:sz w:val="28"/>
          <w:szCs w:val="28"/>
          <w:rtl/>
        </w:rPr>
      </w:pPr>
    </w:p>
    <w:p w14:paraId="25254162" w14:textId="77777777" w:rsidR="00DD1643" w:rsidRPr="00573417" w:rsidRDefault="00DD1643" w:rsidP="00DD1643">
      <w:pPr>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D1643" w:rsidRPr="00573417" w14:paraId="36C37D34" w14:textId="77777777" w:rsidTr="00DD1643">
        <w:trPr>
          <w:trHeight w:val="295"/>
          <w:jc w:val="center"/>
        </w:trPr>
        <w:tc>
          <w:tcPr>
            <w:tcW w:w="923" w:type="dxa"/>
            <w:tcBorders>
              <w:top w:val="nil"/>
              <w:left w:val="nil"/>
              <w:bottom w:val="nil"/>
              <w:right w:val="nil"/>
            </w:tcBorders>
            <w:shd w:val="clear" w:color="auto" w:fill="auto"/>
          </w:tcPr>
          <w:p w14:paraId="214A24DF" w14:textId="77777777" w:rsidR="00DD1643" w:rsidRPr="00573417" w:rsidRDefault="00DD1643" w:rsidP="00DD1643">
            <w:pPr>
              <w:jc w:val="both"/>
              <w:rPr>
                <w:rFonts w:ascii="Arial" w:hAnsi="Arial" w:cs="FrankRuehl"/>
                <w:b/>
                <w:bCs/>
                <w:sz w:val="28"/>
                <w:szCs w:val="28"/>
              </w:rPr>
            </w:pPr>
            <w:r w:rsidRPr="00573417">
              <w:rPr>
                <w:rFonts w:ascii="Arial" w:hAnsi="Arial" w:cs="FrankRuehl" w:hint="cs"/>
                <w:b/>
                <w:bCs/>
                <w:sz w:val="28"/>
                <w:szCs w:val="28"/>
                <w:rtl/>
              </w:rPr>
              <w:t>ב</w:t>
            </w:r>
            <w:r w:rsidRPr="00573417">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34753171" w14:textId="77777777" w:rsidR="00DD1643" w:rsidRPr="00573417" w:rsidRDefault="00DD1643" w:rsidP="00C23C1B">
            <w:pPr>
              <w:rPr>
                <w:rFonts w:ascii="Arial" w:hAnsi="Arial" w:cs="FrankRuehl"/>
                <w:b/>
                <w:bCs/>
                <w:sz w:val="28"/>
                <w:szCs w:val="28"/>
                <w:rtl/>
              </w:rPr>
            </w:pPr>
            <w:r w:rsidRPr="00573417">
              <w:rPr>
                <w:rFonts w:ascii="Arial" w:hAnsi="Arial" w:cs="FrankRuehl" w:hint="cs"/>
                <w:b/>
                <w:bCs/>
                <w:sz w:val="28"/>
                <w:szCs w:val="28"/>
                <w:rtl/>
              </w:rPr>
              <w:t>כבוד ה</w:t>
            </w:r>
            <w:r w:rsidRPr="00573417">
              <w:rPr>
                <w:rFonts w:ascii="Arial" w:hAnsi="Arial" w:cs="FrankRuehl"/>
                <w:b/>
                <w:bCs/>
                <w:sz w:val="28"/>
                <w:szCs w:val="28"/>
                <w:rtl/>
              </w:rPr>
              <w:t>שופט</w:t>
            </w:r>
            <w:r w:rsidRPr="00573417">
              <w:rPr>
                <w:rFonts w:ascii="Arial" w:hAnsi="Arial" w:cs="FrankRuehl" w:hint="cs"/>
                <w:b/>
                <w:bCs/>
                <w:sz w:val="28"/>
                <w:szCs w:val="28"/>
                <w:rtl/>
              </w:rPr>
              <w:t xml:space="preserve">  </w:t>
            </w:r>
            <w:r w:rsidRPr="00573417">
              <w:rPr>
                <w:rFonts w:ascii="Arial" w:hAnsi="Arial" w:cs="FrankRuehl"/>
                <w:b/>
                <w:bCs/>
                <w:sz w:val="28"/>
                <w:szCs w:val="28"/>
                <w:rtl/>
              </w:rPr>
              <w:t>דוד שאול גבאי ריכטר</w:t>
            </w:r>
          </w:p>
          <w:p w14:paraId="0EF678E5" w14:textId="77777777" w:rsidR="00DD1643" w:rsidRPr="00573417" w:rsidRDefault="00DD1643" w:rsidP="00C23C1B">
            <w:pPr>
              <w:rPr>
                <w:rFonts w:cs="FrankRuehl"/>
                <w:b/>
                <w:bCs/>
                <w:sz w:val="28"/>
                <w:szCs w:val="28"/>
                <w:rtl/>
              </w:rPr>
            </w:pPr>
          </w:p>
          <w:p w14:paraId="2088AF8D" w14:textId="77777777" w:rsidR="00DD1643" w:rsidRPr="00573417" w:rsidRDefault="00DD1643" w:rsidP="00DD1643">
            <w:pPr>
              <w:jc w:val="both"/>
              <w:rPr>
                <w:rFonts w:ascii="Arial" w:hAnsi="Arial" w:cs="FrankRuehl"/>
                <w:b/>
                <w:bCs/>
                <w:sz w:val="28"/>
                <w:szCs w:val="28"/>
              </w:rPr>
            </w:pPr>
          </w:p>
        </w:tc>
      </w:tr>
      <w:tr w:rsidR="00DD1643" w:rsidRPr="00573417" w14:paraId="7AC66FBC" w14:textId="77777777" w:rsidTr="00DD1643">
        <w:trPr>
          <w:trHeight w:val="355"/>
          <w:jc w:val="center"/>
        </w:trPr>
        <w:tc>
          <w:tcPr>
            <w:tcW w:w="923" w:type="dxa"/>
            <w:tcBorders>
              <w:top w:val="nil"/>
              <w:left w:val="nil"/>
              <w:bottom w:val="nil"/>
              <w:right w:val="nil"/>
            </w:tcBorders>
            <w:shd w:val="clear" w:color="auto" w:fill="auto"/>
          </w:tcPr>
          <w:p w14:paraId="04A70A96" w14:textId="77777777" w:rsidR="00DD1643" w:rsidRPr="00573417" w:rsidRDefault="00DD1643" w:rsidP="00DD1643">
            <w:pPr>
              <w:jc w:val="both"/>
              <w:rPr>
                <w:rFonts w:ascii="Arial" w:hAnsi="Arial" w:cs="FrankRuehl"/>
                <w:b/>
                <w:bCs/>
                <w:sz w:val="28"/>
                <w:szCs w:val="28"/>
              </w:rPr>
            </w:pPr>
            <w:bookmarkStart w:id="1" w:name="FirstAppellant"/>
            <w:r w:rsidRPr="00573417">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74DD60A" w14:textId="77777777" w:rsidR="00DD1643" w:rsidRPr="00573417" w:rsidRDefault="00DD1643" w:rsidP="00C23C1B">
            <w:pPr>
              <w:rPr>
                <w:rFonts w:cs="FrankRuehl"/>
                <w:b/>
                <w:bCs/>
                <w:sz w:val="28"/>
                <w:szCs w:val="28"/>
              </w:rPr>
            </w:pPr>
            <w:r w:rsidRPr="00573417">
              <w:rPr>
                <w:rFonts w:ascii="Arial" w:hAnsi="Arial" w:cs="FrankRuehl"/>
                <w:b/>
                <w:bCs/>
                <w:sz w:val="28"/>
                <w:szCs w:val="28"/>
                <w:rtl/>
              </w:rPr>
              <w:t>מדינת ישראל</w:t>
            </w:r>
            <w:r w:rsidRPr="00573417">
              <w:rPr>
                <w:rFonts w:ascii="Arial" w:hAnsi="Arial" w:cs="FrankRuehl"/>
                <w:b/>
                <w:bCs/>
                <w:sz w:val="28"/>
                <w:szCs w:val="28"/>
                <w:rtl/>
              </w:rPr>
              <w:br/>
            </w:r>
            <w:r w:rsidRPr="00573417">
              <w:rPr>
                <w:rFonts w:cs="FrankRuehl" w:hint="cs"/>
                <w:b/>
                <w:bCs/>
                <w:sz w:val="28"/>
                <w:szCs w:val="28"/>
                <w:rtl/>
              </w:rPr>
              <w:t>תביעות ירושלים</w:t>
            </w:r>
          </w:p>
        </w:tc>
        <w:tc>
          <w:tcPr>
            <w:tcW w:w="3771" w:type="dxa"/>
            <w:tcBorders>
              <w:top w:val="nil"/>
              <w:left w:val="nil"/>
              <w:bottom w:val="nil"/>
              <w:right w:val="nil"/>
            </w:tcBorders>
            <w:shd w:val="clear" w:color="auto" w:fill="auto"/>
          </w:tcPr>
          <w:p w14:paraId="2019044B" w14:textId="77777777" w:rsidR="00DD1643" w:rsidRPr="00573417" w:rsidRDefault="00DD1643" w:rsidP="00DD1643">
            <w:pPr>
              <w:jc w:val="both"/>
              <w:rPr>
                <w:rFonts w:ascii="Arial" w:hAnsi="Arial" w:cs="FrankRuehl"/>
                <w:b/>
                <w:bCs/>
                <w:sz w:val="28"/>
                <w:szCs w:val="28"/>
              </w:rPr>
            </w:pPr>
          </w:p>
        </w:tc>
      </w:tr>
      <w:bookmarkEnd w:id="1"/>
      <w:tr w:rsidR="00DD1643" w:rsidRPr="00573417" w14:paraId="37150DDE" w14:textId="77777777" w:rsidTr="00DD1643">
        <w:trPr>
          <w:trHeight w:val="355"/>
          <w:jc w:val="center"/>
        </w:trPr>
        <w:tc>
          <w:tcPr>
            <w:tcW w:w="923" w:type="dxa"/>
            <w:tcBorders>
              <w:top w:val="nil"/>
              <w:left w:val="nil"/>
              <w:bottom w:val="nil"/>
              <w:right w:val="nil"/>
            </w:tcBorders>
            <w:shd w:val="clear" w:color="auto" w:fill="auto"/>
          </w:tcPr>
          <w:p w14:paraId="29B96BDF" w14:textId="77777777" w:rsidR="00DD1643" w:rsidRPr="00573417" w:rsidRDefault="00DD1643" w:rsidP="00DD164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96C0521" w14:textId="77777777" w:rsidR="00DD1643" w:rsidRPr="00573417" w:rsidRDefault="00DD1643" w:rsidP="00DD1643">
            <w:pPr>
              <w:jc w:val="both"/>
              <w:rPr>
                <w:rFonts w:cs="FrankRuehl"/>
                <w:b/>
                <w:bCs/>
                <w:sz w:val="28"/>
                <w:szCs w:val="28"/>
                <w:rtl/>
              </w:rPr>
            </w:pPr>
          </w:p>
        </w:tc>
        <w:tc>
          <w:tcPr>
            <w:tcW w:w="3771" w:type="dxa"/>
            <w:tcBorders>
              <w:top w:val="nil"/>
              <w:left w:val="nil"/>
              <w:bottom w:val="nil"/>
              <w:right w:val="nil"/>
            </w:tcBorders>
            <w:shd w:val="clear" w:color="auto" w:fill="auto"/>
          </w:tcPr>
          <w:p w14:paraId="500DA8E4" w14:textId="77777777" w:rsidR="00DD1643" w:rsidRPr="00573417" w:rsidRDefault="00DD1643" w:rsidP="00DD1643">
            <w:pPr>
              <w:jc w:val="right"/>
              <w:rPr>
                <w:rFonts w:ascii="Arial" w:hAnsi="Arial" w:cs="FrankRuehl"/>
                <w:b/>
                <w:bCs/>
                <w:sz w:val="28"/>
                <w:szCs w:val="28"/>
                <w:rtl/>
              </w:rPr>
            </w:pPr>
            <w:r w:rsidRPr="00573417">
              <w:rPr>
                <w:rFonts w:ascii="Arial" w:hAnsi="Arial" w:cs="FrankRuehl" w:hint="cs"/>
                <w:b/>
                <w:bCs/>
                <w:sz w:val="28"/>
                <w:szCs w:val="28"/>
                <w:rtl/>
              </w:rPr>
              <w:t>ה</w:t>
            </w:r>
            <w:r w:rsidRPr="00573417">
              <w:rPr>
                <w:rFonts w:ascii="Arial" w:hAnsi="Arial" w:cs="FrankRuehl"/>
                <w:b/>
                <w:bCs/>
                <w:sz w:val="28"/>
                <w:szCs w:val="28"/>
                <w:rtl/>
              </w:rPr>
              <w:t>מאשימה</w:t>
            </w:r>
          </w:p>
        </w:tc>
      </w:tr>
      <w:tr w:rsidR="00DD1643" w:rsidRPr="00573417" w14:paraId="5EC471D1" w14:textId="77777777" w:rsidTr="00DD1643">
        <w:trPr>
          <w:trHeight w:val="355"/>
          <w:jc w:val="center"/>
        </w:trPr>
        <w:tc>
          <w:tcPr>
            <w:tcW w:w="923" w:type="dxa"/>
            <w:tcBorders>
              <w:top w:val="nil"/>
              <w:left w:val="nil"/>
              <w:bottom w:val="nil"/>
              <w:right w:val="nil"/>
            </w:tcBorders>
            <w:shd w:val="clear" w:color="auto" w:fill="auto"/>
          </w:tcPr>
          <w:p w14:paraId="3DC1CBB9" w14:textId="77777777" w:rsidR="00DD1643" w:rsidRPr="00573417" w:rsidRDefault="00DD1643" w:rsidP="00DD1643">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4EB15C63" w14:textId="77777777" w:rsidR="00DD1643" w:rsidRPr="00573417" w:rsidRDefault="00DD1643" w:rsidP="00DD1643">
            <w:pPr>
              <w:jc w:val="center"/>
              <w:rPr>
                <w:rFonts w:ascii="Arial" w:hAnsi="Arial" w:cs="FrankRuehl"/>
                <w:b/>
                <w:bCs/>
                <w:sz w:val="28"/>
                <w:szCs w:val="28"/>
                <w:rtl/>
              </w:rPr>
            </w:pPr>
          </w:p>
          <w:p w14:paraId="05321630" w14:textId="77777777" w:rsidR="00DD1643" w:rsidRPr="00573417" w:rsidRDefault="00DD1643" w:rsidP="00DD1643">
            <w:pPr>
              <w:jc w:val="center"/>
              <w:rPr>
                <w:rFonts w:ascii="Arial" w:hAnsi="Arial" w:cs="FrankRuehl"/>
                <w:b/>
                <w:bCs/>
                <w:sz w:val="28"/>
                <w:szCs w:val="28"/>
                <w:rtl/>
              </w:rPr>
            </w:pPr>
            <w:r w:rsidRPr="00573417">
              <w:rPr>
                <w:rFonts w:ascii="Arial" w:hAnsi="Arial" w:cs="FrankRuehl"/>
                <w:b/>
                <w:bCs/>
                <w:sz w:val="28"/>
                <w:szCs w:val="28"/>
                <w:rtl/>
              </w:rPr>
              <w:t>נגד</w:t>
            </w:r>
          </w:p>
          <w:p w14:paraId="6D89E934" w14:textId="77777777" w:rsidR="00DD1643" w:rsidRPr="00573417" w:rsidRDefault="00DD1643" w:rsidP="00DD1643">
            <w:pPr>
              <w:jc w:val="both"/>
              <w:rPr>
                <w:rFonts w:ascii="Arial" w:hAnsi="Arial" w:cs="FrankRuehl"/>
                <w:b/>
                <w:bCs/>
                <w:sz w:val="28"/>
                <w:szCs w:val="28"/>
              </w:rPr>
            </w:pPr>
          </w:p>
        </w:tc>
      </w:tr>
      <w:tr w:rsidR="00DD1643" w:rsidRPr="00573417" w14:paraId="75D9742E" w14:textId="77777777" w:rsidTr="00DD1643">
        <w:trPr>
          <w:trHeight w:val="355"/>
          <w:jc w:val="center"/>
        </w:trPr>
        <w:tc>
          <w:tcPr>
            <w:tcW w:w="923" w:type="dxa"/>
            <w:tcBorders>
              <w:top w:val="nil"/>
              <w:left w:val="nil"/>
              <w:bottom w:val="nil"/>
              <w:right w:val="nil"/>
            </w:tcBorders>
            <w:shd w:val="clear" w:color="auto" w:fill="auto"/>
          </w:tcPr>
          <w:p w14:paraId="314F3791" w14:textId="77777777" w:rsidR="00DD1643" w:rsidRPr="00573417" w:rsidRDefault="00DD1643" w:rsidP="00C23C1B">
            <w:pPr>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47138AF2" w14:textId="77777777" w:rsidR="00DD1643" w:rsidRPr="00573417" w:rsidRDefault="00DD1643" w:rsidP="00C23C1B">
            <w:pPr>
              <w:rPr>
                <w:rFonts w:cs="FrankRuehl"/>
                <w:b/>
                <w:bCs/>
                <w:sz w:val="28"/>
                <w:szCs w:val="28"/>
                <w:rtl/>
              </w:rPr>
            </w:pPr>
            <w:r w:rsidRPr="00573417">
              <w:rPr>
                <w:rFonts w:ascii="Arial" w:hAnsi="Arial" w:cs="FrankRuehl"/>
                <w:b/>
                <w:bCs/>
                <w:sz w:val="28"/>
                <w:szCs w:val="28"/>
                <w:rtl/>
              </w:rPr>
              <w:t xml:space="preserve">יוסף סרף </w:t>
            </w:r>
            <w:r w:rsidRPr="00573417">
              <w:rPr>
                <w:rFonts w:ascii="Arial" w:hAnsi="Arial" w:cs="FrankRuehl" w:hint="cs"/>
                <w:b/>
                <w:bCs/>
                <w:sz w:val="28"/>
                <w:szCs w:val="28"/>
                <w:rtl/>
              </w:rPr>
              <w:t xml:space="preserve"> </w:t>
            </w:r>
            <w:r w:rsidRPr="00573417">
              <w:rPr>
                <w:rFonts w:ascii="Arial" w:hAnsi="Arial" w:cs="FrankRuehl"/>
                <w:b/>
                <w:bCs/>
                <w:sz w:val="28"/>
                <w:szCs w:val="28"/>
                <w:rtl/>
              </w:rPr>
              <w:br/>
            </w:r>
            <w:r w:rsidRPr="00573417">
              <w:rPr>
                <w:rFonts w:cs="FrankRuehl" w:hint="cs"/>
                <w:b/>
                <w:bCs/>
                <w:sz w:val="28"/>
                <w:szCs w:val="28"/>
                <w:rtl/>
              </w:rPr>
              <w:t>ע"י ב"כ עו"ד נדב גדליהו</w:t>
            </w:r>
          </w:p>
        </w:tc>
        <w:tc>
          <w:tcPr>
            <w:tcW w:w="3771" w:type="dxa"/>
            <w:tcBorders>
              <w:top w:val="nil"/>
              <w:left w:val="nil"/>
              <w:bottom w:val="nil"/>
              <w:right w:val="nil"/>
            </w:tcBorders>
            <w:shd w:val="clear" w:color="auto" w:fill="auto"/>
          </w:tcPr>
          <w:p w14:paraId="53C63483" w14:textId="77777777" w:rsidR="00DD1643" w:rsidRPr="00573417" w:rsidRDefault="00DD1643" w:rsidP="00DD1643">
            <w:pPr>
              <w:jc w:val="right"/>
              <w:rPr>
                <w:rFonts w:ascii="Arial" w:hAnsi="Arial" w:cs="FrankRuehl"/>
                <w:b/>
                <w:bCs/>
                <w:sz w:val="28"/>
                <w:szCs w:val="28"/>
              </w:rPr>
            </w:pPr>
          </w:p>
        </w:tc>
      </w:tr>
      <w:bookmarkEnd w:id="2"/>
      <w:tr w:rsidR="00DD1643" w:rsidRPr="00573417" w14:paraId="5B3FEC9B" w14:textId="77777777" w:rsidTr="00DD1643">
        <w:trPr>
          <w:trHeight w:val="355"/>
          <w:jc w:val="center"/>
        </w:trPr>
        <w:tc>
          <w:tcPr>
            <w:tcW w:w="923" w:type="dxa"/>
            <w:tcBorders>
              <w:top w:val="nil"/>
              <w:left w:val="nil"/>
              <w:bottom w:val="nil"/>
              <w:right w:val="nil"/>
            </w:tcBorders>
            <w:shd w:val="clear" w:color="auto" w:fill="auto"/>
          </w:tcPr>
          <w:p w14:paraId="324B0CD0" w14:textId="77777777" w:rsidR="00DD1643" w:rsidRPr="00573417" w:rsidRDefault="00DD1643" w:rsidP="00DD164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4374409" w14:textId="77777777" w:rsidR="00DD1643" w:rsidRPr="00573417" w:rsidRDefault="00DD1643" w:rsidP="00DD1643">
            <w:pPr>
              <w:jc w:val="both"/>
              <w:rPr>
                <w:rFonts w:cs="FrankRuehl"/>
                <w:b/>
                <w:bCs/>
                <w:sz w:val="28"/>
                <w:szCs w:val="28"/>
                <w:rtl/>
              </w:rPr>
            </w:pPr>
          </w:p>
        </w:tc>
        <w:tc>
          <w:tcPr>
            <w:tcW w:w="3771" w:type="dxa"/>
            <w:tcBorders>
              <w:top w:val="nil"/>
              <w:left w:val="nil"/>
              <w:bottom w:val="nil"/>
              <w:right w:val="nil"/>
            </w:tcBorders>
            <w:shd w:val="clear" w:color="auto" w:fill="auto"/>
          </w:tcPr>
          <w:p w14:paraId="5739B0C9" w14:textId="77777777" w:rsidR="00DD1643" w:rsidRPr="00573417" w:rsidRDefault="00DD1643" w:rsidP="00DD1643">
            <w:pPr>
              <w:jc w:val="right"/>
              <w:rPr>
                <w:rFonts w:ascii="Arial" w:hAnsi="Arial" w:cs="FrankRuehl"/>
                <w:b/>
                <w:bCs/>
                <w:sz w:val="28"/>
                <w:szCs w:val="28"/>
              </w:rPr>
            </w:pPr>
            <w:r w:rsidRPr="00573417">
              <w:rPr>
                <w:rFonts w:ascii="Arial" w:hAnsi="Arial" w:cs="FrankRuehl" w:hint="cs"/>
                <w:b/>
                <w:bCs/>
                <w:sz w:val="28"/>
                <w:szCs w:val="28"/>
                <w:rtl/>
              </w:rPr>
              <w:t>ה</w:t>
            </w:r>
            <w:r w:rsidRPr="00573417">
              <w:rPr>
                <w:rFonts w:ascii="Arial" w:hAnsi="Arial" w:cs="FrankRuehl"/>
                <w:b/>
                <w:bCs/>
                <w:sz w:val="28"/>
                <w:szCs w:val="28"/>
                <w:rtl/>
              </w:rPr>
              <w:t>נאשם</w:t>
            </w:r>
          </w:p>
        </w:tc>
      </w:tr>
    </w:tbl>
    <w:p w14:paraId="3E64CB21" w14:textId="77777777" w:rsidR="009B3CBF" w:rsidRDefault="009B3CBF" w:rsidP="00DD1643">
      <w:pPr>
        <w:rPr>
          <w:rFonts w:cs="FrankRuehl"/>
          <w:sz w:val="28"/>
          <w:szCs w:val="28"/>
          <w:rtl/>
        </w:rPr>
      </w:pPr>
      <w:bookmarkStart w:id="3" w:name="LawTable"/>
      <w:bookmarkEnd w:id="3"/>
    </w:p>
    <w:p w14:paraId="3BD17C24" w14:textId="77777777" w:rsidR="009B3CBF" w:rsidRPr="009B3CBF" w:rsidRDefault="009B3CBF" w:rsidP="009B3CBF">
      <w:pPr>
        <w:spacing w:after="120" w:line="240" w:lineRule="exact"/>
        <w:ind w:left="283" w:hanging="283"/>
        <w:jc w:val="both"/>
        <w:rPr>
          <w:rFonts w:ascii="FrankRuehl" w:hAnsi="FrankRuehl" w:cs="FrankRuehl"/>
          <w:rtl/>
        </w:rPr>
      </w:pPr>
    </w:p>
    <w:p w14:paraId="6E945208" w14:textId="77777777" w:rsidR="009B3CBF" w:rsidRPr="009B3CBF" w:rsidRDefault="009B3CBF" w:rsidP="009B3CBF">
      <w:pPr>
        <w:spacing w:after="120" w:line="240" w:lineRule="exact"/>
        <w:ind w:left="283" w:hanging="283"/>
        <w:jc w:val="both"/>
        <w:rPr>
          <w:rFonts w:ascii="FrankRuehl" w:hAnsi="FrankRuehl" w:cs="FrankRuehl"/>
          <w:rtl/>
        </w:rPr>
      </w:pPr>
      <w:r w:rsidRPr="009B3CBF">
        <w:rPr>
          <w:rFonts w:ascii="FrankRuehl" w:hAnsi="FrankRuehl" w:cs="FrankRuehl"/>
          <w:rtl/>
        </w:rPr>
        <w:t xml:space="preserve">חקיקה שאוזכרה: </w:t>
      </w:r>
    </w:p>
    <w:p w14:paraId="4B1BFEC2" w14:textId="77777777" w:rsidR="009B3CBF" w:rsidRPr="009B3CBF" w:rsidRDefault="009B3CBF" w:rsidP="009B3CBF">
      <w:pPr>
        <w:spacing w:after="120" w:line="240" w:lineRule="exact"/>
        <w:ind w:left="283" w:hanging="283"/>
        <w:jc w:val="both"/>
        <w:rPr>
          <w:rFonts w:ascii="FrankRuehl" w:hAnsi="FrankRuehl" w:cs="FrankRuehl"/>
          <w:rtl/>
        </w:rPr>
      </w:pPr>
      <w:hyperlink r:id="rId7" w:history="1">
        <w:r w:rsidRPr="009B3CBF">
          <w:rPr>
            <w:rFonts w:ascii="FrankRuehl" w:hAnsi="FrankRuehl" w:cs="FrankRuehl"/>
            <w:color w:val="0000FF"/>
            <w:u w:val="single"/>
            <w:rtl/>
          </w:rPr>
          <w:t>פקודת הסמים המסוכנים [נוסח חדש], תשל"ג-1973</w:t>
        </w:r>
      </w:hyperlink>
      <w:r w:rsidRPr="009B3CBF">
        <w:rPr>
          <w:rFonts w:ascii="FrankRuehl" w:hAnsi="FrankRuehl" w:cs="FrankRuehl"/>
          <w:rtl/>
        </w:rPr>
        <w:t xml:space="preserve">: סע'  </w:t>
      </w:r>
      <w:hyperlink r:id="rId8" w:history="1">
        <w:r w:rsidRPr="009B3CBF">
          <w:rPr>
            <w:rFonts w:ascii="FrankRuehl" w:hAnsi="FrankRuehl" w:cs="FrankRuehl"/>
            <w:color w:val="0000FF"/>
            <w:u w:val="single"/>
            <w:rtl/>
          </w:rPr>
          <w:t>13</w:t>
        </w:r>
      </w:hyperlink>
      <w:r w:rsidRPr="009B3CBF">
        <w:rPr>
          <w:rFonts w:ascii="FrankRuehl" w:hAnsi="FrankRuehl" w:cs="FrankRuehl"/>
          <w:rtl/>
        </w:rPr>
        <w:t xml:space="preserve">, </w:t>
      </w:r>
      <w:hyperlink r:id="rId9" w:history="1">
        <w:r w:rsidRPr="009B3CBF">
          <w:rPr>
            <w:rFonts w:ascii="FrankRuehl" w:hAnsi="FrankRuehl" w:cs="FrankRuehl"/>
            <w:color w:val="0000FF"/>
            <w:u w:val="single"/>
            <w:rtl/>
          </w:rPr>
          <w:t>19א</w:t>
        </w:r>
      </w:hyperlink>
    </w:p>
    <w:p w14:paraId="0C092A14" w14:textId="77777777" w:rsidR="009B3CBF" w:rsidRPr="009B3CBF" w:rsidRDefault="009B3CBF" w:rsidP="009B3CBF">
      <w:pPr>
        <w:spacing w:after="120" w:line="240" w:lineRule="exact"/>
        <w:ind w:left="283" w:hanging="283"/>
        <w:jc w:val="both"/>
        <w:rPr>
          <w:rFonts w:ascii="FrankRuehl" w:hAnsi="FrankRuehl" w:cs="FrankRuehl"/>
          <w:rtl/>
        </w:rPr>
      </w:pPr>
      <w:hyperlink r:id="rId10" w:history="1">
        <w:r w:rsidRPr="009B3CBF">
          <w:rPr>
            <w:rFonts w:ascii="FrankRuehl" w:hAnsi="FrankRuehl" w:cs="FrankRuehl"/>
            <w:color w:val="0000FF"/>
            <w:u w:val="single"/>
            <w:rtl/>
          </w:rPr>
          <w:t>חוק העונשין, תשל"ז-1977</w:t>
        </w:r>
      </w:hyperlink>
      <w:r w:rsidRPr="009B3CBF">
        <w:rPr>
          <w:rFonts w:ascii="FrankRuehl" w:hAnsi="FrankRuehl" w:cs="FrankRuehl"/>
          <w:rtl/>
        </w:rPr>
        <w:t xml:space="preserve">: סע'  </w:t>
      </w:r>
      <w:hyperlink r:id="rId11" w:history="1">
        <w:r w:rsidRPr="009B3CBF">
          <w:rPr>
            <w:rFonts w:ascii="FrankRuehl" w:hAnsi="FrankRuehl" w:cs="FrankRuehl"/>
            <w:color w:val="0000FF"/>
            <w:u w:val="single"/>
            <w:rtl/>
          </w:rPr>
          <w:t>29(א)</w:t>
        </w:r>
      </w:hyperlink>
      <w:r w:rsidRPr="009B3CBF">
        <w:rPr>
          <w:rFonts w:ascii="FrankRuehl" w:hAnsi="FrankRuehl" w:cs="FrankRuehl"/>
          <w:rtl/>
        </w:rPr>
        <w:t xml:space="preserve">, </w:t>
      </w:r>
      <w:hyperlink r:id="rId12" w:history="1">
        <w:r w:rsidRPr="009B3CBF">
          <w:rPr>
            <w:rFonts w:ascii="FrankRuehl" w:hAnsi="FrankRuehl" w:cs="FrankRuehl"/>
            <w:color w:val="0000FF"/>
            <w:u w:val="single"/>
            <w:rtl/>
          </w:rPr>
          <w:t>40ט'</w:t>
        </w:r>
      </w:hyperlink>
      <w:r w:rsidRPr="009B3CBF">
        <w:rPr>
          <w:rFonts w:ascii="FrankRuehl" w:hAnsi="FrankRuehl" w:cs="FrankRuehl"/>
          <w:rtl/>
        </w:rPr>
        <w:t xml:space="preserve">, </w:t>
      </w:r>
      <w:hyperlink r:id="rId13" w:history="1">
        <w:r w:rsidRPr="009B3CBF">
          <w:rPr>
            <w:rFonts w:ascii="FrankRuehl" w:hAnsi="FrankRuehl" w:cs="FrankRuehl"/>
            <w:color w:val="0000FF"/>
            <w:u w:val="single"/>
            <w:rtl/>
          </w:rPr>
          <w:t>40יא</w:t>
        </w:r>
      </w:hyperlink>
    </w:p>
    <w:p w14:paraId="569FED53" w14:textId="77777777" w:rsidR="009B3CBF" w:rsidRPr="009B3CBF" w:rsidRDefault="009B3CBF" w:rsidP="009B3CB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1643" w:rsidRPr="00D31DE8" w14:paraId="58986F3C" w14:textId="77777777" w:rsidTr="00DD1643">
        <w:trPr>
          <w:trHeight w:val="355"/>
          <w:jc w:val="center"/>
        </w:trPr>
        <w:tc>
          <w:tcPr>
            <w:tcW w:w="8820" w:type="dxa"/>
            <w:tcBorders>
              <w:top w:val="nil"/>
              <w:left w:val="nil"/>
              <w:bottom w:val="nil"/>
              <w:right w:val="nil"/>
            </w:tcBorders>
            <w:shd w:val="clear" w:color="auto" w:fill="auto"/>
          </w:tcPr>
          <w:p w14:paraId="50605B7F" w14:textId="77777777" w:rsidR="00573417" w:rsidRPr="00573417" w:rsidRDefault="00573417" w:rsidP="00573417">
            <w:pPr>
              <w:jc w:val="center"/>
              <w:rPr>
                <w:rFonts w:ascii="Arial" w:hAnsi="Arial" w:cs="FrankRuehl"/>
                <w:b/>
                <w:bCs/>
                <w:sz w:val="28"/>
                <w:szCs w:val="28"/>
                <w:u w:val="single"/>
                <w:rtl/>
              </w:rPr>
            </w:pPr>
            <w:bookmarkStart w:id="4" w:name="LawTable_End"/>
            <w:bookmarkStart w:id="5" w:name="PsakDin" w:colFirst="0" w:colLast="0"/>
            <w:bookmarkEnd w:id="0"/>
            <w:bookmarkEnd w:id="4"/>
            <w:r w:rsidRPr="00573417">
              <w:rPr>
                <w:rFonts w:ascii="Arial" w:hAnsi="Arial" w:cs="FrankRuehl"/>
                <w:b/>
                <w:bCs/>
                <w:sz w:val="28"/>
                <w:szCs w:val="28"/>
                <w:u w:val="single"/>
                <w:rtl/>
              </w:rPr>
              <w:t>גזר דין</w:t>
            </w:r>
          </w:p>
          <w:p w14:paraId="1BA308E1" w14:textId="77777777" w:rsidR="00DD1643" w:rsidRPr="00573417" w:rsidRDefault="00DD1643" w:rsidP="00573417">
            <w:pPr>
              <w:jc w:val="center"/>
              <w:rPr>
                <w:rFonts w:ascii="Arial" w:hAnsi="Arial" w:cs="FrankRuehl"/>
                <w:bCs/>
                <w:sz w:val="28"/>
                <w:szCs w:val="28"/>
                <w:u w:val="single"/>
                <w:rtl/>
              </w:rPr>
            </w:pPr>
          </w:p>
        </w:tc>
      </w:tr>
      <w:bookmarkEnd w:id="5"/>
    </w:tbl>
    <w:p w14:paraId="6AF04648" w14:textId="77777777" w:rsidR="00DD1643" w:rsidRPr="00D31DE8" w:rsidRDefault="00DD1643" w:rsidP="00DD1643">
      <w:pPr>
        <w:rPr>
          <w:rFonts w:ascii="Arial" w:hAnsi="Arial" w:cs="FrankRuehl"/>
          <w:sz w:val="28"/>
          <w:szCs w:val="28"/>
          <w:rtl/>
        </w:rPr>
      </w:pPr>
    </w:p>
    <w:p w14:paraId="1EC5312B" w14:textId="77777777" w:rsidR="00DD1643" w:rsidRPr="00D31DE8" w:rsidRDefault="00DD1643" w:rsidP="00DD1643">
      <w:pPr>
        <w:rPr>
          <w:rFonts w:ascii="Arial" w:hAnsi="Arial" w:cs="FrankRuehl"/>
          <w:sz w:val="28"/>
          <w:szCs w:val="28"/>
          <w:rtl/>
        </w:rPr>
      </w:pPr>
    </w:p>
    <w:p w14:paraId="0DFBFF96" w14:textId="77777777" w:rsidR="00DD1643" w:rsidRPr="00D31DE8" w:rsidRDefault="00DD1643" w:rsidP="00DD1643">
      <w:pPr>
        <w:rPr>
          <w:rFonts w:cs="FrankRuehl"/>
          <w:sz w:val="28"/>
          <w:szCs w:val="28"/>
          <w:rtl/>
        </w:rPr>
      </w:pPr>
    </w:p>
    <w:p w14:paraId="1788E37A" w14:textId="77777777" w:rsidR="00DD1643" w:rsidRPr="00D31DE8" w:rsidRDefault="00DD1643" w:rsidP="00DD1643">
      <w:pPr>
        <w:spacing w:line="360" w:lineRule="auto"/>
        <w:rPr>
          <w:rFonts w:cs="FrankRuehl"/>
          <w:b/>
          <w:bCs/>
          <w:sz w:val="28"/>
          <w:szCs w:val="28"/>
          <w:u w:val="single"/>
        </w:rPr>
      </w:pPr>
      <w:r w:rsidRPr="00D31DE8">
        <w:rPr>
          <w:rFonts w:cs="FrankRuehl" w:hint="cs"/>
          <w:b/>
          <w:bCs/>
          <w:sz w:val="28"/>
          <w:szCs w:val="28"/>
          <w:u w:val="single"/>
          <w:rtl/>
        </w:rPr>
        <w:t>כתב האישום</w:t>
      </w:r>
    </w:p>
    <w:p w14:paraId="798B8BD2" w14:textId="77777777" w:rsidR="00DD1643" w:rsidRPr="00D31DE8" w:rsidRDefault="00DD1643" w:rsidP="00DD1643">
      <w:pPr>
        <w:spacing w:line="360" w:lineRule="auto"/>
        <w:jc w:val="both"/>
        <w:rPr>
          <w:rFonts w:cs="FrankRuehl"/>
          <w:sz w:val="28"/>
          <w:szCs w:val="28"/>
          <w:rtl/>
        </w:rPr>
      </w:pPr>
      <w:bookmarkStart w:id="6" w:name="ABSTRACT_START"/>
      <w:bookmarkEnd w:id="6"/>
      <w:r w:rsidRPr="00D31DE8">
        <w:rPr>
          <w:rFonts w:cs="FrankRuehl" w:hint="cs"/>
          <w:sz w:val="28"/>
          <w:szCs w:val="28"/>
          <w:rtl/>
        </w:rPr>
        <w:t xml:space="preserve">הנאשם הורשע על פי הודאתו בעובדות כתב אישום מתוקן, בביצוע עבירה של סחר בסמים בצוותא, לפי </w:t>
      </w:r>
      <w:hyperlink r:id="rId14" w:history="1">
        <w:r w:rsidR="009B3CBF" w:rsidRPr="009B3CBF">
          <w:rPr>
            <w:rFonts w:cs="FrankRuehl"/>
            <w:color w:val="0000FF"/>
            <w:sz w:val="28"/>
            <w:szCs w:val="28"/>
            <w:u w:val="single"/>
            <w:rtl/>
          </w:rPr>
          <w:t>סעיפים 13</w:t>
        </w:r>
      </w:hyperlink>
      <w:r w:rsidRPr="00D31DE8">
        <w:rPr>
          <w:rFonts w:cs="FrankRuehl" w:hint="cs"/>
          <w:sz w:val="28"/>
          <w:szCs w:val="28"/>
          <w:rtl/>
        </w:rPr>
        <w:t xml:space="preserve"> + </w:t>
      </w:r>
      <w:hyperlink r:id="rId15" w:history="1">
        <w:r w:rsidR="009B3CBF" w:rsidRPr="009B3CBF">
          <w:rPr>
            <w:rFonts w:cs="FrankRuehl"/>
            <w:color w:val="0000FF"/>
            <w:sz w:val="28"/>
            <w:szCs w:val="28"/>
            <w:u w:val="single"/>
            <w:rtl/>
          </w:rPr>
          <w:t>19א</w:t>
        </w:r>
      </w:hyperlink>
      <w:r w:rsidRPr="00D31DE8">
        <w:rPr>
          <w:rFonts w:cs="FrankRuehl" w:hint="cs"/>
          <w:sz w:val="28"/>
          <w:szCs w:val="28"/>
          <w:rtl/>
        </w:rPr>
        <w:t xml:space="preserve"> ל</w:t>
      </w:r>
      <w:hyperlink r:id="rId16" w:history="1">
        <w:r w:rsidR="00573417" w:rsidRPr="00573417">
          <w:rPr>
            <w:rFonts w:cs="FrankRuehl"/>
            <w:color w:val="0000FF"/>
            <w:sz w:val="28"/>
            <w:szCs w:val="28"/>
            <w:u w:val="single"/>
            <w:rtl/>
          </w:rPr>
          <w:t>פקודת הסמים המסוכנים</w:t>
        </w:r>
      </w:hyperlink>
      <w:r w:rsidRPr="00D31DE8">
        <w:rPr>
          <w:rFonts w:cs="FrankRuehl" w:hint="cs"/>
          <w:sz w:val="28"/>
          <w:szCs w:val="28"/>
          <w:rtl/>
        </w:rPr>
        <w:t xml:space="preserve"> [נוסח חדש], תשל"ג-1973 (להלן </w:t>
      </w:r>
      <w:r w:rsidRPr="00D31DE8">
        <w:rPr>
          <w:rFonts w:cs="FrankRuehl"/>
          <w:sz w:val="28"/>
          <w:szCs w:val="28"/>
          <w:rtl/>
        </w:rPr>
        <w:t>–</w:t>
      </w:r>
      <w:r w:rsidRPr="00D31DE8">
        <w:rPr>
          <w:rFonts w:cs="FrankRuehl" w:hint="cs"/>
          <w:sz w:val="28"/>
          <w:szCs w:val="28"/>
          <w:rtl/>
        </w:rPr>
        <w:t xml:space="preserve"> </w:t>
      </w:r>
      <w:r w:rsidRPr="00D31DE8">
        <w:rPr>
          <w:rFonts w:cs="FrankRuehl" w:hint="cs"/>
          <w:b/>
          <w:bCs/>
          <w:sz w:val="28"/>
          <w:szCs w:val="28"/>
          <w:rtl/>
        </w:rPr>
        <w:t>הפקודה</w:t>
      </w:r>
      <w:r w:rsidRPr="00D31DE8">
        <w:rPr>
          <w:rFonts w:cs="FrankRuehl" w:hint="cs"/>
          <w:sz w:val="28"/>
          <w:szCs w:val="28"/>
          <w:rtl/>
        </w:rPr>
        <w:t>) ו-</w:t>
      </w:r>
      <w:hyperlink r:id="rId17" w:history="1">
        <w:r w:rsidR="009B3CBF" w:rsidRPr="009B3CBF">
          <w:rPr>
            <w:rFonts w:cs="FrankRuehl"/>
            <w:color w:val="0000FF"/>
            <w:sz w:val="28"/>
            <w:szCs w:val="28"/>
            <w:u w:val="single"/>
            <w:rtl/>
          </w:rPr>
          <w:t>29(א)</w:t>
        </w:r>
      </w:hyperlink>
      <w:r w:rsidRPr="00D31DE8">
        <w:rPr>
          <w:rFonts w:cs="FrankRuehl" w:hint="cs"/>
          <w:sz w:val="28"/>
          <w:szCs w:val="28"/>
          <w:rtl/>
        </w:rPr>
        <w:t xml:space="preserve"> ל</w:t>
      </w:r>
      <w:hyperlink r:id="rId18" w:history="1">
        <w:r w:rsidR="00573417" w:rsidRPr="00573417">
          <w:rPr>
            <w:rFonts w:cs="FrankRuehl"/>
            <w:color w:val="0000FF"/>
            <w:sz w:val="28"/>
            <w:szCs w:val="28"/>
            <w:u w:val="single"/>
            <w:rtl/>
          </w:rPr>
          <w:t>חוק העונשין</w:t>
        </w:r>
      </w:hyperlink>
      <w:r w:rsidRPr="00D31DE8">
        <w:rPr>
          <w:rFonts w:cs="FrankRuehl" w:hint="cs"/>
          <w:sz w:val="28"/>
          <w:szCs w:val="28"/>
          <w:rtl/>
        </w:rPr>
        <w:t xml:space="preserve">, התשל"ז-1977 </w:t>
      </w:r>
      <w:bookmarkStart w:id="7" w:name="ABSTRACT_END"/>
      <w:bookmarkEnd w:id="7"/>
      <w:r w:rsidRPr="00D31DE8">
        <w:rPr>
          <w:rFonts w:cs="FrankRuehl" w:hint="cs"/>
          <w:sz w:val="28"/>
          <w:szCs w:val="28"/>
          <w:rtl/>
        </w:rPr>
        <w:t xml:space="preserve">(להלן </w:t>
      </w:r>
      <w:r w:rsidRPr="00D31DE8">
        <w:rPr>
          <w:rFonts w:cs="FrankRuehl"/>
          <w:sz w:val="28"/>
          <w:szCs w:val="28"/>
          <w:rtl/>
        </w:rPr>
        <w:t>–</w:t>
      </w:r>
      <w:r w:rsidRPr="00D31DE8">
        <w:rPr>
          <w:rFonts w:cs="FrankRuehl" w:hint="cs"/>
          <w:sz w:val="28"/>
          <w:szCs w:val="28"/>
          <w:rtl/>
        </w:rPr>
        <w:t xml:space="preserve"> </w:t>
      </w:r>
      <w:r w:rsidRPr="00D31DE8">
        <w:rPr>
          <w:rFonts w:cs="FrankRuehl" w:hint="cs"/>
          <w:b/>
          <w:bCs/>
          <w:sz w:val="28"/>
          <w:szCs w:val="28"/>
          <w:rtl/>
        </w:rPr>
        <w:t>חוק העונשין</w:t>
      </w:r>
      <w:r w:rsidRPr="00D31DE8">
        <w:rPr>
          <w:rFonts w:cs="FrankRuehl" w:hint="cs"/>
          <w:sz w:val="28"/>
          <w:szCs w:val="28"/>
          <w:rtl/>
        </w:rPr>
        <w:t>).</w:t>
      </w:r>
    </w:p>
    <w:p w14:paraId="797FE295" w14:textId="77777777" w:rsidR="00DD1643" w:rsidRPr="00D31DE8" w:rsidRDefault="00DD1643" w:rsidP="00DD1643">
      <w:pPr>
        <w:spacing w:line="360" w:lineRule="auto"/>
        <w:jc w:val="both"/>
        <w:rPr>
          <w:rFonts w:cs="FrankRuehl"/>
          <w:sz w:val="28"/>
          <w:szCs w:val="28"/>
          <w:rtl/>
        </w:rPr>
      </w:pPr>
    </w:p>
    <w:p w14:paraId="3A247287" w14:textId="77777777" w:rsidR="00DD1643" w:rsidRPr="00D31DE8" w:rsidRDefault="00DD1643" w:rsidP="00DD1643">
      <w:pPr>
        <w:spacing w:line="360" w:lineRule="auto"/>
        <w:jc w:val="both"/>
        <w:rPr>
          <w:rFonts w:cs="FrankRuehl"/>
          <w:sz w:val="28"/>
          <w:szCs w:val="28"/>
          <w:rtl/>
        </w:rPr>
      </w:pPr>
      <w:r w:rsidRPr="00D31DE8">
        <w:rPr>
          <w:rFonts w:cs="FrankRuehl" w:hint="cs"/>
          <w:sz w:val="28"/>
          <w:szCs w:val="28"/>
          <w:rtl/>
        </w:rPr>
        <w:t xml:space="preserve">מעובדות כתב האישום עולה, כי ביום 1.1.2019 התקשר שוטר שהתחזה ל"שימי" לקטין והתעניין ברכישת "ירוק" במשקל 50 גרם. נוהלו מספר שיחות בעניין ובהמשך, יצר הקטין קשר עם קטין אחר המכונה ע'. בסמוך לדירתו של הנאשם פעלו הנאשם והקטינים למסור כ-50 גרם קנבוס לשימי בתמורה ל-2,300 ₪. לשם כך אספו הנאשם והקטינים את הסם, שקלוהו וחילקוהו לשתי </w:t>
      </w:r>
      <w:r w:rsidRPr="00D31DE8">
        <w:rPr>
          <w:rFonts w:cs="FrankRuehl" w:hint="cs"/>
          <w:sz w:val="28"/>
          <w:szCs w:val="28"/>
          <w:rtl/>
        </w:rPr>
        <w:lastRenderedPageBreak/>
        <w:t>שקיות.  בנוסף סיכמו ביניהם על חלוקת הרווח מתמורת הסם הצפויה. תואמה פגישה בין הקטין לשימי ובשעה 18:30 לערך, הגיע הקטין למקום, פגש את שימי, והשניים הלכו לכיוון העיר העתיקה, שם פגשו בקטין ע'. שימי העביר לשני הקטינים סכום של 2,300 ₪ והשלושה הלכו לכיוון שער יפו, שם נפרדו הקטינים משימי. כעבור מספר רגעים, חזרו הקטינים ביחד עם הנאשם לאזור שער יפו, ופגשו בשימי. הקטינים העבירו לשימי את השקית ובה הסם ובסה"כ היו בה 66.02 גרם קנביס.</w:t>
      </w:r>
    </w:p>
    <w:p w14:paraId="234A7D63" w14:textId="77777777" w:rsidR="00DD1643" w:rsidRPr="00D31DE8" w:rsidRDefault="00DD1643" w:rsidP="00DD1643">
      <w:pPr>
        <w:spacing w:line="360" w:lineRule="auto"/>
        <w:jc w:val="both"/>
        <w:rPr>
          <w:rFonts w:cs="FrankRuehl"/>
          <w:sz w:val="28"/>
          <w:szCs w:val="28"/>
        </w:rPr>
      </w:pPr>
    </w:p>
    <w:p w14:paraId="7BB8F85B" w14:textId="77777777" w:rsidR="00DD1643" w:rsidRPr="00D31DE8" w:rsidRDefault="00DD1643" w:rsidP="00DD1643">
      <w:pPr>
        <w:spacing w:line="360" w:lineRule="auto"/>
        <w:jc w:val="both"/>
        <w:rPr>
          <w:rFonts w:cs="FrankRuehl"/>
          <w:b/>
          <w:bCs/>
          <w:sz w:val="28"/>
          <w:szCs w:val="28"/>
          <w:u w:val="single"/>
        </w:rPr>
      </w:pPr>
    </w:p>
    <w:p w14:paraId="021CC083" w14:textId="77777777" w:rsidR="00DD1643" w:rsidRPr="00D31DE8" w:rsidRDefault="00DD1643" w:rsidP="00DD1643">
      <w:pPr>
        <w:spacing w:line="360" w:lineRule="auto"/>
        <w:jc w:val="both"/>
        <w:rPr>
          <w:rFonts w:cs="FrankRuehl"/>
          <w:b/>
          <w:bCs/>
          <w:sz w:val="28"/>
          <w:szCs w:val="28"/>
          <w:u w:val="single"/>
        </w:rPr>
      </w:pPr>
      <w:r w:rsidRPr="00D31DE8">
        <w:rPr>
          <w:rFonts w:cs="FrankRuehl" w:hint="cs"/>
          <w:b/>
          <w:bCs/>
          <w:sz w:val="28"/>
          <w:szCs w:val="28"/>
          <w:u w:val="single"/>
          <w:rtl/>
        </w:rPr>
        <w:t>מהלך הדיון</w:t>
      </w:r>
    </w:p>
    <w:p w14:paraId="24120209" w14:textId="77777777" w:rsidR="00DD1643" w:rsidRPr="00D31DE8" w:rsidRDefault="00DD1643" w:rsidP="00DD1643">
      <w:pPr>
        <w:spacing w:line="360" w:lineRule="auto"/>
        <w:jc w:val="both"/>
        <w:rPr>
          <w:rFonts w:cs="FrankRuehl"/>
          <w:sz w:val="28"/>
          <w:szCs w:val="28"/>
          <w:rtl/>
        </w:rPr>
      </w:pPr>
      <w:r w:rsidRPr="00D31DE8">
        <w:rPr>
          <w:rFonts w:cs="FrankRuehl" w:hint="cs"/>
          <w:sz w:val="28"/>
          <w:szCs w:val="28"/>
          <w:rtl/>
        </w:rPr>
        <w:t xml:space="preserve">נגד הנאשם הוגש כתב אישום יחד עם בקשה למעצרו עד לתום ההליכים נגדו. </w:t>
      </w:r>
    </w:p>
    <w:p w14:paraId="61E4DFB2" w14:textId="77777777" w:rsidR="00DD1643" w:rsidRPr="00D31DE8" w:rsidRDefault="00DD1643" w:rsidP="00DD1643">
      <w:pPr>
        <w:spacing w:line="360" w:lineRule="auto"/>
        <w:jc w:val="both"/>
        <w:rPr>
          <w:rFonts w:cs="FrankRuehl"/>
          <w:sz w:val="28"/>
          <w:szCs w:val="28"/>
          <w:rtl/>
        </w:rPr>
      </w:pPr>
      <w:r w:rsidRPr="00D31DE8">
        <w:rPr>
          <w:rFonts w:cs="FrankRuehl" w:hint="cs"/>
          <w:sz w:val="28"/>
          <w:szCs w:val="28"/>
          <w:rtl/>
        </w:rPr>
        <w:t>ביום 9.1.2019 הורה כב' השופט הבכיר צימרמן על שחרורו של הנאשם למעצר בית מלא, ובהמשך, ביום 27.2.2019, הורה על הקלה מסוימת בתנאים, בדמות אפשרות יציאה לטיפולים בליווי ובפיקוח.</w:t>
      </w:r>
    </w:p>
    <w:p w14:paraId="2466AAFF" w14:textId="77777777" w:rsidR="00DD1643" w:rsidRPr="00D31DE8" w:rsidRDefault="00DD1643" w:rsidP="00DD1643">
      <w:pPr>
        <w:spacing w:line="360" w:lineRule="auto"/>
        <w:jc w:val="both"/>
        <w:rPr>
          <w:rFonts w:cs="FrankRuehl"/>
          <w:sz w:val="28"/>
          <w:szCs w:val="28"/>
        </w:rPr>
      </w:pPr>
      <w:r w:rsidRPr="00D31DE8">
        <w:rPr>
          <w:rFonts w:cs="FrankRuehl" w:hint="cs"/>
          <w:sz w:val="28"/>
          <w:szCs w:val="28"/>
          <w:rtl/>
        </w:rPr>
        <w:t xml:space="preserve">הנאשם היה עצור בתיק זה מעצר ממש מיום 1.1.2019 ועד יום 9.1.2019, קרי </w:t>
      </w:r>
      <w:r w:rsidRPr="00D31DE8">
        <w:rPr>
          <w:rFonts w:cs="FrankRuehl"/>
          <w:sz w:val="28"/>
          <w:szCs w:val="28"/>
          <w:rtl/>
        </w:rPr>
        <w:t>–</w:t>
      </w:r>
      <w:r w:rsidRPr="00D31DE8">
        <w:rPr>
          <w:rFonts w:cs="FrankRuehl" w:hint="cs"/>
          <w:sz w:val="28"/>
          <w:szCs w:val="28"/>
          <w:rtl/>
        </w:rPr>
        <w:t xml:space="preserve"> 9 ימים.</w:t>
      </w:r>
    </w:p>
    <w:p w14:paraId="11BAD1BB" w14:textId="77777777" w:rsidR="00DD1643" w:rsidRPr="00D31DE8" w:rsidRDefault="00DD1643" w:rsidP="00DD1643">
      <w:pPr>
        <w:spacing w:line="360" w:lineRule="auto"/>
        <w:jc w:val="both"/>
        <w:rPr>
          <w:rFonts w:cs="FrankRuehl"/>
          <w:b/>
          <w:bCs/>
          <w:sz w:val="28"/>
          <w:szCs w:val="28"/>
          <w:u w:val="single"/>
          <w:rtl/>
        </w:rPr>
      </w:pPr>
    </w:p>
    <w:p w14:paraId="470CA549" w14:textId="77777777" w:rsidR="00DD1643" w:rsidRPr="00D31DE8" w:rsidRDefault="00DD1643" w:rsidP="00DD1643">
      <w:pPr>
        <w:spacing w:line="360" w:lineRule="auto"/>
        <w:jc w:val="both"/>
        <w:rPr>
          <w:rFonts w:cs="FrankRuehl"/>
          <w:b/>
          <w:bCs/>
          <w:sz w:val="28"/>
          <w:szCs w:val="28"/>
          <w:u w:val="single"/>
          <w:rtl/>
        </w:rPr>
      </w:pPr>
      <w:r w:rsidRPr="00D31DE8">
        <w:rPr>
          <w:rFonts w:cs="FrankRuehl" w:hint="cs"/>
          <w:b/>
          <w:bCs/>
          <w:sz w:val="28"/>
          <w:szCs w:val="28"/>
          <w:u w:val="single"/>
          <w:rtl/>
        </w:rPr>
        <w:t>תסקיר</w:t>
      </w:r>
    </w:p>
    <w:p w14:paraId="4B2DBDC2" w14:textId="77777777" w:rsidR="00DD1643" w:rsidRPr="00D31DE8" w:rsidRDefault="00DD1643" w:rsidP="00DD1643">
      <w:pPr>
        <w:spacing w:line="360" w:lineRule="auto"/>
        <w:jc w:val="both"/>
        <w:rPr>
          <w:rFonts w:cs="FrankRuehl"/>
          <w:sz w:val="28"/>
          <w:szCs w:val="28"/>
          <w:rtl/>
        </w:rPr>
      </w:pPr>
      <w:r w:rsidRPr="00D31DE8">
        <w:rPr>
          <w:rFonts w:cs="FrankRuehl" w:hint="cs"/>
          <w:sz w:val="28"/>
          <w:szCs w:val="28"/>
          <w:rtl/>
        </w:rPr>
        <w:t>מהתסקיר שהוגש בעניינו של הנאשם עולה כי הנאשם, כבן 21, רווק, בעל אזרחות צרפתית השוהה בישראל במעמד של תייר ולומד בישיבה בעיר העתיקה בירושלים. הנאשם מגיע ממשפחה מרובת ילדים המנהלת אורח חיים חרדי ומתגוררת בצרפת. מתואר קשר טוב למשפחה. כאמור הנאשם נולד וגדל בצרפת, השתלב במוסדות חינוך של הקהילה היהודית-חרדית במקום מגוריו. עבר מספר מסגרות חינוך, בשל קשיי הסתגלות, ל</w:t>
      </w:r>
      <w:r>
        <w:rPr>
          <w:rFonts w:cs="FrankRuehl" w:hint="cs"/>
          <w:sz w:val="28"/>
          <w:szCs w:val="28"/>
          <w:rtl/>
        </w:rPr>
        <w:t>ב</w:t>
      </w:r>
      <w:r w:rsidRPr="00D31DE8">
        <w:rPr>
          <w:rFonts w:cs="FrankRuehl" w:hint="cs"/>
          <w:sz w:val="28"/>
          <w:szCs w:val="28"/>
          <w:rtl/>
        </w:rPr>
        <w:t xml:space="preserve">סוף סיים את לימודיו בגיל 14. הנאשם סיפר כי החל להשתמש בקנאביס בסביבות גיל 16. תחילה באופן מזדמן, אולם עם הזמן השימוש הפך להתמכרותי. </w:t>
      </w:r>
      <w:r>
        <w:rPr>
          <w:rFonts w:cs="FrankRuehl" w:hint="cs"/>
          <w:sz w:val="28"/>
          <w:szCs w:val="28"/>
          <w:rtl/>
        </w:rPr>
        <w:t xml:space="preserve">הוא </w:t>
      </w:r>
      <w:r w:rsidRPr="00D31DE8">
        <w:rPr>
          <w:rFonts w:cs="FrankRuehl" w:hint="cs"/>
          <w:sz w:val="28"/>
          <w:szCs w:val="28"/>
          <w:rtl/>
        </w:rPr>
        <w:t xml:space="preserve">עלה לישראל בגיל 18 והשתלב בישיבה בירושלים, אך תיאר כי התקשה לעמוד בדרישות המסגרת. החל לשוטט ברחובות והמשיך את השימוש בקנאביס. </w:t>
      </w:r>
      <w:r>
        <w:rPr>
          <w:rFonts w:cs="FrankRuehl" w:hint="cs"/>
          <w:sz w:val="28"/>
          <w:szCs w:val="28"/>
          <w:rtl/>
        </w:rPr>
        <w:t xml:space="preserve">הוא </w:t>
      </w:r>
      <w:r w:rsidRPr="00D31DE8">
        <w:rPr>
          <w:rFonts w:cs="FrankRuehl" w:hint="cs"/>
          <w:sz w:val="28"/>
          <w:szCs w:val="28"/>
          <w:rtl/>
        </w:rPr>
        <w:t xml:space="preserve">עבד בעבודות מזדמנות ואף גנב מדי פעם כדי לממן את צריכת הסמים. הנאשם נעדר הרשעות קודמות. בהתייחס לעבירה המיוחסת לו, סיפר הנאשם לשירות המבחן כי החל לסחור בקנאביס על מנת לממן את השימוש העצמי. הנאשם לקח אחריות על ביצוע המעשים והביע חרטה על מעשיו. להתרשמות שירות המבחן, </w:t>
      </w:r>
      <w:r>
        <w:rPr>
          <w:rFonts w:cs="FrankRuehl" w:hint="cs"/>
          <w:sz w:val="28"/>
          <w:szCs w:val="28"/>
          <w:rtl/>
        </w:rPr>
        <w:t>הנאשם הכיר ב</w:t>
      </w:r>
      <w:r w:rsidRPr="00D31DE8">
        <w:rPr>
          <w:rFonts w:cs="FrankRuehl" w:hint="cs"/>
          <w:sz w:val="28"/>
          <w:szCs w:val="28"/>
          <w:rtl/>
        </w:rPr>
        <w:t xml:space="preserve">קשר הסיבתי בין התמכרותו לסמים </w:t>
      </w:r>
      <w:r>
        <w:rPr>
          <w:rFonts w:cs="FrankRuehl" w:hint="cs"/>
          <w:sz w:val="28"/>
          <w:szCs w:val="28"/>
          <w:rtl/>
        </w:rPr>
        <w:t xml:space="preserve">לבין מעורבותו בעבירה הנוכחית. הנאשם היה במעקב שירות המבחן, מסר בדיקות שתן סדירות שגילו כי הוא נקי מסמים, ושיתף פעולה בסופו של דבר עם התהליך הטיפולי. שירות המבחן סבר כי הנאשם הפיק </w:t>
      </w:r>
      <w:r>
        <w:rPr>
          <w:rFonts w:cs="FrankRuehl" w:hint="cs"/>
          <w:sz w:val="28"/>
          <w:szCs w:val="28"/>
          <w:rtl/>
        </w:rPr>
        <w:lastRenderedPageBreak/>
        <w:t xml:space="preserve">תועלת מכך. </w:t>
      </w:r>
      <w:r w:rsidRPr="00D31DE8">
        <w:rPr>
          <w:rFonts w:cs="FrankRuehl" w:hint="cs"/>
          <w:sz w:val="28"/>
          <w:szCs w:val="28"/>
          <w:rtl/>
        </w:rPr>
        <w:t>הנאשם סיפר לשירות המבחן כי בשנה האחרונה עבר טיפול פרטי לגמילה מסמים</w:t>
      </w:r>
      <w:r>
        <w:rPr>
          <w:rFonts w:cs="FrankRuehl" w:hint="cs"/>
          <w:sz w:val="28"/>
          <w:szCs w:val="28"/>
          <w:rtl/>
        </w:rPr>
        <w:t xml:space="preserve"> (צורפה אסמכתא) </w:t>
      </w:r>
      <w:r w:rsidRPr="00D31DE8">
        <w:rPr>
          <w:rFonts w:cs="FrankRuehl" w:hint="cs"/>
          <w:sz w:val="28"/>
          <w:szCs w:val="28"/>
          <w:rtl/>
        </w:rPr>
        <w:t xml:space="preserve"> ותיאר כי היום כבר לא מכור לסמים ואינו מרגיש צורך פיזי ורגשי לחזור לשימוש. שירות המבחן שוחח עם המטפל וזה תיאר את שיטות הטיפול שעבר הנאשם וסיפר כי הנאשם נקי לחלוטין מצריכת סמים ולהערכתו אינו ישוב להשתמש בסמים.  שירות המבחן ציין כי בשל מעמדו האזרחי של הנאשם אין באפשרותו לממן השתלבות בהמשך תכנית טיפולית לגמילה מסמים, ומאחר ונגמל אינו זקוק לטיפול עוד, מבקש לסיים את ההליך הפלילי ולחזור לצרפת. שירות המבחן התרשם כי על אף חומרת העבירה, לנוכח תהליך הגמילה ושיתוף הפעולה, חל שינוי חיובי במצבו של הנאשם ופחת הסיכון להישנות מעורבות בעבירות סמים בטווח הקרוב, לכן לדעתו ריצוי עונש של מאסר בפועל עשוי להעמיק את דפוסי ההתנהגות העבריינית של הנאשם, לכם ממליצים על הטלת ענישה מרתיעה ומציבת גבולות בדמות של מאסר קצר בעבודות שירות. </w:t>
      </w:r>
    </w:p>
    <w:p w14:paraId="34D585F5" w14:textId="77777777" w:rsidR="00DD1643" w:rsidRPr="00D31DE8" w:rsidRDefault="00DD1643" w:rsidP="00DD1643">
      <w:pPr>
        <w:spacing w:line="360" w:lineRule="auto"/>
        <w:jc w:val="both"/>
        <w:rPr>
          <w:rFonts w:cs="FrankRuehl"/>
          <w:b/>
          <w:bCs/>
          <w:sz w:val="28"/>
          <w:szCs w:val="28"/>
          <w:u w:val="single"/>
        </w:rPr>
      </w:pPr>
    </w:p>
    <w:p w14:paraId="7E80D09B" w14:textId="77777777" w:rsidR="00DD1643" w:rsidRPr="00D31DE8" w:rsidRDefault="00DD1643" w:rsidP="00DD1643">
      <w:pPr>
        <w:spacing w:line="360" w:lineRule="auto"/>
        <w:jc w:val="both"/>
        <w:rPr>
          <w:rFonts w:cs="FrankRuehl"/>
          <w:b/>
          <w:bCs/>
          <w:sz w:val="28"/>
          <w:szCs w:val="28"/>
          <w:u w:val="single"/>
          <w:rtl/>
        </w:rPr>
      </w:pPr>
      <w:r w:rsidRPr="00D31DE8">
        <w:rPr>
          <w:rFonts w:cs="FrankRuehl" w:hint="cs"/>
          <w:b/>
          <w:bCs/>
          <w:sz w:val="28"/>
          <w:szCs w:val="28"/>
          <w:u w:val="single"/>
          <w:rtl/>
        </w:rPr>
        <w:t>חוות דעת של הממונה על עבודות השירות</w:t>
      </w:r>
    </w:p>
    <w:p w14:paraId="2ECFCAE3" w14:textId="77777777" w:rsidR="00DD1643" w:rsidRPr="00D31DE8" w:rsidRDefault="00DD1643" w:rsidP="00DD1643">
      <w:pPr>
        <w:spacing w:line="360" w:lineRule="auto"/>
        <w:jc w:val="both"/>
        <w:rPr>
          <w:rFonts w:cs="FrankRuehl"/>
          <w:sz w:val="28"/>
          <w:szCs w:val="28"/>
          <w:rtl/>
        </w:rPr>
      </w:pPr>
      <w:r w:rsidRPr="00D31DE8">
        <w:rPr>
          <w:rFonts w:cs="FrankRuehl" w:hint="cs"/>
          <w:sz w:val="28"/>
          <w:szCs w:val="28"/>
          <w:rtl/>
        </w:rPr>
        <w:t xml:space="preserve">הממונה הגיש חוות דעת על אודות כשירות הנאשם לבצע מאסר בעבודות שירות. מחוות הדעת עולה, כי הנאשם כשיר ומתאים </w:t>
      </w:r>
      <w:r>
        <w:rPr>
          <w:rFonts w:cs="FrankRuehl" w:hint="cs"/>
          <w:sz w:val="28"/>
          <w:szCs w:val="28"/>
          <w:rtl/>
        </w:rPr>
        <w:t xml:space="preserve">לבצע עבודות שירות במפעל חיים ברח' הצבי 11 בירושלים, החל מיום 18.3.2020. </w:t>
      </w:r>
    </w:p>
    <w:p w14:paraId="74A7349D" w14:textId="77777777" w:rsidR="00DD1643" w:rsidRPr="00D31DE8" w:rsidRDefault="00DD1643" w:rsidP="00DD1643">
      <w:pPr>
        <w:spacing w:line="360" w:lineRule="auto"/>
        <w:jc w:val="both"/>
        <w:rPr>
          <w:rFonts w:cs="FrankRuehl"/>
          <w:sz w:val="28"/>
          <w:szCs w:val="28"/>
          <w:rtl/>
        </w:rPr>
      </w:pPr>
    </w:p>
    <w:p w14:paraId="4D9A562F" w14:textId="77777777" w:rsidR="00DD1643" w:rsidRPr="00D31DE8" w:rsidRDefault="00DD1643" w:rsidP="00DD1643">
      <w:pPr>
        <w:spacing w:line="360" w:lineRule="auto"/>
        <w:jc w:val="both"/>
        <w:rPr>
          <w:rFonts w:cs="FrankRuehl"/>
          <w:b/>
          <w:bCs/>
          <w:sz w:val="28"/>
          <w:szCs w:val="28"/>
          <w:u w:val="single"/>
          <w:rtl/>
        </w:rPr>
      </w:pPr>
      <w:r w:rsidRPr="00D31DE8">
        <w:rPr>
          <w:rFonts w:cs="FrankRuehl" w:hint="cs"/>
          <w:b/>
          <w:bCs/>
          <w:sz w:val="28"/>
          <w:szCs w:val="28"/>
          <w:u w:val="single"/>
          <w:rtl/>
        </w:rPr>
        <w:t>טיעונים לעונש</w:t>
      </w:r>
    </w:p>
    <w:p w14:paraId="34E91953" w14:textId="77777777" w:rsidR="00DD1643" w:rsidRPr="00D31DE8" w:rsidRDefault="00DD1643" w:rsidP="00DD1643">
      <w:pPr>
        <w:spacing w:line="360" w:lineRule="auto"/>
        <w:jc w:val="both"/>
        <w:rPr>
          <w:rFonts w:cs="FrankRuehl"/>
          <w:sz w:val="28"/>
          <w:szCs w:val="28"/>
          <w:rtl/>
        </w:rPr>
      </w:pPr>
      <w:r w:rsidRPr="00D31DE8">
        <w:rPr>
          <w:rFonts w:cs="FrankRuehl" w:hint="cs"/>
          <w:sz w:val="28"/>
          <w:szCs w:val="28"/>
          <w:rtl/>
        </w:rPr>
        <w:t xml:space="preserve">הצדדים הגיעו להסכמה עונשית ולפיה יוטל על הנאשם עונש של </w:t>
      </w:r>
    </w:p>
    <w:p w14:paraId="6D7D4D3B" w14:textId="77777777" w:rsidR="00DD1643" w:rsidRPr="00D31DE8" w:rsidRDefault="00DD1643" w:rsidP="00DD1643">
      <w:pPr>
        <w:spacing w:line="360" w:lineRule="auto"/>
        <w:jc w:val="both"/>
        <w:rPr>
          <w:rFonts w:cs="FrankRuehl"/>
          <w:sz w:val="28"/>
          <w:szCs w:val="28"/>
          <w:rtl/>
        </w:rPr>
      </w:pPr>
      <w:r w:rsidRPr="00D31DE8">
        <w:rPr>
          <w:rFonts w:cs="FrankRuehl" w:hint="cs"/>
          <w:sz w:val="28"/>
          <w:szCs w:val="28"/>
          <w:rtl/>
        </w:rPr>
        <w:t xml:space="preserve">הצדדים לא הגיעו להסכמה עונשית. </w:t>
      </w:r>
    </w:p>
    <w:p w14:paraId="7B08C698" w14:textId="77777777" w:rsidR="00DD1643" w:rsidRPr="00D31DE8" w:rsidRDefault="00DD1643" w:rsidP="00DD1643">
      <w:pPr>
        <w:spacing w:line="360" w:lineRule="auto"/>
        <w:jc w:val="both"/>
        <w:rPr>
          <w:rFonts w:cs="FrankRuehl"/>
          <w:sz w:val="28"/>
          <w:szCs w:val="28"/>
          <w:rtl/>
        </w:rPr>
      </w:pPr>
      <w:r w:rsidRPr="00D31DE8">
        <w:rPr>
          <w:rFonts w:cs="FrankRuehl" w:hint="cs"/>
          <w:sz w:val="28"/>
          <w:szCs w:val="28"/>
          <w:rtl/>
        </w:rPr>
        <w:t>מחד, המאשימה טוענת כי יש להטיל על הנאשם</w:t>
      </w:r>
      <w:r>
        <w:rPr>
          <w:rFonts w:cs="FrankRuehl" w:hint="cs"/>
          <w:sz w:val="28"/>
          <w:szCs w:val="28"/>
          <w:rtl/>
        </w:rPr>
        <w:t xml:space="preserve"> מאסר בפועל ממש, לנוכח כמות הסמים והקשר של קטינים לביצוע העבירה. </w:t>
      </w:r>
    </w:p>
    <w:p w14:paraId="1AB7A04B" w14:textId="77777777" w:rsidR="00DD1643" w:rsidRDefault="00DD1643" w:rsidP="00DD1643">
      <w:pPr>
        <w:spacing w:line="360" w:lineRule="auto"/>
        <w:jc w:val="both"/>
        <w:rPr>
          <w:rFonts w:cs="FrankRuehl"/>
          <w:sz w:val="28"/>
          <w:szCs w:val="28"/>
          <w:rtl/>
        </w:rPr>
      </w:pPr>
      <w:r w:rsidRPr="00D31DE8">
        <w:rPr>
          <w:rFonts w:cs="FrankRuehl" w:hint="cs"/>
          <w:sz w:val="28"/>
          <w:szCs w:val="28"/>
          <w:rtl/>
        </w:rPr>
        <w:t xml:space="preserve">מאידך, הסניגור טוען כי </w:t>
      </w:r>
      <w:r>
        <w:rPr>
          <w:rFonts w:cs="FrankRuehl" w:hint="cs"/>
          <w:sz w:val="28"/>
          <w:szCs w:val="28"/>
          <w:rtl/>
        </w:rPr>
        <w:t xml:space="preserve">יש לקבל את המלצת שירות המבחן לנוכח חלקו של הנאשם בביצוע העבירה, נסיבותיו האישיות והמלצת שירות המבחן. </w:t>
      </w:r>
    </w:p>
    <w:p w14:paraId="118D2674" w14:textId="77777777" w:rsidR="00DD1643" w:rsidRPr="00D31DE8" w:rsidRDefault="00DD1643" w:rsidP="00DD1643">
      <w:pPr>
        <w:spacing w:line="360" w:lineRule="auto"/>
        <w:jc w:val="both"/>
        <w:rPr>
          <w:rFonts w:cs="FrankRuehl"/>
          <w:b/>
          <w:bCs/>
          <w:sz w:val="28"/>
          <w:szCs w:val="28"/>
          <w:u w:val="single"/>
          <w:rtl/>
        </w:rPr>
      </w:pPr>
    </w:p>
    <w:p w14:paraId="6F08F55F" w14:textId="77777777" w:rsidR="00DD1643" w:rsidRPr="00D31DE8" w:rsidRDefault="00DD1643" w:rsidP="00DD1643">
      <w:pPr>
        <w:spacing w:line="360" w:lineRule="auto"/>
        <w:jc w:val="both"/>
        <w:rPr>
          <w:rFonts w:cs="FrankRuehl"/>
          <w:b/>
          <w:bCs/>
          <w:sz w:val="28"/>
          <w:szCs w:val="28"/>
          <w:u w:val="single"/>
          <w:rtl/>
        </w:rPr>
      </w:pPr>
      <w:r w:rsidRPr="00D31DE8">
        <w:rPr>
          <w:rFonts w:cs="FrankRuehl" w:hint="cs"/>
          <w:b/>
          <w:bCs/>
          <w:sz w:val="28"/>
          <w:szCs w:val="28"/>
          <w:u w:val="single"/>
          <w:rtl/>
        </w:rPr>
        <w:t xml:space="preserve">קביעת מתחם הענישה </w:t>
      </w:r>
      <w:r w:rsidRPr="00D31DE8">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45BA376C" w14:textId="77777777" w:rsidR="00DD1643" w:rsidRPr="00D31DE8" w:rsidRDefault="00DD1643" w:rsidP="00DD1643">
      <w:pPr>
        <w:spacing w:line="360" w:lineRule="auto"/>
        <w:jc w:val="both"/>
        <w:rPr>
          <w:rFonts w:cs="FrankRuehl"/>
          <w:b/>
          <w:bCs/>
          <w:sz w:val="28"/>
          <w:szCs w:val="28"/>
          <w:u w:val="single"/>
          <w:rtl/>
        </w:rPr>
      </w:pPr>
    </w:p>
    <w:p w14:paraId="13ECF218" w14:textId="77777777" w:rsidR="00DD1643" w:rsidRPr="00D31DE8" w:rsidRDefault="00DD1643" w:rsidP="00DD1643">
      <w:pPr>
        <w:spacing w:line="360" w:lineRule="auto"/>
        <w:jc w:val="both"/>
        <w:rPr>
          <w:rFonts w:cs="FrankRuehl"/>
          <w:sz w:val="28"/>
          <w:szCs w:val="28"/>
          <w:rtl/>
        </w:rPr>
      </w:pPr>
      <w:r w:rsidRPr="00D31DE8">
        <w:rPr>
          <w:rFonts w:cs="FrankRuehl" w:hint="cs"/>
          <w:b/>
          <w:bCs/>
          <w:sz w:val="28"/>
          <w:szCs w:val="28"/>
          <w:u w:val="single"/>
          <w:rtl/>
        </w:rPr>
        <w:t xml:space="preserve">אשר לערך המוגן </w:t>
      </w:r>
      <w:r w:rsidRPr="00D31DE8">
        <w:rPr>
          <w:rFonts w:cs="FrankRuehl" w:hint="cs"/>
          <w:sz w:val="28"/>
          <w:szCs w:val="28"/>
          <w:rtl/>
        </w:rPr>
        <w:t xml:space="preserve">–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ברע"פ 3343/07 </w:t>
      </w:r>
      <w:r w:rsidRPr="00D31DE8">
        <w:rPr>
          <w:rFonts w:cs="FrankRuehl" w:hint="cs"/>
          <w:b/>
          <w:bCs/>
          <w:sz w:val="28"/>
          <w:szCs w:val="28"/>
          <w:u w:val="single"/>
          <w:rtl/>
        </w:rPr>
        <w:t>מכאוי</w:t>
      </w:r>
      <w:r w:rsidRPr="00D31DE8">
        <w:rPr>
          <w:rFonts w:cs="FrankRuehl" w:hint="cs"/>
          <w:sz w:val="28"/>
          <w:szCs w:val="28"/>
          <w:rtl/>
        </w:rPr>
        <w:t xml:space="preserve"> נ' </w:t>
      </w:r>
      <w:r w:rsidRPr="00D31DE8">
        <w:rPr>
          <w:rFonts w:cs="FrankRuehl" w:hint="cs"/>
          <w:b/>
          <w:bCs/>
          <w:sz w:val="28"/>
          <w:szCs w:val="28"/>
          <w:u w:val="single"/>
          <w:rtl/>
        </w:rPr>
        <w:t>מ"</w:t>
      </w:r>
      <w:r w:rsidRPr="00D31DE8">
        <w:rPr>
          <w:rFonts w:cs="FrankRuehl" w:hint="cs"/>
          <w:sz w:val="28"/>
          <w:szCs w:val="28"/>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w:t>
      </w:r>
      <w:r>
        <w:rPr>
          <w:rFonts w:cs="FrankRuehl" w:hint="cs"/>
          <w:sz w:val="28"/>
          <w:szCs w:val="28"/>
          <w:rtl/>
        </w:rPr>
        <w:t xml:space="preserve"> יש לתת משקל לחומרה, לכך שבנסיבות ביצוע העבירה נעשה שימוש בקטינים. </w:t>
      </w:r>
    </w:p>
    <w:p w14:paraId="04103D9E" w14:textId="77777777" w:rsidR="00DD1643" w:rsidRPr="00D31DE8" w:rsidRDefault="00DD1643" w:rsidP="00DD1643">
      <w:pPr>
        <w:spacing w:line="360" w:lineRule="auto"/>
        <w:jc w:val="both"/>
        <w:rPr>
          <w:rFonts w:cs="FrankRuehl"/>
          <w:sz w:val="28"/>
          <w:szCs w:val="28"/>
          <w:rtl/>
        </w:rPr>
      </w:pPr>
    </w:p>
    <w:p w14:paraId="7E188107" w14:textId="77777777" w:rsidR="00DD1643" w:rsidRDefault="00DD1643" w:rsidP="00DD1643">
      <w:pPr>
        <w:spacing w:after="160" w:line="360" w:lineRule="auto"/>
        <w:jc w:val="both"/>
        <w:rPr>
          <w:rFonts w:ascii="Calibri" w:hAnsi="Calibri" w:cs="FrankRuehl"/>
          <w:sz w:val="28"/>
          <w:szCs w:val="28"/>
          <w:rtl/>
        </w:rPr>
      </w:pPr>
      <w:r w:rsidRPr="00D31DE8">
        <w:rPr>
          <w:rFonts w:cs="FrankRuehl" w:hint="cs"/>
          <w:b/>
          <w:bCs/>
          <w:sz w:val="28"/>
          <w:szCs w:val="28"/>
          <w:u w:val="single"/>
          <w:rtl/>
        </w:rPr>
        <w:t xml:space="preserve">נסיבות הקשורות בביצוע העבירה, לפי </w:t>
      </w:r>
      <w:hyperlink r:id="rId19" w:history="1">
        <w:r w:rsidR="009B3CBF" w:rsidRPr="009B3CBF">
          <w:rPr>
            <w:rFonts w:cs="FrankRuehl"/>
            <w:b/>
            <w:bCs/>
            <w:color w:val="0000FF"/>
            <w:sz w:val="28"/>
            <w:szCs w:val="28"/>
            <w:u w:val="single"/>
            <w:rtl/>
          </w:rPr>
          <w:t>סעיף 40ט'</w:t>
        </w:r>
      </w:hyperlink>
      <w:r w:rsidRPr="00D31DE8">
        <w:rPr>
          <w:rFonts w:cs="FrankRuehl" w:hint="cs"/>
          <w:b/>
          <w:bCs/>
          <w:sz w:val="28"/>
          <w:szCs w:val="28"/>
          <w:u w:val="single"/>
          <w:rtl/>
        </w:rPr>
        <w:t xml:space="preserve"> ל</w:t>
      </w:r>
      <w:hyperlink r:id="rId20" w:history="1">
        <w:r w:rsidR="00573417" w:rsidRPr="00573417">
          <w:rPr>
            <w:rFonts w:cs="FrankRuehl"/>
            <w:b/>
            <w:bCs/>
            <w:color w:val="0000FF"/>
            <w:sz w:val="28"/>
            <w:szCs w:val="28"/>
            <w:u w:val="single"/>
            <w:rtl/>
          </w:rPr>
          <w:t>חוק העונשין</w:t>
        </w:r>
      </w:hyperlink>
      <w:r w:rsidRPr="00D31DE8">
        <w:rPr>
          <w:rFonts w:cs="FrankRuehl" w:hint="cs"/>
          <w:b/>
          <w:bCs/>
          <w:sz w:val="28"/>
          <w:szCs w:val="28"/>
          <w:rtl/>
        </w:rPr>
        <w:t xml:space="preserve"> – </w:t>
      </w:r>
      <w:r w:rsidRPr="00D31DE8">
        <w:rPr>
          <w:rFonts w:cs="FrankRuehl" w:hint="cs"/>
          <w:sz w:val="28"/>
          <w:szCs w:val="28"/>
          <w:rtl/>
        </w:rPr>
        <w:t xml:space="preserve">בין הנסיבות הקשורות בביצוע העבירה יש לשקול את אלה, לעניין קביעת המתחם: </w:t>
      </w:r>
      <w:r w:rsidRPr="00D31DE8">
        <w:rPr>
          <w:rFonts w:ascii="Calibri" w:hAnsi="Calibri" w:cs="FrankRuehl" w:hint="cs"/>
          <w:sz w:val="28"/>
          <w:szCs w:val="28"/>
          <w:rtl/>
        </w:rPr>
        <w:t>האישום מעיד על תכנון מוקדם – הן ברמת הסחר ו</w:t>
      </w:r>
      <w:r>
        <w:rPr>
          <w:rFonts w:ascii="Calibri" w:hAnsi="Calibri" w:cs="FrankRuehl" w:hint="cs"/>
          <w:sz w:val="28"/>
          <w:szCs w:val="28"/>
          <w:rtl/>
        </w:rPr>
        <w:t>ה</w:t>
      </w:r>
      <w:r w:rsidRPr="00D31DE8">
        <w:rPr>
          <w:rFonts w:ascii="Calibri" w:hAnsi="Calibri" w:cs="FrankRuehl" w:hint="cs"/>
          <w:sz w:val="28"/>
          <w:szCs w:val="28"/>
          <w:rtl/>
        </w:rPr>
        <w:t>הספקה והן ברמת הכנת סמים לסחר</w:t>
      </w:r>
      <w:r>
        <w:rPr>
          <w:rFonts w:ascii="Calibri" w:hAnsi="Calibri" w:cs="FrankRuehl" w:hint="cs"/>
          <w:sz w:val="28"/>
          <w:szCs w:val="28"/>
          <w:rtl/>
        </w:rPr>
        <w:t xml:space="preserve">, והן לנוכח השימוש בקטינים לצורך ביצוע העבירה </w:t>
      </w:r>
      <w:r>
        <w:rPr>
          <w:rFonts w:ascii="Calibri" w:hAnsi="Calibri" w:cs="FrankRuehl"/>
          <w:sz w:val="28"/>
          <w:szCs w:val="28"/>
          <w:rtl/>
        </w:rPr>
        <w:t>–</w:t>
      </w:r>
      <w:r>
        <w:rPr>
          <w:rFonts w:ascii="Calibri" w:hAnsi="Calibri" w:cs="FrankRuehl" w:hint="cs"/>
          <w:sz w:val="28"/>
          <w:szCs w:val="28"/>
          <w:rtl/>
        </w:rPr>
        <w:t xml:space="preserve"> זוהי נסיבה מחמירה</w:t>
      </w:r>
      <w:r w:rsidRPr="00D31DE8">
        <w:rPr>
          <w:rFonts w:ascii="Calibri" w:hAnsi="Calibri" w:cs="FrankRuehl" w:hint="cs"/>
          <w:sz w:val="28"/>
          <w:szCs w:val="28"/>
          <w:rtl/>
        </w:rPr>
        <w:t>; הנאשם אחראי בלעדית למעשיו; אומנם לנוכח סוג הסם, הכמויות הגדולות והסכומים הגבוהים, ניתן לומר כי הסחר בוצע למען בצע כסף, אולם כפי שעולה מהתסקיר</w:t>
      </w:r>
      <w:r>
        <w:rPr>
          <w:rFonts w:ascii="Calibri" w:hAnsi="Calibri" w:cs="FrankRuehl" w:hint="cs"/>
          <w:sz w:val="28"/>
          <w:szCs w:val="28"/>
          <w:rtl/>
        </w:rPr>
        <w:t>,</w:t>
      </w:r>
      <w:r w:rsidRPr="00D31DE8">
        <w:rPr>
          <w:rFonts w:ascii="Calibri" w:hAnsi="Calibri" w:cs="FrankRuehl" w:hint="cs"/>
          <w:sz w:val="28"/>
          <w:szCs w:val="28"/>
          <w:rtl/>
        </w:rPr>
        <w:t xml:space="preserve"> הנאשם חיפש דרכים לממן את השימוש העצמי; הנזק מביצוע עבירות סמים ובוודאי שמעצם הפצתם ידוע</w:t>
      </w:r>
      <w:r>
        <w:rPr>
          <w:rFonts w:ascii="Calibri" w:hAnsi="Calibri" w:cs="FrankRuehl" w:hint="cs"/>
          <w:sz w:val="28"/>
          <w:szCs w:val="28"/>
          <w:rtl/>
        </w:rPr>
        <w:t>.</w:t>
      </w:r>
    </w:p>
    <w:p w14:paraId="0D1AF750" w14:textId="77777777" w:rsidR="00DD1643" w:rsidRPr="00DD1643" w:rsidRDefault="00DD1643" w:rsidP="00DD1643">
      <w:pPr>
        <w:spacing w:after="160" w:line="360" w:lineRule="auto"/>
        <w:jc w:val="both"/>
        <w:rPr>
          <w:rFonts w:ascii="Calibri" w:hAnsi="Calibri" w:cs="FrankRuehl"/>
          <w:sz w:val="28"/>
          <w:szCs w:val="28"/>
          <w:rtl/>
        </w:rPr>
      </w:pPr>
      <w:r>
        <w:rPr>
          <w:rFonts w:ascii="Calibri" w:hAnsi="Calibri" w:cs="FrankRuehl" w:hint="cs"/>
          <w:b/>
          <w:bCs/>
          <w:sz w:val="28"/>
          <w:szCs w:val="28"/>
          <w:u w:val="single"/>
          <w:rtl/>
        </w:rPr>
        <w:t>מ</w:t>
      </w:r>
      <w:r w:rsidRPr="00D31DE8">
        <w:rPr>
          <w:rFonts w:ascii="Calibri" w:hAnsi="Calibri" w:cs="FrankRuehl" w:hint="cs"/>
          <w:b/>
          <w:bCs/>
          <w:sz w:val="28"/>
          <w:szCs w:val="28"/>
          <w:u w:val="single"/>
          <w:rtl/>
        </w:rPr>
        <w:t>דיניות הענישה הנוהגת</w:t>
      </w:r>
      <w:r w:rsidRPr="00D31DE8">
        <w:rPr>
          <w:rFonts w:ascii="Calibri" w:hAnsi="Calibri" w:cs="FrankRuehl" w:hint="cs"/>
          <w:b/>
          <w:bCs/>
          <w:sz w:val="28"/>
          <w:szCs w:val="28"/>
          <w:rtl/>
        </w:rPr>
        <w:t xml:space="preserve"> – </w:t>
      </w:r>
      <w:r w:rsidRPr="00DD1643">
        <w:rPr>
          <w:rFonts w:ascii="Calibri" w:hAnsi="Calibri" w:cs="FrankRuehl" w:hint="cs"/>
          <w:sz w:val="28"/>
          <w:szCs w:val="28"/>
          <w:rtl/>
        </w:rPr>
        <w:t>בנסיבות הללו של ביצוע העבירות בהן הורשע הנאשם ניתן להצביע על פסיקה מגוונת.</w:t>
      </w:r>
      <w:r w:rsidRPr="00D31DE8">
        <w:rPr>
          <w:rFonts w:ascii="Calibri" w:hAnsi="Calibri" w:cs="FrankRuehl" w:hint="cs"/>
          <w:sz w:val="28"/>
          <w:szCs w:val="28"/>
          <w:rtl/>
        </w:rPr>
        <w:t xml:space="preserve"> </w:t>
      </w:r>
      <w:r>
        <w:rPr>
          <w:rFonts w:ascii="Calibri" w:hAnsi="Calibri" w:cs="FrankRuehl" w:hint="cs"/>
          <w:sz w:val="28"/>
          <w:szCs w:val="28"/>
          <w:rtl/>
        </w:rPr>
        <w:t xml:space="preserve"> </w:t>
      </w:r>
      <w:r w:rsidRPr="00D31DE8">
        <w:rPr>
          <w:rFonts w:ascii="Calibri" w:hAnsi="Calibri" w:cs="FrankRuehl" w:hint="cs"/>
          <w:sz w:val="28"/>
          <w:szCs w:val="28"/>
          <w:rtl/>
        </w:rPr>
        <w:t xml:space="preserve">יחד עם זאת, </w:t>
      </w:r>
      <w:r w:rsidRPr="00DD1643">
        <w:rPr>
          <w:rFonts w:ascii="Calibri" w:hAnsi="Calibri" w:cs="FrankRuehl" w:hint="cs"/>
          <w:sz w:val="28"/>
          <w:szCs w:val="28"/>
          <w:rtl/>
        </w:rPr>
        <w:t>ב</w:t>
      </w:r>
      <w:hyperlink r:id="rId21" w:history="1">
        <w:r w:rsidR="00573417" w:rsidRPr="00573417">
          <w:rPr>
            <w:rFonts w:ascii="Calibri" w:hAnsi="Calibri" w:cs="FrankRuehl" w:hint="eastAsia"/>
            <w:color w:val="0000FF"/>
            <w:sz w:val="28"/>
            <w:szCs w:val="28"/>
            <w:u w:val="single"/>
            <w:rtl/>
          </w:rPr>
          <w:t>רע</w:t>
        </w:r>
        <w:r w:rsidR="00573417" w:rsidRPr="00573417">
          <w:rPr>
            <w:rFonts w:ascii="Calibri" w:hAnsi="Calibri" w:cs="FrankRuehl"/>
            <w:color w:val="0000FF"/>
            <w:sz w:val="28"/>
            <w:szCs w:val="28"/>
            <w:u w:val="single"/>
            <w:rtl/>
          </w:rPr>
          <w:t>"</w:t>
        </w:r>
        <w:r w:rsidR="00573417" w:rsidRPr="00573417">
          <w:rPr>
            <w:rFonts w:ascii="Calibri" w:hAnsi="Calibri" w:cs="FrankRuehl" w:hint="eastAsia"/>
            <w:color w:val="0000FF"/>
            <w:sz w:val="28"/>
            <w:szCs w:val="28"/>
            <w:u w:val="single"/>
            <w:rtl/>
          </w:rPr>
          <w:t>פ</w:t>
        </w:r>
        <w:r w:rsidR="00573417" w:rsidRPr="00573417">
          <w:rPr>
            <w:rFonts w:ascii="Calibri" w:hAnsi="Calibri" w:cs="FrankRuehl"/>
            <w:color w:val="0000FF"/>
            <w:sz w:val="28"/>
            <w:szCs w:val="28"/>
            <w:u w:val="single"/>
            <w:rtl/>
          </w:rPr>
          <w:t xml:space="preserve"> 6869/17</w:t>
        </w:r>
      </w:hyperlink>
      <w:r w:rsidRPr="00DD1643">
        <w:rPr>
          <w:rFonts w:ascii="Calibri" w:hAnsi="Calibri" w:cs="FrankRuehl" w:hint="cs"/>
          <w:sz w:val="28"/>
          <w:szCs w:val="28"/>
          <w:rtl/>
        </w:rPr>
        <w:t xml:space="preserve"> </w:t>
      </w:r>
      <w:r w:rsidRPr="00DD1643">
        <w:rPr>
          <w:rFonts w:ascii="Calibri" w:hAnsi="Calibri" w:cs="FrankRuehl" w:hint="cs"/>
          <w:b/>
          <w:bCs/>
          <w:sz w:val="28"/>
          <w:szCs w:val="28"/>
          <w:u w:val="single"/>
          <w:rtl/>
        </w:rPr>
        <w:t>פילברג</w:t>
      </w:r>
      <w:r w:rsidRPr="00DD1643">
        <w:rPr>
          <w:rFonts w:ascii="Calibri" w:hAnsi="Calibri" w:cs="FrankRuehl" w:hint="cs"/>
          <w:sz w:val="28"/>
          <w:szCs w:val="28"/>
          <w:rtl/>
        </w:rPr>
        <w:t xml:space="preserve"> נ' </w:t>
      </w:r>
      <w:r w:rsidRPr="00DD1643">
        <w:rPr>
          <w:rFonts w:ascii="Calibri" w:hAnsi="Calibri" w:cs="FrankRuehl" w:hint="cs"/>
          <w:b/>
          <w:bCs/>
          <w:sz w:val="28"/>
          <w:szCs w:val="28"/>
          <w:u w:val="single"/>
          <w:rtl/>
        </w:rPr>
        <w:t>מ"י</w:t>
      </w:r>
      <w:r w:rsidRPr="00DD1643">
        <w:rPr>
          <w:rFonts w:ascii="Calibri" w:hAnsi="Calibri" w:cs="FrankRuehl" w:hint="cs"/>
          <w:sz w:val="28"/>
          <w:szCs w:val="28"/>
          <w:rtl/>
        </w:rPr>
        <w:t xml:space="preserve"> (מיום 11.9.2017) נקבע כך: "עבירות הסמים הפכו זה מכבר לנגע הפוגע בציבור המשתמשים ובחברה בכללותה, ויש לעשות הכל על מנת למגרן ולעקרן מן השורש, גם בדרך של ענישה קשה ומחמירה" (ס' 8 להחלטה). ב</w:t>
      </w:r>
      <w:hyperlink r:id="rId22" w:history="1">
        <w:r w:rsidR="00573417" w:rsidRPr="00573417">
          <w:rPr>
            <w:rFonts w:ascii="Calibri" w:hAnsi="Calibri" w:cs="FrankRuehl" w:hint="eastAsia"/>
            <w:color w:val="0000FF"/>
            <w:sz w:val="28"/>
            <w:szCs w:val="28"/>
            <w:u w:val="single"/>
            <w:rtl/>
          </w:rPr>
          <w:t>עפ</w:t>
        </w:r>
        <w:r w:rsidR="00573417" w:rsidRPr="00573417">
          <w:rPr>
            <w:rFonts w:ascii="Calibri" w:hAnsi="Calibri" w:cs="FrankRuehl"/>
            <w:color w:val="0000FF"/>
            <w:sz w:val="28"/>
            <w:szCs w:val="28"/>
            <w:u w:val="single"/>
            <w:rtl/>
          </w:rPr>
          <w:t>"</w:t>
        </w:r>
        <w:r w:rsidR="00573417" w:rsidRPr="00573417">
          <w:rPr>
            <w:rFonts w:ascii="Calibri" w:hAnsi="Calibri" w:cs="FrankRuehl" w:hint="eastAsia"/>
            <w:color w:val="0000FF"/>
            <w:sz w:val="28"/>
            <w:szCs w:val="28"/>
            <w:u w:val="single"/>
            <w:rtl/>
          </w:rPr>
          <w:t>ג</w:t>
        </w:r>
        <w:r w:rsidR="00573417" w:rsidRPr="00573417">
          <w:rPr>
            <w:rFonts w:ascii="Calibri" w:hAnsi="Calibri" w:cs="FrankRuehl"/>
            <w:color w:val="0000FF"/>
            <w:sz w:val="28"/>
            <w:szCs w:val="28"/>
            <w:u w:val="single"/>
            <w:rtl/>
          </w:rPr>
          <w:t xml:space="preserve"> (</w:t>
        </w:r>
        <w:r w:rsidR="00573417" w:rsidRPr="00573417">
          <w:rPr>
            <w:rFonts w:ascii="Calibri" w:hAnsi="Calibri" w:cs="FrankRuehl" w:hint="eastAsia"/>
            <w:color w:val="0000FF"/>
            <w:sz w:val="28"/>
            <w:szCs w:val="28"/>
            <w:u w:val="single"/>
            <w:rtl/>
          </w:rPr>
          <w:t>חיפה</w:t>
        </w:r>
        <w:r w:rsidR="00573417" w:rsidRPr="00573417">
          <w:rPr>
            <w:rFonts w:ascii="Calibri" w:hAnsi="Calibri" w:cs="FrankRuehl"/>
            <w:color w:val="0000FF"/>
            <w:sz w:val="28"/>
            <w:szCs w:val="28"/>
            <w:u w:val="single"/>
            <w:rtl/>
          </w:rPr>
          <w:t>) 53142-12-16</w:t>
        </w:r>
      </w:hyperlink>
      <w:r w:rsidRPr="00DD1643">
        <w:rPr>
          <w:rFonts w:ascii="Calibri" w:hAnsi="Calibri" w:cs="FrankRuehl" w:hint="cs"/>
          <w:sz w:val="28"/>
          <w:szCs w:val="28"/>
          <w:rtl/>
        </w:rPr>
        <w:t xml:space="preserve"> </w:t>
      </w:r>
      <w:r w:rsidRPr="00DD1643">
        <w:rPr>
          <w:rFonts w:ascii="Calibri" w:hAnsi="Calibri" w:cs="FrankRuehl" w:hint="cs"/>
          <w:b/>
          <w:bCs/>
          <w:sz w:val="28"/>
          <w:szCs w:val="28"/>
          <w:u w:val="single"/>
          <w:rtl/>
        </w:rPr>
        <w:t>רחימוב</w:t>
      </w:r>
      <w:r w:rsidRPr="00DD1643">
        <w:rPr>
          <w:rFonts w:ascii="Calibri" w:hAnsi="Calibri" w:cs="FrankRuehl" w:hint="cs"/>
          <w:b/>
          <w:bCs/>
          <w:sz w:val="28"/>
          <w:szCs w:val="28"/>
          <w:rtl/>
        </w:rPr>
        <w:t xml:space="preserve"> </w:t>
      </w:r>
      <w:r w:rsidRPr="00DD1643">
        <w:rPr>
          <w:rFonts w:ascii="Calibri" w:hAnsi="Calibri" w:cs="FrankRuehl" w:hint="cs"/>
          <w:sz w:val="28"/>
          <w:szCs w:val="28"/>
          <w:rtl/>
        </w:rPr>
        <w:t xml:space="preserve">נ' </w:t>
      </w:r>
      <w:r w:rsidRPr="00DD1643">
        <w:rPr>
          <w:rFonts w:ascii="Calibri" w:hAnsi="Calibri" w:cs="FrankRuehl" w:hint="cs"/>
          <w:b/>
          <w:bCs/>
          <w:sz w:val="28"/>
          <w:szCs w:val="28"/>
          <w:u w:val="single"/>
          <w:rtl/>
        </w:rPr>
        <w:t>מ"י</w:t>
      </w:r>
      <w:r w:rsidRPr="00DD1643">
        <w:rPr>
          <w:rFonts w:ascii="Calibri" w:hAnsi="Calibri" w:cs="FrankRuehl" w:hint="cs"/>
          <w:sz w:val="28"/>
          <w:szCs w:val="28"/>
          <w:rtl/>
        </w:rPr>
        <w:t xml:space="preserve"> (מיום 17.5.2017) נגזרו  6 חודשי עבודות שירות על מי שהורשע בסחר ב-15 גרם קוקאין והחזקת חשיש לצריכה עצמית, לנוכח הליך שיקומי מוצלח. שם נקבע מתחם שבין 13 ל-30 חודשי מאסר. ב</w:t>
      </w:r>
      <w:hyperlink r:id="rId23" w:history="1">
        <w:r w:rsidR="00573417" w:rsidRPr="00573417">
          <w:rPr>
            <w:rFonts w:ascii="Calibri" w:hAnsi="Calibri" w:cs="FrankRuehl" w:hint="eastAsia"/>
            <w:color w:val="0000FF"/>
            <w:sz w:val="28"/>
            <w:szCs w:val="28"/>
            <w:u w:val="single"/>
            <w:rtl/>
          </w:rPr>
          <w:t>ע</w:t>
        </w:r>
        <w:r w:rsidR="00573417" w:rsidRPr="00573417">
          <w:rPr>
            <w:rFonts w:ascii="Calibri" w:hAnsi="Calibri" w:cs="FrankRuehl"/>
            <w:color w:val="0000FF"/>
            <w:sz w:val="28"/>
            <w:szCs w:val="28"/>
            <w:u w:val="single"/>
            <w:rtl/>
          </w:rPr>
          <w:t>"</w:t>
        </w:r>
        <w:r w:rsidR="00573417" w:rsidRPr="00573417">
          <w:rPr>
            <w:rFonts w:ascii="Calibri" w:hAnsi="Calibri" w:cs="FrankRuehl" w:hint="eastAsia"/>
            <w:color w:val="0000FF"/>
            <w:sz w:val="28"/>
            <w:szCs w:val="28"/>
            <w:u w:val="single"/>
            <w:rtl/>
          </w:rPr>
          <w:t>פ</w:t>
        </w:r>
        <w:r w:rsidR="00573417" w:rsidRPr="00573417">
          <w:rPr>
            <w:rFonts w:ascii="Calibri" w:hAnsi="Calibri" w:cs="FrankRuehl"/>
            <w:color w:val="0000FF"/>
            <w:sz w:val="28"/>
            <w:szCs w:val="28"/>
            <w:u w:val="single"/>
            <w:rtl/>
          </w:rPr>
          <w:t xml:space="preserve"> 6161/16</w:t>
        </w:r>
      </w:hyperlink>
      <w:r w:rsidRPr="00DD1643">
        <w:rPr>
          <w:rFonts w:ascii="Calibri" w:hAnsi="Calibri" w:cs="FrankRuehl" w:hint="cs"/>
          <w:sz w:val="28"/>
          <w:szCs w:val="28"/>
          <w:rtl/>
        </w:rPr>
        <w:t xml:space="preserve"> </w:t>
      </w:r>
      <w:r w:rsidRPr="00DD1643">
        <w:rPr>
          <w:rFonts w:ascii="Calibri" w:hAnsi="Calibri" w:cs="FrankRuehl" w:hint="cs"/>
          <w:b/>
          <w:bCs/>
          <w:sz w:val="28"/>
          <w:szCs w:val="28"/>
          <w:u w:val="single"/>
          <w:rtl/>
        </w:rPr>
        <w:t>יזרעאלוב</w:t>
      </w:r>
      <w:r w:rsidRPr="00DD1643">
        <w:rPr>
          <w:rFonts w:ascii="Calibri" w:hAnsi="Calibri" w:cs="FrankRuehl" w:hint="cs"/>
          <w:sz w:val="28"/>
          <w:szCs w:val="28"/>
          <w:rtl/>
        </w:rPr>
        <w:t xml:space="preserve">  נ' </w:t>
      </w:r>
      <w:r w:rsidRPr="00DD1643">
        <w:rPr>
          <w:rFonts w:ascii="Calibri" w:hAnsi="Calibri" w:cs="FrankRuehl" w:hint="cs"/>
          <w:b/>
          <w:bCs/>
          <w:sz w:val="28"/>
          <w:szCs w:val="28"/>
          <w:u w:val="single"/>
          <w:rtl/>
        </w:rPr>
        <w:t>מ"י</w:t>
      </w:r>
      <w:r w:rsidRPr="00DD1643">
        <w:rPr>
          <w:rFonts w:ascii="Calibri" w:hAnsi="Calibri" w:cs="FrankRuehl" w:hint="cs"/>
          <w:sz w:val="28"/>
          <w:szCs w:val="28"/>
          <w:rtl/>
        </w:rPr>
        <w:t xml:space="preserve"> (מיום 20.2.2017) נקבע מתחם ענישה שבין 8 ל-20 חודשי מאסר בנסיבות של סחר בנייס גאי במספר מקרים. שם בשל היעדר עבר פלילי ותהליך שיקום, נגזר מאסר של 6 חודשים בעבודות שירות. עינינו הרואות, כי מדובר במקרים חמורים מהמקרה שלפנינו. </w:t>
      </w:r>
    </w:p>
    <w:p w14:paraId="5E8E5EA6" w14:textId="77777777" w:rsidR="00DD1643" w:rsidRPr="00DD1643" w:rsidRDefault="00DD1643" w:rsidP="00DD1643">
      <w:pPr>
        <w:spacing w:after="160" w:line="360" w:lineRule="auto"/>
        <w:jc w:val="both"/>
        <w:rPr>
          <w:rFonts w:ascii="Calibri" w:hAnsi="Calibri" w:cs="FrankRuehl"/>
          <w:b/>
          <w:bCs/>
          <w:sz w:val="28"/>
          <w:szCs w:val="28"/>
          <w:rtl/>
        </w:rPr>
      </w:pPr>
      <w:r w:rsidRPr="00D31DE8">
        <w:rPr>
          <w:rFonts w:ascii="Calibri" w:hAnsi="Calibri" w:cs="FrankRuehl" w:hint="cs"/>
          <w:b/>
          <w:bCs/>
          <w:sz w:val="28"/>
          <w:szCs w:val="28"/>
          <w:u w:val="single"/>
          <w:rtl/>
        </w:rPr>
        <w:t>מתחם הענישה</w:t>
      </w:r>
      <w:r w:rsidRPr="00D31DE8">
        <w:rPr>
          <w:rFonts w:ascii="Calibri" w:hAnsi="Calibri" w:cs="FrankRuehl" w:hint="cs"/>
          <w:sz w:val="28"/>
          <w:szCs w:val="28"/>
          <w:rtl/>
        </w:rPr>
        <w:t xml:space="preserve"> –</w:t>
      </w:r>
      <w:r w:rsidRPr="00DD1643">
        <w:rPr>
          <w:rFonts w:ascii="Calibri" w:hAnsi="Calibri" w:cs="FrankRuehl" w:hint="cs"/>
          <w:sz w:val="28"/>
          <w:szCs w:val="28"/>
          <w:rtl/>
        </w:rPr>
        <w:t xml:space="preserve">לנוכח כל האמור קובע מתחם שבין חודשי מאסר בודדים שיכול וירוצו בעבודות שירות לבין 12 חודשי מאסר בפועל. </w:t>
      </w:r>
    </w:p>
    <w:p w14:paraId="16D1F50D" w14:textId="77777777" w:rsidR="00DD1643" w:rsidRPr="00D31DE8" w:rsidRDefault="00DD1643" w:rsidP="00DD1643">
      <w:pPr>
        <w:spacing w:after="160" w:line="360" w:lineRule="auto"/>
        <w:jc w:val="both"/>
        <w:rPr>
          <w:rFonts w:ascii="Calibri" w:hAnsi="Calibri" w:cs="FrankRuehl"/>
          <w:b/>
          <w:bCs/>
          <w:sz w:val="28"/>
          <w:szCs w:val="28"/>
        </w:rPr>
      </w:pPr>
    </w:p>
    <w:p w14:paraId="0FB2B909" w14:textId="77777777" w:rsidR="00DD1643" w:rsidRPr="00DD1643" w:rsidRDefault="00DD1643" w:rsidP="00DD1643">
      <w:pPr>
        <w:spacing w:after="160" w:line="360" w:lineRule="auto"/>
        <w:jc w:val="both"/>
        <w:rPr>
          <w:rFonts w:ascii="Calibri" w:hAnsi="Calibri" w:cs="FrankRuehl"/>
          <w:sz w:val="28"/>
          <w:szCs w:val="28"/>
          <w:rtl/>
        </w:rPr>
      </w:pPr>
      <w:r w:rsidRPr="00D31DE8">
        <w:rPr>
          <w:rFonts w:ascii="Calibri" w:hAnsi="Calibri" w:cs="FrankRuehl" w:hint="cs"/>
          <w:b/>
          <w:bCs/>
          <w:sz w:val="28"/>
          <w:szCs w:val="28"/>
          <w:u w:val="single"/>
          <w:rtl/>
        </w:rPr>
        <w:t xml:space="preserve">נסיבות שאינן קשורות בביצוע העבירה לפי </w:t>
      </w:r>
      <w:hyperlink r:id="rId24" w:history="1">
        <w:r w:rsidR="009B3CBF" w:rsidRPr="009B3CBF">
          <w:rPr>
            <w:rFonts w:ascii="Calibri" w:hAnsi="Calibri" w:cs="FrankRuehl" w:hint="eastAsia"/>
            <w:b/>
            <w:bCs/>
            <w:color w:val="0000FF"/>
            <w:sz w:val="28"/>
            <w:szCs w:val="28"/>
            <w:u w:val="single"/>
            <w:rtl/>
          </w:rPr>
          <w:t>סעיף</w:t>
        </w:r>
        <w:r w:rsidR="009B3CBF" w:rsidRPr="009B3CBF">
          <w:rPr>
            <w:rFonts w:ascii="Calibri" w:hAnsi="Calibri" w:cs="FrankRuehl"/>
            <w:b/>
            <w:bCs/>
            <w:color w:val="0000FF"/>
            <w:sz w:val="28"/>
            <w:szCs w:val="28"/>
            <w:u w:val="single"/>
            <w:rtl/>
          </w:rPr>
          <w:t xml:space="preserve"> 40</w:t>
        </w:r>
        <w:r w:rsidR="009B3CBF" w:rsidRPr="009B3CBF">
          <w:rPr>
            <w:rFonts w:ascii="Calibri" w:hAnsi="Calibri" w:cs="FrankRuehl" w:hint="eastAsia"/>
            <w:b/>
            <w:bCs/>
            <w:color w:val="0000FF"/>
            <w:sz w:val="28"/>
            <w:szCs w:val="28"/>
            <w:u w:val="single"/>
            <w:rtl/>
          </w:rPr>
          <w:t>י</w:t>
        </w:r>
        <w:r w:rsidR="009B3CBF" w:rsidRPr="009B3CBF">
          <w:rPr>
            <w:rFonts w:ascii="Calibri" w:hAnsi="Calibri" w:cs="FrankRuehl"/>
            <w:b/>
            <w:bCs/>
            <w:color w:val="0000FF"/>
            <w:sz w:val="28"/>
            <w:szCs w:val="28"/>
            <w:u w:val="single"/>
            <w:rtl/>
          </w:rPr>
          <w:t>"</w:t>
        </w:r>
        <w:r w:rsidR="009B3CBF" w:rsidRPr="009B3CBF">
          <w:rPr>
            <w:rFonts w:ascii="Calibri" w:hAnsi="Calibri" w:cs="FrankRuehl" w:hint="eastAsia"/>
            <w:b/>
            <w:bCs/>
            <w:color w:val="0000FF"/>
            <w:sz w:val="28"/>
            <w:szCs w:val="28"/>
            <w:u w:val="single"/>
            <w:rtl/>
          </w:rPr>
          <w:t>א</w:t>
        </w:r>
      </w:hyperlink>
      <w:r w:rsidRPr="00D31DE8">
        <w:rPr>
          <w:rFonts w:ascii="Calibri" w:hAnsi="Calibri" w:cs="FrankRuehl" w:hint="cs"/>
          <w:b/>
          <w:bCs/>
          <w:sz w:val="28"/>
          <w:szCs w:val="28"/>
          <w:u w:val="single"/>
          <w:rtl/>
        </w:rPr>
        <w:t xml:space="preserve"> ל</w:t>
      </w:r>
      <w:hyperlink r:id="rId25" w:history="1">
        <w:r w:rsidR="00573417" w:rsidRPr="00573417">
          <w:rPr>
            <w:rFonts w:ascii="Calibri" w:hAnsi="Calibri" w:cs="FrankRuehl" w:hint="eastAsia"/>
            <w:b/>
            <w:bCs/>
            <w:color w:val="0000FF"/>
            <w:sz w:val="28"/>
            <w:szCs w:val="28"/>
            <w:u w:val="single"/>
            <w:rtl/>
          </w:rPr>
          <w:t>חוק</w:t>
        </w:r>
        <w:r w:rsidR="00573417" w:rsidRPr="00573417">
          <w:rPr>
            <w:rFonts w:ascii="Calibri" w:hAnsi="Calibri" w:cs="FrankRuehl"/>
            <w:b/>
            <w:bCs/>
            <w:color w:val="0000FF"/>
            <w:sz w:val="28"/>
            <w:szCs w:val="28"/>
            <w:u w:val="single"/>
            <w:rtl/>
          </w:rPr>
          <w:t xml:space="preserve"> </w:t>
        </w:r>
        <w:r w:rsidR="00573417" w:rsidRPr="00573417">
          <w:rPr>
            <w:rFonts w:ascii="Calibri" w:hAnsi="Calibri" w:cs="FrankRuehl" w:hint="eastAsia"/>
            <w:b/>
            <w:bCs/>
            <w:color w:val="0000FF"/>
            <w:sz w:val="28"/>
            <w:szCs w:val="28"/>
            <w:u w:val="single"/>
            <w:rtl/>
          </w:rPr>
          <w:t>העונשין</w:t>
        </w:r>
      </w:hyperlink>
      <w:r w:rsidRPr="00D31DE8">
        <w:rPr>
          <w:rFonts w:ascii="Calibri" w:hAnsi="Calibri" w:cs="FrankRuehl" w:hint="cs"/>
          <w:b/>
          <w:bCs/>
          <w:sz w:val="28"/>
          <w:szCs w:val="28"/>
          <w:rtl/>
        </w:rPr>
        <w:t xml:space="preserve"> – </w:t>
      </w:r>
      <w:r w:rsidRPr="00D31DE8">
        <w:rPr>
          <w:rFonts w:ascii="Calibri" w:hAnsi="Calibri" w:cs="FrankRuehl" w:hint="cs"/>
          <w:sz w:val="28"/>
          <w:szCs w:val="28"/>
          <w:rtl/>
        </w:rPr>
        <w:t>ניתן  לתת משקל לנסיבות הבאות שאינן קשורות בביצוע העבירה, במסגרת גזירת העונש בתוך המתחם:</w:t>
      </w:r>
      <w:r w:rsidRPr="00DD1643">
        <w:rPr>
          <w:rFonts w:ascii="Calibri" w:hAnsi="Calibri" w:cs="FrankRuehl" w:hint="cs"/>
          <w:sz w:val="28"/>
          <w:szCs w:val="28"/>
          <w:rtl/>
        </w:rPr>
        <w:t xml:space="preserve"> הנאשם צעיר שזהו לו התיק הראשון, על חווית המעצר הכרוכה בו; הנאשם ייפגע משליחתו למאסר בפועל מאחורי סורג ובריח, הואיל ומעולם לא ריצה מאסר בפועל, וידוע האפקט המדרדר של מאסר ראשון; נטילת האחריות של הנאשם למעשיו בסופו של יום היא שלמה, ולמעשה היא פרי של תובנות שהגיע אליהן הנאשם במסגרת הטיפול תחת פיקוח בית המשפט לאורך חודשים רבים </w:t>
      </w:r>
      <w:r w:rsidRPr="00DD1643">
        <w:rPr>
          <w:rFonts w:ascii="Calibri" w:hAnsi="Calibri" w:cs="FrankRuehl"/>
          <w:sz w:val="28"/>
          <w:szCs w:val="28"/>
          <w:rtl/>
        </w:rPr>
        <w:t>–</w:t>
      </w:r>
      <w:r w:rsidRPr="00DD1643">
        <w:rPr>
          <w:rFonts w:ascii="Calibri" w:hAnsi="Calibri" w:cs="FrankRuehl" w:hint="cs"/>
          <w:sz w:val="28"/>
          <w:szCs w:val="28"/>
          <w:rtl/>
        </w:rPr>
        <w:t xml:space="preserve"> הוא השתתף בהליך טיפולי כפי יכולתו, בין היתר בשל בעיית מימון, כעולה מתסקירי שירות המבחן. אני סבור כי השתלבותו בטיפול שהוצע ע"י שירות המבחן וכן שילובו בטיפול פרטי (כעולה מנ/1) ומתן בדיקות שתן לאורך תקופה שנמצאו נקיות, והיעדר פתיחת תיקים חדשים </w:t>
      </w:r>
      <w:r w:rsidRPr="00DD1643">
        <w:rPr>
          <w:rFonts w:ascii="Calibri" w:hAnsi="Calibri" w:cs="FrankRuehl"/>
          <w:sz w:val="28"/>
          <w:szCs w:val="28"/>
          <w:rtl/>
        </w:rPr>
        <w:t>–</w:t>
      </w:r>
      <w:r w:rsidRPr="00DD1643">
        <w:rPr>
          <w:rFonts w:ascii="Calibri" w:hAnsi="Calibri" w:cs="FrankRuehl" w:hint="cs"/>
          <w:sz w:val="28"/>
          <w:szCs w:val="28"/>
          <w:rtl/>
        </w:rPr>
        <w:t xml:space="preserve"> פועלים לזכותו של הנאשם; שירות המבחן סבור, כי הנאשם רכש את הכלים לשמר את הישגיו בתחום הטיפול שהביאו לשינוי בגישתו ולשיפור ביכולות התפקוד שלו; לזכות הנאשם יש לזקוף כי הוא נטל אחריות בהזדמנות הראשונה והודה במעשיו וכפי שעולה מהתסקיר, ונדמה כי ההליך הפלילי מהווה גורם הרתעתי עבורו. </w:t>
      </w:r>
    </w:p>
    <w:p w14:paraId="5671426B" w14:textId="77777777" w:rsidR="00DD1643" w:rsidRPr="00DD1643" w:rsidRDefault="00DD1643" w:rsidP="00DD1643">
      <w:pPr>
        <w:spacing w:after="160" w:line="360" w:lineRule="auto"/>
        <w:jc w:val="both"/>
        <w:rPr>
          <w:rFonts w:ascii="Calibri" w:hAnsi="Calibri" w:cs="FrankRuehl"/>
          <w:b/>
          <w:bCs/>
          <w:sz w:val="28"/>
          <w:szCs w:val="28"/>
          <w:u w:val="single"/>
          <w:rtl/>
        </w:rPr>
      </w:pPr>
    </w:p>
    <w:p w14:paraId="520DECE5" w14:textId="77777777" w:rsidR="00DD1643" w:rsidRPr="00DD1643" w:rsidRDefault="00DD1643" w:rsidP="00DD1643">
      <w:pPr>
        <w:spacing w:after="160" w:line="360" w:lineRule="auto"/>
        <w:jc w:val="both"/>
        <w:rPr>
          <w:rFonts w:ascii="Calibri" w:hAnsi="Calibri" w:cs="FrankRuehl"/>
          <w:sz w:val="28"/>
          <w:szCs w:val="28"/>
          <w:rtl/>
        </w:rPr>
      </w:pPr>
      <w:r w:rsidRPr="00DD1643">
        <w:rPr>
          <w:rFonts w:ascii="Calibri" w:hAnsi="Calibri" w:cs="FrankRuehl" w:hint="cs"/>
          <w:b/>
          <w:bCs/>
          <w:sz w:val="28"/>
          <w:szCs w:val="28"/>
          <w:u w:val="single"/>
          <w:rtl/>
        </w:rPr>
        <w:t>המיקום במתחם הענישה</w:t>
      </w:r>
      <w:r w:rsidRPr="00DD1643">
        <w:rPr>
          <w:rFonts w:ascii="Calibri" w:hAnsi="Calibri" w:cs="FrankRuehl" w:hint="cs"/>
          <w:b/>
          <w:bCs/>
          <w:sz w:val="28"/>
          <w:szCs w:val="28"/>
          <w:rtl/>
        </w:rPr>
        <w:t xml:space="preserve">  - </w:t>
      </w:r>
      <w:r w:rsidRPr="00DD1643">
        <w:rPr>
          <w:rFonts w:ascii="Calibri" w:hAnsi="Calibri" w:cs="FrankRuehl" w:hint="cs"/>
          <w:sz w:val="28"/>
          <w:szCs w:val="28"/>
          <w:rtl/>
        </w:rPr>
        <w:t>לאור המפורט לעיל, סבורני כי יש למקם את הנאשם ברף התחתון של מתחם הענישה.</w:t>
      </w:r>
    </w:p>
    <w:p w14:paraId="7B45E7DA" w14:textId="77777777" w:rsidR="00DD1643" w:rsidRPr="00D31DE8" w:rsidRDefault="00DD1643" w:rsidP="00DD1643">
      <w:pPr>
        <w:spacing w:line="360" w:lineRule="auto"/>
        <w:jc w:val="both"/>
        <w:rPr>
          <w:rFonts w:cs="FrankRuehl"/>
          <w:sz w:val="28"/>
          <w:szCs w:val="28"/>
        </w:rPr>
      </w:pPr>
    </w:p>
    <w:p w14:paraId="43DC8E28" w14:textId="77777777" w:rsidR="00DD1643" w:rsidRPr="00D31DE8" w:rsidRDefault="00DD1643" w:rsidP="00DD1643">
      <w:pPr>
        <w:spacing w:line="360" w:lineRule="auto"/>
        <w:jc w:val="both"/>
        <w:rPr>
          <w:rFonts w:cs="FrankRuehl"/>
          <w:b/>
          <w:bCs/>
          <w:sz w:val="28"/>
          <w:szCs w:val="28"/>
          <w:u w:val="single"/>
          <w:rtl/>
        </w:rPr>
      </w:pPr>
      <w:r w:rsidRPr="00D31DE8">
        <w:rPr>
          <w:rFonts w:cs="FrankRuehl" w:hint="cs"/>
          <w:b/>
          <w:bCs/>
          <w:sz w:val="28"/>
          <w:szCs w:val="28"/>
          <w:u w:val="single"/>
          <w:rtl/>
        </w:rPr>
        <w:t>גזירת הדין</w:t>
      </w:r>
    </w:p>
    <w:p w14:paraId="7F466706" w14:textId="77777777" w:rsidR="00DD1643" w:rsidRPr="00D31DE8" w:rsidRDefault="00DD1643" w:rsidP="00DD1643">
      <w:pPr>
        <w:spacing w:line="360" w:lineRule="auto"/>
        <w:jc w:val="both"/>
        <w:rPr>
          <w:rFonts w:cs="FrankRuehl"/>
          <w:sz w:val="28"/>
          <w:szCs w:val="28"/>
          <w:rtl/>
        </w:rPr>
      </w:pPr>
      <w:r w:rsidRPr="00D31DE8">
        <w:rPr>
          <w:rFonts w:cs="FrankRuehl" w:hint="cs"/>
          <w:sz w:val="28"/>
          <w:szCs w:val="28"/>
          <w:rtl/>
        </w:rPr>
        <w:t>לפיכך, אני מחליט לגזור על הנאשם את העונשים הבאים:</w:t>
      </w:r>
    </w:p>
    <w:p w14:paraId="4AEB50DB" w14:textId="77777777" w:rsidR="00DD1643" w:rsidRPr="00D31DE8" w:rsidRDefault="00DD1643" w:rsidP="00DD1643">
      <w:pPr>
        <w:numPr>
          <w:ilvl w:val="0"/>
          <w:numId w:val="1"/>
        </w:numPr>
        <w:spacing w:after="160" w:line="360" w:lineRule="auto"/>
        <w:contextualSpacing/>
        <w:jc w:val="both"/>
        <w:rPr>
          <w:rFonts w:cs="FrankRuehl"/>
          <w:sz w:val="28"/>
          <w:szCs w:val="28"/>
          <w:rtl/>
        </w:rPr>
      </w:pPr>
      <w:r>
        <w:rPr>
          <w:rFonts w:cs="FrankRuehl" w:hint="cs"/>
          <w:sz w:val="28"/>
          <w:szCs w:val="28"/>
          <w:rtl/>
        </w:rPr>
        <w:t>חודשיים מאסר</w:t>
      </w:r>
      <w:r w:rsidRPr="00D31DE8">
        <w:rPr>
          <w:rFonts w:cs="FrankRuehl" w:hint="cs"/>
          <w:sz w:val="28"/>
          <w:szCs w:val="28"/>
          <w:rtl/>
        </w:rPr>
        <w:t xml:space="preserve">, אשר ירוצו בעבודות שירות, החל מיום </w:t>
      </w:r>
      <w:r>
        <w:rPr>
          <w:rFonts w:cs="FrankRuehl" w:hint="cs"/>
          <w:sz w:val="28"/>
          <w:szCs w:val="28"/>
          <w:rtl/>
        </w:rPr>
        <w:t>18.3.2020</w:t>
      </w:r>
      <w:r w:rsidRPr="00D31DE8">
        <w:rPr>
          <w:rFonts w:cs="FrankRuehl" w:hint="cs"/>
          <w:sz w:val="28"/>
          <w:szCs w:val="28"/>
          <w:rtl/>
        </w:rPr>
        <w:t xml:space="preserve">, אשר ירוצו במפעל חיים בירושלים, וזאת על פי חוות דעת הממונה על עבודות השירות. על הנאשם להתייצב ביום </w:t>
      </w:r>
      <w:r>
        <w:rPr>
          <w:rFonts w:cs="FrankRuehl" w:hint="cs"/>
          <w:sz w:val="28"/>
          <w:szCs w:val="28"/>
          <w:rtl/>
        </w:rPr>
        <w:t xml:space="preserve">זה </w:t>
      </w:r>
      <w:r w:rsidRPr="00D31DE8">
        <w:rPr>
          <w:rFonts w:cs="FrankRuehl" w:hint="cs"/>
          <w:sz w:val="28"/>
          <w:szCs w:val="28"/>
          <w:rtl/>
        </w:rPr>
        <w:t>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r>
        <w:rPr>
          <w:rFonts w:cs="FrankRuehl" w:hint="cs"/>
          <w:sz w:val="28"/>
          <w:szCs w:val="28"/>
          <w:rtl/>
        </w:rPr>
        <w:t xml:space="preserve"> </w:t>
      </w:r>
      <w:r>
        <w:rPr>
          <w:rFonts w:cs="FrankRuehl"/>
          <w:sz w:val="28"/>
          <w:szCs w:val="28"/>
          <w:rtl/>
        </w:rPr>
        <w:t>–</w:t>
      </w:r>
      <w:r>
        <w:rPr>
          <w:rFonts w:cs="FrankRuehl" w:hint="cs"/>
          <w:sz w:val="28"/>
          <w:szCs w:val="28"/>
          <w:rtl/>
        </w:rPr>
        <w:t xml:space="preserve"> </w:t>
      </w:r>
      <w:r w:rsidRPr="00EF422C">
        <w:rPr>
          <w:rFonts w:cs="FrankRuehl" w:hint="cs"/>
          <w:b/>
          <w:bCs/>
          <w:sz w:val="28"/>
          <w:szCs w:val="28"/>
          <w:u w:val="single"/>
          <w:rtl/>
        </w:rPr>
        <w:t>ככל שהממונה על עבודות שירות יוכל להקדים את מועד ריצוי העבודות, הוא רשאי לעשות כן ובלבד שיידע את בית המשפט</w:t>
      </w:r>
      <w:r>
        <w:rPr>
          <w:rFonts w:cs="FrankRuehl" w:hint="cs"/>
          <w:sz w:val="28"/>
          <w:szCs w:val="28"/>
          <w:rtl/>
        </w:rPr>
        <w:t xml:space="preserve"> </w:t>
      </w:r>
      <w:r>
        <w:rPr>
          <w:rFonts w:cs="FrankRuehl"/>
          <w:sz w:val="28"/>
          <w:szCs w:val="28"/>
          <w:rtl/>
        </w:rPr>
        <w:t>–</w:t>
      </w:r>
      <w:r>
        <w:rPr>
          <w:rFonts w:cs="FrankRuehl" w:hint="cs"/>
          <w:sz w:val="28"/>
          <w:szCs w:val="28"/>
          <w:rtl/>
        </w:rPr>
        <w:t xml:space="preserve"> יש לנכות מתקופה זו את ימי מעצרו של הנאשם ע"פ חישוב שב"ס</w:t>
      </w:r>
      <w:r w:rsidRPr="00D31DE8">
        <w:rPr>
          <w:rFonts w:cs="FrankRuehl" w:hint="cs"/>
          <w:sz w:val="28"/>
          <w:szCs w:val="28"/>
          <w:rtl/>
        </w:rPr>
        <w:t>;</w:t>
      </w:r>
    </w:p>
    <w:p w14:paraId="4089CF2E" w14:textId="77777777" w:rsidR="00DD1643" w:rsidRDefault="00DD1643" w:rsidP="00DD1643">
      <w:pPr>
        <w:numPr>
          <w:ilvl w:val="0"/>
          <w:numId w:val="1"/>
        </w:numPr>
        <w:spacing w:after="160" w:line="360" w:lineRule="auto"/>
        <w:contextualSpacing/>
        <w:jc w:val="both"/>
        <w:rPr>
          <w:rFonts w:cs="FrankRuehl"/>
          <w:sz w:val="28"/>
          <w:szCs w:val="28"/>
        </w:rPr>
      </w:pPr>
      <w:r>
        <w:rPr>
          <w:rFonts w:cs="FrankRuehl" w:hint="cs"/>
          <w:sz w:val="28"/>
          <w:szCs w:val="28"/>
          <w:rtl/>
        </w:rPr>
        <w:t xml:space="preserve">5 </w:t>
      </w:r>
      <w:r w:rsidRPr="00D31DE8">
        <w:rPr>
          <w:rFonts w:cs="FrankRuehl" w:hint="cs"/>
          <w:sz w:val="28"/>
          <w:szCs w:val="28"/>
          <w:rtl/>
        </w:rPr>
        <w:t xml:space="preserve">חודשי מאסר, שלא ירוצו אלא אם יעבור הנאשם </w:t>
      </w:r>
      <w:r>
        <w:rPr>
          <w:rFonts w:cs="FrankRuehl" w:hint="cs"/>
          <w:sz w:val="28"/>
          <w:szCs w:val="28"/>
          <w:rtl/>
        </w:rPr>
        <w:t xml:space="preserve">כל עבירה  לפי פקודת הסמים, למעט שימוש עצמי והחזקת כלים לשימוש עצמי, </w:t>
      </w:r>
      <w:r w:rsidRPr="00D31DE8">
        <w:rPr>
          <w:rFonts w:cs="FrankRuehl" w:hint="cs"/>
          <w:sz w:val="28"/>
          <w:szCs w:val="28"/>
          <w:rtl/>
        </w:rPr>
        <w:t>וזאת בתוך שלוש מהיום;</w:t>
      </w:r>
    </w:p>
    <w:p w14:paraId="01DDE797" w14:textId="77777777" w:rsidR="00DD1643" w:rsidRPr="00D31DE8" w:rsidRDefault="00DD1643" w:rsidP="00DD1643">
      <w:pPr>
        <w:numPr>
          <w:ilvl w:val="0"/>
          <w:numId w:val="1"/>
        </w:numPr>
        <w:spacing w:after="160" w:line="360" w:lineRule="auto"/>
        <w:contextualSpacing/>
        <w:jc w:val="both"/>
        <w:rPr>
          <w:rFonts w:cs="FrankRuehl"/>
          <w:sz w:val="28"/>
          <w:szCs w:val="28"/>
          <w:rtl/>
        </w:rPr>
      </w:pPr>
      <w:r>
        <w:rPr>
          <w:rFonts w:cs="FrankRuehl" w:hint="cs"/>
          <w:sz w:val="28"/>
          <w:szCs w:val="28"/>
          <w:rtl/>
        </w:rPr>
        <w:t>חודש מאסר שלא ירוצה, אלא אם יעבור הנאשם עבירה של שימוש עצמי והחזקת כלים לשימוש עצמי, וזאת בתוך שלוש שנים מהיום;</w:t>
      </w:r>
    </w:p>
    <w:p w14:paraId="390A3118" w14:textId="77777777" w:rsidR="00DD1643" w:rsidRPr="00D31DE8" w:rsidRDefault="00DD1643" w:rsidP="00DD1643">
      <w:pPr>
        <w:numPr>
          <w:ilvl w:val="0"/>
          <w:numId w:val="1"/>
        </w:numPr>
        <w:spacing w:after="160" w:line="360" w:lineRule="auto"/>
        <w:contextualSpacing/>
        <w:jc w:val="both"/>
        <w:rPr>
          <w:rFonts w:cs="FrankRuehl"/>
          <w:sz w:val="28"/>
          <w:szCs w:val="28"/>
        </w:rPr>
      </w:pPr>
      <w:r w:rsidRPr="00D31DE8">
        <w:rPr>
          <w:rFonts w:cs="FrankRuehl" w:hint="cs"/>
          <w:sz w:val="28"/>
          <w:szCs w:val="28"/>
          <w:rtl/>
        </w:rPr>
        <w:t xml:space="preserve">קנס בסך  </w:t>
      </w:r>
      <w:r>
        <w:rPr>
          <w:rFonts w:cs="FrankRuehl" w:hint="cs"/>
          <w:sz w:val="28"/>
          <w:szCs w:val="28"/>
          <w:rtl/>
        </w:rPr>
        <w:t xml:space="preserve">1,000 </w:t>
      </w:r>
      <w:r w:rsidRPr="00D31DE8">
        <w:rPr>
          <w:rFonts w:cs="FrankRuehl" w:hint="cs"/>
          <w:sz w:val="28"/>
          <w:szCs w:val="28"/>
          <w:rtl/>
        </w:rPr>
        <w:t>₪, אשר ישולם החל מיום</w:t>
      </w:r>
      <w:r>
        <w:rPr>
          <w:rFonts w:cs="FrankRuehl" w:hint="cs"/>
          <w:sz w:val="28"/>
          <w:szCs w:val="28"/>
          <w:rtl/>
        </w:rPr>
        <w:t xml:space="preserve"> 1.1.2020 </w:t>
      </w:r>
      <w:r w:rsidRPr="00D31DE8">
        <w:rPr>
          <w:rFonts w:cs="FrankRuehl" w:hint="cs"/>
          <w:sz w:val="28"/>
          <w:szCs w:val="28"/>
          <w:rtl/>
        </w:rPr>
        <w:t xml:space="preserve">, או  </w:t>
      </w:r>
      <w:r>
        <w:rPr>
          <w:rFonts w:cs="FrankRuehl" w:hint="cs"/>
          <w:sz w:val="28"/>
          <w:szCs w:val="28"/>
          <w:rtl/>
        </w:rPr>
        <w:t xml:space="preserve">10 </w:t>
      </w:r>
      <w:r w:rsidRPr="00D31DE8">
        <w:rPr>
          <w:rFonts w:cs="FrankRuehl" w:hint="cs"/>
          <w:sz w:val="28"/>
          <w:szCs w:val="28"/>
          <w:rtl/>
        </w:rPr>
        <w:t>ימי מאסר תמורתו. הקנס ישולם ב-</w:t>
      </w:r>
      <w:r>
        <w:rPr>
          <w:rFonts w:cs="FrankRuehl" w:hint="cs"/>
          <w:sz w:val="28"/>
          <w:szCs w:val="28"/>
          <w:rtl/>
        </w:rPr>
        <w:t>5</w:t>
      </w:r>
      <w:r w:rsidRPr="00D31DE8">
        <w:rPr>
          <w:rFonts w:cs="FrankRuehl" w:hint="cs"/>
          <w:sz w:val="28"/>
          <w:szCs w:val="28"/>
          <w:rtl/>
        </w:rPr>
        <w:t xml:space="preserve"> תשלומים שווים ורצופים ב</w:t>
      </w:r>
      <w:r>
        <w:rPr>
          <w:rFonts w:cs="FrankRuehl" w:hint="cs"/>
          <w:sz w:val="28"/>
          <w:szCs w:val="28"/>
          <w:rtl/>
        </w:rPr>
        <w:t>-1 ב</w:t>
      </w:r>
      <w:r w:rsidRPr="00D31DE8">
        <w:rPr>
          <w:rFonts w:cs="FrankRuehl" w:hint="cs"/>
          <w:sz w:val="28"/>
          <w:szCs w:val="28"/>
          <w:rtl/>
        </w:rPr>
        <w:t>כל חודש</w:t>
      </w:r>
      <w:r>
        <w:rPr>
          <w:rFonts w:cs="FrankRuehl" w:hint="cs"/>
          <w:sz w:val="28"/>
          <w:szCs w:val="28"/>
          <w:rtl/>
        </w:rPr>
        <w:t xml:space="preserve"> רוצף ועקיב</w:t>
      </w:r>
      <w:r w:rsidRPr="00D31DE8">
        <w:rPr>
          <w:rFonts w:cs="FrankRuehl" w:hint="cs"/>
          <w:sz w:val="28"/>
          <w:szCs w:val="28"/>
          <w:rtl/>
        </w:rPr>
        <w:t>. לא ישולם תשלום במועד או לא ישולם כלל, יעמוד הקנס לפירעון מיידי</w:t>
      </w:r>
      <w:r>
        <w:rPr>
          <w:rFonts w:cs="FrankRuehl" w:hint="cs"/>
          <w:sz w:val="28"/>
          <w:szCs w:val="28"/>
          <w:rtl/>
        </w:rPr>
        <w:t xml:space="preserve"> ויישא הפרשי הצמדה וריבית פיגורים כחוק. הקנס יקוזז מההפקדה שבתיק המ"ת, והיתרה תושב לנאשם או למי שהפקיד את הסכום  - היתרה לא תוחזר אלא לאחר סיום ריצוי העונש בהתאם לאסמכתא מהממונה</w:t>
      </w:r>
      <w:r w:rsidRPr="00D31DE8">
        <w:rPr>
          <w:rFonts w:cs="FrankRuehl" w:hint="cs"/>
          <w:sz w:val="28"/>
          <w:szCs w:val="28"/>
          <w:rtl/>
        </w:rPr>
        <w:t>;</w:t>
      </w:r>
    </w:p>
    <w:p w14:paraId="570A4A20" w14:textId="77777777" w:rsidR="00DD1643" w:rsidRDefault="00DD1643" w:rsidP="00DD1643">
      <w:pPr>
        <w:numPr>
          <w:ilvl w:val="0"/>
          <w:numId w:val="1"/>
        </w:numPr>
        <w:spacing w:after="160" w:line="360" w:lineRule="auto"/>
        <w:contextualSpacing/>
        <w:jc w:val="both"/>
        <w:rPr>
          <w:rFonts w:cs="FrankRuehl"/>
          <w:sz w:val="28"/>
          <w:szCs w:val="28"/>
        </w:rPr>
      </w:pPr>
      <w:r w:rsidRPr="00D31DE8">
        <w:rPr>
          <w:rFonts w:cs="FrankRuehl" w:hint="cs"/>
          <w:sz w:val="28"/>
          <w:szCs w:val="28"/>
          <w:rtl/>
        </w:rPr>
        <w:t xml:space="preserve">התחייבות בסך </w:t>
      </w:r>
      <w:r>
        <w:rPr>
          <w:rFonts w:cs="FrankRuehl" w:hint="cs"/>
          <w:sz w:val="28"/>
          <w:szCs w:val="28"/>
          <w:rtl/>
        </w:rPr>
        <w:t xml:space="preserve">2,000 </w:t>
      </w:r>
      <w:r w:rsidRPr="00D31DE8">
        <w:rPr>
          <w:rFonts w:cs="FrankRuehl" w:hint="cs"/>
          <w:sz w:val="28"/>
          <w:szCs w:val="28"/>
          <w:rtl/>
        </w:rPr>
        <w:t>₪ שלא לעבור כל עביר</w:t>
      </w:r>
      <w:r>
        <w:rPr>
          <w:rFonts w:cs="FrankRuehl" w:hint="cs"/>
          <w:sz w:val="28"/>
          <w:szCs w:val="28"/>
          <w:rtl/>
        </w:rPr>
        <w:t>ה לפי פקודת הסמים, לרבות שימוש עצמי,</w:t>
      </w:r>
      <w:r w:rsidRPr="00D31DE8">
        <w:rPr>
          <w:rFonts w:cs="FrankRuehl" w:hint="cs"/>
          <w:sz w:val="28"/>
          <w:szCs w:val="28"/>
          <w:rtl/>
        </w:rPr>
        <w:t xml:space="preserve">   במשך שנתיים מהיום או </w:t>
      </w:r>
      <w:r>
        <w:rPr>
          <w:rFonts w:cs="FrankRuehl" w:hint="cs"/>
          <w:sz w:val="28"/>
          <w:szCs w:val="28"/>
          <w:rtl/>
        </w:rPr>
        <w:t xml:space="preserve">10 </w:t>
      </w:r>
      <w:r w:rsidRPr="00D31DE8">
        <w:rPr>
          <w:rFonts w:cs="FrankRuehl" w:hint="cs"/>
          <w:sz w:val="28"/>
          <w:szCs w:val="28"/>
          <w:rtl/>
        </w:rPr>
        <w:t>ימי מאסר תמורתה אם לא תיחתם. הובהר לנאשם שמשמעות ההתחייבות היא, כי אם יעבור את העבירה בתוך התקופה שצוינה, בית המשפט שיגזור את הדין יהא חייב ל</w:t>
      </w:r>
      <w:r>
        <w:rPr>
          <w:rFonts w:cs="FrankRuehl" w:hint="cs"/>
          <w:sz w:val="28"/>
          <w:szCs w:val="28"/>
          <w:rtl/>
        </w:rPr>
        <w:t xml:space="preserve">חלט את ההתחייבות כקנס. המזכירות תחתים את הנאשם על-סמך הדרכון שהציג לי. </w:t>
      </w:r>
    </w:p>
    <w:p w14:paraId="40CA8764" w14:textId="77777777" w:rsidR="00DD1643" w:rsidRDefault="00DD1643" w:rsidP="00DD1643">
      <w:pPr>
        <w:spacing w:after="160" w:line="360" w:lineRule="auto"/>
        <w:contextualSpacing/>
        <w:jc w:val="both"/>
        <w:rPr>
          <w:rFonts w:cs="FrankRuehl"/>
          <w:sz w:val="28"/>
          <w:szCs w:val="28"/>
          <w:rtl/>
        </w:rPr>
      </w:pPr>
    </w:p>
    <w:p w14:paraId="34B8D208" w14:textId="77777777" w:rsidR="00DD1643" w:rsidRDefault="00DD1643" w:rsidP="00DD1643">
      <w:pPr>
        <w:spacing w:after="160" w:line="360" w:lineRule="auto"/>
        <w:contextualSpacing/>
        <w:jc w:val="both"/>
        <w:rPr>
          <w:rFonts w:cs="FrankRuehl"/>
          <w:b/>
          <w:bCs/>
          <w:sz w:val="28"/>
          <w:szCs w:val="28"/>
          <w:u w:val="single"/>
          <w:rtl/>
        </w:rPr>
      </w:pPr>
      <w:r w:rsidRPr="005033AA">
        <w:rPr>
          <w:rFonts w:cs="FrankRuehl" w:hint="cs"/>
          <w:b/>
          <w:bCs/>
          <w:sz w:val="28"/>
          <w:szCs w:val="28"/>
          <w:u w:val="single"/>
          <w:rtl/>
        </w:rPr>
        <w:t xml:space="preserve">מובהר בזה כי צו עיכוב היציאה מהארץ יבוטל רק לאחר שהנאשם יסיים לרצות את עונשו בהתאם לאסמכתא שתתקבל מהממונה על עבודות שירות.  על-כן, ישנה חשיבות רבה לכך שהממונה יקדים את מועד ריצוי העבודות. </w:t>
      </w:r>
    </w:p>
    <w:p w14:paraId="315E5A6B" w14:textId="77777777" w:rsidR="00DD1643" w:rsidRPr="00D31DE8" w:rsidRDefault="00DD1643" w:rsidP="00DD1643">
      <w:pPr>
        <w:spacing w:line="360" w:lineRule="auto"/>
        <w:rPr>
          <w:rFonts w:ascii="FrankRuehl" w:hAnsi="FrankRuehl" w:cs="FrankRuehl"/>
          <w:sz w:val="28"/>
          <w:szCs w:val="28"/>
          <w:rtl/>
        </w:rPr>
      </w:pPr>
      <w:r>
        <w:rPr>
          <w:rFonts w:ascii="FrankRuehl" w:hAnsi="FrankRuehl" w:cs="FrankRuehl" w:hint="cs"/>
          <w:sz w:val="28"/>
          <w:szCs w:val="28"/>
          <w:rtl/>
        </w:rPr>
        <w:t xml:space="preserve">מורה על השמדת הסמים ועל חילוט המוצגים למעט הטלפון שיוחזר לנאשם. </w:t>
      </w:r>
    </w:p>
    <w:p w14:paraId="0BBF88BA" w14:textId="77777777" w:rsidR="00DD1643" w:rsidRDefault="00DD1643" w:rsidP="00DD1643">
      <w:pPr>
        <w:spacing w:line="360" w:lineRule="auto"/>
        <w:rPr>
          <w:rFonts w:ascii="FrankRuehl" w:hAnsi="FrankRuehl" w:cs="FrankRuehl"/>
          <w:sz w:val="28"/>
          <w:szCs w:val="28"/>
          <w:rtl/>
        </w:rPr>
      </w:pPr>
    </w:p>
    <w:p w14:paraId="4DECF07B" w14:textId="77777777" w:rsidR="00DD1643" w:rsidRPr="00D31DE8" w:rsidRDefault="00DD1643" w:rsidP="00DD1643">
      <w:pPr>
        <w:spacing w:line="360" w:lineRule="auto"/>
        <w:rPr>
          <w:rFonts w:ascii="FrankRuehl" w:hAnsi="FrankRuehl" w:cs="FrankRuehl"/>
          <w:sz w:val="28"/>
          <w:szCs w:val="28"/>
        </w:rPr>
      </w:pPr>
      <w:r w:rsidRPr="00D31DE8">
        <w:rPr>
          <w:rFonts w:ascii="FrankRuehl" w:hAnsi="FrankRuehl" w:cs="FrankRuehl" w:hint="cs"/>
          <w:sz w:val="28"/>
          <w:szCs w:val="28"/>
          <w:rtl/>
        </w:rPr>
        <w:t>יש לשלוח לשירות המבחן ולממונה על עבודות שירות.</w:t>
      </w:r>
    </w:p>
    <w:p w14:paraId="15D27F45" w14:textId="77777777" w:rsidR="00DD1643" w:rsidRPr="00D31DE8" w:rsidRDefault="00DD1643" w:rsidP="00DD1643">
      <w:pPr>
        <w:rPr>
          <w:rFonts w:ascii="FrankRuehl" w:hAnsi="FrankRuehl" w:cs="FrankRuehl"/>
          <w:sz w:val="28"/>
          <w:szCs w:val="28"/>
          <w:rtl/>
        </w:rPr>
      </w:pPr>
    </w:p>
    <w:p w14:paraId="476932B6" w14:textId="77777777" w:rsidR="00DD1643" w:rsidRPr="00D31DE8" w:rsidRDefault="00573417" w:rsidP="00DD1643">
      <w:pPr>
        <w:rPr>
          <w:rFonts w:ascii="FrankRuehl" w:hAnsi="FrankRuehl" w:cs="FrankRuehl"/>
          <w:sz w:val="28"/>
          <w:szCs w:val="28"/>
          <w:rtl/>
        </w:rPr>
      </w:pPr>
      <w:r w:rsidRPr="00573417">
        <w:rPr>
          <w:rFonts w:ascii="FrankRuehl" w:hAnsi="FrankRuehl" w:cs="FrankRuehl"/>
          <w:color w:val="FFFFFF"/>
          <w:sz w:val="2"/>
          <w:szCs w:val="2"/>
          <w:rtl/>
        </w:rPr>
        <w:t>5129371</w:t>
      </w:r>
      <w:r w:rsidR="00DD1643" w:rsidRPr="00D31DE8">
        <w:rPr>
          <w:rFonts w:ascii="FrankRuehl" w:hAnsi="FrankRuehl" w:cs="FrankRuehl" w:hint="cs"/>
          <w:sz w:val="28"/>
          <w:szCs w:val="28"/>
          <w:rtl/>
        </w:rPr>
        <w:t>זכות ערעור כחוק לבית המשפט המחוזי בירושלים בתוך 45 יום מהיום.</w:t>
      </w:r>
    </w:p>
    <w:p w14:paraId="29CB563F" w14:textId="77777777" w:rsidR="00DD1643" w:rsidRPr="00573417" w:rsidRDefault="00573417" w:rsidP="00DD1643">
      <w:pPr>
        <w:rPr>
          <w:rFonts w:cs="FrankRuehl"/>
          <w:color w:val="FFFFFF"/>
          <w:sz w:val="2"/>
          <w:szCs w:val="2"/>
          <w:rtl/>
        </w:rPr>
      </w:pPr>
      <w:r w:rsidRPr="00573417">
        <w:rPr>
          <w:rFonts w:cs="FrankRuehl"/>
          <w:color w:val="FFFFFF"/>
          <w:sz w:val="2"/>
          <w:szCs w:val="2"/>
          <w:rtl/>
        </w:rPr>
        <w:t>54678313</w:t>
      </w:r>
    </w:p>
    <w:p w14:paraId="78B87877" w14:textId="77777777" w:rsidR="00DD1643" w:rsidRPr="00D31DE8" w:rsidRDefault="00DD1643" w:rsidP="00DD1643">
      <w:pPr>
        <w:rPr>
          <w:rFonts w:cs="FrankRuehl"/>
          <w:sz w:val="28"/>
          <w:szCs w:val="28"/>
          <w:rtl/>
        </w:rPr>
      </w:pPr>
    </w:p>
    <w:p w14:paraId="57F2554E" w14:textId="77777777" w:rsidR="00DD1643" w:rsidRPr="00D31DE8" w:rsidRDefault="00573417" w:rsidP="00DD1643">
      <w:pPr>
        <w:rPr>
          <w:rFonts w:cs="FrankRuehl"/>
          <w:sz w:val="28"/>
          <w:szCs w:val="28"/>
          <w:rtl/>
        </w:rPr>
      </w:pPr>
      <w:bookmarkStart w:id="8" w:name="Nitan"/>
      <w:r>
        <w:rPr>
          <w:rFonts w:ascii="Arial" w:hAnsi="Arial" w:cs="FrankRuehl"/>
          <w:sz w:val="28"/>
          <w:szCs w:val="28"/>
          <w:rtl/>
        </w:rPr>
        <w:t xml:space="preserve">ניתן היום,  ט"ו אלול תשע"ט, 15 ספטמבר 2019, במעמד הצדדים. </w:t>
      </w:r>
      <w:bookmarkEnd w:id="8"/>
    </w:p>
    <w:p w14:paraId="06BF76B8" w14:textId="77777777" w:rsidR="00DD1643" w:rsidRPr="003C61BC" w:rsidRDefault="00DD1643" w:rsidP="00573417">
      <w:pPr>
        <w:jc w:val="center"/>
      </w:pPr>
      <w:r w:rsidRPr="00D31DE8">
        <w:rPr>
          <w:rFonts w:cs="FrankRuehl" w:hint="cs"/>
          <w:sz w:val="28"/>
          <w:szCs w:val="28"/>
          <w:rtl/>
        </w:rPr>
        <w:t xml:space="preserve">   </w:t>
      </w:r>
      <w:r w:rsidRPr="00D31DE8">
        <w:rPr>
          <w:rFonts w:cs="FrankRuehl" w:hint="cs"/>
          <w:sz w:val="28"/>
          <w:szCs w:val="28"/>
          <w:rtl/>
        </w:rPr>
        <w:tab/>
      </w:r>
      <w:r w:rsidRPr="00D31DE8">
        <w:rPr>
          <w:rFonts w:cs="FrankRuehl" w:hint="cs"/>
          <w:sz w:val="28"/>
          <w:szCs w:val="28"/>
          <w:rtl/>
        </w:rPr>
        <w:tab/>
      </w:r>
      <w:r w:rsidRPr="00D31DE8">
        <w:rPr>
          <w:rFonts w:cs="FrankRuehl" w:hint="cs"/>
          <w:sz w:val="28"/>
          <w:szCs w:val="28"/>
          <w:rtl/>
        </w:rPr>
        <w:tab/>
      </w:r>
      <w:r w:rsidRPr="00D31DE8">
        <w:rPr>
          <w:rFonts w:cs="FrankRuehl" w:hint="cs"/>
          <w:sz w:val="28"/>
          <w:szCs w:val="28"/>
          <w:rtl/>
        </w:rPr>
        <w:tab/>
      </w:r>
      <w:r w:rsidRPr="00D31DE8">
        <w:rPr>
          <w:rFonts w:cs="FrankRuehl" w:hint="cs"/>
          <w:sz w:val="28"/>
          <w:szCs w:val="28"/>
          <w:rtl/>
        </w:rPr>
        <w:tab/>
      </w:r>
    </w:p>
    <w:p w14:paraId="7A3A1B1A" w14:textId="77777777" w:rsidR="00DD1643" w:rsidRPr="009B3CBF" w:rsidRDefault="009B3CBF" w:rsidP="00DD1643">
      <w:pPr>
        <w:jc w:val="center"/>
        <w:rPr>
          <w:rFonts w:ascii="Arial" w:hAnsi="Arial" w:cs="FrankRuehl"/>
          <w:color w:val="FFFFFF"/>
          <w:sz w:val="2"/>
          <w:szCs w:val="2"/>
          <w:rtl/>
        </w:rPr>
      </w:pPr>
      <w:r w:rsidRPr="009B3CBF">
        <w:rPr>
          <w:rFonts w:ascii="Arial" w:hAnsi="Arial" w:cs="FrankRuehl"/>
          <w:color w:val="FFFFFF"/>
          <w:sz w:val="2"/>
          <w:szCs w:val="2"/>
          <w:rtl/>
        </w:rPr>
        <w:t>5129371</w:t>
      </w:r>
    </w:p>
    <w:p w14:paraId="222E9F5F" w14:textId="77777777" w:rsidR="00473CCD" w:rsidRPr="009B3CBF" w:rsidRDefault="009B3CBF" w:rsidP="00573417">
      <w:pPr>
        <w:keepNext/>
        <w:rPr>
          <w:rFonts w:ascii="David" w:hAnsi="David"/>
          <w:color w:val="FFFFFF"/>
          <w:sz w:val="2"/>
          <w:szCs w:val="2"/>
          <w:rtl/>
        </w:rPr>
      </w:pPr>
      <w:r w:rsidRPr="009B3CBF">
        <w:rPr>
          <w:rFonts w:ascii="David" w:hAnsi="David"/>
          <w:color w:val="FFFFFF"/>
          <w:sz w:val="2"/>
          <w:szCs w:val="2"/>
          <w:rtl/>
        </w:rPr>
        <w:t>54678313</w:t>
      </w:r>
    </w:p>
    <w:p w14:paraId="71A4BAC7" w14:textId="77777777" w:rsidR="00573417" w:rsidRDefault="00573417" w:rsidP="00573417">
      <w:pPr>
        <w:rPr>
          <w:rtl/>
        </w:rPr>
      </w:pPr>
    </w:p>
    <w:p w14:paraId="579E5822" w14:textId="77777777" w:rsidR="00573417" w:rsidRDefault="00573417" w:rsidP="00573417">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0A7E34B" w14:textId="77777777" w:rsidR="009B3CBF" w:rsidRPr="009B3CBF" w:rsidRDefault="009B3CBF" w:rsidP="009B3CBF">
      <w:pPr>
        <w:keepNext/>
        <w:rPr>
          <w:rFonts w:ascii="David" w:hAnsi="David"/>
          <w:color w:val="000000"/>
          <w:sz w:val="22"/>
          <w:szCs w:val="22"/>
          <w:rtl/>
        </w:rPr>
      </w:pPr>
    </w:p>
    <w:p w14:paraId="73C7B75E" w14:textId="77777777" w:rsidR="009B3CBF" w:rsidRPr="009B3CBF" w:rsidRDefault="009B3CBF" w:rsidP="009B3CBF">
      <w:pPr>
        <w:keepNext/>
        <w:rPr>
          <w:rFonts w:ascii="David" w:hAnsi="David"/>
          <w:color w:val="000000"/>
          <w:sz w:val="22"/>
          <w:szCs w:val="22"/>
          <w:rtl/>
        </w:rPr>
      </w:pPr>
      <w:r w:rsidRPr="009B3CBF">
        <w:rPr>
          <w:rFonts w:ascii="David" w:hAnsi="David"/>
          <w:color w:val="000000"/>
          <w:sz w:val="22"/>
          <w:szCs w:val="22"/>
          <w:rtl/>
        </w:rPr>
        <w:t>דוד שאול גבאי ריכטר 54678313-/</w:t>
      </w:r>
    </w:p>
    <w:p w14:paraId="4FD28C8E" w14:textId="77777777" w:rsidR="00573417" w:rsidRPr="00573417" w:rsidRDefault="009B3CBF" w:rsidP="009B3CBF">
      <w:pPr>
        <w:rPr>
          <w:color w:val="0000FF"/>
          <w:u w:val="single"/>
        </w:rPr>
      </w:pPr>
      <w:r w:rsidRPr="009B3CBF">
        <w:rPr>
          <w:color w:val="000000"/>
          <w:u w:val="single"/>
          <w:rtl/>
        </w:rPr>
        <w:t>נוסח מסמך זה כפוף לשינויי ניסוח ועריכה</w:t>
      </w:r>
    </w:p>
    <w:sectPr w:rsidR="00573417" w:rsidRPr="00573417" w:rsidSect="009B3CBF">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4930E" w14:textId="77777777" w:rsidR="00ED3CFF" w:rsidRDefault="00ED3CFF" w:rsidP="005C28C2">
      <w:r>
        <w:separator/>
      </w:r>
    </w:p>
  </w:endnote>
  <w:endnote w:type="continuationSeparator" w:id="0">
    <w:p w14:paraId="6E4217A0" w14:textId="77777777" w:rsidR="00ED3CFF" w:rsidRDefault="00ED3CFF" w:rsidP="005C2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D3AEF" w14:textId="77777777" w:rsidR="009B3CBF" w:rsidRDefault="009B3CBF" w:rsidP="009B3C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C0A8F08" w14:textId="77777777" w:rsidR="00C23C1B" w:rsidRPr="009B3CBF" w:rsidRDefault="009B3CBF" w:rsidP="009B3CBF">
    <w:pPr>
      <w:pStyle w:val="a5"/>
      <w:pBdr>
        <w:top w:val="single" w:sz="4" w:space="1" w:color="auto"/>
        <w:between w:val="single" w:sz="4" w:space="0" w:color="auto"/>
      </w:pBdr>
      <w:spacing w:after="60"/>
      <w:jc w:val="center"/>
      <w:rPr>
        <w:rFonts w:ascii="FrankRuehl" w:hAnsi="FrankRuehl" w:cs="FrankRuehl"/>
        <w:color w:val="000000"/>
      </w:rPr>
    </w:pPr>
    <w:r w:rsidRPr="009B3C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048F0" w14:textId="77777777" w:rsidR="009B3CBF" w:rsidRDefault="009B3CBF" w:rsidP="009B3C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72A4">
      <w:rPr>
        <w:rFonts w:ascii="FrankRuehl" w:hAnsi="FrankRuehl" w:cs="FrankRuehl"/>
        <w:noProof/>
        <w:rtl/>
      </w:rPr>
      <w:t>1</w:t>
    </w:r>
    <w:r>
      <w:rPr>
        <w:rFonts w:ascii="FrankRuehl" w:hAnsi="FrankRuehl" w:cs="FrankRuehl"/>
        <w:rtl/>
      </w:rPr>
      <w:fldChar w:fldCharType="end"/>
    </w:r>
  </w:p>
  <w:p w14:paraId="055AEF71" w14:textId="77777777" w:rsidR="00C23C1B" w:rsidRPr="009B3CBF" w:rsidRDefault="009B3CBF" w:rsidP="009B3CBF">
    <w:pPr>
      <w:pStyle w:val="a5"/>
      <w:pBdr>
        <w:top w:val="single" w:sz="4" w:space="1" w:color="auto"/>
        <w:between w:val="single" w:sz="4" w:space="0" w:color="auto"/>
      </w:pBdr>
      <w:spacing w:after="60"/>
      <w:jc w:val="center"/>
      <w:rPr>
        <w:rFonts w:ascii="FrankRuehl" w:hAnsi="FrankRuehl" w:cs="FrankRuehl"/>
        <w:color w:val="000000"/>
      </w:rPr>
    </w:pPr>
    <w:r w:rsidRPr="009B3CBF">
      <w:rPr>
        <w:rFonts w:ascii="FrankRuehl" w:hAnsi="FrankRuehl" w:cs="FrankRuehl"/>
        <w:color w:val="000000"/>
      </w:rPr>
      <w:pict w14:anchorId="721E7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68569" w14:textId="77777777" w:rsidR="00ED3CFF" w:rsidRDefault="00ED3CFF" w:rsidP="005C28C2">
      <w:r>
        <w:separator/>
      </w:r>
    </w:p>
  </w:footnote>
  <w:footnote w:type="continuationSeparator" w:id="0">
    <w:p w14:paraId="270EA7C3" w14:textId="77777777" w:rsidR="00ED3CFF" w:rsidRDefault="00ED3CFF" w:rsidP="005C2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7834F" w14:textId="77777777" w:rsidR="00573417" w:rsidRPr="009B3CBF" w:rsidRDefault="009B3CBF" w:rsidP="009B3C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15638-01-19</w:t>
    </w:r>
    <w:r>
      <w:rPr>
        <w:rFonts w:ascii="David" w:hAnsi="David"/>
        <w:color w:val="000000"/>
        <w:sz w:val="22"/>
        <w:szCs w:val="22"/>
        <w:rtl/>
      </w:rPr>
      <w:tab/>
      <w:t xml:space="preserve"> מדינת ישראל נ' יוסף סרף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93968" w14:textId="77777777" w:rsidR="00573417" w:rsidRPr="009B3CBF" w:rsidRDefault="009B3CBF" w:rsidP="009B3C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15638-01-19</w:t>
    </w:r>
    <w:r>
      <w:rPr>
        <w:rFonts w:ascii="David" w:hAnsi="David"/>
        <w:color w:val="000000"/>
        <w:sz w:val="22"/>
        <w:szCs w:val="22"/>
        <w:rtl/>
      </w:rPr>
      <w:tab/>
      <w:t xml:space="preserve"> מדינת ישראל נ' יוסף סרף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4916767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1643"/>
    <w:rsid w:val="00381020"/>
    <w:rsid w:val="003C72A4"/>
    <w:rsid w:val="00473CCD"/>
    <w:rsid w:val="00573417"/>
    <w:rsid w:val="005C28C2"/>
    <w:rsid w:val="005E19C4"/>
    <w:rsid w:val="009B3CBF"/>
    <w:rsid w:val="00C23C1B"/>
    <w:rsid w:val="00CB029E"/>
    <w:rsid w:val="00DD1643"/>
    <w:rsid w:val="00ED3C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163EEB"/>
  <w15:chartTrackingRefBased/>
  <w15:docId w15:val="{F4B09973-E615-460E-91DA-C41ECA41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164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1643"/>
    <w:pPr>
      <w:tabs>
        <w:tab w:val="center" w:pos="4153"/>
        <w:tab w:val="right" w:pos="8306"/>
      </w:tabs>
    </w:pPr>
  </w:style>
  <w:style w:type="character" w:customStyle="1" w:styleId="a4">
    <w:name w:val="כותרת עליונה תו"/>
    <w:link w:val="a3"/>
    <w:rsid w:val="00DD1643"/>
    <w:rPr>
      <w:rFonts w:ascii="Times New Roman" w:eastAsia="Times New Roman" w:hAnsi="Times New Roman" w:cs="David"/>
      <w:sz w:val="24"/>
      <w:szCs w:val="24"/>
    </w:rPr>
  </w:style>
  <w:style w:type="paragraph" w:styleId="a5">
    <w:name w:val="footer"/>
    <w:basedOn w:val="a"/>
    <w:link w:val="a6"/>
    <w:rsid w:val="00DD1643"/>
    <w:pPr>
      <w:tabs>
        <w:tab w:val="center" w:pos="4153"/>
        <w:tab w:val="right" w:pos="8306"/>
      </w:tabs>
    </w:pPr>
  </w:style>
  <w:style w:type="character" w:customStyle="1" w:styleId="a6">
    <w:name w:val="כותרת תחתונה תו"/>
    <w:link w:val="a5"/>
    <w:rsid w:val="00DD1643"/>
    <w:rPr>
      <w:rFonts w:ascii="Times New Roman" w:eastAsia="Times New Roman" w:hAnsi="Times New Roman" w:cs="David"/>
      <w:sz w:val="24"/>
      <w:szCs w:val="24"/>
    </w:rPr>
  </w:style>
  <w:style w:type="table" w:styleId="a7">
    <w:name w:val="Table Grid"/>
    <w:basedOn w:val="a1"/>
    <w:rsid w:val="00DD164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D1643"/>
  </w:style>
  <w:style w:type="character" w:styleId="Hyperlink">
    <w:name w:val="Hyperlink"/>
    <w:rsid w:val="0057341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2961877"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29.a"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yperlink" Target="http://www.nevo.co.il/law/70301/40j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1477656"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70301/40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1827077"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1766</Words>
  <Characters>8831</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10576</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3407988</vt:i4>
      </vt:variant>
      <vt:variant>
        <vt:i4>48</vt:i4>
      </vt:variant>
      <vt:variant>
        <vt:i4>0</vt:i4>
      </vt:variant>
      <vt:variant>
        <vt:i4>5</vt:i4>
      </vt:variant>
      <vt:variant>
        <vt:lpwstr>http://www.nevo.co.il/case/21477656</vt:lpwstr>
      </vt:variant>
      <vt:variant>
        <vt:lpwstr/>
      </vt:variant>
      <vt:variant>
        <vt:i4>3801207</vt:i4>
      </vt:variant>
      <vt:variant>
        <vt:i4>45</vt:i4>
      </vt:variant>
      <vt:variant>
        <vt:i4>0</vt:i4>
      </vt:variant>
      <vt:variant>
        <vt:i4>5</vt:i4>
      </vt:variant>
      <vt:variant>
        <vt:lpwstr>http://www.nevo.co.il/case/21827077</vt:lpwstr>
      </vt:variant>
      <vt:variant>
        <vt:lpwstr/>
      </vt:variant>
      <vt:variant>
        <vt:i4>3997816</vt:i4>
      </vt:variant>
      <vt:variant>
        <vt:i4>42</vt:i4>
      </vt:variant>
      <vt:variant>
        <vt:i4>0</vt:i4>
      </vt:variant>
      <vt:variant>
        <vt:i4>5</vt:i4>
      </vt:variant>
      <vt:variant>
        <vt:lpwstr>http://www.nevo.co.il/case/22961877</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852041</vt:i4>
      </vt:variant>
      <vt:variant>
        <vt:i4>30</vt:i4>
      </vt:variant>
      <vt:variant>
        <vt:i4>0</vt:i4>
      </vt:variant>
      <vt:variant>
        <vt:i4>5</vt:i4>
      </vt:variant>
      <vt:variant>
        <vt:lpwstr>http://www.nevo.co.il/law/70301/29.a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2025-04-23T00:00:00Z</dcterms:created>
  <dcterms:modified xsi:type="dcterms:W3CDTF">2025-04-23T00:00:00Z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15638</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יוסף סרף</vt:lpwstr>
  </property>
  <property fmtid="{D5CDD505-2E9C-101B-9397-08002B2CF9AE}" pid="10" name="LAWYER">
    <vt:lpwstr>נדב גדליהו</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20190915</vt:lpwstr>
  </property>
  <property fmtid="{D5CDD505-2E9C-101B-9397-08002B2CF9AE}" pid="14" name="TYPE_N_DATE">
    <vt:lpwstr>38020190915</vt:lpwstr>
  </property>
  <property fmtid="{D5CDD505-2E9C-101B-9397-08002B2CF9AE}" pid="15" name="CASESLISTTMP1">
    <vt:lpwstr>22961877;21827077;21477656</vt:lpwstr>
  </property>
  <property fmtid="{D5CDD505-2E9C-101B-9397-08002B2CF9AE}" pid="16" name="CASENOTES1">
    <vt:lpwstr>ProcID=174;133;209&amp;PartA=3343&amp;PartC=07</vt:lpwstr>
  </property>
  <property fmtid="{D5CDD505-2E9C-101B-9397-08002B2CF9AE}" pid="17" name="WORDNUMPAGES">
    <vt:lpwstr>6</vt:lpwstr>
  </property>
  <property fmtid="{D5CDD505-2E9C-101B-9397-08002B2CF9AE}" pid="18" name="TYPE_ABS_DATE">
    <vt:lpwstr>380020190915</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vt:lpwstr>
  </property>
  <property fmtid="{D5CDD505-2E9C-101B-9397-08002B2CF9AE}" pid="38" name="LAWLISTTMP2">
    <vt:lpwstr>70301/029.a;040i;40ja</vt:lpwstr>
  </property>
</Properties>
</file>