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F02A2" w:rsidRPr="00C25A22" w14:paraId="38355159" w14:textId="77777777" w:rsidTr="002F3320">
        <w:trPr>
          <w:trHeight w:hRule="exact" w:val="418"/>
          <w:jc w:val="center"/>
        </w:trPr>
        <w:tc>
          <w:tcPr>
            <w:tcW w:w="8721" w:type="dxa"/>
            <w:gridSpan w:val="2"/>
          </w:tcPr>
          <w:p w14:paraId="4AF1C592" w14:textId="77777777" w:rsidR="005F02A2" w:rsidRPr="00955A2F" w:rsidRDefault="005F02A2" w:rsidP="003065F9">
            <w:pPr>
              <w:pStyle w:val="a3"/>
              <w:jc w:val="center"/>
              <w:rPr>
                <w:rFonts w:ascii="FrankRuehl" w:hAnsi="FrankRuehl" w:cs="FrankRuehl"/>
                <w:b/>
                <w:bCs/>
                <w:color w:val="000080"/>
                <w:sz w:val="28"/>
                <w:szCs w:val="28"/>
                <w:rtl/>
                <w:lang w:val="en-US" w:eastAsia="en-US"/>
              </w:rPr>
            </w:pPr>
            <w:bookmarkStart w:id="0" w:name="LastJudge"/>
            <w:r w:rsidRPr="00955A2F">
              <w:rPr>
                <w:rFonts w:ascii="FrankRuehl" w:hAnsi="FrankRuehl" w:cs="FrankRuehl"/>
                <w:b/>
                <w:bCs/>
                <w:color w:val="000080"/>
                <w:sz w:val="28"/>
                <w:szCs w:val="28"/>
                <w:rtl/>
                <w:lang w:val="en-US" w:eastAsia="en-US"/>
              </w:rPr>
              <w:t>בית משפט השלום בירושלים</w:t>
            </w:r>
          </w:p>
        </w:tc>
      </w:tr>
      <w:tr w:rsidR="005F02A2" w:rsidRPr="00C25A22" w14:paraId="5DE1F211" w14:textId="77777777" w:rsidTr="002F3320">
        <w:trPr>
          <w:trHeight w:val="337"/>
          <w:jc w:val="center"/>
        </w:trPr>
        <w:tc>
          <w:tcPr>
            <w:tcW w:w="5054" w:type="dxa"/>
          </w:tcPr>
          <w:p w14:paraId="707E9EF7" w14:textId="77777777" w:rsidR="005F02A2" w:rsidRPr="00C25A22" w:rsidRDefault="005F02A2" w:rsidP="003065F9">
            <w:pPr>
              <w:rPr>
                <w:rFonts w:ascii="FrankRuehl" w:hAnsi="FrankRuehl" w:cs="FrankRuehl"/>
                <w:b/>
                <w:bCs/>
                <w:sz w:val="28"/>
                <w:szCs w:val="28"/>
                <w:rtl/>
              </w:rPr>
            </w:pPr>
            <w:r w:rsidRPr="00C25A22">
              <w:rPr>
                <w:rFonts w:ascii="FrankRuehl" w:hAnsi="FrankRuehl" w:cs="FrankRuehl"/>
                <w:b/>
                <w:bCs/>
                <w:sz w:val="28"/>
                <w:szCs w:val="28"/>
                <w:rtl/>
              </w:rPr>
              <w:t>ת"פ 21175-01-19 מדינת ישראל נ' הרר</w:t>
            </w:r>
          </w:p>
          <w:p w14:paraId="44A56F8D" w14:textId="77777777" w:rsidR="005F02A2" w:rsidRPr="00955A2F" w:rsidRDefault="005F02A2" w:rsidP="003065F9">
            <w:pPr>
              <w:pStyle w:val="a3"/>
              <w:rPr>
                <w:rFonts w:ascii="FrankRuehl" w:hAnsi="FrankRuehl" w:cs="FrankRuehl"/>
                <w:b/>
                <w:bCs/>
                <w:sz w:val="28"/>
                <w:szCs w:val="28"/>
                <w:rtl/>
                <w:lang w:val="en-US" w:eastAsia="en-US"/>
              </w:rPr>
            </w:pPr>
          </w:p>
        </w:tc>
        <w:tc>
          <w:tcPr>
            <w:tcW w:w="3667" w:type="dxa"/>
          </w:tcPr>
          <w:p w14:paraId="19B55DF3" w14:textId="77777777" w:rsidR="005F02A2" w:rsidRPr="00955A2F" w:rsidRDefault="005F02A2" w:rsidP="003065F9">
            <w:pPr>
              <w:pStyle w:val="a3"/>
              <w:jc w:val="right"/>
              <w:rPr>
                <w:rFonts w:cs="FrankRuehl"/>
                <w:sz w:val="28"/>
                <w:szCs w:val="28"/>
                <w:rtl/>
                <w:lang w:val="en-US" w:eastAsia="en-US"/>
              </w:rPr>
            </w:pPr>
          </w:p>
        </w:tc>
      </w:tr>
    </w:tbl>
    <w:p w14:paraId="40105842" w14:textId="77777777" w:rsidR="005F02A2" w:rsidRPr="00C25A22" w:rsidRDefault="005F02A2" w:rsidP="005F02A2">
      <w:pPr>
        <w:pStyle w:val="a3"/>
        <w:rPr>
          <w:rtl/>
        </w:rPr>
      </w:pPr>
      <w:r w:rsidRPr="00C25A22">
        <w:rPr>
          <w:rFonts w:hint="cs"/>
          <w:rtl/>
        </w:rPr>
        <w:t xml:space="preserve"> </w:t>
      </w:r>
    </w:p>
    <w:p w14:paraId="4E16ACE6" w14:textId="77777777" w:rsidR="005F02A2" w:rsidRPr="00C25A22" w:rsidRDefault="005F02A2" w:rsidP="005F02A2">
      <w:pPr>
        <w:rPr>
          <w:rtl/>
        </w:rPr>
      </w:pPr>
    </w:p>
    <w:p w14:paraId="56F3D3FC" w14:textId="77777777" w:rsidR="005F02A2" w:rsidRPr="00C25A22" w:rsidRDefault="005F02A2" w:rsidP="005F02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F02A2" w:rsidRPr="00C25A22" w14:paraId="0AB44747" w14:textId="77777777" w:rsidTr="005F02A2">
        <w:trPr>
          <w:trHeight w:val="295"/>
          <w:jc w:val="center"/>
        </w:trPr>
        <w:tc>
          <w:tcPr>
            <w:tcW w:w="923" w:type="dxa"/>
            <w:tcBorders>
              <w:top w:val="nil"/>
              <w:left w:val="nil"/>
              <w:bottom w:val="nil"/>
              <w:right w:val="nil"/>
            </w:tcBorders>
            <w:shd w:val="clear" w:color="auto" w:fill="auto"/>
          </w:tcPr>
          <w:p w14:paraId="631861FB" w14:textId="77777777" w:rsidR="005F02A2" w:rsidRPr="00C25A22" w:rsidRDefault="005F02A2" w:rsidP="005F02A2">
            <w:pPr>
              <w:jc w:val="both"/>
              <w:rPr>
                <w:rFonts w:ascii="FrankRuehl" w:hAnsi="FrankRuehl" w:cs="FrankRuehl"/>
                <w:sz w:val="28"/>
                <w:szCs w:val="28"/>
              </w:rPr>
            </w:pPr>
            <w:r w:rsidRPr="00C25A22">
              <w:rPr>
                <w:rFonts w:ascii="FrankRuehl" w:hAnsi="FrankRuehl" w:cs="FrankRuehl"/>
                <w:sz w:val="28"/>
                <w:szCs w:val="28"/>
                <w:rtl/>
              </w:rPr>
              <w:t xml:space="preserve">בפני </w:t>
            </w:r>
          </w:p>
        </w:tc>
        <w:tc>
          <w:tcPr>
            <w:tcW w:w="7897" w:type="dxa"/>
            <w:gridSpan w:val="2"/>
            <w:tcBorders>
              <w:top w:val="nil"/>
              <w:left w:val="nil"/>
              <w:bottom w:val="nil"/>
              <w:right w:val="nil"/>
            </w:tcBorders>
            <w:shd w:val="clear" w:color="auto" w:fill="auto"/>
          </w:tcPr>
          <w:p w14:paraId="3973C88E" w14:textId="77777777" w:rsidR="005F02A2" w:rsidRPr="00C25A22" w:rsidRDefault="005F02A2" w:rsidP="003065F9">
            <w:pPr>
              <w:rPr>
                <w:rFonts w:ascii="FrankRuehl" w:hAnsi="FrankRuehl" w:cs="FrankRuehl"/>
                <w:b/>
                <w:bCs/>
                <w:sz w:val="28"/>
                <w:szCs w:val="28"/>
                <w:rtl/>
              </w:rPr>
            </w:pPr>
            <w:r w:rsidRPr="00C25A22">
              <w:rPr>
                <w:rFonts w:ascii="FrankRuehl" w:hAnsi="FrankRuehl" w:cs="FrankRuehl"/>
                <w:b/>
                <w:bCs/>
                <w:sz w:val="28"/>
                <w:szCs w:val="28"/>
                <w:rtl/>
              </w:rPr>
              <w:t>כבוד השופט  דוד שאול גבאי ריכטר</w:t>
            </w:r>
          </w:p>
          <w:p w14:paraId="29E1B86B" w14:textId="77777777" w:rsidR="005F02A2" w:rsidRPr="00C25A22" w:rsidRDefault="005F02A2" w:rsidP="003065F9">
            <w:pPr>
              <w:rPr>
                <w:rFonts w:ascii="FrankRuehl" w:hAnsi="FrankRuehl" w:cs="FrankRuehl"/>
                <w:sz w:val="28"/>
                <w:szCs w:val="28"/>
                <w:rtl/>
              </w:rPr>
            </w:pPr>
          </w:p>
          <w:p w14:paraId="536CA9A0" w14:textId="77777777" w:rsidR="005F02A2" w:rsidRPr="00C25A22" w:rsidRDefault="005F02A2" w:rsidP="005F02A2">
            <w:pPr>
              <w:jc w:val="both"/>
              <w:rPr>
                <w:rFonts w:ascii="FrankRuehl" w:hAnsi="FrankRuehl" w:cs="FrankRuehl"/>
                <w:sz w:val="28"/>
                <w:szCs w:val="28"/>
              </w:rPr>
            </w:pPr>
          </w:p>
        </w:tc>
      </w:tr>
      <w:tr w:rsidR="005F02A2" w:rsidRPr="00C25A22" w14:paraId="14C2E0D5" w14:textId="77777777" w:rsidTr="005F02A2">
        <w:trPr>
          <w:trHeight w:val="355"/>
          <w:jc w:val="center"/>
        </w:trPr>
        <w:tc>
          <w:tcPr>
            <w:tcW w:w="923" w:type="dxa"/>
            <w:tcBorders>
              <w:top w:val="nil"/>
              <w:left w:val="nil"/>
              <w:bottom w:val="nil"/>
              <w:right w:val="nil"/>
            </w:tcBorders>
            <w:shd w:val="clear" w:color="auto" w:fill="auto"/>
          </w:tcPr>
          <w:p w14:paraId="411F34B4" w14:textId="77777777" w:rsidR="005F02A2" w:rsidRPr="00C25A22" w:rsidRDefault="005F02A2" w:rsidP="005F02A2">
            <w:pPr>
              <w:jc w:val="both"/>
              <w:rPr>
                <w:rFonts w:ascii="FrankRuehl" w:hAnsi="FrankRuehl" w:cs="FrankRuehl"/>
                <w:b/>
                <w:bCs/>
                <w:sz w:val="28"/>
                <w:szCs w:val="28"/>
              </w:rPr>
            </w:pPr>
            <w:bookmarkStart w:id="1" w:name="FirstAppellant"/>
            <w:r w:rsidRPr="00C25A22">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6535A2EC" w14:textId="77777777" w:rsidR="005F02A2" w:rsidRPr="00C25A22" w:rsidRDefault="005F02A2" w:rsidP="003065F9">
            <w:pPr>
              <w:rPr>
                <w:rFonts w:ascii="FrankRuehl" w:hAnsi="FrankRuehl" w:cs="FrankRuehl"/>
                <w:b/>
                <w:bCs/>
                <w:sz w:val="28"/>
                <w:szCs w:val="28"/>
              </w:rPr>
            </w:pPr>
            <w:r w:rsidRPr="00C25A22">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55B82727" w14:textId="77777777" w:rsidR="005F02A2" w:rsidRPr="00C25A22" w:rsidRDefault="005F02A2" w:rsidP="005F02A2">
            <w:pPr>
              <w:jc w:val="both"/>
              <w:rPr>
                <w:rFonts w:ascii="FrankRuehl" w:hAnsi="FrankRuehl" w:cs="FrankRuehl"/>
                <w:b/>
                <w:bCs/>
                <w:sz w:val="28"/>
                <w:szCs w:val="28"/>
              </w:rPr>
            </w:pPr>
          </w:p>
        </w:tc>
      </w:tr>
      <w:bookmarkEnd w:id="1"/>
      <w:tr w:rsidR="005F02A2" w:rsidRPr="00C25A22" w14:paraId="1DA17327" w14:textId="77777777" w:rsidTr="005F02A2">
        <w:trPr>
          <w:trHeight w:val="355"/>
          <w:jc w:val="center"/>
        </w:trPr>
        <w:tc>
          <w:tcPr>
            <w:tcW w:w="923" w:type="dxa"/>
            <w:tcBorders>
              <w:top w:val="nil"/>
              <w:left w:val="nil"/>
              <w:bottom w:val="nil"/>
              <w:right w:val="nil"/>
            </w:tcBorders>
            <w:shd w:val="clear" w:color="auto" w:fill="auto"/>
          </w:tcPr>
          <w:p w14:paraId="133800CE" w14:textId="77777777" w:rsidR="005F02A2" w:rsidRPr="00C25A22" w:rsidRDefault="005F02A2" w:rsidP="005F02A2">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683A5DE" w14:textId="77777777" w:rsidR="005F02A2" w:rsidRPr="00C25A22" w:rsidRDefault="005F02A2" w:rsidP="005F02A2">
            <w:pPr>
              <w:jc w:val="both"/>
              <w:rPr>
                <w:rFonts w:ascii="FrankRuehl" w:hAnsi="FrankRuehl" w:cs="FrankRuehl"/>
                <w:b/>
                <w:bCs/>
                <w:sz w:val="28"/>
                <w:szCs w:val="28"/>
                <w:rtl/>
              </w:rPr>
            </w:pPr>
            <w:r w:rsidRPr="00C25A22">
              <w:rPr>
                <w:rFonts w:ascii="FrankRuehl" w:hAnsi="FrankRuehl" w:cs="FrankRuehl" w:hint="cs"/>
                <w:b/>
                <w:bCs/>
                <w:sz w:val="28"/>
                <w:szCs w:val="28"/>
                <w:rtl/>
              </w:rPr>
              <w:t>תביעות ירושלים</w:t>
            </w:r>
          </w:p>
        </w:tc>
        <w:tc>
          <w:tcPr>
            <w:tcW w:w="3771" w:type="dxa"/>
            <w:tcBorders>
              <w:top w:val="nil"/>
              <w:left w:val="nil"/>
              <w:bottom w:val="nil"/>
              <w:right w:val="nil"/>
            </w:tcBorders>
            <w:shd w:val="clear" w:color="auto" w:fill="auto"/>
          </w:tcPr>
          <w:p w14:paraId="637F16FA" w14:textId="77777777" w:rsidR="005F02A2" w:rsidRPr="00C25A22" w:rsidRDefault="005F02A2" w:rsidP="005F02A2">
            <w:pPr>
              <w:jc w:val="right"/>
              <w:rPr>
                <w:rFonts w:ascii="FrankRuehl" w:hAnsi="FrankRuehl" w:cs="FrankRuehl"/>
                <w:b/>
                <w:bCs/>
                <w:sz w:val="28"/>
                <w:szCs w:val="28"/>
                <w:rtl/>
              </w:rPr>
            </w:pPr>
            <w:r w:rsidRPr="00C25A22">
              <w:rPr>
                <w:rFonts w:ascii="FrankRuehl" w:hAnsi="FrankRuehl" w:cs="FrankRuehl"/>
                <w:b/>
                <w:bCs/>
                <w:sz w:val="28"/>
                <w:szCs w:val="28"/>
                <w:rtl/>
              </w:rPr>
              <w:t>המאשימה</w:t>
            </w:r>
          </w:p>
        </w:tc>
      </w:tr>
      <w:tr w:rsidR="005F02A2" w:rsidRPr="00C25A22" w14:paraId="5BE00AD8" w14:textId="77777777" w:rsidTr="005F02A2">
        <w:trPr>
          <w:trHeight w:val="355"/>
          <w:jc w:val="center"/>
        </w:trPr>
        <w:tc>
          <w:tcPr>
            <w:tcW w:w="923" w:type="dxa"/>
            <w:tcBorders>
              <w:top w:val="nil"/>
              <w:left w:val="nil"/>
              <w:bottom w:val="nil"/>
              <w:right w:val="nil"/>
            </w:tcBorders>
            <w:shd w:val="clear" w:color="auto" w:fill="auto"/>
          </w:tcPr>
          <w:p w14:paraId="55CB5C15" w14:textId="77777777" w:rsidR="005F02A2" w:rsidRPr="00C25A22" w:rsidRDefault="005F02A2" w:rsidP="005F02A2">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5988551" w14:textId="77777777" w:rsidR="005F02A2" w:rsidRPr="00C25A22" w:rsidRDefault="005F02A2" w:rsidP="005F02A2">
            <w:pPr>
              <w:jc w:val="center"/>
              <w:rPr>
                <w:rFonts w:ascii="FrankRuehl" w:hAnsi="FrankRuehl" w:cs="FrankRuehl"/>
                <w:b/>
                <w:bCs/>
                <w:sz w:val="28"/>
                <w:szCs w:val="28"/>
                <w:rtl/>
              </w:rPr>
            </w:pPr>
          </w:p>
          <w:p w14:paraId="773F5FA5" w14:textId="77777777" w:rsidR="005F02A2" w:rsidRPr="00C25A22" w:rsidRDefault="005F02A2" w:rsidP="005F02A2">
            <w:pPr>
              <w:jc w:val="center"/>
              <w:rPr>
                <w:rFonts w:ascii="FrankRuehl" w:hAnsi="FrankRuehl" w:cs="FrankRuehl"/>
                <w:b/>
                <w:bCs/>
                <w:sz w:val="28"/>
                <w:szCs w:val="28"/>
                <w:rtl/>
              </w:rPr>
            </w:pPr>
            <w:r w:rsidRPr="00C25A22">
              <w:rPr>
                <w:rFonts w:ascii="FrankRuehl" w:hAnsi="FrankRuehl" w:cs="FrankRuehl"/>
                <w:b/>
                <w:bCs/>
                <w:sz w:val="28"/>
                <w:szCs w:val="28"/>
                <w:rtl/>
              </w:rPr>
              <w:t>נגד</w:t>
            </w:r>
          </w:p>
          <w:p w14:paraId="55453A72" w14:textId="77777777" w:rsidR="005F02A2" w:rsidRPr="00C25A22" w:rsidRDefault="005F02A2" w:rsidP="005F02A2">
            <w:pPr>
              <w:jc w:val="both"/>
              <w:rPr>
                <w:rFonts w:ascii="FrankRuehl" w:hAnsi="FrankRuehl" w:cs="FrankRuehl"/>
                <w:b/>
                <w:bCs/>
                <w:sz w:val="28"/>
                <w:szCs w:val="28"/>
              </w:rPr>
            </w:pPr>
          </w:p>
        </w:tc>
      </w:tr>
      <w:tr w:rsidR="005F02A2" w:rsidRPr="00C25A22" w14:paraId="73C22AFE" w14:textId="77777777" w:rsidTr="005F02A2">
        <w:trPr>
          <w:trHeight w:val="355"/>
          <w:jc w:val="center"/>
        </w:trPr>
        <w:tc>
          <w:tcPr>
            <w:tcW w:w="923" w:type="dxa"/>
            <w:tcBorders>
              <w:top w:val="nil"/>
              <w:left w:val="nil"/>
              <w:bottom w:val="nil"/>
              <w:right w:val="nil"/>
            </w:tcBorders>
            <w:shd w:val="clear" w:color="auto" w:fill="auto"/>
          </w:tcPr>
          <w:p w14:paraId="3D0CDBBB" w14:textId="77777777" w:rsidR="005F02A2" w:rsidRPr="00C25A22" w:rsidRDefault="005F02A2" w:rsidP="003065F9">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315677EA" w14:textId="77777777" w:rsidR="005F02A2" w:rsidRPr="00C25A22" w:rsidRDefault="005F02A2" w:rsidP="003065F9">
            <w:pPr>
              <w:rPr>
                <w:rFonts w:ascii="FrankRuehl" w:hAnsi="FrankRuehl" w:cs="FrankRuehl"/>
                <w:b/>
                <w:bCs/>
                <w:sz w:val="28"/>
                <w:szCs w:val="28"/>
                <w:rtl/>
              </w:rPr>
            </w:pPr>
            <w:r w:rsidRPr="00C25A22">
              <w:rPr>
                <w:rFonts w:ascii="FrankRuehl" w:hAnsi="FrankRuehl" w:cs="FrankRuehl"/>
                <w:b/>
                <w:bCs/>
                <w:sz w:val="28"/>
                <w:szCs w:val="28"/>
                <w:rtl/>
              </w:rPr>
              <w:t>אוראל אריה הרר</w:t>
            </w:r>
          </w:p>
        </w:tc>
        <w:tc>
          <w:tcPr>
            <w:tcW w:w="3771" w:type="dxa"/>
            <w:tcBorders>
              <w:top w:val="nil"/>
              <w:left w:val="nil"/>
              <w:bottom w:val="nil"/>
              <w:right w:val="nil"/>
            </w:tcBorders>
            <w:shd w:val="clear" w:color="auto" w:fill="auto"/>
          </w:tcPr>
          <w:p w14:paraId="5D4323D3" w14:textId="77777777" w:rsidR="005F02A2" w:rsidRPr="00C25A22" w:rsidRDefault="005F02A2" w:rsidP="005F02A2">
            <w:pPr>
              <w:jc w:val="right"/>
              <w:rPr>
                <w:rFonts w:ascii="FrankRuehl" w:hAnsi="FrankRuehl" w:cs="FrankRuehl"/>
                <w:b/>
                <w:bCs/>
                <w:sz w:val="28"/>
                <w:szCs w:val="28"/>
              </w:rPr>
            </w:pPr>
          </w:p>
        </w:tc>
      </w:tr>
      <w:tr w:rsidR="005F02A2" w:rsidRPr="00C25A22" w14:paraId="10960015" w14:textId="77777777" w:rsidTr="005F02A2">
        <w:trPr>
          <w:trHeight w:val="355"/>
          <w:jc w:val="center"/>
        </w:trPr>
        <w:tc>
          <w:tcPr>
            <w:tcW w:w="923" w:type="dxa"/>
            <w:tcBorders>
              <w:top w:val="nil"/>
              <w:left w:val="nil"/>
              <w:bottom w:val="nil"/>
              <w:right w:val="nil"/>
            </w:tcBorders>
            <w:shd w:val="clear" w:color="auto" w:fill="auto"/>
          </w:tcPr>
          <w:p w14:paraId="7AF84E34" w14:textId="77777777" w:rsidR="005F02A2" w:rsidRPr="00C25A22" w:rsidRDefault="005F02A2" w:rsidP="005F02A2">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22DD0B84" w14:textId="77777777" w:rsidR="005F02A2" w:rsidRPr="00C25A22" w:rsidRDefault="005F02A2" w:rsidP="005F02A2">
            <w:pPr>
              <w:jc w:val="both"/>
              <w:rPr>
                <w:rFonts w:ascii="FrankRuehl" w:hAnsi="FrankRuehl" w:cs="FrankRuehl"/>
                <w:b/>
                <w:bCs/>
                <w:sz w:val="28"/>
                <w:szCs w:val="28"/>
                <w:rtl/>
              </w:rPr>
            </w:pPr>
            <w:r w:rsidRPr="00C25A22">
              <w:rPr>
                <w:rFonts w:ascii="FrankRuehl" w:hAnsi="FrankRuehl" w:cs="FrankRuehl" w:hint="cs"/>
                <w:b/>
                <w:bCs/>
                <w:sz w:val="28"/>
                <w:szCs w:val="28"/>
                <w:rtl/>
              </w:rPr>
              <w:t>ע"י ב"כ עו"ד יניב גלבוע ועו"ד עופר רשו</w:t>
            </w:r>
          </w:p>
        </w:tc>
        <w:tc>
          <w:tcPr>
            <w:tcW w:w="3771" w:type="dxa"/>
            <w:tcBorders>
              <w:top w:val="nil"/>
              <w:left w:val="nil"/>
              <w:bottom w:val="nil"/>
              <w:right w:val="nil"/>
            </w:tcBorders>
            <w:shd w:val="clear" w:color="auto" w:fill="auto"/>
          </w:tcPr>
          <w:p w14:paraId="150F8CB7" w14:textId="77777777" w:rsidR="005F02A2" w:rsidRPr="00C25A22" w:rsidRDefault="005F02A2" w:rsidP="005F02A2">
            <w:pPr>
              <w:jc w:val="right"/>
              <w:rPr>
                <w:rFonts w:ascii="FrankRuehl" w:hAnsi="FrankRuehl" w:cs="FrankRuehl"/>
                <w:b/>
                <w:bCs/>
                <w:sz w:val="28"/>
                <w:szCs w:val="28"/>
              </w:rPr>
            </w:pPr>
            <w:r w:rsidRPr="00C25A22">
              <w:rPr>
                <w:rFonts w:ascii="FrankRuehl" w:hAnsi="FrankRuehl" w:cs="FrankRuehl"/>
                <w:b/>
                <w:bCs/>
                <w:sz w:val="28"/>
                <w:szCs w:val="28"/>
                <w:rtl/>
              </w:rPr>
              <w:t>הנאשם</w:t>
            </w:r>
          </w:p>
        </w:tc>
      </w:tr>
      <w:bookmarkEnd w:id="2"/>
    </w:tbl>
    <w:p w14:paraId="658DD090" w14:textId="77777777" w:rsidR="002F3320" w:rsidRDefault="002F3320" w:rsidP="00C25A22">
      <w:pPr>
        <w:rPr>
          <w:rtl/>
        </w:rPr>
      </w:pPr>
    </w:p>
    <w:p w14:paraId="0C87013A" w14:textId="77777777" w:rsidR="002F3320" w:rsidRPr="002F3320" w:rsidRDefault="002F3320" w:rsidP="002F3320">
      <w:pPr>
        <w:spacing w:after="120" w:line="240" w:lineRule="exact"/>
        <w:ind w:left="283" w:hanging="283"/>
        <w:jc w:val="both"/>
        <w:rPr>
          <w:rFonts w:ascii="FrankRuehl" w:hAnsi="FrankRuehl" w:cs="FrankRuehl"/>
          <w:rtl/>
        </w:rPr>
      </w:pPr>
    </w:p>
    <w:p w14:paraId="3246CA8A" w14:textId="77777777" w:rsidR="00455E48" w:rsidRDefault="00455E48" w:rsidP="00455E48">
      <w:pPr>
        <w:rPr>
          <w:rtl/>
        </w:rPr>
      </w:pPr>
      <w:bookmarkStart w:id="3" w:name="LawTable"/>
      <w:bookmarkEnd w:id="3"/>
    </w:p>
    <w:p w14:paraId="60D4DA03" w14:textId="77777777" w:rsidR="00455E48" w:rsidRPr="00455E48" w:rsidRDefault="00455E48" w:rsidP="00455E48">
      <w:pPr>
        <w:spacing w:before="120" w:after="120" w:line="240" w:lineRule="exact"/>
        <w:ind w:left="283" w:hanging="283"/>
        <w:jc w:val="both"/>
        <w:rPr>
          <w:rFonts w:ascii="FrankRuehl" w:hAnsi="FrankRuehl" w:cs="FrankRuehl"/>
          <w:rtl/>
        </w:rPr>
      </w:pPr>
    </w:p>
    <w:p w14:paraId="60BC82AC" w14:textId="77777777" w:rsidR="00455E48" w:rsidRPr="00455E48" w:rsidRDefault="00455E48" w:rsidP="00455E48">
      <w:pPr>
        <w:spacing w:before="120" w:after="120" w:line="240" w:lineRule="exact"/>
        <w:ind w:left="283" w:hanging="283"/>
        <w:jc w:val="both"/>
        <w:rPr>
          <w:rFonts w:ascii="FrankRuehl" w:hAnsi="FrankRuehl" w:cs="FrankRuehl"/>
          <w:rtl/>
        </w:rPr>
      </w:pPr>
    </w:p>
    <w:p w14:paraId="3AEDFBAB" w14:textId="77777777" w:rsidR="00455E48" w:rsidRPr="00455E48" w:rsidRDefault="00455E48" w:rsidP="00455E48">
      <w:pPr>
        <w:spacing w:before="120" w:after="120" w:line="240" w:lineRule="exact"/>
        <w:ind w:left="283" w:hanging="283"/>
        <w:jc w:val="both"/>
        <w:rPr>
          <w:rFonts w:ascii="FrankRuehl" w:hAnsi="FrankRuehl" w:cs="FrankRuehl"/>
          <w:rtl/>
        </w:rPr>
      </w:pPr>
      <w:r w:rsidRPr="00455E48">
        <w:rPr>
          <w:rFonts w:ascii="FrankRuehl" w:hAnsi="FrankRuehl" w:cs="FrankRuehl"/>
          <w:rtl/>
        </w:rPr>
        <w:t xml:space="preserve">חקיקה שאוזכרה: </w:t>
      </w:r>
    </w:p>
    <w:p w14:paraId="56DC9A46" w14:textId="77777777" w:rsidR="00455E48" w:rsidRPr="00455E48" w:rsidRDefault="00455E48" w:rsidP="00455E48">
      <w:pPr>
        <w:spacing w:before="120" w:after="120" w:line="240" w:lineRule="exact"/>
        <w:ind w:left="283" w:hanging="283"/>
        <w:jc w:val="both"/>
        <w:rPr>
          <w:rFonts w:ascii="FrankRuehl" w:hAnsi="FrankRuehl" w:cs="FrankRuehl"/>
          <w:rtl/>
        </w:rPr>
      </w:pPr>
      <w:hyperlink r:id="rId7" w:history="1">
        <w:r w:rsidRPr="00455E48">
          <w:rPr>
            <w:rFonts w:ascii="FrankRuehl" w:hAnsi="FrankRuehl" w:cs="FrankRuehl"/>
            <w:color w:val="0000FF"/>
            <w:rtl/>
          </w:rPr>
          <w:t>פקודת הסמים המסוכנים [נוסח חדש], תשל"ג-1973</w:t>
        </w:r>
      </w:hyperlink>
      <w:r w:rsidRPr="00455E48">
        <w:rPr>
          <w:rFonts w:ascii="FrankRuehl" w:hAnsi="FrankRuehl" w:cs="FrankRuehl"/>
          <w:rtl/>
        </w:rPr>
        <w:t xml:space="preserve">: סע'  </w:t>
      </w:r>
      <w:hyperlink r:id="rId8" w:history="1">
        <w:r w:rsidRPr="00455E48">
          <w:rPr>
            <w:rFonts w:ascii="FrankRuehl" w:hAnsi="FrankRuehl" w:cs="FrankRuehl"/>
            <w:color w:val="0000FF"/>
            <w:rtl/>
          </w:rPr>
          <w:t>7.א.</w:t>
        </w:r>
      </w:hyperlink>
      <w:r w:rsidRPr="00455E48">
        <w:rPr>
          <w:rFonts w:ascii="FrankRuehl" w:hAnsi="FrankRuehl" w:cs="FrankRuehl"/>
          <w:rtl/>
        </w:rPr>
        <w:t xml:space="preserve">, </w:t>
      </w:r>
      <w:hyperlink r:id="rId9" w:history="1">
        <w:r w:rsidRPr="00455E48">
          <w:rPr>
            <w:rFonts w:ascii="FrankRuehl" w:hAnsi="FrankRuehl" w:cs="FrankRuehl"/>
            <w:color w:val="0000FF"/>
            <w:rtl/>
          </w:rPr>
          <w:t>7.ג</w:t>
        </w:r>
      </w:hyperlink>
    </w:p>
    <w:p w14:paraId="68175063" w14:textId="77777777" w:rsidR="00455E48" w:rsidRPr="00455E48" w:rsidRDefault="00455E48" w:rsidP="00455E48">
      <w:pPr>
        <w:spacing w:before="120" w:after="120" w:line="240" w:lineRule="exact"/>
        <w:ind w:left="283" w:hanging="283"/>
        <w:jc w:val="both"/>
        <w:rPr>
          <w:rFonts w:ascii="FrankRuehl" w:hAnsi="FrankRuehl" w:cs="FrankRuehl"/>
          <w:rtl/>
        </w:rPr>
      </w:pPr>
      <w:hyperlink r:id="rId10" w:history="1">
        <w:r w:rsidRPr="00455E48">
          <w:rPr>
            <w:rFonts w:ascii="FrankRuehl" w:hAnsi="FrankRuehl" w:cs="FrankRuehl"/>
            <w:color w:val="0000FF"/>
            <w:rtl/>
          </w:rPr>
          <w:t>חוק העונשין, תשל"ז-1977</w:t>
        </w:r>
      </w:hyperlink>
      <w:r w:rsidRPr="00455E48">
        <w:rPr>
          <w:rFonts w:ascii="FrankRuehl" w:hAnsi="FrankRuehl" w:cs="FrankRuehl"/>
          <w:rtl/>
        </w:rPr>
        <w:t xml:space="preserve">: סע'  </w:t>
      </w:r>
      <w:hyperlink r:id="rId11" w:history="1">
        <w:r w:rsidRPr="00455E48">
          <w:rPr>
            <w:rFonts w:ascii="FrankRuehl" w:hAnsi="FrankRuehl" w:cs="FrankRuehl"/>
            <w:color w:val="0000FF"/>
            <w:rtl/>
          </w:rPr>
          <w:t>40ט'</w:t>
        </w:r>
      </w:hyperlink>
      <w:r w:rsidRPr="00455E48">
        <w:rPr>
          <w:rFonts w:ascii="FrankRuehl" w:hAnsi="FrankRuehl" w:cs="FrankRuehl"/>
          <w:rtl/>
        </w:rPr>
        <w:t xml:space="preserve">, </w:t>
      </w:r>
      <w:hyperlink r:id="rId12" w:history="1">
        <w:r w:rsidRPr="00455E48">
          <w:rPr>
            <w:rFonts w:ascii="FrankRuehl" w:hAnsi="FrankRuehl" w:cs="FrankRuehl"/>
            <w:color w:val="0000FF"/>
            <w:rtl/>
          </w:rPr>
          <w:t>40יא</w:t>
        </w:r>
      </w:hyperlink>
    </w:p>
    <w:p w14:paraId="6173C173" w14:textId="77777777" w:rsidR="00455E48" w:rsidRPr="00455E48" w:rsidRDefault="00455E48" w:rsidP="00455E48">
      <w:pPr>
        <w:rPr>
          <w:rtl/>
        </w:rPr>
      </w:pPr>
      <w:bookmarkStart w:id="4" w:name="LawTable_End"/>
      <w:bookmarkEnd w:id="4"/>
    </w:p>
    <w:p w14:paraId="30D150AA" w14:textId="77777777" w:rsidR="005F02A2" w:rsidRPr="00C25A22" w:rsidRDefault="005F02A2" w:rsidP="005F02A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02A2" w14:paraId="04924A00" w14:textId="77777777" w:rsidTr="005F02A2">
        <w:trPr>
          <w:trHeight w:val="355"/>
          <w:jc w:val="center"/>
        </w:trPr>
        <w:tc>
          <w:tcPr>
            <w:tcW w:w="8820" w:type="dxa"/>
            <w:tcBorders>
              <w:top w:val="nil"/>
              <w:left w:val="nil"/>
              <w:bottom w:val="nil"/>
              <w:right w:val="nil"/>
            </w:tcBorders>
            <w:shd w:val="clear" w:color="auto" w:fill="auto"/>
          </w:tcPr>
          <w:p w14:paraId="69105535" w14:textId="77777777" w:rsidR="00C25A22" w:rsidRPr="00C25A22" w:rsidRDefault="00C25A22" w:rsidP="00C25A22">
            <w:pPr>
              <w:jc w:val="center"/>
              <w:rPr>
                <w:rFonts w:ascii="Arial" w:hAnsi="Arial" w:cs="FrankRuehl"/>
                <w:b/>
                <w:bCs/>
                <w:sz w:val="32"/>
                <w:szCs w:val="32"/>
                <w:u w:val="single"/>
                <w:rtl/>
              </w:rPr>
            </w:pPr>
            <w:bookmarkStart w:id="5" w:name="PsakDin" w:colFirst="0" w:colLast="0"/>
            <w:bookmarkEnd w:id="0"/>
            <w:r w:rsidRPr="00C25A22">
              <w:rPr>
                <w:rFonts w:ascii="Arial" w:hAnsi="Arial" w:cs="FrankRuehl"/>
                <w:b/>
                <w:bCs/>
                <w:sz w:val="32"/>
                <w:szCs w:val="32"/>
                <w:u w:val="single"/>
                <w:rtl/>
              </w:rPr>
              <w:t>גזר דין</w:t>
            </w:r>
          </w:p>
          <w:p w14:paraId="32A1CF16" w14:textId="77777777" w:rsidR="005F02A2" w:rsidRPr="00C25A22" w:rsidRDefault="005F02A2" w:rsidP="00C25A22">
            <w:pPr>
              <w:jc w:val="center"/>
              <w:rPr>
                <w:rFonts w:ascii="Arial" w:hAnsi="Arial" w:cs="FrankRuehl"/>
                <w:bCs/>
                <w:sz w:val="32"/>
                <w:szCs w:val="32"/>
                <w:u w:val="single"/>
                <w:rtl/>
              </w:rPr>
            </w:pPr>
          </w:p>
        </w:tc>
      </w:tr>
      <w:bookmarkEnd w:id="5"/>
    </w:tbl>
    <w:p w14:paraId="7B2D8EA7" w14:textId="77777777" w:rsidR="005F02A2" w:rsidRPr="00B05847" w:rsidRDefault="005F02A2" w:rsidP="005F02A2">
      <w:pPr>
        <w:rPr>
          <w:rFonts w:ascii="Arial" w:hAnsi="Arial"/>
          <w:rtl/>
        </w:rPr>
      </w:pPr>
    </w:p>
    <w:p w14:paraId="1DC6A6C3" w14:textId="77777777" w:rsidR="005F02A2" w:rsidRPr="00B05847" w:rsidRDefault="005F02A2" w:rsidP="005F02A2">
      <w:pPr>
        <w:rPr>
          <w:rFonts w:ascii="Arial" w:hAnsi="Arial"/>
          <w:rtl/>
        </w:rPr>
      </w:pPr>
    </w:p>
    <w:p w14:paraId="68F857AF" w14:textId="77777777" w:rsidR="005F02A2" w:rsidRDefault="005F02A2" w:rsidP="005F02A2">
      <w:pPr>
        <w:rPr>
          <w:rFonts w:cs="FrankRuehl"/>
          <w:b/>
          <w:bCs/>
          <w:sz w:val="26"/>
          <w:szCs w:val="26"/>
          <w:u w:val="single"/>
        </w:rPr>
      </w:pPr>
      <w:r>
        <w:rPr>
          <w:rFonts w:cs="FrankRuehl" w:hint="cs"/>
          <w:b/>
          <w:bCs/>
          <w:sz w:val="26"/>
          <w:szCs w:val="26"/>
          <w:u w:val="single"/>
          <w:rtl/>
        </w:rPr>
        <w:t>כתב האישום</w:t>
      </w:r>
    </w:p>
    <w:p w14:paraId="1A48D468" w14:textId="77777777" w:rsidR="005F02A2" w:rsidRDefault="005F02A2" w:rsidP="005F02A2">
      <w:pPr>
        <w:spacing w:line="360" w:lineRule="auto"/>
        <w:jc w:val="both"/>
        <w:rPr>
          <w:rFonts w:cs="FrankRuehl"/>
          <w:sz w:val="26"/>
          <w:szCs w:val="26"/>
        </w:rPr>
      </w:pPr>
      <w:bookmarkStart w:id="6" w:name="ABSTRACT_START"/>
      <w:bookmarkEnd w:id="6"/>
      <w:r>
        <w:rPr>
          <w:rFonts w:cs="FrankRuehl" w:hint="cs"/>
          <w:sz w:val="26"/>
          <w:szCs w:val="26"/>
          <w:rtl/>
        </w:rPr>
        <w:t xml:space="preserve">הנאשם הורשע על פי הודאתו בעבירות ובעובדות המנויות בכתב האישום המתוקן, בכך שביום 16.5.2018 החזיק הנאשם ברכבו סם מסוג קנביס במשקל 255.88 גרם נטו שלא לצריכתו העצמית, בניגוד לסעיפים </w:t>
      </w:r>
      <w:hyperlink r:id="rId13" w:history="1">
        <w:r w:rsidR="002F3320" w:rsidRPr="002F3320">
          <w:rPr>
            <w:rStyle w:val="Hyperlink"/>
            <w:rFonts w:cs="FrankRuehl"/>
            <w:sz w:val="26"/>
            <w:szCs w:val="26"/>
            <w:rtl/>
          </w:rPr>
          <w:t>7(א)+(ג)</w:t>
        </w:r>
      </w:hyperlink>
      <w:r>
        <w:rPr>
          <w:rFonts w:cs="FrankRuehl" w:hint="cs"/>
          <w:sz w:val="26"/>
          <w:szCs w:val="26"/>
          <w:rtl/>
        </w:rPr>
        <w:t xml:space="preserve"> רישא ל</w:t>
      </w:r>
      <w:hyperlink r:id="rId14" w:history="1">
        <w:r w:rsidR="00C25A22" w:rsidRPr="00C25A22">
          <w:rPr>
            <w:rFonts w:cs="FrankRuehl"/>
            <w:color w:val="0000FF"/>
            <w:sz w:val="26"/>
            <w:szCs w:val="26"/>
            <w:u w:val="single"/>
            <w:rtl/>
          </w:rPr>
          <w:t>פקודת הסמים המסוכנים</w:t>
        </w:r>
      </w:hyperlink>
      <w:r>
        <w:rPr>
          <w:rFonts w:cs="FrankRuehl" w:hint="cs"/>
          <w:sz w:val="26"/>
          <w:szCs w:val="26"/>
          <w:rtl/>
        </w:rPr>
        <w:t xml:space="preserve"> [נוסח חדש], התשל"ג-1973.</w:t>
      </w:r>
    </w:p>
    <w:p w14:paraId="7709489C" w14:textId="77777777" w:rsidR="005F02A2" w:rsidRDefault="005F02A2" w:rsidP="005F02A2">
      <w:pPr>
        <w:spacing w:line="360" w:lineRule="auto"/>
        <w:jc w:val="both"/>
        <w:rPr>
          <w:rFonts w:cs="FrankRuehl"/>
          <w:b/>
          <w:bCs/>
          <w:sz w:val="26"/>
          <w:szCs w:val="26"/>
          <w:u w:val="single"/>
        </w:rPr>
      </w:pPr>
    </w:p>
    <w:p w14:paraId="3A3376AB" w14:textId="77777777" w:rsidR="005F02A2" w:rsidRDefault="005F02A2" w:rsidP="005F02A2">
      <w:pPr>
        <w:spacing w:line="360" w:lineRule="auto"/>
        <w:jc w:val="both"/>
        <w:rPr>
          <w:rFonts w:cs="FrankRuehl"/>
          <w:b/>
          <w:bCs/>
          <w:sz w:val="26"/>
          <w:szCs w:val="26"/>
          <w:u w:val="single"/>
        </w:rPr>
      </w:pPr>
      <w:r>
        <w:rPr>
          <w:rFonts w:cs="FrankRuehl" w:hint="cs"/>
          <w:b/>
          <w:bCs/>
          <w:sz w:val="26"/>
          <w:szCs w:val="26"/>
          <w:u w:val="single"/>
          <w:rtl/>
        </w:rPr>
        <w:t>מהלך הדיון</w:t>
      </w:r>
    </w:p>
    <w:p w14:paraId="635C4A79" w14:textId="77777777" w:rsidR="005F02A2" w:rsidRDefault="005F02A2" w:rsidP="005F02A2">
      <w:pPr>
        <w:spacing w:line="360" w:lineRule="auto"/>
        <w:jc w:val="both"/>
        <w:rPr>
          <w:rFonts w:cs="FrankRuehl"/>
          <w:sz w:val="26"/>
          <w:szCs w:val="26"/>
          <w:rtl/>
        </w:rPr>
      </w:pPr>
      <w:r>
        <w:rPr>
          <w:rFonts w:cs="FrankRuehl" w:hint="cs"/>
          <w:sz w:val="26"/>
          <w:szCs w:val="26"/>
          <w:rtl/>
        </w:rPr>
        <w:t xml:space="preserve">הצדדים הגיעו ל"הסדר טווח", לפיו כתב האישום תוקן, הנאשם נשלח לממונה על עבודות השירות ולשירות המבחן. המאשימה הצהירה כי תגביל עצמה ל-6 חודשי עבודות שירות, מאסר מותנה וקנס בכפוף לתסקיר חיובי ונטילת אחריות, בעוד הסניגור חופשי בטיעוניו. </w:t>
      </w:r>
    </w:p>
    <w:p w14:paraId="66A1E151" w14:textId="77777777" w:rsidR="005F02A2" w:rsidRDefault="005F02A2" w:rsidP="005F02A2">
      <w:pPr>
        <w:spacing w:line="360" w:lineRule="auto"/>
        <w:jc w:val="both"/>
        <w:rPr>
          <w:rFonts w:cs="FrankRuehl"/>
          <w:b/>
          <w:bCs/>
          <w:sz w:val="26"/>
          <w:szCs w:val="26"/>
          <w:u w:val="single"/>
          <w:rtl/>
        </w:rPr>
      </w:pPr>
    </w:p>
    <w:p w14:paraId="6B4DC6B3" w14:textId="77777777" w:rsidR="005F02A2" w:rsidRDefault="005F02A2" w:rsidP="005F02A2">
      <w:pPr>
        <w:spacing w:line="360" w:lineRule="auto"/>
        <w:jc w:val="both"/>
        <w:rPr>
          <w:rFonts w:cs="FrankRuehl"/>
          <w:b/>
          <w:bCs/>
          <w:sz w:val="26"/>
          <w:szCs w:val="26"/>
          <w:u w:val="single"/>
          <w:rtl/>
        </w:rPr>
      </w:pPr>
      <w:bookmarkStart w:id="7" w:name="ABSTRACT_END"/>
      <w:bookmarkEnd w:id="7"/>
      <w:r>
        <w:rPr>
          <w:rFonts w:cs="FrankRuehl" w:hint="cs"/>
          <w:b/>
          <w:bCs/>
          <w:sz w:val="26"/>
          <w:szCs w:val="26"/>
          <w:u w:val="single"/>
          <w:rtl/>
        </w:rPr>
        <w:t>תסקירי שירות המבחן</w:t>
      </w:r>
    </w:p>
    <w:p w14:paraId="21CCBEE9" w14:textId="77777777" w:rsidR="005F02A2" w:rsidRDefault="005F02A2" w:rsidP="005F02A2">
      <w:pPr>
        <w:spacing w:line="360" w:lineRule="auto"/>
        <w:jc w:val="both"/>
        <w:rPr>
          <w:rFonts w:cs="FrankRuehl"/>
          <w:sz w:val="26"/>
          <w:szCs w:val="26"/>
          <w:rtl/>
        </w:rPr>
      </w:pPr>
      <w:r>
        <w:rPr>
          <w:rFonts w:cs="FrankRuehl" w:hint="cs"/>
          <w:sz w:val="26"/>
          <w:szCs w:val="26"/>
          <w:rtl/>
        </w:rPr>
        <w:t xml:space="preserve">בעניינו של הנאשם הוגשו שלושה תסקירים. </w:t>
      </w:r>
    </w:p>
    <w:p w14:paraId="46C4AA1D" w14:textId="77777777" w:rsidR="005F02A2" w:rsidRDefault="005F02A2" w:rsidP="005F02A2">
      <w:pPr>
        <w:spacing w:line="360" w:lineRule="auto"/>
        <w:jc w:val="both"/>
        <w:rPr>
          <w:rFonts w:cs="FrankRuehl"/>
          <w:sz w:val="26"/>
          <w:szCs w:val="26"/>
          <w:rtl/>
        </w:rPr>
      </w:pPr>
      <w:r>
        <w:rPr>
          <w:rFonts w:cs="FrankRuehl" w:hint="cs"/>
          <w:sz w:val="26"/>
          <w:szCs w:val="26"/>
          <w:rtl/>
        </w:rPr>
        <w:t xml:space="preserve">מהתסקיר הראשון שהוגש בעניינו של הנאשם עולה כי מדובר ברווק כבן 26, אשר סיים 12 שנות לימוד ולמד בתחום הקונדיטוריה והטבחות. במשך תקופה מסוימת למד בפנימיות ולאחר מכן שירת שירות צבאי מלא בתפקיד טבח, וכיום עובד במקצועו. שירות המבחן גולל בקצרה את קורות משפחתו של הנאשם, על האתגרים שחוותה המשפחה. שירות המבחן ציין, כי הנאשם נטל אחריות למעשיו וסיפר כי התפתה, בשל מצוקה כלכלית, לסייע לאחר להעביר סם. יחד עם זאת, התקשה הנאשם להתייחס למניעים אישיותיים או התנהגותיים שעשויים להסביר את המעשים, המתפרשים, גם על-ידי שירות המבחן, כמעידה חד-פעמית שאינה מעידה על אופיו. הנאשם חווה את ההליך הפלילי באופן מרתיע. בהיעדר נזקקות טיפולית סבר שירות המבחן, כי יש להטיל עונש מרתיע דוגמת עבודות שירות. שירות המבחן ציין כי נטל בדיקת שתן מהנאשם, שהעידה על ניקיון מסמים. </w:t>
      </w:r>
    </w:p>
    <w:p w14:paraId="01BF0097" w14:textId="77777777" w:rsidR="005F02A2" w:rsidRDefault="005F02A2" w:rsidP="005F02A2">
      <w:pPr>
        <w:spacing w:line="360" w:lineRule="auto"/>
        <w:jc w:val="both"/>
        <w:rPr>
          <w:rFonts w:cs="FrankRuehl"/>
          <w:sz w:val="26"/>
          <w:szCs w:val="26"/>
          <w:rtl/>
        </w:rPr>
      </w:pPr>
      <w:r>
        <w:rPr>
          <w:rFonts w:cs="FrankRuehl" w:hint="cs"/>
          <w:sz w:val="26"/>
          <w:szCs w:val="26"/>
          <w:rtl/>
        </w:rPr>
        <w:t xml:space="preserve">לאחר מכן, אפשרתי לנאשם לשפר את מצבו אל מול ההליך הפלילי ולהגביר את סיכוייו לסיים את ההליכים בצורה מיטבית מבחינתו. </w:t>
      </w:r>
    </w:p>
    <w:p w14:paraId="17866378" w14:textId="77777777" w:rsidR="005F02A2" w:rsidRDefault="005F02A2" w:rsidP="005F02A2">
      <w:pPr>
        <w:spacing w:line="360" w:lineRule="auto"/>
        <w:jc w:val="both"/>
        <w:rPr>
          <w:rFonts w:cs="FrankRuehl"/>
          <w:sz w:val="26"/>
          <w:szCs w:val="26"/>
          <w:rtl/>
        </w:rPr>
      </w:pPr>
      <w:r>
        <w:rPr>
          <w:rFonts w:cs="FrankRuehl" w:hint="cs"/>
          <w:sz w:val="26"/>
          <w:szCs w:val="26"/>
          <w:rtl/>
        </w:rPr>
        <w:t>בשורה התחתונה של שני התסקירים הנוספים, הנאשם אכן עלה על דרך חיובית, נטל אחריות למעשיו, ובשל כך מצא שירות המבחן להמליץ לסיים את התיק בהטלת של"ץ וענישה נלווית.</w:t>
      </w:r>
    </w:p>
    <w:p w14:paraId="19A2B86F" w14:textId="77777777" w:rsidR="005F02A2" w:rsidRDefault="005F02A2" w:rsidP="005F02A2">
      <w:pPr>
        <w:spacing w:line="360" w:lineRule="auto"/>
        <w:jc w:val="both"/>
        <w:rPr>
          <w:rFonts w:cs="FrankRuehl"/>
          <w:b/>
          <w:bCs/>
          <w:sz w:val="26"/>
          <w:szCs w:val="26"/>
          <w:u w:val="single"/>
          <w:rtl/>
        </w:rPr>
      </w:pPr>
    </w:p>
    <w:p w14:paraId="128A2988" w14:textId="77777777" w:rsidR="005F02A2" w:rsidRDefault="005F02A2" w:rsidP="005F02A2">
      <w:pPr>
        <w:spacing w:line="360" w:lineRule="auto"/>
        <w:jc w:val="both"/>
        <w:rPr>
          <w:rFonts w:cs="FrankRuehl"/>
          <w:b/>
          <w:bCs/>
          <w:sz w:val="26"/>
          <w:szCs w:val="26"/>
          <w:u w:val="single"/>
          <w:rtl/>
        </w:rPr>
      </w:pPr>
      <w:r>
        <w:rPr>
          <w:rFonts w:cs="FrankRuehl" w:hint="cs"/>
          <w:b/>
          <w:bCs/>
          <w:sz w:val="26"/>
          <w:szCs w:val="26"/>
          <w:u w:val="single"/>
          <w:rtl/>
        </w:rPr>
        <w:t>חוות דעת של הממונה על עבודות השירות</w:t>
      </w:r>
    </w:p>
    <w:p w14:paraId="59680A84" w14:textId="77777777" w:rsidR="005F02A2" w:rsidRDefault="005F02A2" w:rsidP="005F02A2">
      <w:pPr>
        <w:spacing w:line="360" w:lineRule="auto"/>
        <w:jc w:val="both"/>
        <w:rPr>
          <w:rFonts w:cs="FrankRuehl"/>
          <w:sz w:val="26"/>
          <w:szCs w:val="26"/>
          <w:rtl/>
        </w:rPr>
      </w:pPr>
      <w:r>
        <w:rPr>
          <w:rFonts w:cs="FrankRuehl" w:hint="cs"/>
          <w:sz w:val="26"/>
          <w:szCs w:val="26"/>
          <w:rtl/>
        </w:rPr>
        <w:t>בחוות דעת הממונה על עבודות שירות שהוגשה ביום 15.8.2019 צוין, כי בבדיקות לגילוי סמים שמסר הנאשם נמצאו שרידי חשיש או מריחואנה, עובדה המעידה על שימוש בסמים. בהמשך אפשרתי לנאשם לגשת שוב לבדיקה חוזרת אצל הממונה, שמצאו כשיר לבצע עבודות שירות בדואר מסקוביה בנצרת, החל מיום 2.8.2020.</w:t>
      </w:r>
    </w:p>
    <w:p w14:paraId="07684811" w14:textId="77777777" w:rsidR="005F02A2" w:rsidRDefault="005F02A2" w:rsidP="005F02A2">
      <w:pPr>
        <w:spacing w:line="360" w:lineRule="auto"/>
        <w:jc w:val="both"/>
        <w:rPr>
          <w:rFonts w:cs="FrankRuehl"/>
          <w:sz w:val="26"/>
          <w:szCs w:val="26"/>
          <w:rtl/>
        </w:rPr>
      </w:pPr>
    </w:p>
    <w:p w14:paraId="46A16D0C" w14:textId="77777777" w:rsidR="005F02A2" w:rsidRDefault="005F02A2" w:rsidP="005F02A2">
      <w:pPr>
        <w:spacing w:line="360" w:lineRule="auto"/>
        <w:jc w:val="both"/>
        <w:rPr>
          <w:rFonts w:cs="FrankRuehl"/>
          <w:sz w:val="26"/>
          <w:szCs w:val="26"/>
          <w:rtl/>
        </w:rPr>
      </w:pPr>
    </w:p>
    <w:p w14:paraId="39E13A07" w14:textId="77777777" w:rsidR="005F02A2" w:rsidRDefault="005F02A2" w:rsidP="005F02A2">
      <w:pPr>
        <w:spacing w:line="360" w:lineRule="auto"/>
        <w:jc w:val="both"/>
        <w:rPr>
          <w:rFonts w:cs="FrankRuehl"/>
          <w:b/>
          <w:bCs/>
          <w:sz w:val="26"/>
          <w:szCs w:val="26"/>
          <w:u w:val="single"/>
          <w:rtl/>
        </w:rPr>
      </w:pPr>
      <w:r>
        <w:rPr>
          <w:rFonts w:cs="FrankRuehl" w:hint="cs"/>
          <w:b/>
          <w:bCs/>
          <w:sz w:val="26"/>
          <w:szCs w:val="26"/>
          <w:u w:val="single"/>
          <w:rtl/>
        </w:rPr>
        <w:t>טיעונים לעונש</w:t>
      </w:r>
    </w:p>
    <w:p w14:paraId="107C0220" w14:textId="77777777" w:rsidR="005F02A2" w:rsidRDefault="005F02A2" w:rsidP="005F02A2">
      <w:pPr>
        <w:spacing w:line="360" w:lineRule="auto"/>
        <w:jc w:val="both"/>
        <w:rPr>
          <w:rFonts w:cs="FrankRuehl"/>
          <w:sz w:val="26"/>
          <w:szCs w:val="26"/>
          <w:rtl/>
        </w:rPr>
      </w:pPr>
      <w:r>
        <w:rPr>
          <w:rFonts w:cs="FrankRuehl" w:hint="cs"/>
          <w:sz w:val="26"/>
          <w:szCs w:val="26"/>
          <w:rtl/>
        </w:rPr>
        <w:t xml:space="preserve">הצדדים לא הגיעו להסכמה עונשית. </w:t>
      </w:r>
    </w:p>
    <w:p w14:paraId="006A4877" w14:textId="77777777" w:rsidR="005F02A2" w:rsidRDefault="005F02A2" w:rsidP="005F02A2">
      <w:pPr>
        <w:spacing w:line="360" w:lineRule="auto"/>
        <w:jc w:val="both"/>
        <w:rPr>
          <w:rFonts w:cs="FrankRuehl"/>
          <w:sz w:val="26"/>
          <w:szCs w:val="26"/>
        </w:rPr>
      </w:pPr>
      <w:r>
        <w:rPr>
          <w:rFonts w:cs="FrankRuehl" w:hint="cs"/>
          <w:sz w:val="26"/>
          <w:szCs w:val="26"/>
          <w:rtl/>
        </w:rPr>
        <w:t xml:space="preserve">מחד, המאשימה טוענת כי יש להטיל על הנאשם עונש מאסר לריצוי בעבודות שירות, מאסר על-תנאי וקנס, לנוכח מתחם ענישה הכולל מאסר עד 12 חודשי מאסר, והסדר הטיעון אליו הגיעו הצדדים. </w:t>
      </w:r>
    </w:p>
    <w:p w14:paraId="086AB19C" w14:textId="77777777" w:rsidR="005F02A2" w:rsidRDefault="005F02A2" w:rsidP="005F02A2">
      <w:pPr>
        <w:spacing w:line="360" w:lineRule="auto"/>
        <w:jc w:val="both"/>
        <w:rPr>
          <w:rFonts w:cs="FrankRuehl"/>
          <w:sz w:val="26"/>
          <w:szCs w:val="26"/>
          <w:rtl/>
        </w:rPr>
      </w:pPr>
      <w:r>
        <w:rPr>
          <w:rFonts w:cs="FrankRuehl" w:hint="cs"/>
          <w:sz w:val="26"/>
          <w:szCs w:val="26"/>
          <w:rtl/>
        </w:rPr>
        <w:t xml:space="preserve">מאידך, הסניגור טוען כי ניתן להסתפק בעונש של"ץ. </w:t>
      </w:r>
    </w:p>
    <w:p w14:paraId="002C5FE1" w14:textId="77777777" w:rsidR="005F02A2" w:rsidRDefault="005F02A2" w:rsidP="005F02A2">
      <w:pPr>
        <w:spacing w:line="360" w:lineRule="auto"/>
        <w:jc w:val="both"/>
        <w:rPr>
          <w:rFonts w:cs="FrankRuehl"/>
          <w:b/>
          <w:bCs/>
          <w:sz w:val="26"/>
          <w:szCs w:val="26"/>
          <w:u w:val="single"/>
          <w:rtl/>
        </w:rPr>
      </w:pPr>
    </w:p>
    <w:p w14:paraId="4166EE2D" w14:textId="77777777" w:rsidR="005F02A2" w:rsidRDefault="005F02A2" w:rsidP="005F02A2">
      <w:pPr>
        <w:spacing w:line="360" w:lineRule="auto"/>
        <w:jc w:val="both"/>
        <w:rPr>
          <w:rFonts w:cs="FrankRuehl"/>
          <w:b/>
          <w:bCs/>
          <w:sz w:val="26"/>
          <w:szCs w:val="26"/>
          <w:u w:val="single"/>
          <w:rtl/>
        </w:rPr>
      </w:pPr>
      <w:r>
        <w:rPr>
          <w:rFonts w:cs="FrankRuehl" w:hint="cs"/>
          <w:b/>
          <w:bCs/>
          <w:sz w:val="26"/>
          <w:szCs w:val="26"/>
          <w:u w:val="single"/>
          <w:rtl/>
        </w:rPr>
        <w:t xml:space="preserve">קביעת מתחם הענישה </w:t>
      </w:r>
      <w:r>
        <w:rPr>
          <w:rFonts w:cs="FrankRuehl" w:hint="cs"/>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4CC15B8" w14:textId="77777777" w:rsidR="005F02A2" w:rsidRDefault="005F02A2" w:rsidP="005F02A2">
      <w:pPr>
        <w:spacing w:line="360" w:lineRule="auto"/>
        <w:jc w:val="both"/>
        <w:rPr>
          <w:rFonts w:cs="FrankRuehl"/>
          <w:b/>
          <w:bCs/>
          <w:sz w:val="26"/>
          <w:szCs w:val="26"/>
          <w:u w:val="single"/>
          <w:rtl/>
        </w:rPr>
      </w:pPr>
    </w:p>
    <w:p w14:paraId="446A0A76" w14:textId="77777777" w:rsidR="005F02A2" w:rsidRDefault="005F02A2" w:rsidP="005F02A2">
      <w:pPr>
        <w:spacing w:line="360" w:lineRule="auto"/>
        <w:jc w:val="both"/>
        <w:rPr>
          <w:rFonts w:cs="FrankRuehl"/>
          <w:sz w:val="26"/>
          <w:szCs w:val="26"/>
          <w:rtl/>
        </w:rPr>
      </w:pPr>
      <w:r>
        <w:rPr>
          <w:rFonts w:cs="FrankRuehl" w:hint="cs"/>
          <w:b/>
          <w:bCs/>
          <w:sz w:val="26"/>
          <w:szCs w:val="26"/>
          <w:u w:val="single"/>
          <w:rtl/>
        </w:rPr>
        <w:t xml:space="preserve">אשר לערך המוגן </w:t>
      </w:r>
      <w:r>
        <w:rPr>
          <w:rFonts w:cs="FrankRuehl" w:hint="cs"/>
          <w:sz w:val="26"/>
          <w:szCs w:val="26"/>
          <w:rtl/>
        </w:rPr>
        <w:t xml:space="preserve">– עבירות סמים פוגעות בבריאות הציבור ואף בביטחונו. כאשר מדובר בכמות גדולה של קנביס שלא לצריכה עצמית, מידת הפגיעה בערכים המוגנים בינונית-נמוכה. </w:t>
      </w:r>
    </w:p>
    <w:p w14:paraId="332029CF" w14:textId="77777777" w:rsidR="005F02A2" w:rsidRDefault="005F02A2" w:rsidP="005F02A2">
      <w:pPr>
        <w:spacing w:line="360" w:lineRule="auto"/>
        <w:jc w:val="both"/>
        <w:rPr>
          <w:rFonts w:cs="FrankRuehl"/>
          <w:b/>
          <w:bCs/>
          <w:sz w:val="26"/>
          <w:szCs w:val="26"/>
          <w:rtl/>
        </w:rPr>
      </w:pPr>
    </w:p>
    <w:p w14:paraId="73F0B4FA" w14:textId="77777777" w:rsidR="005F02A2" w:rsidRDefault="005F02A2" w:rsidP="005F02A2">
      <w:pPr>
        <w:spacing w:line="360" w:lineRule="auto"/>
        <w:jc w:val="both"/>
        <w:rPr>
          <w:rFonts w:cs="FrankRuehl"/>
          <w:sz w:val="26"/>
          <w:szCs w:val="26"/>
        </w:rPr>
      </w:pPr>
      <w:r>
        <w:rPr>
          <w:rFonts w:cs="FrankRuehl" w:hint="cs"/>
          <w:b/>
          <w:bCs/>
          <w:sz w:val="26"/>
          <w:szCs w:val="26"/>
          <w:u w:val="single"/>
          <w:rtl/>
        </w:rPr>
        <w:t xml:space="preserve">נסיבות הקשורות בביצוע העבירה, לפי </w:t>
      </w:r>
      <w:hyperlink r:id="rId15" w:history="1">
        <w:r w:rsidR="002F3320" w:rsidRPr="002F3320">
          <w:rPr>
            <w:rStyle w:val="Hyperlink"/>
            <w:rFonts w:cs="FrankRuehl" w:hint="eastAsia"/>
            <w:b/>
            <w:bCs/>
            <w:sz w:val="26"/>
            <w:szCs w:val="26"/>
            <w:rtl/>
          </w:rPr>
          <w:t>סעיף</w:t>
        </w:r>
        <w:r w:rsidR="002F3320" w:rsidRPr="002F3320">
          <w:rPr>
            <w:rStyle w:val="Hyperlink"/>
            <w:rFonts w:cs="FrankRuehl"/>
            <w:b/>
            <w:bCs/>
            <w:sz w:val="26"/>
            <w:szCs w:val="26"/>
            <w:rtl/>
          </w:rPr>
          <w:t xml:space="preserve"> 40ט'</w:t>
        </w:r>
      </w:hyperlink>
      <w:r>
        <w:rPr>
          <w:rFonts w:cs="FrankRuehl" w:hint="cs"/>
          <w:b/>
          <w:bCs/>
          <w:sz w:val="26"/>
          <w:szCs w:val="26"/>
          <w:u w:val="single"/>
          <w:rtl/>
        </w:rPr>
        <w:t xml:space="preserve"> ל</w:t>
      </w:r>
      <w:hyperlink r:id="rId16" w:history="1">
        <w:r w:rsidR="00C25A22" w:rsidRPr="00C25A22">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 xml:space="preserve">בין הנסיבות הקשורות בביצוע העבירה יש לשקול את אלה, לעניין קביעת המתחם: מדובר בעבירה מתוכננת לנוכח כמות הסמים, כאשר נסיבה לחומרה היא החזקתם ברכבו של הנאשם בכמות שאינה לצריכה עצמית; הנאשם אחראי באופן מלא למעשים בהיותו אדם בוגר; הנזק מעבירות סמים משמעותי אם כי יש לתת את הדעת לסוג הסמים, במקרה זה קנבוס; ככל הנראה המניע לביצוע העבירה כלכלי. </w:t>
      </w:r>
    </w:p>
    <w:p w14:paraId="745BBF4C" w14:textId="77777777" w:rsidR="005F02A2" w:rsidRPr="009A59AE" w:rsidRDefault="005F02A2" w:rsidP="005F02A2">
      <w:pPr>
        <w:spacing w:line="360" w:lineRule="auto"/>
        <w:jc w:val="both"/>
        <w:rPr>
          <w:rFonts w:cs="FrankRuehl"/>
          <w:b/>
          <w:bCs/>
          <w:sz w:val="26"/>
          <w:szCs w:val="26"/>
          <w:u w:val="single"/>
          <w:rtl/>
        </w:rPr>
      </w:pPr>
    </w:p>
    <w:p w14:paraId="7EC6B6C6" w14:textId="77777777" w:rsidR="005F02A2" w:rsidRDefault="005F02A2" w:rsidP="005F02A2">
      <w:pPr>
        <w:spacing w:line="360" w:lineRule="auto"/>
        <w:jc w:val="both"/>
        <w:rPr>
          <w:rFonts w:cs="FrankRuehl"/>
          <w:sz w:val="26"/>
          <w:szCs w:val="26"/>
          <w:rtl/>
        </w:rPr>
      </w:pPr>
      <w:r>
        <w:rPr>
          <w:rFonts w:cs="FrankRuehl" w:hint="cs"/>
          <w:b/>
          <w:bCs/>
          <w:sz w:val="26"/>
          <w:szCs w:val="26"/>
          <w:u w:val="single"/>
          <w:rtl/>
        </w:rPr>
        <w:t>מדיניות הענישה הנוהגת</w:t>
      </w:r>
      <w:r>
        <w:rPr>
          <w:rFonts w:cs="FrankRuehl" w:hint="cs"/>
          <w:b/>
          <w:bCs/>
          <w:sz w:val="26"/>
          <w:szCs w:val="26"/>
          <w:rtl/>
        </w:rPr>
        <w:t xml:space="preserve"> – </w:t>
      </w:r>
      <w:r>
        <w:rPr>
          <w:rFonts w:cs="FrankRuehl" w:hint="cs"/>
          <w:sz w:val="26"/>
          <w:szCs w:val="26"/>
          <w:rtl/>
        </w:rPr>
        <w:t xml:space="preserve">מכיוון שמדובר ב"הסדר טווח" שבו הגבילה עצמה המאשימה בעתירה לעונש מאסר עד 6 חודשי מאסר בעבודות שירות, יש לבחון את העמדה בראי הפסיקה הנוהגת בנסיבות דומות. ברע"פ 5949/19 </w:t>
      </w:r>
      <w:r w:rsidRPr="00F22011">
        <w:rPr>
          <w:rFonts w:cs="FrankRuehl" w:hint="cs"/>
          <w:b/>
          <w:bCs/>
          <w:sz w:val="26"/>
          <w:szCs w:val="26"/>
          <w:rtl/>
        </w:rPr>
        <w:t>רנד</w:t>
      </w:r>
      <w:r>
        <w:rPr>
          <w:rFonts w:cs="FrankRuehl" w:hint="cs"/>
          <w:sz w:val="26"/>
          <w:szCs w:val="26"/>
          <w:rtl/>
        </w:rPr>
        <w:t xml:space="preserve"> נ' </w:t>
      </w:r>
      <w:r w:rsidRPr="00F22011">
        <w:rPr>
          <w:rFonts w:cs="FrankRuehl" w:hint="cs"/>
          <w:b/>
          <w:bCs/>
          <w:sz w:val="26"/>
          <w:szCs w:val="26"/>
          <w:u w:val="single"/>
          <w:rtl/>
        </w:rPr>
        <w:t>מ"י</w:t>
      </w:r>
      <w:r>
        <w:rPr>
          <w:rFonts w:cs="FrankRuehl" w:hint="cs"/>
          <w:sz w:val="26"/>
          <w:szCs w:val="26"/>
          <w:rtl/>
        </w:rPr>
        <w:t xml:space="preserve"> (מיום 22.8.2019) אושר עונש של 6 חודשי מאסר בעבודות שירות בנסיבות חמורות בהרבה, ובסמים קשים יותר </w:t>
      </w:r>
      <w:r>
        <w:rPr>
          <w:rFonts w:cs="FrankRuehl"/>
          <w:sz w:val="26"/>
          <w:szCs w:val="26"/>
          <w:rtl/>
        </w:rPr>
        <w:t>–</w:t>
      </w:r>
      <w:r>
        <w:rPr>
          <w:rFonts w:cs="FrankRuehl" w:hint="cs"/>
          <w:sz w:val="26"/>
          <w:szCs w:val="26"/>
          <w:rtl/>
        </w:rPr>
        <w:t xml:space="preserve"> שם דובר בסחר בקריסטל וב-11 גרם הירואין שנמצאו ברכבו של הנאשם. מכאן שהגם שהכלל הוא מאסר בעבירות סמים, ישנם יוצאי דופן במקרים המתאימים, ועמדת המאשימה מתיישבת עם הפסיקה הנוהגת. </w:t>
      </w:r>
    </w:p>
    <w:p w14:paraId="285EC6FD" w14:textId="77777777" w:rsidR="005F02A2" w:rsidRDefault="005F02A2" w:rsidP="005F02A2">
      <w:pPr>
        <w:spacing w:line="360" w:lineRule="auto"/>
        <w:jc w:val="both"/>
        <w:rPr>
          <w:rFonts w:cs="FrankRuehl"/>
          <w:sz w:val="26"/>
          <w:szCs w:val="26"/>
          <w:rtl/>
        </w:rPr>
      </w:pPr>
    </w:p>
    <w:p w14:paraId="57049187" w14:textId="77777777" w:rsidR="005F02A2" w:rsidRDefault="005F02A2" w:rsidP="005F02A2">
      <w:pPr>
        <w:spacing w:line="360" w:lineRule="auto"/>
        <w:jc w:val="both"/>
        <w:rPr>
          <w:rFonts w:cs="FrankRuehl"/>
          <w:sz w:val="26"/>
          <w:szCs w:val="26"/>
          <w:rtl/>
        </w:rPr>
      </w:pPr>
      <w:r>
        <w:rPr>
          <w:rFonts w:cs="FrankRuehl" w:hint="cs"/>
          <w:b/>
          <w:bCs/>
          <w:sz w:val="26"/>
          <w:szCs w:val="26"/>
          <w:u w:val="single"/>
          <w:rtl/>
        </w:rPr>
        <w:t>מתחם הענישה</w:t>
      </w:r>
      <w:r>
        <w:rPr>
          <w:rFonts w:cs="FrankRuehl" w:hint="cs"/>
          <w:sz w:val="26"/>
          <w:szCs w:val="26"/>
          <w:rtl/>
        </w:rPr>
        <w:t xml:space="preserve"> – לפיכך, מתחם הענישה צריך לעמוד על של"ץ ומאסר קצר בעבודות שירות ועד 6 חודשי מאסר עם ענישה נלווית. </w:t>
      </w:r>
    </w:p>
    <w:p w14:paraId="654FDC08" w14:textId="77777777" w:rsidR="005F02A2" w:rsidRDefault="005F02A2" w:rsidP="005F02A2">
      <w:pPr>
        <w:spacing w:line="360" w:lineRule="auto"/>
        <w:jc w:val="both"/>
        <w:rPr>
          <w:rFonts w:cs="FrankRuehl"/>
          <w:b/>
          <w:bCs/>
          <w:sz w:val="26"/>
          <w:szCs w:val="26"/>
          <w:rtl/>
        </w:rPr>
      </w:pPr>
    </w:p>
    <w:p w14:paraId="43B8FFA4" w14:textId="77777777" w:rsidR="005F02A2" w:rsidRDefault="005F02A2" w:rsidP="005F02A2">
      <w:pPr>
        <w:spacing w:line="360" w:lineRule="auto"/>
        <w:jc w:val="both"/>
        <w:rPr>
          <w:rFonts w:cs="FrankRuehl"/>
          <w:sz w:val="26"/>
          <w:szCs w:val="26"/>
          <w:rtl/>
        </w:rPr>
      </w:pPr>
      <w:r>
        <w:rPr>
          <w:rFonts w:cs="FrankRuehl" w:hint="cs"/>
          <w:b/>
          <w:bCs/>
          <w:sz w:val="26"/>
          <w:szCs w:val="26"/>
          <w:u w:val="single"/>
          <w:rtl/>
        </w:rPr>
        <w:t xml:space="preserve">נסיבות שאינן קשורות בביצוע העבירה לפי </w:t>
      </w:r>
      <w:hyperlink r:id="rId17" w:history="1">
        <w:r w:rsidR="002F3320" w:rsidRPr="002F3320">
          <w:rPr>
            <w:rStyle w:val="Hyperlink"/>
            <w:rFonts w:cs="FrankRuehl" w:hint="eastAsia"/>
            <w:b/>
            <w:bCs/>
            <w:sz w:val="26"/>
            <w:szCs w:val="26"/>
            <w:rtl/>
          </w:rPr>
          <w:t>סעיף</w:t>
        </w:r>
        <w:r w:rsidR="002F3320" w:rsidRPr="002F3320">
          <w:rPr>
            <w:rStyle w:val="Hyperlink"/>
            <w:rFonts w:cs="FrankRuehl"/>
            <w:b/>
            <w:bCs/>
            <w:sz w:val="26"/>
            <w:szCs w:val="26"/>
            <w:rtl/>
          </w:rPr>
          <w:t xml:space="preserve"> 40י"א</w:t>
        </w:r>
      </w:hyperlink>
      <w:r>
        <w:rPr>
          <w:rFonts w:cs="FrankRuehl" w:hint="cs"/>
          <w:b/>
          <w:bCs/>
          <w:sz w:val="26"/>
          <w:szCs w:val="26"/>
          <w:u w:val="single"/>
          <w:rtl/>
        </w:rPr>
        <w:t xml:space="preserve"> ל</w:t>
      </w:r>
      <w:hyperlink r:id="rId18" w:history="1">
        <w:r w:rsidR="00C25A22" w:rsidRPr="00C25A22">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ניתן  לתת משקל לנסיבות הבאות שאינן קשורות בביצוע העבירה, במסגרת גזירת העונש בתוך המתחם: מדובר בנאשם צעיר יחסית, ללא עבר פלילי; הנאשם נטל אחריות למעשים וחווה את ההליך הפלילי כגורם מרתיע; הוא שירת בצבא ובאופן כללי מדובר במעידה שאינה מעידה על אופיו ואורחותיו.</w:t>
      </w:r>
    </w:p>
    <w:p w14:paraId="2B33FD2A" w14:textId="77777777" w:rsidR="005F02A2" w:rsidRDefault="005F02A2" w:rsidP="005F02A2">
      <w:pPr>
        <w:rPr>
          <w:rFonts w:cs="FrankRuehl"/>
          <w:sz w:val="26"/>
          <w:szCs w:val="26"/>
          <w:rtl/>
        </w:rPr>
      </w:pPr>
    </w:p>
    <w:p w14:paraId="0483EBC9" w14:textId="77777777" w:rsidR="005F02A2" w:rsidRDefault="005F02A2" w:rsidP="005F02A2">
      <w:pPr>
        <w:spacing w:line="360" w:lineRule="auto"/>
        <w:jc w:val="both"/>
        <w:rPr>
          <w:rFonts w:cs="FrankRuehl"/>
          <w:sz w:val="26"/>
          <w:szCs w:val="26"/>
          <w:rtl/>
        </w:rPr>
      </w:pPr>
    </w:p>
    <w:p w14:paraId="53F921FC" w14:textId="77777777" w:rsidR="005F02A2" w:rsidRDefault="005F02A2" w:rsidP="005F02A2">
      <w:pPr>
        <w:spacing w:line="360" w:lineRule="auto"/>
        <w:jc w:val="both"/>
        <w:rPr>
          <w:rFonts w:cs="FrankRuehl"/>
          <w:sz w:val="26"/>
          <w:szCs w:val="26"/>
          <w:rtl/>
        </w:rPr>
      </w:pPr>
      <w:r>
        <w:rPr>
          <w:rFonts w:cs="FrankRuehl" w:hint="cs"/>
          <w:b/>
          <w:bCs/>
          <w:sz w:val="26"/>
          <w:szCs w:val="26"/>
          <w:u w:val="single"/>
          <w:rtl/>
        </w:rPr>
        <w:t>המיקום במתחם</w:t>
      </w:r>
      <w:r>
        <w:rPr>
          <w:rFonts w:cs="FrankRuehl" w:hint="cs"/>
          <w:sz w:val="26"/>
          <w:szCs w:val="26"/>
          <w:rtl/>
        </w:rPr>
        <w:t xml:space="preserve"> </w:t>
      </w:r>
      <w:r>
        <w:rPr>
          <w:rFonts w:cs="FrankRuehl"/>
          <w:sz w:val="26"/>
          <w:szCs w:val="26"/>
          <w:rtl/>
        </w:rPr>
        <w:t>–</w:t>
      </w:r>
      <w:r>
        <w:rPr>
          <w:rFonts w:cs="FrankRuehl" w:hint="cs"/>
          <w:sz w:val="26"/>
          <w:szCs w:val="26"/>
          <w:rtl/>
        </w:rPr>
        <w:t xml:space="preserve"> בנסיבות אלו, יש למקם את הנאשם בשליש הראשון של המתחם.</w:t>
      </w:r>
    </w:p>
    <w:p w14:paraId="1799A195" w14:textId="77777777" w:rsidR="005F02A2" w:rsidRDefault="005F02A2" w:rsidP="005F02A2">
      <w:pPr>
        <w:spacing w:line="360" w:lineRule="auto"/>
        <w:jc w:val="both"/>
        <w:rPr>
          <w:rFonts w:cs="FrankRuehl"/>
          <w:b/>
          <w:bCs/>
          <w:sz w:val="26"/>
          <w:szCs w:val="26"/>
          <w:u w:val="single"/>
          <w:rtl/>
        </w:rPr>
      </w:pPr>
    </w:p>
    <w:p w14:paraId="7BD88D38" w14:textId="77777777" w:rsidR="005F02A2" w:rsidRDefault="005F02A2" w:rsidP="005F02A2">
      <w:pPr>
        <w:spacing w:line="360" w:lineRule="auto"/>
        <w:jc w:val="both"/>
        <w:rPr>
          <w:rFonts w:cs="FrankRuehl"/>
          <w:b/>
          <w:bCs/>
          <w:sz w:val="26"/>
          <w:szCs w:val="26"/>
          <w:u w:val="single"/>
          <w:rtl/>
        </w:rPr>
      </w:pPr>
      <w:r>
        <w:rPr>
          <w:rFonts w:cs="FrankRuehl" w:hint="cs"/>
          <w:b/>
          <w:bCs/>
          <w:sz w:val="26"/>
          <w:szCs w:val="26"/>
          <w:u w:val="single"/>
          <w:rtl/>
        </w:rPr>
        <w:t>גזירת הדין</w:t>
      </w:r>
    </w:p>
    <w:p w14:paraId="3DAE911C" w14:textId="77777777" w:rsidR="005F02A2" w:rsidRDefault="005F02A2" w:rsidP="005F02A2">
      <w:pPr>
        <w:spacing w:line="360" w:lineRule="auto"/>
        <w:jc w:val="both"/>
        <w:rPr>
          <w:rFonts w:cs="FrankRuehl"/>
          <w:sz w:val="26"/>
          <w:szCs w:val="26"/>
          <w:rtl/>
        </w:rPr>
      </w:pPr>
      <w:r>
        <w:rPr>
          <w:rFonts w:cs="FrankRuehl" w:hint="cs"/>
          <w:sz w:val="26"/>
          <w:szCs w:val="26"/>
          <w:rtl/>
        </w:rPr>
        <w:t>לפיכך, אני מחליט לגזור על הנאשם את העונשים הבאים:</w:t>
      </w:r>
    </w:p>
    <w:p w14:paraId="6D01AB12" w14:textId="77777777" w:rsidR="005F02A2" w:rsidRDefault="005F02A2" w:rsidP="005F02A2">
      <w:pPr>
        <w:numPr>
          <w:ilvl w:val="0"/>
          <w:numId w:val="1"/>
        </w:numPr>
        <w:spacing w:after="160" w:line="360" w:lineRule="auto"/>
        <w:contextualSpacing/>
        <w:jc w:val="both"/>
        <w:rPr>
          <w:rFonts w:cs="FrankRuehl"/>
          <w:sz w:val="26"/>
          <w:szCs w:val="26"/>
          <w:rtl/>
        </w:rPr>
      </w:pPr>
      <w:r>
        <w:rPr>
          <w:rFonts w:cs="FrankRuehl" w:hint="cs"/>
          <w:sz w:val="26"/>
          <w:szCs w:val="26"/>
          <w:rtl/>
        </w:rPr>
        <w:t>300 שעות של"ץ לריצוי במתנ"ס מגדל העמק, לא לפני יום 1.9.2020. השל"ץ יבוצע ע"פ התכנית של שירות המבחן ובפיקוחו והנאשם הוזהר, כי אם לא יקיים את מצוות שירות המבחן, שאלת העונש עלולה להיפתח מחדש;</w:t>
      </w:r>
    </w:p>
    <w:p w14:paraId="740CD1D0" w14:textId="77777777" w:rsidR="005F02A2" w:rsidRDefault="005F02A2" w:rsidP="005F02A2">
      <w:pPr>
        <w:numPr>
          <w:ilvl w:val="0"/>
          <w:numId w:val="1"/>
        </w:numPr>
        <w:spacing w:after="160" w:line="360" w:lineRule="auto"/>
        <w:contextualSpacing/>
        <w:jc w:val="both"/>
        <w:rPr>
          <w:rFonts w:cs="FrankRuehl"/>
          <w:sz w:val="26"/>
          <w:szCs w:val="26"/>
        </w:rPr>
      </w:pPr>
      <w:r>
        <w:rPr>
          <w:rFonts w:cs="FrankRuehl" w:hint="cs"/>
          <w:sz w:val="26"/>
          <w:szCs w:val="26"/>
          <w:rtl/>
        </w:rPr>
        <w:t>שבוע מאסר שלא ירוצה, אלא אם יעבור הנאשם כל עבירה של שימוש עצמי ו/או החזקת כלים לשימוש עצמי בתוך שנתיים מהיום;</w:t>
      </w:r>
    </w:p>
    <w:p w14:paraId="2ADA1791" w14:textId="77777777" w:rsidR="005F02A2" w:rsidRDefault="005F02A2" w:rsidP="005F02A2">
      <w:pPr>
        <w:numPr>
          <w:ilvl w:val="0"/>
          <w:numId w:val="1"/>
        </w:numPr>
        <w:spacing w:after="160" w:line="360" w:lineRule="auto"/>
        <w:contextualSpacing/>
        <w:jc w:val="both"/>
        <w:rPr>
          <w:rFonts w:cs="FrankRuehl"/>
          <w:sz w:val="26"/>
          <w:szCs w:val="26"/>
        </w:rPr>
      </w:pPr>
      <w:r>
        <w:rPr>
          <w:rFonts w:cs="FrankRuehl" w:hint="cs"/>
          <w:sz w:val="26"/>
          <w:szCs w:val="26"/>
          <w:rtl/>
        </w:rPr>
        <w:t>5 חודשי מאסר שלא ירוצו, אלא אם יעבור הנאשם כל עבירה לפי פקודת הסמים (למעט שימוש עצמי והחזקת כלים לשימוש עצמי) בתוך שנתיים מהיום;</w:t>
      </w:r>
    </w:p>
    <w:p w14:paraId="0BC6EB06" w14:textId="77777777" w:rsidR="005F02A2" w:rsidRDefault="005F02A2" w:rsidP="005F02A2">
      <w:pPr>
        <w:numPr>
          <w:ilvl w:val="0"/>
          <w:numId w:val="1"/>
        </w:numPr>
        <w:spacing w:after="160" w:line="360" w:lineRule="auto"/>
        <w:contextualSpacing/>
        <w:jc w:val="both"/>
        <w:rPr>
          <w:rFonts w:cs="FrankRuehl"/>
          <w:sz w:val="26"/>
          <w:szCs w:val="26"/>
        </w:rPr>
      </w:pPr>
      <w:r>
        <w:rPr>
          <w:rFonts w:cs="FrankRuehl" w:hint="cs"/>
          <w:sz w:val="26"/>
          <w:szCs w:val="26"/>
          <w:rtl/>
        </w:rPr>
        <w:t>פסילה שלא להחזיק או לקבל רישיון נהיגה, וזאת על-תנאי למשך שנתיים מהיום, בהתייחס לכל עבירה לפי פקודת הסמים (לרבות שימוש עצמי ו/או החזקת כלים לשימוש עצמי);</w:t>
      </w:r>
    </w:p>
    <w:p w14:paraId="6932F462" w14:textId="77777777" w:rsidR="005F02A2" w:rsidRDefault="005F02A2" w:rsidP="005F02A2">
      <w:pPr>
        <w:numPr>
          <w:ilvl w:val="0"/>
          <w:numId w:val="1"/>
        </w:numPr>
        <w:spacing w:after="160" w:line="360" w:lineRule="auto"/>
        <w:contextualSpacing/>
        <w:jc w:val="both"/>
        <w:rPr>
          <w:rFonts w:cs="FrankRuehl"/>
          <w:sz w:val="26"/>
          <w:szCs w:val="26"/>
        </w:rPr>
      </w:pPr>
      <w:r>
        <w:rPr>
          <w:rFonts w:cs="FrankRuehl" w:hint="cs"/>
          <w:sz w:val="26"/>
          <w:szCs w:val="26"/>
          <w:rtl/>
        </w:rPr>
        <w:t>קנס בסך 1,500 ₪, אשר ישולם החל מיום 1.9.2020, או 10  ימי מאסר תמורתו. הקנס ישולם ב-6 תשלומים שווים ורצופים ב-1 לכל חודש עוקב ורצוף. לא ישולם תשלום במועד או לא ישולם כלל, יעמוד הקנס לפירעון מיידי. ההפקדות בתיק יקוזזו לטובת הקנס. כל יתרה תושב לנאשם על אף כל הודעת עיקול ככל שקיימת;</w:t>
      </w:r>
    </w:p>
    <w:p w14:paraId="62D63E13" w14:textId="77777777" w:rsidR="005F02A2" w:rsidRDefault="005F02A2" w:rsidP="005F02A2">
      <w:pPr>
        <w:numPr>
          <w:ilvl w:val="0"/>
          <w:numId w:val="1"/>
        </w:numPr>
        <w:spacing w:after="160" w:line="360" w:lineRule="auto"/>
        <w:contextualSpacing/>
        <w:jc w:val="both"/>
        <w:rPr>
          <w:rFonts w:cs="FrankRuehl"/>
          <w:sz w:val="26"/>
          <w:szCs w:val="26"/>
        </w:rPr>
      </w:pPr>
      <w:r>
        <w:rPr>
          <w:rFonts w:cs="FrankRuehl" w:hint="cs"/>
          <w:sz w:val="26"/>
          <w:szCs w:val="26"/>
          <w:rtl/>
        </w:rPr>
        <w:t>צו מבחן למשך 12 חודשים מהיום. הובהר לנאשם כי אם יפר את הוראות שירות המבחן במסגרת הצו, שאלת העונש עלולה להיפתח מחדש.</w:t>
      </w:r>
    </w:p>
    <w:p w14:paraId="50183D03" w14:textId="77777777" w:rsidR="005F02A2" w:rsidRDefault="005F02A2" w:rsidP="005F02A2">
      <w:pPr>
        <w:spacing w:line="360" w:lineRule="auto"/>
        <w:rPr>
          <w:rFonts w:ascii="FrankRuehl" w:hAnsi="FrankRuehl" w:cs="FrankRuehl"/>
          <w:sz w:val="26"/>
          <w:szCs w:val="26"/>
          <w:rtl/>
        </w:rPr>
      </w:pPr>
    </w:p>
    <w:p w14:paraId="4CE97B53" w14:textId="77777777" w:rsidR="005F02A2" w:rsidRPr="00B33ED0" w:rsidRDefault="005F02A2" w:rsidP="005F02A2">
      <w:pPr>
        <w:spacing w:line="360" w:lineRule="auto"/>
        <w:rPr>
          <w:rFonts w:ascii="FrankRuehl" w:hAnsi="FrankRuehl" w:cs="FrankRuehl"/>
          <w:b/>
          <w:bCs/>
          <w:sz w:val="26"/>
          <w:szCs w:val="26"/>
          <w:rtl/>
        </w:rPr>
      </w:pPr>
      <w:r w:rsidRPr="00B33ED0">
        <w:rPr>
          <w:rFonts w:ascii="FrankRuehl" w:hAnsi="FrankRuehl" w:cs="FrankRuehl" w:hint="cs"/>
          <w:b/>
          <w:bCs/>
          <w:sz w:val="26"/>
          <w:szCs w:val="26"/>
          <w:rtl/>
        </w:rPr>
        <w:t>מורה על השמדת הסמים.</w:t>
      </w:r>
      <w:r w:rsidR="009D7BDA">
        <w:rPr>
          <w:rFonts w:ascii="FrankRuehl" w:hAnsi="FrankRuehl" w:cs="FrankRuehl" w:hint="cs"/>
          <w:b/>
          <w:bCs/>
          <w:sz w:val="26"/>
          <w:szCs w:val="26"/>
          <w:rtl/>
        </w:rPr>
        <w:t xml:space="preserve"> </w:t>
      </w:r>
    </w:p>
    <w:p w14:paraId="342CF3D3" w14:textId="77777777" w:rsidR="005F02A2" w:rsidRDefault="005F02A2" w:rsidP="005F02A2">
      <w:pPr>
        <w:spacing w:line="360" w:lineRule="auto"/>
        <w:rPr>
          <w:rFonts w:ascii="FrankRuehl" w:hAnsi="FrankRuehl" w:cs="FrankRuehl"/>
          <w:sz w:val="26"/>
          <w:szCs w:val="26"/>
          <w:rtl/>
        </w:rPr>
      </w:pPr>
    </w:p>
    <w:p w14:paraId="3B92A2DF" w14:textId="77777777" w:rsidR="005F02A2" w:rsidRDefault="005F02A2" w:rsidP="005F02A2">
      <w:pPr>
        <w:spacing w:line="360" w:lineRule="auto"/>
        <w:rPr>
          <w:rFonts w:ascii="FrankRuehl" w:hAnsi="FrankRuehl" w:cs="FrankRuehl"/>
          <w:sz w:val="26"/>
          <w:szCs w:val="26"/>
          <w:rtl/>
        </w:rPr>
      </w:pPr>
      <w:r>
        <w:rPr>
          <w:rFonts w:ascii="FrankRuehl" w:hAnsi="FrankRuehl" w:cs="FrankRuehl" w:hint="cs"/>
          <w:sz w:val="26"/>
          <w:szCs w:val="26"/>
          <w:rtl/>
        </w:rPr>
        <w:t>יש לשלוח לשירות המבחן ולממונה על עבודות שירות.</w:t>
      </w:r>
    </w:p>
    <w:p w14:paraId="037F07DA" w14:textId="77777777" w:rsidR="005F02A2" w:rsidRDefault="005F02A2" w:rsidP="005F02A2">
      <w:pPr>
        <w:rPr>
          <w:rFonts w:ascii="FrankRuehl" w:hAnsi="FrankRuehl" w:cs="FrankRuehl"/>
          <w:sz w:val="26"/>
          <w:szCs w:val="26"/>
          <w:rtl/>
        </w:rPr>
      </w:pPr>
    </w:p>
    <w:p w14:paraId="3B5CEA92" w14:textId="77777777" w:rsidR="005F02A2" w:rsidRDefault="00C25A22" w:rsidP="005F02A2">
      <w:pPr>
        <w:rPr>
          <w:rFonts w:ascii="FrankRuehl" w:hAnsi="FrankRuehl" w:cs="FrankRuehl"/>
          <w:sz w:val="26"/>
          <w:szCs w:val="26"/>
        </w:rPr>
      </w:pPr>
      <w:r w:rsidRPr="00C25A22">
        <w:rPr>
          <w:rFonts w:ascii="FrankRuehl" w:hAnsi="FrankRuehl" w:cs="FrankRuehl"/>
          <w:color w:val="FFFFFF"/>
          <w:sz w:val="2"/>
          <w:szCs w:val="2"/>
          <w:rtl/>
        </w:rPr>
        <w:t>5129371</w:t>
      </w:r>
      <w:r w:rsidR="005F02A2">
        <w:rPr>
          <w:rFonts w:ascii="FrankRuehl" w:hAnsi="FrankRuehl" w:cs="FrankRuehl" w:hint="cs"/>
          <w:sz w:val="26"/>
          <w:szCs w:val="26"/>
          <w:rtl/>
        </w:rPr>
        <w:t>זכות ערעור כחוק לבית המשפט המחוזי בירושלים בתוך 45 יום מהיום.</w:t>
      </w:r>
    </w:p>
    <w:p w14:paraId="769FBB9A" w14:textId="77777777" w:rsidR="005F02A2" w:rsidRPr="00C25A22" w:rsidRDefault="00C25A22" w:rsidP="005F02A2">
      <w:pPr>
        <w:rPr>
          <w:color w:val="FFFFFF"/>
          <w:sz w:val="2"/>
          <w:szCs w:val="2"/>
          <w:rtl/>
        </w:rPr>
      </w:pPr>
      <w:r w:rsidRPr="00C25A22">
        <w:rPr>
          <w:color w:val="FFFFFF"/>
          <w:sz w:val="2"/>
          <w:szCs w:val="2"/>
          <w:rtl/>
        </w:rPr>
        <w:t>54678313</w:t>
      </w:r>
    </w:p>
    <w:p w14:paraId="68ECF79B" w14:textId="77777777" w:rsidR="005F02A2" w:rsidRPr="00B05847" w:rsidRDefault="005F02A2" w:rsidP="005F02A2">
      <w:pPr>
        <w:rPr>
          <w:rtl/>
        </w:rPr>
      </w:pPr>
    </w:p>
    <w:p w14:paraId="65E3EE77" w14:textId="77777777" w:rsidR="005F02A2" w:rsidRPr="009A59AE" w:rsidRDefault="00C25A22" w:rsidP="005F02A2">
      <w:pPr>
        <w:rPr>
          <w:rFonts w:cs="FrankRuehl"/>
          <w:sz w:val="28"/>
          <w:szCs w:val="28"/>
          <w:rtl/>
        </w:rPr>
      </w:pPr>
      <w:bookmarkStart w:id="8" w:name="Nitan"/>
      <w:r>
        <w:rPr>
          <w:rFonts w:ascii="Arial" w:hAnsi="Arial"/>
          <w:rtl/>
        </w:rPr>
        <w:t xml:space="preserve">ניתן היום,  ב' בתמוז, התש"ף, 24 יוני 2020, במעמד הצדדים. </w:t>
      </w:r>
      <w:bookmarkEnd w:id="8"/>
    </w:p>
    <w:p w14:paraId="7440406A" w14:textId="77777777" w:rsidR="005F02A2" w:rsidRDefault="005F02A2" w:rsidP="00C25A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FF42601" w14:textId="77777777" w:rsidR="005F02A2" w:rsidRPr="002F3320" w:rsidRDefault="002F3320" w:rsidP="005F02A2">
      <w:pPr>
        <w:jc w:val="center"/>
        <w:rPr>
          <w:rFonts w:ascii="Arial" w:hAnsi="Arial" w:cs="FrankRuehl"/>
          <w:color w:val="FFFFFF"/>
          <w:sz w:val="2"/>
          <w:szCs w:val="2"/>
          <w:rtl/>
        </w:rPr>
      </w:pPr>
      <w:r w:rsidRPr="002F3320">
        <w:rPr>
          <w:rFonts w:ascii="Arial" w:hAnsi="Arial" w:cs="FrankRuehl"/>
          <w:color w:val="FFFFFF"/>
          <w:sz w:val="2"/>
          <w:szCs w:val="2"/>
          <w:rtl/>
        </w:rPr>
        <w:t>5129371</w:t>
      </w:r>
    </w:p>
    <w:p w14:paraId="3462EC2D" w14:textId="77777777" w:rsidR="007B3344" w:rsidRPr="002F3320" w:rsidRDefault="002F3320" w:rsidP="00C25A22">
      <w:pPr>
        <w:keepNext/>
        <w:rPr>
          <w:rFonts w:ascii="David" w:hAnsi="David"/>
          <w:color w:val="FFFFFF"/>
          <w:sz w:val="2"/>
          <w:szCs w:val="2"/>
          <w:rtl/>
        </w:rPr>
      </w:pPr>
      <w:r w:rsidRPr="002F3320">
        <w:rPr>
          <w:rFonts w:ascii="David" w:hAnsi="David"/>
          <w:color w:val="FFFFFF"/>
          <w:sz w:val="2"/>
          <w:szCs w:val="2"/>
          <w:rtl/>
        </w:rPr>
        <w:t>54678313</w:t>
      </w:r>
    </w:p>
    <w:p w14:paraId="520B3ED5" w14:textId="77777777" w:rsidR="00C25A22" w:rsidRDefault="00C25A22" w:rsidP="00C25A22">
      <w:pPr>
        <w:rPr>
          <w:rtl/>
        </w:rPr>
      </w:pPr>
    </w:p>
    <w:p w14:paraId="14764BF8" w14:textId="77777777" w:rsidR="00C25A22" w:rsidRDefault="00C25A22" w:rsidP="00C25A22">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94D33BA" w14:textId="77777777" w:rsidR="002F3320" w:rsidRPr="002F3320" w:rsidRDefault="002F3320" w:rsidP="002F3320">
      <w:pPr>
        <w:keepNext/>
        <w:rPr>
          <w:rFonts w:ascii="David" w:hAnsi="David"/>
          <w:color w:val="000000"/>
          <w:sz w:val="22"/>
          <w:szCs w:val="22"/>
          <w:rtl/>
        </w:rPr>
      </w:pPr>
    </w:p>
    <w:p w14:paraId="41C616C0" w14:textId="77777777" w:rsidR="002F3320" w:rsidRPr="002F3320" w:rsidRDefault="002F3320" w:rsidP="002F3320">
      <w:pPr>
        <w:keepNext/>
        <w:rPr>
          <w:rFonts w:ascii="David" w:hAnsi="David"/>
          <w:color w:val="000000"/>
          <w:sz w:val="22"/>
          <w:szCs w:val="22"/>
          <w:rtl/>
        </w:rPr>
      </w:pPr>
      <w:r w:rsidRPr="002F3320">
        <w:rPr>
          <w:rFonts w:ascii="David" w:hAnsi="David"/>
          <w:color w:val="000000"/>
          <w:sz w:val="22"/>
          <w:szCs w:val="22"/>
          <w:rtl/>
        </w:rPr>
        <w:t>דוד שאול גבאי ריכטר 54678313-/</w:t>
      </w:r>
    </w:p>
    <w:p w14:paraId="676395B8" w14:textId="77777777" w:rsidR="00C25A22" w:rsidRPr="00C25A22" w:rsidRDefault="002F3320" w:rsidP="002F3320">
      <w:pPr>
        <w:rPr>
          <w:color w:val="0000FF"/>
          <w:u w:val="single"/>
        </w:rPr>
      </w:pPr>
      <w:r w:rsidRPr="002F3320">
        <w:rPr>
          <w:color w:val="000000"/>
          <w:u w:val="single"/>
          <w:rtl/>
        </w:rPr>
        <w:t>נוסח מסמך זה כפוף לשינויי ניסוח ועריכה</w:t>
      </w:r>
    </w:p>
    <w:sectPr w:rsidR="00C25A22" w:rsidRPr="00C25A22" w:rsidSect="002F332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84BC5" w14:textId="77777777" w:rsidR="00560959" w:rsidRDefault="00560959" w:rsidP="00B73F6C">
      <w:r>
        <w:separator/>
      </w:r>
    </w:p>
  </w:endnote>
  <w:endnote w:type="continuationSeparator" w:id="0">
    <w:p w14:paraId="150D07B2" w14:textId="77777777" w:rsidR="00560959" w:rsidRDefault="00560959" w:rsidP="00B7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FC6B8" w14:textId="77777777" w:rsidR="002F3320" w:rsidRDefault="002F3320" w:rsidP="002F33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774B53" w14:textId="77777777" w:rsidR="003065F9" w:rsidRPr="002F3320" w:rsidRDefault="002F3320" w:rsidP="002F3320">
    <w:pPr>
      <w:pStyle w:val="a5"/>
      <w:pBdr>
        <w:top w:val="single" w:sz="4" w:space="1" w:color="auto"/>
        <w:between w:val="single" w:sz="4" w:space="0" w:color="auto"/>
      </w:pBdr>
      <w:spacing w:after="60"/>
      <w:jc w:val="center"/>
      <w:rPr>
        <w:rFonts w:ascii="FrankRuehl" w:hAnsi="FrankRuehl" w:cs="FrankRuehl"/>
        <w:color w:val="000000"/>
      </w:rPr>
    </w:pPr>
    <w:r w:rsidRPr="002F33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C27B2" w14:textId="77777777" w:rsidR="002F3320" w:rsidRDefault="002F3320" w:rsidP="002F33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5A41">
      <w:rPr>
        <w:rFonts w:ascii="FrankRuehl" w:hAnsi="FrankRuehl" w:cs="FrankRuehl"/>
        <w:noProof/>
        <w:rtl/>
      </w:rPr>
      <w:t>1</w:t>
    </w:r>
    <w:r>
      <w:rPr>
        <w:rFonts w:ascii="FrankRuehl" w:hAnsi="FrankRuehl" w:cs="FrankRuehl"/>
        <w:rtl/>
      </w:rPr>
      <w:fldChar w:fldCharType="end"/>
    </w:r>
  </w:p>
  <w:p w14:paraId="677B7F73" w14:textId="77777777" w:rsidR="003065F9" w:rsidRPr="002F3320" w:rsidRDefault="002F3320" w:rsidP="002F3320">
    <w:pPr>
      <w:pStyle w:val="a5"/>
      <w:pBdr>
        <w:top w:val="single" w:sz="4" w:space="1" w:color="auto"/>
        <w:between w:val="single" w:sz="4" w:space="0" w:color="auto"/>
      </w:pBdr>
      <w:spacing w:after="60"/>
      <w:jc w:val="center"/>
      <w:rPr>
        <w:rFonts w:ascii="FrankRuehl" w:hAnsi="FrankRuehl" w:cs="FrankRuehl"/>
        <w:color w:val="000000"/>
      </w:rPr>
    </w:pPr>
    <w:r w:rsidRPr="002F3320">
      <w:rPr>
        <w:rFonts w:ascii="FrankRuehl" w:hAnsi="FrankRuehl" w:cs="FrankRuehl"/>
        <w:color w:val="000000"/>
      </w:rPr>
      <w:pict w14:anchorId="3E2DF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B54E9" w14:textId="77777777" w:rsidR="00560959" w:rsidRDefault="00560959" w:rsidP="00B73F6C">
      <w:r>
        <w:separator/>
      </w:r>
    </w:p>
  </w:footnote>
  <w:footnote w:type="continuationSeparator" w:id="0">
    <w:p w14:paraId="0B77623C" w14:textId="77777777" w:rsidR="00560959" w:rsidRDefault="00560959" w:rsidP="00B73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42B04" w14:textId="77777777" w:rsidR="00C25A22" w:rsidRPr="002F3320" w:rsidRDefault="002F3320" w:rsidP="002F33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21175-01-19</w:t>
    </w:r>
    <w:r>
      <w:rPr>
        <w:rFonts w:ascii="David" w:hAnsi="David"/>
        <w:color w:val="000000"/>
        <w:sz w:val="22"/>
        <w:szCs w:val="22"/>
        <w:rtl/>
      </w:rPr>
      <w:tab/>
      <w:t xml:space="preserve"> מדינת ישראל נ' אוראל אריה הרר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BF421" w14:textId="77777777" w:rsidR="00C25A22" w:rsidRPr="002F3320" w:rsidRDefault="002F3320" w:rsidP="002F33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21175-01-19</w:t>
    </w:r>
    <w:r>
      <w:rPr>
        <w:rFonts w:ascii="David" w:hAnsi="David"/>
        <w:color w:val="000000"/>
        <w:sz w:val="22"/>
        <w:szCs w:val="22"/>
        <w:rtl/>
      </w:rPr>
      <w:tab/>
      <w:t xml:space="preserve"> מדינת ישראל נ' אוראל אריה הרר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137945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02A2"/>
    <w:rsid w:val="00175A41"/>
    <w:rsid w:val="001B5A3B"/>
    <w:rsid w:val="002F3320"/>
    <w:rsid w:val="003065F9"/>
    <w:rsid w:val="00306F20"/>
    <w:rsid w:val="00455E48"/>
    <w:rsid w:val="00560959"/>
    <w:rsid w:val="005F02A2"/>
    <w:rsid w:val="005F1AB3"/>
    <w:rsid w:val="007B3344"/>
    <w:rsid w:val="00955A2F"/>
    <w:rsid w:val="009D7BDA"/>
    <w:rsid w:val="00B73F6C"/>
    <w:rsid w:val="00C25A22"/>
    <w:rsid w:val="00C323D1"/>
    <w:rsid w:val="00C95B7B"/>
    <w:rsid w:val="00ED1C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AD5EF3"/>
  <w15:chartTrackingRefBased/>
  <w15:docId w15:val="{33DCC1B5-AD8B-4038-BCE3-93044174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02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02A2"/>
    <w:pPr>
      <w:tabs>
        <w:tab w:val="center" w:pos="4153"/>
        <w:tab w:val="right" w:pos="8306"/>
      </w:tabs>
    </w:pPr>
    <w:rPr>
      <w:rFonts w:cs="Times New Roman"/>
      <w:lang w:val="x-none" w:eastAsia="x-none"/>
    </w:rPr>
  </w:style>
  <w:style w:type="character" w:customStyle="1" w:styleId="a4">
    <w:name w:val="כותרת עליונה תו"/>
    <w:link w:val="a3"/>
    <w:rsid w:val="005F02A2"/>
    <w:rPr>
      <w:rFonts w:ascii="Times New Roman" w:eastAsia="Times New Roman" w:hAnsi="Times New Roman" w:cs="David"/>
      <w:sz w:val="24"/>
      <w:szCs w:val="24"/>
    </w:rPr>
  </w:style>
  <w:style w:type="paragraph" w:styleId="a5">
    <w:name w:val="footer"/>
    <w:basedOn w:val="a"/>
    <w:link w:val="a6"/>
    <w:rsid w:val="005F02A2"/>
    <w:pPr>
      <w:tabs>
        <w:tab w:val="center" w:pos="4153"/>
        <w:tab w:val="right" w:pos="8306"/>
      </w:tabs>
    </w:pPr>
    <w:rPr>
      <w:rFonts w:cs="Times New Roman"/>
      <w:lang w:val="x-none" w:eastAsia="x-none"/>
    </w:rPr>
  </w:style>
  <w:style w:type="character" w:customStyle="1" w:styleId="a6">
    <w:name w:val="כותרת תחתונה תו"/>
    <w:link w:val="a5"/>
    <w:rsid w:val="005F02A2"/>
    <w:rPr>
      <w:rFonts w:ascii="Times New Roman" w:eastAsia="Times New Roman" w:hAnsi="Times New Roman" w:cs="David"/>
      <w:sz w:val="24"/>
      <w:szCs w:val="24"/>
    </w:rPr>
  </w:style>
  <w:style w:type="table" w:styleId="a7">
    <w:name w:val="Table Grid"/>
    <w:basedOn w:val="a1"/>
    <w:rsid w:val="005F02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02A2"/>
  </w:style>
  <w:style w:type="character" w:styleId="Hyperlink">
    <w:name w:val="Hyperlink"/>
    <w:rsid w:val="00C25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40j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1049</Words>
  <Characters>5247</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6284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21175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אוראל אריה הרר</vt:lpwstr>
  </property>
  <property fmtid="{D5CDD505-2E9C-101B-9397-08002B2CF9AE}" pid="10" name="LAWYER">
    <vt:lpwstr>יניב גלבוע;עופר רשו</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20200624</vt:lpwstr>
  </property>
  <property fmtid="{D5CDD505-2E9C-101B-9397-08002B2CF9AE}" pid="14" name="TYPE_N_DATE">
    <vt:lpwstr>38020200624</vt:lpwstr>
  </property>
  <property fmtid="{D5CDD505-2E9C-101B-9397-08002B2CF9AE}" pid="15" name="CASENOTES1">
    <vt:lpwstr>ProcID=174;133;209&amp;PartA=5949&amp;PartC=19</vt:lpwstr>
  </property>
  <property fmtid="{D5CDD505-2E9C-101B-9397-08002B2CF9AE}" pid="16" name="WORDNUMPAGES">
    <vt:lpwstr>4</vt:lpwstr>
  </property>
  <property fmtid="{D5CDD505-2E9C-101B-9397-08002B2CF9AE}" pid="17" name="TYPE_ABS_DATE">
    <vt:lpwstr>380020200624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70301/040i;40ja</vt:lpwstr>
  </property>
</Properties>
</file>