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C2552" w:rsidRPr="00ED6FB5" w14:paraId="4C3C79B8" w14:textId="77777777" w:rsidTr="00DB15FD">
        <w:trPr>
          <w:trHeight w:hRule="exact" w:val="418"/>
          <w:jc w:val="center"/>
        </w:trPr>
        <w:tc>
          <w:tcPr>
            <w:tcW w:w="8721" w:type="dxa"/>
            <w:gridSpan w:val="2"/>
          </w:tcPr>
          <w:p w14:paraId="7BB0E48A" w14:textId="77777777" w:rsidR="000C2552" w:rsidRPr="00ED6FB5" w:rsidRDefault="000C2552" w:rsidP="00B55FBE">
            <w:pPr>
              <w:pStyle w:val="a3"/>
              <w:jc w:val="center"/>
              <w:rPr>
                <w:rFonts w:ascii="Tahoma" w:hAnsi="Tahoma" w:cs="FrankRuehl"/>
                <w:b/>
                <w:bCs/>
                <w:color w:val="000080"/>
                <w:sz w:val="28"/>
                <w:szCs w:val="28"/>
                <w:rtl/>
              </w:rPr>
            </w:pPr>
            <w:bookmarkStart w:id="0" w:name="LastJudge"/>
            <w:r w:rsidRPr="00ED6FB5">
              <w:rPr>
                <w:rFonts w:ascii="Tahoma" w:hAnsi="Tahoma" w:cs="FrankRuehl"/>
                <w:b/>
                <w:bCs/>
                <w:color w:val="000080"/>
                <w:sz w:val="28"/>
                <w:szCs w:val="28"/>
                <w:rtl/>
              </w:rPr>
              <w:t>בית משפט השלום בירושלים</w:t>
            </w:r>
          </w:p>
        </w:tc>
      </w:tr>
      <w:tr w:rsidR="000C2552" w:rsidRPr="00ED6FB5" w14:paraId="41AA9179" w14:textId="77777777" w:rsidTr="00DB15FD">
        <w:trPr>
          <w:trHeight w:val="337"/>
          <w:jc w:val="center"/>
        </w:trPr>
        <w:tc>
          <w:tcPr>
            <w:tcW w:w="5054" w:type="dxa"/>
          </w:tcPr>
          <w:p w14:paraId="47165DC9" w14:textId="77777777" w:rsidR="000C2552" w:rsidRPr="00ED6FB5" w:rsidRDefault="000C2552" w:rsidP="00B55FBE">
            <w:pPr>
              <w:rPr>
                <w:rFonts w:cs="FrankRuehl"/>
                <w:b/>
                <w:bCs/>
                <w:sz w:val="28"/>
                <w:szCs w:val="28"/>
                <w:rtl/>
              </w:rPr>
            </w:pPr>
            <w:r w:rsidRPr="00ED6FB5">
              <w:rPr>
                <w:rFonts w:cs="FrankRuehl"/>
                <w:b/>
                <w:bCs/>
                <w:sz w:val="28"/>
                <w:szCs w:val="28"/>
                <w:rtl/>
              </w:rPr>
              <w:t>ת"פ</w:t>
            </w:r>
            <w:r w:rsidRPr="00ED6FB5">
              <w:rPr>
                <w:rFonts w:cs="FrankRuehl" w:hint="cs"/>
                <w:b/>
                <w:bCs/>
                <w:sz w:val="28"/>
                <w:szCs w:val="28"/>
                <w:rtl/>
              </w:rPr>
              <w:t xml:space="preserve"> </w:t>
            </w:r>
            <w:r w:rsidRPr="00ED6FB5">
              <w:rPr>
                <w:rFonts w:cs="FrankRuehl"/>
                <w:b/>
                <w:bCs/>
                <w:sz w:val="28"/>
                <w:szCs w:val="28"/>
                <w:rtl/>
              </w:rPr>
              <w:t>24348-01-19</w:t>
            </w:r>
            <w:r w:rsidRPr="00ED6FB5">
              <w:rPr>
                <w:rFonts w:cs="FrankRuehl" w:hint="cs"/>
                <w:b/>
                <w:bCs/>
                <w:sz w:val="28"/>
                <w:szCs w:val="28"/>
                <w:rtl/>
              </w:rPr>
              <w:t xml:space="preserve"> </w:t>
            </w:r>
            <w:r w:rsidRPr="00ED6FB5">
              <w:rPr>
                <w:rFonts w:cs="FrankRuehl"/>
                <w:b/>
                <w:bCs/>
                <w:sz w:val="28"/>
                <w:szCs w:val="28"/>
                <w:rtl/>
              </w:rPr>
              <w:t>מדינת ישראל נ' אמיתי</w:t>
            </w:r>
            <w:r w:rsidRPr="00ED6FB5">
              <w:rPr>
                <w:rFonts w:cs="FrankRuehl"/>
                <w:b/>
                <w:bCs/>
                <w:sz w:val="28"/>
                <w:szCs w:val="28"/>
                <w:rtl/>
              </w:rPr>
              <w:br/>
            </w:r>
            <w:r w:rsidRPr="00ED6FB5">
              <w:rPr>
                <w:rFonts w:cs="FrankRuehl" w:hint="cs"/>
                <w:b/>
                <w:bCs/>
                <w:sz w:val="28"/>
                <w:szCs w:val="28"/>
                <w:rtl/>
              </w:rPr>
              <w:t>תת"ע (נוער בית שמש) 43460-04-18</w:t>
            </w:r>
            <w:r w:rsidRPr="00ED6FB5">
              <w:rPr>
                <w:rFonts w:cs="FrankRuehl"/>
                <w:b/>
                <w:bCs/>
                <w:sz w:val="28"/>
                <w:szCs w:val="28"/>
                <w:rtl/>
              </w:rPr>
              <w:br/>
            </w:r>
            <w:r w:rsidRPr="00ED6FB5">
              <w:rPr>
                <w:rFonts w:cs="FrankRuehl" w:hint="cs"/>
                <w:b/>
                <w:bCs/>
                <w:sz w:val="28"/>
                <w:szCs w:val="28"/>
                <w:rtl/>
              </w:rPr>
              <w:t>ת"פ (נוער חדרה) 50515-12-17</w:t>
            </w:r>
          </w:p>
          <w:p w14:paraId="4018CEF9" w14:textId="77777777" w:rsidR="000C2552" w:rsidRPr="00ED6FB5" w:rsidRDefault="000C2552" w:rsidP="00B55FBE">
            <w:pPr>
              <w:pStyle w:val="a3"/>
              <w:rPr>
                <w:rFonts w:cs="FrankRuehl"/>
                <w:b/>
                <w:bCs/>
                <w:sz w:val="28"/>
                <w:szCs w:val="28"/>
                <w:rtl/>
              </w:rPr>
            </w:pPr>
          </w:p>
        </w:tc>
        <w:tc>
          <w:tcPr>
            <w:tcW w:w="3667" w:type="dxa"/>
          </w:tcPr>
          <w:p w14:paraId="12C8EFF7" w14:textId="77777777" w:rsidR="000C2552" w:rsidRPr="00ED6FB5" w:rsidRDefault="000C2552" w:rsidP="00B55FBE">
            <w:pPr>
              <w:pStyle w:val="a3"/>
              <w:jc w:val="right"/>
              <w:rPr>
                <w:rFonts w:cs="FrankRuehl"/>
                <w:sz w:val="28"/>
                <w:szCs w:val="28"/>
                <w:rtl/>
              </w:rPr>
            </w:pPr>
          </w:p>
        </w:tc>
      </w:tr>
    </w:tbl>
    <w:p w14:paraId="479BB862" w14:textId="77777777" w:rsidR="000C2552" w:rsidRPr="00ED6FB5" w:rsidRDefault="000C2552" w:rsidP="000C2552">
      <w:pPr>
        <w:pStyle w:val="a3"/>
        <w:rPr>
          <w:rFonts w:cs="FrankRuehl"/>
          <w:sz w:val="28"/>
          <w:szCs w:val="28"/>
          <w:rtl/>
        </w:rPr>
      </w:pPr>
      <w:r w:rsidRPr="00ED6FB5">
        <w:rPr>
          <w:rFonts w:cs="FrankRuehl" w:hint="cs"/>
          <w:sz w:val="28"/>
          <w:szCs w:val="28"/>
          <w:rtl/>
        </w:rPr>
        <w:t xml:space="preserve"> </w:t>
      </w:r>
    </w:p>
    <w:p w14:paraId="3BFD50E2" w14:textId="77777777" w:rsidR="000C2552" w:rsidRPr="00ED6FB5" w:rsidRDefault="000C2552" w:rsidP="000C2552">
      <w:pPr>
        <w:rPr>
          <w:rFonts w:cs="FrankRuehl"/>
          <w:b/>
          <w:bCs/>
          <w:sz w:val="28"/>
          <w:szCs w:val="28"/>
          <w:rtl/>
        </w:rPr>
      </w:pPr>
    </w:p>
    <w:p w14:paraId="0014BA4F" w14:textId="77777777" w:rsidR="000C2552" w:rsidRPr="00ED6FB5" w:rsidRDefault="000C2552" w:rsidP="000C2552">
      <w:pPr>
        <w:rPr>
          <w:rFonts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C2552" w:rsidRPr="00ED6FB5" w14:paraId="3797C23F" w14:textId="77777777" w:rsidTr="000C2552">
        <w:trPr>
          <w:trHeight w:val="295"/>
          <w:jc w:val="center"/>
        </w:trPr>
        <w:tc>
          <w:tcPr>
            <w:tcW w:w="923" w:type="dxa"/>
            <w:tcBorders>
              <w:top w:val="nil"/>
              <w:left w:val="nil"/>
              <w:bottom w:val="nil"/>
              <w:right w:val="nil"/>
            </w:tcBorders>
            <w:shd w:val="clear" w:color="auto" w:fill="auto"/>
          </w:tcPr>
          <w:p w14:paraId="363C11C3" w14:textId="77777777" w:rsidR="000C2552" w:rsidRPr="00ED6FB5" w:rsidRDefault="000C2552" w:rsidP="000C2552">
            <w:pPr>
              <w:jc w:val="both"/>
              <w:rPr>
                <w:rFonts w:ascii="Arial" w:hAnsi="Arial" w:cs="FrankRuehl"/>
                <w:b/>
                <w:bCs/>
                <w:sz w:val="28"/>
                <w:szCs w:val="28"/>
              </w:rPr>
            </w:pPr>
            <w:r w:rsidRPr="00ED6FB5">
              <w:rPr>
                <w:rFonts w:ascii="Arial" w:hAnsi="Arial" w:cs="FrankRuehl" w:hint="cs"/>
                <w:b/>
                <w:bCs/>
                <w:sz w:val="28"/>
                <w:szCs w:val="28"/>
                <w:rtl/>
              </w:rPr>
              <w:t>ב</w:t>
            </w:r>
            <w:r w:rsidRPr="00ED6FB5">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9822DFF" w14:textId="77777777" w:rsidR="000C2552" w:rsidRPr="00ED6FB5" w:rsidRDefault="000C2552" w:rsidP="00B55FBE">
            <w:pPr>
              <w:rPr>
                <w:rFonts w:ascii="Arial" w:hAnsi="Arial" w:cs="FrankRuehl"/>
                <w:b/>
                <w:bCs/>
                <w:sz w:val="28"/>
                <w:szCs w:val="28"/>
                <w:rtl/>
              </w:rPr>
            </w:pPr>
            <w:r w:rsidRPr="00ED6FB5">
              <w:rPr>
                <w:rFonts w:ascii="Arial" w:hAnsi="Arial" w:cs="FrankRuehl" w:hint="cs"/>
                <w:b/>
                <w:bCs/>
                <w:sz w:val="28"/>
                <w:szCs w:val="28"/>
                <w:rtl/>
              </w:rPr>
              <w:t>כבוד ה</w:t>
            </w:r>
            <w:r w:rsidRPr="00ED6FB5">
              <w:rPr>
                <w:rFonts w:ascii="Arial" w:hAnsi="Arial" w:cs="FrankRuehl"/>
                <w:b/>
                <w:bCs/>
                <w:sz w:val="28"/>
                <w:szCs w:val="28"/>
                <w:rtl/>
              </w:rPr>
              <w:t>שופט</w:t>
            </w:r>
            <w:r w:rsidRPr="00ED6FB5">
              <w:rPr>
                <w:rFonts w:ascii="Arial" w:hAnsi="Arial" w:cs="FrankRuehl" w:hint="cs"/>
                <w:b/>
                <w:bCs/>
                <w:sz w:val="28"/>
                <w:szCs w:val="28"/>
                <w:rtl/>
              </w:rPr>
              <w:t xml:space="preserve">  </w:t>
            </w:r>
            <w:r w:rsidRPr="00ED6FB5">
              <w:rPr>
                <w:rFonts w:ascii="Arial" w:hAnsi="Arial" w:cs="FrankRuehl"/>
                <w:b/>
                <w:bCs/>
                <w:sz w:val="28"/>
                <w:szCs w:val="28"/>
                <w:rtl/>
              </w:rPr>
              <w:t>דוד שאול גבאי ריכטר</w:t>
            </w:r>
          </w:p>
          <w:p w14:paraId="522B740A" w14:textId="77777777" w:rsidR="000C2552" w:rsidRPr="00ED6FB5" w:rsidRDefault="000C2552" w:rsidP="00B55FBE">
            <w:pPr>
              <w:rPr>
                <w:rFonts w:cs="FrankRuehl"/>
                <w:b/>
                <w:bCs/>
                <w:sz w:val="28"/>
                <w:szCs w:val="28"/>
                <w:rtl/>
              </w:rPr>
            </w:pPr>
          </w:p>
          <w:p w14:paraId="680F8CC1" w14:textId="77777777" w:rsidR="000C2552" w:rsidRPr="00ED6FB5" w:rsidRDefault="000C2552" w:rsidP="000C2552">
            <w:pPr>
              <w:jc w:val="both"/>
              <w:rPr>
                <w:rFonts w:ascii="Arial" w:hAnsi="Arial" w:cs="FrankRuehl"/>
                <w:b/>
                <w:bCs/>
                <w:sz w:val="28"/>
                <w:szCs w:val="28"/>
              </w:rPr>
            </w:pPr>
          </w:p>
        </w:tc>
      </w:tr>
      <w:tr w:rsidR="000C2552" w:rsidRPr="00ED6FB5" w14:paraId="46934AF0" w14:textId="77777777" w:rsidTr="000C2552">
        <w:trPr>
          <w:trHeight w:val="355"/>
          <w:jc w:val="center"/>
        </w:trPr>
        <w:tc>
          <w:tcPr>
            <w:tcW w:w="923" w:type="dxa"/>
            <w:tcBorders>
              <w:top w:val="nil"/>
              <w:left w:val="nil"/>
              <w:bottom w:val="nil"/>
              <w:right w:val="nil"/>
            </w:tcBorders>
            <w:shd w:val="clear" w:color="auto" w:fill="auto"/>
          </w:tcPr>
          <w:p w14:paraId="5403C792" w14:textId="77777777" w:rsidR="000C2552" w:rsidRPr="00ED6FB5" w:rsidRDefault="000C2552" w:rsidP="000C2552">
            <w:pPr>
              <w:jc w:val="both"/>
              <w:rPr>
                <w:rFonts w:ascii="Arial" w:hAnsi="Arial" w:cs="FrankRuehl"/>
                <w:b/>
                <w:bCs/>
                <w:sz w:val="28"/>
                <w:szCs w:val="28"/>
              </w:rPr>
            </w:pPr>
            <w:bookmarkStart w:id="1" w:name="FirstAppellant"/>
            <w:r w:rsidRPr="00ED6FB5">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00C2054" w14:textId="77777777" w:rsidR="000C2552" w:rsidRPr="00ED6FB5" w:rsidRDefault="000C2552" w:rsidP="00B55FBE">
            <w:pPr>
              <w:rPr>
                <w:rFonts w:cs="FrankRuehl"/>
                <w:b/>
                <w:bCs/>
                <w:sz w:val="28"/>
                <w:szCs w:val="28"/>
              </w:rPr>
            </w:pPr>
            <w:r w:rsidRPr="00ED6FB5">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5C410CC2" w14:textId="77777777" w:rsidR="000C2552" w:rsidRPr="00ED6FB5" w:rsidRDefault="000C2552" w:rsidP="000C2552">
            <w:pPr>
              <w:jc w:val="both"/>
              <w:rPr>
                <w:rFonts w:ascii="Arial" w:hAnsi="Arial" w:cs="FrankRuehl"/>
                <w:b/>
                <w:bCs/>
                <w:sz w:val="28"/>
                <w:szCs w:val="28"/>
              </w:rPr>
            </w:pPr>
          </w:p>
        </w:tc>
      </w:tr>
      <w:bookmarkEnd w:id="1"/>
      <w:tr w:rsidR="000C2552" w:rsidRPr="00ED6FB5" w14:paraId="334861BE" w14:textId="77777777" w:rsidTr="000C2552">
        <w:trPr>
          <w:trHeight w:val="355"/>
          <w:jc w:val="center"/>
        </w:trPr>
        <w:tc>
          <w:tcPr>
            <w:tcW w:w="923" w:type="dxa"/>
            <w:tcBorders>
              <w:top w:val="nil"/>
              <w:left w:val="nil"/>
              <w:bottom w:val="nil"/>
              <w:right w:val="nil"/>
            </w:tcBorders>
            <w:shd w:val="clear" w:color="auto" w:fill="auto"/>
          </w:tcPr>
          <w:p w14:paraId="1BAEB893" w14:textId="77777777" w:rsidR="000C2552" w:rsidRPr="00ED6FB5" w:rsidRDefault="000C2552" w:rsidP="000C2552">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8EB9BA6" w14:textId="77777777" w:rsidR="000C2552" w:rsidRPr="00ED6FB5" w:rsidRDefault="000C2552" w:rsidP="000C2552">
            <w:pPr>
              <w:jc w:val="both"/>
              <w:rPr>
                <w:rFonts w:cs="FrankRuehl"/>
                <w:b/>
                <w:bCs/>
                <w:sz w:val="28"/>
                <w:szCs w:val="28"/>
                <w:rtl/>
              </w:rPr>
            </w:pPr>
            <w:r w:rsidRPr="00ED6FB5">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21BEE448" w14:textId="77777777" w:rsidR="000C2552" w:rsidRPr="00ED6FB5" w:rsidRDefault="000C2552" w:rsidP="000C2552">
            <w:pPr>
              <w:jc w:val="right"/>
              <w:rPr>
                <w:rFonts w:ascii="Arial" w:hAnsi="Arial" w:cs="FrankRuehl"/>
                <w:b/>
                <w:bCs/>
                <w:sz w:val="28"/>
                <w:szCs w:val="28"/>
                <w:rtl/>
              </w:rPr>
            </w:pPr>
            <w:r w:rsidRPr="00ED6FB5">
              <w:rPr>
                <w:rFonts w:ascii="Arial" w:hAnsi="Arial" w:cs="FrankRuehl" w:hint="cs"/>
                <w:b/>
                <w:bCs/>
                <w:sz w:val="28"/>
                <w:szCs w:val="28"/>
                <w:rtl/>
              </w:rPr>
              <w:t>ה</w:t>
            </w:r>
            <w:r w:rsidRPr="00ED6FB5">
              <w:rPr>
                <w:rFonts w:ascii="Arial" w:hAnsi="Arial" w:cs="FrankRuehl"/>
                <w:b/>
                <w:bCs/>
                <w:sz w:val="28"/>
                <w:szCs w:val="28"/>
                <w:rtl/>
              </w:rPr>
              <w:t>מאשימה</w:t>
            </w:r>
          </w:p>
        </w:tc>
      </w:tr>
      <w:tr w:rsidR="000C2552" w:rsidRPr="00ED6FB5" w14:paraId="5F40B104" w14:textId="77777777" w:rsidTr="000C2552">
        <w:trPr>
          <w:trHeight w:val="355"/>
          <w:jc w:val="center"/>
        </w:trPr>
        <w:tc>
          <w:tcPr>
            <w:tcW w:w="923" w:type="dxa"/>
            <w:tcBorders>
              <w:top w:val="nil"/>
              <w:left w:val="nil"/>
              <w:bottom w:val="nil"/>
              <w:right w:val="nil"/>
            </w:tcBorders>
            <w:shd w:val="clear" w:color="auto" w:fill="auto"/>
          </w:tcPr>
          <w:p w14:paraId="7ADA89B7" w14:textId="77777777" w:rsidR="000C2552" w:rsidRPr="00ED6FB5" w:rsidRDefault="000C2552" w:rsidP="000C2552">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CE22D90" w14:textId="77777777" w:rsidR="000C2552" w:rsidRPr="00ED6FB5" w:rsidRDefault="000C2552" w:rsidP="000C2552">
            <w:pPr>
              <w:jc w:val="center"/>
              <w:rPr>
                <w:rFonts w:ascii="Arial" w:hAnsi="Arial" w:cs="FrankRuehl"/>
                <w:b/>
                <w:bCs/>
                <w:sz w:val="28"/>
                <w:szCs w:val="28"/>
                <w:rtl/>
              </w:rPr>
            </w:pPr>
          </w:p>
          <w:p w14:paraId="7BFABF5B" w14:textId="77777777" w:rsidR="000C2552" w:rsidRPr="00ED6FB5" w:rsidRDefault="000C2552" w:rsidP="000C2552">
            <w:pPr>
              <w:jc w:val="center"/>
              <w:rPr>
                <w:rFonts w:ascii="Arial" w:hAnsi="Arial" w:cs="FrankRuehl"/>
                <w:b/>
                <w:bCs/>
                <w:sz w:val="28"/>
                <w:szCs w:val="28"/>
                <w:rtl/>
              </w:rPr>
            </w:pPr>
            <w:r w:rsidRPr="00ED6FB5">
              <w:rPr>
                <w:rFonts w:ascii="Arial" w:hAnsi="Arial" w:cs="FrankRuehl"/>
                <w:b/>
                <w:bCs/>
                <w:sz w:val="28"/>
                <w:szCs w:val="28"/>
                <w:rtl/>
              </w:rPr>
              <w:t>נגד</w:t>
            </w:r>
          </w:p>
          <w:p w14:paraId="5D8C024A" w14:textId="77777777" w:rsidR="000C2552" w:rsidRPr="00ED6FB5" w:rsidRDefault="000C2552" w:rsidP="000C2552">
            <w:pPr>
              <w:jc w:val="both"/>
              <w:rPr>
                <w:rFonts w:ascii="Arial" w:hAnsi="Arial" w:cs="FrankRuehl"/>
                <w:b/>
                <w:bCs/>
                <w:sz w:val="28"/>
                <w:szCs w:val="28"/>
              </w:rPr>
            </w:pPr>
          </w:p>
        </w:tc>
      </w:tr>
      <w:tr w:rsidR="000C2552" w:rsidRPr="00ED6FB5" w14:paraId="2136C9BB" w14:textId="77777777" w:rsidTr="000C2552">
        <w:trPr>
          <w:trHeight w:val="355"/>
          <w:jc w:val="center"/>
        </w:trPr>
        <w:tc>
          <w:tcPr>
            <w:tcW w:w="923" w:type="dxa"/>
            <w:tcBorders>
              <w:top w:val="nil"/>
              <w:left w:val="nil"/>
              <w:bottom w:val="nil"/>
              <w:right w:val="nil"/>
            </w:tcBorders>
            <w:shd w:val="clear" w:color="auto" w:fill="auto"/>
          </w:tcPr>
          <w:p w14:paraId="4FD3C204" w14:textId="77777777" w:rsidR="000C2552" w:rsidRPr="00ED6FB5" w:rsidRDefault="000C2552" w:rsidP="00B55FBE">
            <w:pPr>
              <w:rPr>
                <w:rFonts w:ascii="Arial" w:hAnsi="Arial" w:cs="FrankRuehl"/>
                <w:b/>
                <w:bCs/>
                <w:sz w:val="28"/>
                <w:szCs w:val="28"/>
                <w:rtl/>
              </w:rPr>
            </w:pPr>
          </w:p>
        </w:tc>
        <w:tc>
          <w:tcPr>
            <w:tcW w:w="4126" w:type="dxa"/>
            <w:tcBorders>
              <w:top w:val="nil"/>
              <w:left w:val="nil"/>
              <w:bottom w:val="nil"/>
              <w:right w:val="nil"/>
            </w:tcBorders>
            <w:shd w:val="clear" w:color="auto" w:fill="auto"/>
          </w:tcPr>
          <w:p w14:paraId="09C6EBF2" w14:textId="77777777" w:rsidR="000C2552" w:rsidRPr="00ED6FB5" w:rsidRDefault="000C2552" w:rsidP="00B55FBE">
            <w:pPr>
              <w:rPr>
                <w:rFonts w:cs="FrankRuehl"/>
                <w:b/>
                <w:bCs/>
                <w:sz w:val="28"/>
                <w:szCs w:val="28"/>
                <w:rtl/>
              </w:rPr>
            </w:pPr>
            <w:r w:rsidRPr="00ED6FB5">
              <w:rPr>
                <w:rFonts w:ascii="Arial" w:hAnsi="Arial" w:cs="FrankRuehl"/>
                <w:b/>
                <w:bCs/>
                <w:sz w:val="28"/>
                <w:szCs w:val="28"/>
                <w:rtl/>
              </w:rPr>
              <w:t>שמואל אמיתי</w:t>
            </w:r>
          </w:p>
        </w:tc>
        <w:tc>
          <w:tcPr>
            <w:tcW w:w="3771" w:type="dxa"/>
            <w:tcBorders>
              <w:top w:val="nil"/>
              <w:left w:val="nil"/>
              <w:bottom w:val="nil"/>
              <w:right w:val="nil"/>
            </w:tcBorders>
            <w:shd w:val="clear" w:color="auto" w:fill="auto"/>
          </w:tcPr>
          <w:p w14:paraId="2F566A3F" w14:textId="77777777" w:rsidR="000C2552" w:rsidRPr="00ED6FB5" w:rsidRDefault="000C2552" w:rsidP="000C2552">
            <w:pPr>
              <w:jc w:val="right"/>
              <w:rPr>
                <w:rFonts w:ascii="Arial" w:hAnsi="Arial" w:cs="FrankRuehl"/>
                <w:b/>
                <w:bCs/>
                <w:sz w:val="28"/>
                <w:szCs w:val="28"/>
              </w:rPr>
            </w:pPr>
          </w:p>
        </w:tc>
      </w:tr>
      <w:tr w:rsidR="000C2552" w:rsidRPr="00ED6FB5" w14:paraId="258EA1CB" w14:textId="77777777" w:rsidTr="000C2552">
        <w:trPr>
          <w:trHeight w:val="355"/>
          <w:jc w:val="center"/>
        </w:trPr>
        <w:tc>
          <w:tcPr>
            <w:tcW w:w="923" w:type="dxa"/>
            <w:tcBorders>
              <w:top w:val="nil"/>
              <w:left w:val="nil"/>
              <w:bottom w:val="nil"/>
              <w:right w:val="nil"/>
            </w:tcBorders>
            <w:shd w:val="clear" w:color="auto" w:fill="auto"/>
          </w:tcPr>
          <w:p w14:paraId="4DE5D26A" w14:textId="77777777" w:rsidR="000C2552" w:rsidRPr="00ED6FB5" w:rsidRDefault="000C2552" w:rsidP="000C2552">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04C6114A" w14:textId="77777777" w:rsidR="000C2552" w:rsidRPr="00ED6FB5" w:rsidRDefault="000C2552" w:rsidP="000C2552">
            <w:pPr>
              <w:jc w:val="both"/>
              <w:rPr>
                <w:rFonts w:cs="FrankRuehl"/>
                <w:b/>
                <w:bCs/>
                <w:sz w:val="28"/>
                <w:szCs w:val="28"/>
                <w:rtl/>
              </w:rPr>
            </w:pPr>
            <w:r w:rsidRPr="00ED6FB5">
              <w:rPr>
                <w:rFonts w:cs="FrankRuehl" w:hint="cs"/>
                <w:b/>
                <w:bCs/>
                <w:sz w:val="28"/>
                <w:szCs w:val="28"/>
                <w:rtl/>
              </w:rPr>
              <w:t>ע"י ב"כ עו"ד מלי קסלסי</w:t>
            </w:r>
          </w:p>
        </w:tc>
        <w:tc>
          <w:tcPr>
            <w:tcW w:w="3771" w:type="dxa"/>
            <w:tcBorders>
              <w:top w:val="nil"/>
              <w:left w:val="nil"/>
              <w:bottom w:val="nil"/>
              <w:right w:val="nil"/>
            </w:tcBorders>
            <w:shd w:val="clear" w:color="auto" w:fill="auto"/>
          </w:tcPr>
          <w:p w14:paraId="3D92031F" w14:textId="77777777" w:rsidR="000C2552" w:rsidRPr="00ED6FB5" w:rsidRDefault="000C2552" w:rsidP="000C2552">
            <w:pPr>
              <w:jc w:val="right"/>
              <w:rPr>
                <w:rFonts w:ascii="Arial" w:hAnsi="Arial" w:cs="FrankRuehl"/>
                <w:b/>
                <w:bCs/>
                <w:sz w:val="28"/>
                <w:szCs w:val="28"/>
              </w:rPr>
            </w:pPr>
            <w:r w:rsidRPr="00ED6FB5">
              <w:rPr>
                <w:rFonts w:ascii="Arial" w:hAnsi="Arial" w:cs="FrankRuehl" w:hint="cs"/>
                <w:b/>
                <w:bCs/>
                <w:sz w:val="28"/>
                <w:szCs w:val="28"/>
                <w:rtl/>
              </w:rPr>
              <w:t>הנאשם</w:t>
            </w:r>
          </w:p>
        </w:tc>
      </w:tr>
      <w:bookmarkEnd w:id="2"/>
    </w:tbl>
    <w:p w14:paraId="6BE1A0F1" w14:textId="77777777" w:rsidR="000C2552" w:rsidRPr="00ED6FB5" w:rsidRDefault="000C2552" w:rsidP="000C2552">
      <w:pPr>
        <w:rPr>
          <w:rFonts w:cs="FrankRuehl"/>
          <w:b/>
          <w:bCs/>
          <w:sz w:val="28"/>
          <w:szCs w:val="28"/>
          <w:rtl/>
        </w:rPr>
      </w:pPr>
    </w:p>
    <w:p w14:paraId="49E8203B" w14:textId="77777777" w:rsidR="00EE67BC" w:rsidRDefault="00EE67BC" w:rsidP="000C2552">
      <w:pPr>
        <w:rPr>
          <w:rFonts w:cs="FrankRuehl"/>
          <w:sz w:val="28"/>
          <w:szCs w:val="28"/>
          <w:rtl/>
        </w:rPr>
      </w:pPr>
    </w:p>
    <w:p w14:paraId="692959D0" w14:textId="77777777" w:rsidR="00EE67BC" w:rsidRPr="00EE67BC" w:rsidRDefault="00EE67BC" w:rsidP="00EE67BC">
      <w:pPr>
        <w:spacing w:after="120" w:line="240" w:lineRule="exact"/>
        <w:ind w:left="283" w:hanging="283"/>
        <w:jc w:val="both"/>
        <w:rPr>
          <w:rFonts w:ascii="FrankRuehl" w:hAnsi="FrankRuehl" w:cs="FrankRuehl"/>
          <w:rtl/>
        </w:rPr>
      </w:pPr>
    </w:p>
    <w:p w14:paraId="72676D5B" w14:textId="77777777" w:rsidR="00B607FB" w:rsidRDefault="00B607FB" w:rsidP="00B607FB">
      <w:pPr>
        <w:rPr>
          <w:rFonts w:ascii="Arial" w:hAnsi="Arial"/>
          <w:rtl/>
        </w:rPr>
      </w:pPr>
      <w:bookmarkStart w:id="3" w:name="LawTable"/>
      <w:bookmarkEnd w:id="3"/>
    </w:p>
    <w:p w14:paraId="04DB3260" w14:textId="77777777" w:rsidR="00B607FB" w:rsidRPr="00B607FB" w:rsidRDefault="00B607FB" w:rsidP="00B607FB">
      <w:pPr>
        <w:spacing w:before="120" w:after="120" w:line="240" w:lineRule="exact"/>
        <w:ind w:left="283" w:hanging="283"/>
        <w:jc w:val="both"/>
        <w:rPr>
          <w:rFonts w:ascii="FrankRuehl" w:hAnsi="FrankRuehl" w:cs="FrankRuehl"/>
          <w:rtl/>
        </w:rPr>
      </w:pPr>
    </w:p>
    <w:p w14:paraId="68283928" w14:textId="77777777" w:rsidR="00B607FB" w:rsidRPr="00B607FB" w:rsidRDefault="00B607FB" w:rsidP="00B607FB">
      <w:pPr>
        <w:spacing w:before="120" w:after="120" w:line="240" w:lineRule="exact"/>
        <w:ind w:left="283" w:hanging="283"/>
        <w:jc w:val="both"/>
        <w:rPr>
          <w:rFonts w:ascii="FrankRuehl" w:hAnsi="FrankRuehl" w:cs="FrankRuehl"/>
          <w:rtl/>
        </w:rPr>
      </w:pPr>
    </w:p>
    <w:p w14:paraId="6A259AC8" w14:textId="77777777" w:rsidR="00B607FB" w:rsidRPr="00B607FB" w:rsidRDefault="00B607FB" w:rsidP="00B607FB">
      <w:pPr>
        <w:spacing w:before="120" w:after="120" w:line="240" w:lineRule="exact"/>
        <w:ind w:left="283" w:hanging="283"/>
        <w:jc w:val="both"/>
        <w:rPr>
          <w:rFonts w:ascii="FrankRuehl" w:hAnsi="FrankRuehl" w:cs="FrankRuehl"/>
          <w:rtl/>
        </w:rPr>
      </w:pPr>
      <w:r w:rsidRPr="00B607FB">
        <w:rPr>
          <w:rFonts w:ascii="FrankRuehl" w:hAnsi="FrankRuehl" w:cs="FrankRuehl"/>
          <w:rtl/>
        </w:rPr>
        <w:t xml:space="preserve">חקיקה שאוזכרה: </w:t>
      </w:r>
    </w:p>
    <w:p w14:paraId="3FAFD009" w14:textId="77777777" w:rsidR="00B607FB" w:rsidRPr="00B607FB" w:rsidRDefault="00B607FB" w:rsidP="00B607FB">
      <w:pPr>
        <w:spacing w:before="120" w:after="120" w:line="240" w:lineRule="exact"/>
        <w:ind w:left="283" w:hanging="283"/>
        <w:jc w:val="both"/>
        <w:rPr>
          <w:rFonts w:ascii="FrankRuehl" w:hAnsi="FrankRuehl" w:cs="FrankRuehl"/>
          <w:rtl/>
        </w:rPr>
      </w:pPr>
      <w:hyperlink r:id="rId7" w:history="1">
        <w:r w:rsidRPr="00B607FB">
          <w:rPr>
            <w:rFonts w:ascii="FrankRuehl" w:hAnsi="FrankRuehl" w:cs="FrankRuehl"/>
            <w:color w:val="0000FF"/>
            <w:rtl/>
          </w:rPr>
          <w:t>פקודת הסמים המסוכנים [נוסח חדש], תשל"ג-1973</w:t>
        </w:r>
      </w:hyperlink>
      <w:r w:rsidRPr="00B607FB">
        <w:rPr>
          <w:rFonts w:ascii="FrankRuehl" w:hAnsi="FrankRuehl" w:cs="FrankRuehl"/>
          <w:rtl/>
        </w:rPr>
        <w:t xml:space="preserve">: סע'  </w:t>
      </w:r>
      <w:hyperlink r:id="rId8" w:history="1">
        <w:r w:rsidRPr="00B607FB">
          <w:rPr>
            <w:rFonts w:ascii="FrankRuehl" w:hAnsi="FrankRuehl" w:cs="FrankRuehl"/>
            <w:color w:val="0000FF"/>
            <w:rtl/>
          </w:rPr>
          <w:t>7.א.</w:t>
        </w:r>
      </w:hyperlink>
      <w:r w:rsidRPr="00B607FB">
        <w:rPr>
          <w:rFonts w:ascii="FrankRuehl" w:hAnsi="FrankRuehl" w:cs="FrankRuehl"/>
          <w:rtl/>
        </w:rPr>
        <w:t xml:space="preserve">, </w:t>
      </w:r>
      <w:hyperlink r:id="rId9" w:history="1">
        <w:r w:rsidRPr="00B607FB">
          <w:rPr>
            <w:rFonts w:ascii="FrankRuehl" w:hAnsi="FrankRuehl" w:cs="FrankRuehl"/>
            <w:color w:val="0000FF"/>
            <w:rtl/>
          </w:rPr>
          <w:t>7.ג</w:t>
        </w:r>
      </w:hyperlink>
    </w:p>
    <w:p w14:paraId="56CCB9E4" w14:textId="77777777" w:rsidR="00B607FB" w:rsidRPr="00B607FB" w:rsidRDefault="00B607FB" w:rsidP="00B607FB">
      <w:pPr>
        <w:spacing w:before="120" w:after="120" w:line="240" w:lineRule="exact"/>
        <w:ind w:left="283" w:hanging="283"/>
        <w:jc w:val="both"/>
        <w:rPr>
          <w:rFonts w:ascii="FrankRuehl" w:hAnsi="FrankRuehl" w:cs="FrankRuehl"/>
          <w:rtl/>
        </w:rPr>
      </w:pPr>
      <w:hyperlink r:id="rId10" w:history="1">
        <w:r w:rsidRPr="00B607FB">
          <w:rPr>
            <w:rFonts w:ascii="FrankRuehl" w:hAnsi="FrankRuehl" w:cs="FrankRuehl"/>
            <w:color w:val="0000FF"/>
            <w:rtl/>
          </w:rPr>
          <w:t>פקודת התעבורה [נוסח חדש]</w:t>
        </w:r>
      </w:hyperlink>
      <w:r w:rsidRPr="00B607FB">
        <w:rPr>
          <w:rFonts w:ascii="FrankRuehl" w:hAnsi="FrankRuehl" w:cs="FrankRuehl"/>
          <w:rtl/>
        </w:rPr>
        <w:t xml:space="preserve">: סע'  </w:t>
      </w:r>
      <w:hyperlink r:id="rId11" w:history="1">
        <w:r w:rsidRPr="00B607FB">
          <w:rPr>
            <w:rFonts w:ascii="FrankRuehl" w:hAnsi="FrankRuehl" w:cs="FrankRuehl"/>
            <w:color w:val="0000FF"/>
            <w:rtl/>
          </w:rPr>
          <w:t>10(א)</w:t>
        </w:r>
      </w:hyperlink>
      <w:r w:rsidRPr="00B607FB">
        <w:rPr>
          <w:rFonts w:ascii="FrankRuehl" w:hAnsi="FrankRuehl" w:cs="FrankRuehl"/>
          <w:rtl/>
        </w:rPr>
        <w:t xml:space="preserve">, </w:t>
      </w:r>
      <w:hyperlink r:id="rId12" w:history="1">
        <w:r w:rsidRPr="00B607FB">
          <w:rPr>
            <w:rFonts w:ascii="FrankRuehl" w:hAnsi="FrankRuehl" w:cs="FrankRuehl"/>
            <w:color w:val="0000FF"/>
            <w:rtl/>
          </w:rPr>
          <w:t>36ב</w:t>
        </w:r>
      </w:hyperlink>
    </w:p>
    <w:p w14:paraId="07044AC1" w14:textId="77777777" w:rsidR="00B607FB" w:rsidRPr="00B607FB" w:rsidRDefault="00B607FB" w:rsidP="00B607FB">
      <w:pPr>
        <w:spacing w:before="120" w:after="120" w:line="240" w:lineRule="exact"/>
        <w:ind w:left="283" w:hanging="283"/>
        <w:jc w:val="both"/>
        <w:rPr>
          <w:rFonts w:ascii="FrankRuehl" w:hAnsi="FrankRuehl" w:cs="FrankRuehl"/>
          <w:rtl/>
        </w:rPr>
      </w:pPr>
      <w:hyperlink r:id="rId13" w:history="1">
        <w:r w:rsidRPr="00B607FB">
          <w:rPr>
            <w:rFonts w:ascii="FrankRuehl" w:hAnsi="FrankRuehl" w:cs="FrankRuehl"/>
            <w:color w:val="0000FF"/>
            <w:rtl/>
          </w:rPr>
          <w:t>פקודת ביטוח רכב מנועי [נוסח חדש], תש"ל-1970</w:t>
        </w:r>
      </w:hyperlink>
      <w:r w:rsidRPr="00B607FB">
        <w:rPr>
          <w:rFonts w:ascii="FrankRuehl" w:hAnsi="FrankRuehl" w:cs="FrankRuehl"/>
          <w:rtl/>
        </w:rPr>
        <w:t xml:space="preserve">: סע'  </w:t>
      </w:r>
      <w:hyperlink r:id="rId14" w:history="1">
        <w:r w:rsidRPr="00B607FB">
          <w:rPr>
            <w:rFonts w:ascii="FrankRuehl" w:hAnsi="FrankRuehl" w:cs="FrankRuehl"/>
            <w:color w:val="0000FF"/>
            <w:rtl/>
          </w:rPr>
          <w:t>2א</w:t>
        </w:r>
      </w:hyperlink>
    </w:p>
    <w:p w14:paraId="4AB4894E" w14:textId="77777777" w:rsidR="00B607FB" w:rsidRPr="00B607FB" w:rsidRDefault="00B607FB" w:rsidP="00B607FB">
      <w:pPr>
        <w:spacing w:before="120" w:after="120" w:line="240" w:lineRule="exact"/>
        <w:ind w:left="283" w:hanging="283"/>
        <w:jc w:val="both"/>
        <w:rPr>
          <w:rFonts w:ascii="FrankRuehl" w:hAnsi="FrankRuehl" w:cs="FrankRuehl"/>
          <w:rtl/>
        </w:rPr>
      </w:pPr>
      <w:hyperlink r:id="rId15" w:history="1">
        <w:r w:rsidRPr="00B607FB">
          <w:rPr>
            <w:rFonts w:ascii="FrankRuehl" w:hAnsi="FrankRuehl" w:cs="FrankRuehl"/>
            <w:color w:val="0000FF"/>
            <w:rtl/>
          </w:rPr>
          <w:t>חוק העונשין, תשל"ז-1977</w:t>
        </w:r>
      </w:hyperlink>
      <w:r w:rsidRPr="00B607FB">
        <w:rPr>
          <w:rFonts w:ascii="FrankRuehl" w:hAnsi="FrankRuehl" w:cs="FrankRuehl"/>
          <w:rtl/>
        </w:rPr>
        <w:t xml:space="preserve">: סע'  </w:t>
      </w:r>
      <w:hyperlink r:id="rId16" w:history="1">
        <w:r w:rsidRPr="00B607FB">
          <w:rPr>
            <w:rFonts w:ascii="FrankRuehl" w:hAnsi="FrankRuehl" w:cs="FrankRuehl"/>
            <w:color w:val="0000FF"/>
            <w:rtl/>
          </w:rPr>
          <w:t>40ט'</w:t>
        </w:r>
      </w:hyperlink>
      <w:r w:rsidRPr="00B607FB">
        <w:rPr>
          <w:rFonts w:ascii="FrankRuehl" w:hAnsi="FrankRuehl" w:cs="FrankRuehl"/>
          <w:rtl/>
        </w:rPr>
        <w:t xml:space="preserve">, </w:t>
      </w:r>
      <w:hyperlink r:id="rId17" w:history="1">
        <w:r w:rsidRPr="00B607FB">
          <w:rPr>
            <w:rFonts w:ascii="FrankRuehl" w:hAnsi="FrankRuehl" w:cs="FrankRuehl"/>
            <w:color w:val="0000FF"/>
            <w:rtl/>
          </w:rPr>
          <w:t>186(א)</w:t>
        </w:r>
      </w:hyperlink>
      <w:r w:rsidRPr="00B607FB">
        <w:rPr>
          <w:rFonts w:ascii="FrankRuehl" w:hAnsi="FrankRuehl" w:cs="FrankRuehl"/>
          <w:rtl/>
        </w:rPr>
        <w:t xml:space="preserve">, </w:t>
      </w:r>
      <w:hyperlink r:id="rId18" w:history="1">
        <w:r w:rsidRPr="00B607FB">
          <w:rPr>
            <w:rFonts w:ascii="FrankRuehl" w:hAnsi="FrankRuehl" w:cs="FrankRuehl"/>
            <w:color w:val="0000FF"/>
            <w:rtl/>
          </w:rPr>
          <w:t>40יא</w:t>
        </w:r>
      </w:hyperlink>
    </w:p>
    <w:p w14:paraId="0B046236" w14:textId="77777777" w:rsidR="00B607FB" w:rsidRPr="00B607FB" w:rsidRDefault="00B607FB" w:rsidP="00B607FB">
      <w:pPr>
        <w:rPr>
          <w:rFonts w:ascii="Arial" w:hAnsi="Arial"/>
          <w:rtl/>
        </w:rPr>
      </w:pPr>
      <w:bookmarkStart w:id="4" w:name="LawTable_End"/>
      <w:bookmarkEnd w:id="4"/>
    </w:p>
    <w:p w14:paraId="4238622C" w14:textId="77777777" w:rsidR="000C2552" w:rsidRPr="00ED6FB5" w:rsidRDefault="000C2552" w:rsidP="000C255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2552" w14:paraId="2269BD2A" w14:textId="77777777" w:rsidTr="000C2552">
        <w:trPr>
          <w:trHeight w:val="355"/>
          <w:jc w:val="center"/>
        </w:trPr>
        <w:tc>
          <w:tcPr>
            <w:tcW w:w="8820" w:type="dxa"/>
            <w:tcBorders>
              <w:top w:val="nil"/>
              <w:left w:val="nil"/>
              <w:bottom w:val="nil"/>
              <w:right w:val="nil"/>
            </w:tcBorders>
            <w:shd w:val="clear" w:color="auto" w:fill="auto"/>
          </w:tcPr>
          <w:p w14:paraId="081B0070" w14:textId="77777777" w:rsidR="00ED6FB5" w:rsidRPr="00ED6FB5" w:rsidRDefault="00ED6FB5" w:rsidP="00ED6FB5">
            <w:pPr>
              <w:jc w:val="center"/>
              <w:rPr>
                <w:rFonts w:ascii="Arial" w:hAnsi="Arial" w:cs="FrankRuehl"/>
                <w:b/>
                <w:bCs/>
                <w:sz w:val="32"/>
                <w:szCs w:val="32"/>
                <w:u w:val="single"/>
                <w:rtl/>
              </w:rPr>
            </w:pPr>
            <w:bookmarkStart w:id="5" w:name="PsakDin" w:colFirst="0" w:colLast="0"/>
            <w:bookmarkEnd w:id="0"/>
            <w:r w:rsidRPr="00ED6FB5">
              <w:rPr>
                <w:rFonts w:ascii="Arial" w:hAnsi="Arial" w:cs="FrankRuehl"/>
                <w:b/>
                <w:bCs/>
                <w:sz w:val="32"/>
                <w:szCs w:val="32"/>
                <w:u w:val="single"/>
                <w:rtl/>
              </w:rPr>
              <w:t>גזר דין   תוך ביטול הרשעה</w:t>
            </w:r>
          </w:p>
          <w:p w14:paraId="0EEC82FC" w14:textId="77777777" w:rsidR="000C2552" w:rsidRPr="00ED6FB5" w:rsidRDefault="000C2552" w:rsidP="00ED6FB5">
            <w:pPr>
              <w:jc w:val="center"/>
              <w:rPr>
                <w:rFonts w:ascii="Arial" w:hAnsi="Arial" w:cs="FrankRuehl"/>
                <w:b/>
                <w:bCs/>
                <w:sz w:val="32"/>
                <w:szCs w:val="32"/>
                <w:u w:val="single"/>
                <w:rtl/>
              </w:rPr>
            </w:pPr>
          </w:p>
        </w:tc>
      </w:tr>
      <w:bookmarkEnd w:id="5"/>
    </w:tbl>
    <w:p w14:paraId="4D8AAFE6" w14:textId="77777777" w:rsidR="000C2552" w:rsidRPr="00B05847" w:rsidRDefault="000C2552" w:rsidP="000C2552">
      <w:pPr>
        <w:rPr>
          <w:rFonts w:ascii="Arial" w:hAnsi="Arial"/>
          <w:rtl/>
        </w:rPr>
      </w:pPr>
    </w:p>
    <w:p w14:paraId="5C8AFADF" w14:textId="77777777" w:rsidR="000C2552" w:rsidRPr="00B05847" w:rsidRDefault="000C2552" w:rsidP="000C2552">
      <w:pPr>
        <w:rPr>
          <w:rFonts w:ascii="Arial" w:hAnsi="Arial"/>
          <w:rtl/>
        </w:rPr>
      </w:pPr>
    </w:p>
    <w:p w14:paraId="5AC72190" w14:textId="77777777" w:rsidR="000C2552" w:rsidRPr="00B05847" w:rsidRDefault="000C2552" w:rsidP="000C2552">
      <w:pPr>
        <w:rPr>
          <w:rtl/>
        </w:rPr>
      </w:pPr>
    </w:p>
    <w:p w14:paraId="245F8860" w14:textId="77777777" w:rsidR="000C2552" w:rsidRDefault="000C2552" w:rsidP="000C2552">
      <w:pPr>
        <w:spacing w:line="360" w:lineRule="auto"/>
        <w:rPr>
          <w:rFonts w:cs="FrankRuehl"/>
          <w:b/>
          <w:bCs/>
          <w:sz w:val="28"/>
          <w:szCs w:val="28"/>
          <w:u w:val="single"/>
        </w:rPr>
      </w:pPr>
      <w:r>
        <w:rPr>
          <w:rFonts w:cs="FrankRuehl"/>
          <w:b/>
          <w:bCs/>
          <w:sz w:val="28"/>
          <w:szCs w:val="28"/>
          <w:u w:val="single"/>
          <w:rtl/>
        </w:rPr>
        <w:t>כתב</w:t>
      </w:r>
      <w:r>
        <w:rPr>
          <w:rFonts w:cs="FrankRuehl" w:hint="cs"/>
          <w:b/>
          <w:bCs/>
          <w:sz w:val="28"/>
          <w:szCs w:val="28"/>
          <w:u w:val="single"/>
          <w:rtl/>
        </w:rPr>
        <w:t>י</w:t>
      </w:r>
      <w:r>
        <w:rPr>
          <w:rFonts w:cs="FrankRuehl"/>
          <w:b/>
          <w:bCs/>
          <w:sz w:val="28"/>
          <w:szCs w:val="28"/>
          <w:u w:val="single"/>
          <w:rtl/>
        </w:rPr>
        <w:t xml:space="preserve"> האישום</w:t>
      </w:r>
    </w:p>
    <w:p w14:paraId="7FFF9666" w14:textId="77777777" w:rsidR="000C2552" w:rsidRDefault="000C2552" w:rsidP="000C2552">
      <w:pPr>
        <w:spacing w:line="360" w:lineRule="auto"/>
        <w:jc w:val="both"/>
        <w:rPr>
          <w:rFonts w:cs="FrankRuehl"/>
          <w:sz w:val="28"/>
          <w:szCs w:val="28"/>
          <w:rtl/>
        </w:rPr>
      </w:pPr>
      <w:r>
        <w:rPr>
          <w:rFonts w:cs="FrankRuehl" w:hint="cs"/>
          <w:sz w:val="28"/>
          <w:szCs w:val="28"/>
          <w:rtl/>
        </w:rPr>
        <w:t>הנאשם ביצע "צירוף תיקים" לפניי במסגרת 3 תיקים.</w:t>
      </w:r>
    </w:p>
    <w:p w14:paraId="0B39CADB" w14:textId="77777777" w:rsidR="000C2552" w:rsidRDefault="000C2552" w:rsidP="000C2552">
      <w:pPr>
        <w:spacing w:line="360" w:lineRule="auto"/>
        <w:jc w:val="both"/>
        <w:rPr>
          <w:rFonts w:cs="FrankRuehl"/>
          <w:sz w:val="28"/>
          <w:szCs w:val="28"/>
          <w:u w:val="single"/>
          <w:rtl/>
        </w:rPr>
      </w:pPr>
    </w:p>
    <w:bookmarkStart w:id="6" w:name="ABSTRACT_START"/>
    <w:bookmarkEnd w:id="6"/>
    <w:p w14:paraId="4327FA84" w14:textId="77777777" w:rsidR="000C2552" w:rsidRDefault="00ED6FB5" w:rsidP="000C2552">
      <w:pPr>
        <w:spacing w:line="360" w:lineRule="auto"/>
        <w:jc w:val="both"/>
        <w:rPr>
          <w:rFonts w:cs="FrankRuehl"/>
          <w:sz w:val="28"/>
          <w:szCs w:val="28"/>
          <w:rtl/>
        </w:rPr>
      </w:pPr>
      <w:r w:rsidRPr="00ED6FB5">
        <w:rPr>
          <w:rFonts w:cs="FrankRuehl"/>
          <w:color w:val="0000FF"/>
          <w:sz w:val="28"/>
          <w:szCs w:val="28"/>
          <w:u w:val="single"/>
          <w:rtl/>
        </w:rPr>
        <w:lastRenderedPageBreak/>
        <w:fldChar w:fldCharType="begin"/>
      </w:r>
      <w:r w:rsidRPr="00ED6FB5">
        <w:rPr>
          <w:rFonts w:cs="FrankRuehl"/>
          <w:color w:val="0000FF"/>
          <w:sz w:val="28"/>
          <w:szCs w:val="28"/>
          <w:u w:val="single"/>
          <w:rtl/>
        </w:rPr>
        <w:instrText xml:space="preserve"> </w:instrText>
      </w:r>
      <w:r w:rsidRPr="00ED6FB5">
        <w:rPr>
          <w:rFonts w:cs="FrankRuehl"/>
          <w:color w:val="0000FF"/>
          <w:sz w:val="28"/>
          <w:szCs w:val="28"/>
          <w:u w:val="single"/>
        </w:rPr>
        <w:instrText xml:space="preserve">HYPERLINK </w:instrText>
      </w:r>
      <w:r w:rsidRPr="00ED6FB5">
        <w:rPr>
          <w:rFonts w:cs="FrankRuehl"/>
          <w:color w:val="0000FF"/>
          <w:sz w:val="28"/>
          <w:szCs w:val="28"/>
          <w:u w:val="single"/>
          <w:rtl/>
        </w:rPr>
        <w:instrText>"</w:instrText>
      </w:r>
      <w:r w:rsidRPr="00ED6FB5">
        <w:rPr>
          <w:rFonts w:cs="FrankRuehl"/>
          <w:color w:val="0000FF"/>
          <w:sz w:val="28"/>
          <w:szCs w:val="28"/>
          <w:u w:val="single"/>
        </w:rPr>
        <w:instrText>http://www.nevo.co.il/case/25307462"</w:instrText>
      </w:r>
      <w:r w:rsidRPr="00ED6FB5">
        <w:rPr>
          <w:rFonts w:cs="FrankRuehl"/>
          <w:color w:val="0000FF"/>
          <w:sz w:val="28"/>
          <w:szCs w:val="28"/>
          <w:u w:val="single"/>
          <w:rtl/>
        </w:rPr>
        <w:instrText xml:space="preserve"> </w:instrText>
      </w:r>
      <w:r w:rsidRPr="00ED6FB5">
        <w:rPr>
          <w:rFonts w:cs="FrankRuehl"/>
          <w:color w:val="0000FF"/>
          <w:sz w:val="28"/>
          <w:szCs w:val="28"/>
          <w:u w:val="single"/>
          <w:rtl/>
        </w:rPr>
      </w:r>
      <w:r w:rsidRPr="00ED6FB5">
        <w:rPr>
          <w:rFonts w:cs="FrankRuehl"/>
          <w:color w:val="0000FF"/>
          <w:sz w:val="28"/>
          <w:szCs w:val="28"/>
          <w:u w:val="single"/>
          <w:rtl/>
        </w:rPr>
        <w:fldChar w:fldCharType="separate"/>
      </w:r>
      <w:r w:rsidRPr="00ED6FB5">
        <w:rPr>
          <w:rFonts w:cs="FrankRuehl"/>
          <w:color w:val="0000FF"/>
          <w:sz w:val="28"/>
          <w:szCs w:val="28"/>
          <w:u w:val="single"/>
          <w:rtl/>
        </w:rPr>
        <w:t>ת"פ 24348-01-19</w:t>
      </w:r>
      <w:r w:rsidRPr="00ED6FB5">
        <w:rPr>
          <w:rFonts w:cs="FrankRuehl"/>
          <w:color w:val="0000FF"/>
          <w:sz w:val="28"/>
          <w:szCs w:val="28"/>
          <w:u w:val="single"/>
          <w:rtl/>
        </w:rPr>
        <w:fldChar w:fldCharType="end"/>
      </w:r>
      <w:r w:rsidR="000C2552">
        <w:rPr>
          <w:rFonts w:cs="FrankRuehl" w:hint="cs"/>
          <w:sz w:val="28"/>
          <w:szCs w:val="28"/>
          <w:u w:val="single"/>
          <w:rtl/>
        </w:rPr>
        <w:t xml:space="preserve"> (להלן </w:t>
      </w:r>
      <w:r w:rsidR="000C2552">
        <w:rPr>
          <w:rFonts w:cs="FrankRuehl"/>
          <w:sz w:val="28"/>
          <w:szCs w:val="28"/>
          <w:u w:val="single"/>
          <w:rtl/>
        </w:rPr>
        <w:t>–</w:t>
      </w:r>
      <w:r w:rsidR="000C2552">
        <w:rPr>
          <w:rFonts w:cs="FrankRuehl" w:hint="cs"/>
          <w:sz w:val="28"/>
          <w:szCs w:val="28"/>
          <w:u w:val="single"/>
          <w:rtl/>
        </w:rPr>
        <w:t xml:space="preserve"> התיק הראשון)</w:t>
      </w:r>
      <w:r w:rsidR="000C2552">
        <w:rPr>
          <w:rFonts w:cs="FrankRuehl" w:hint="cs"/>
          <w:sz w:val="28"/>
          <w:szCs w:val="28"/>
          <w:rtl/>
        </w:rPr>
        <w:t xml:space="preserve"> </w:t>
      </w:r>
      <w:r w:rsidR="000C2552">
        <w:rPr>
          <w:rFonts w:cs="FrankRuehl"/>
          <w:sz w:val="28"/>
          <w:szCs w:val="28"/>
          <w:rtl/>
        </w:rPr>
        <w:t>–</w:t>
      </w:r>
      <w:r w:rsidR="000C2552">
        <w:rPr>
          <w:rFonts w:cs="FrankRuehl" w:hint="cs"/>
          <w:sz w:val="28"/>
          <w:szCs w:val="28"/>
          <w:rtl/>
        </w:rPr>
        <w:t xml:space="preserve"> מעובדות כתב האישום המקורי עולה, כי ביום 7.8.2018 החזיק הנאשם בתוך רכב כ-21.35 גרם נטו של קנביס לצריכתו העצמית. לכן נקבעה אשמתו בעבירה זו, לפי סעיף </w:t>
      </w:r>
      <w:hyperlink r:id="rId19" w:history="1">
        <w:r w:rsidR="00EE67BC" w:rsidRPr="00EE67BC">
          <w:rPr>
            <w:rStyle w:val="Hyperlink"/>
            <w:rFonts w:cs="FrankRuehl"/>
            <w:sz w:val="28"/>
            <w:szCs w:val="28"/>
            <w:rtl/>
          </w:rPr>
          <w:t>7(א) ו-(ג)</w:t>
        </w:r>
      </w:hyperlink>
      <w:r w:rsidR="000C2552">
        <w:rPr>
          <w:rFonts w:cs="FrankRuehl" w:hint="cs"/>
          <w:sz w:val="28"/>
          <w:szCs w:val="28"/>
          <w:rtl/>
        </w:rPr>
        <w:t xml:space="preserve"> סיפא ל</w:t>
      </w:r>
      <w:hyperlink r:id="rId20" w:history="1">
        <w:r w:rsidRPr="00ED6FB5">
          <w:rPr>
            <w:rFonts w:cs="FrankRuehl"/>
            <w:color w:val="0000FF"/>
            <w:sz w:val="28"/>
            <w:szCs w:val="28"/>
            <w:u w:val="single"/>
            <w:rtl/>
          </w:rPr>
          <w:t>פקודת הסמים המסוכנים</w:t>
        </w:r>
      </w:hyperlink>
      <w:bookmarkStart w:id="7" w:name="ABSTRACT_END"/>
      <w:bookmarkEnd w:id="7"/>
      <w:r w:rsidR="000C2552">
        <w:rPr>
          <w:rFonts w:cs="FrankRuehl" w:hint="cs"/>
          <w:sz w:val="28"/>
          <w:szCs w:val="28"/>
          <w:rtl/>
        </w:rPr>
        <w:t>.</w:t>
      </w:r>
    </w:p>
    <w:p w14:paraId="6FC27450" w14:textId="77777777" w:rsidR="000C2552" w:rsidRDefault="000C2552" w:rsidP="000C2552">
      <w:pPr>
        <w:spacing w:line="360" w:lineRule="auto"/>
        <w:jc w:val="both"/>
        <w:rPr>
          <w:rFonts w:cs="FrankRuehl"/>
          <w:sz w:val="28"/>
          <w:szCs w:val="28"/>
          <w:rtl/>
        </w:rPr>
      </w:pPr>
    </w:p>
    <w:p w14:paraId="11F52384" w14:textId="77777777" w:rsidR="000C2552" w:rsidRDefault="00ED6FB5" w:rsidP="000C2552">
      <w:pPr>
        <w:spacing w:line="360" w:lineRule="auto"/>
        <w:jc w:val="both"/>
        <w:rPr>
          <w:rFonts w:cs="FrankRuehl"/>
          <w:sz w:val="28"/>
          <w:szCs w:val="28"/>
          <w:rtl/>
        </w:rPr>
      </w:pPr>
      <w:hyperlink r:id="rId21" w:history="1">
        <w:r w:rsidRPr="00ED6FB5">
          <w:rPr>
            <w:rFonts w:cs="FrankRuehl"/>
            <w:color w:val="0000FF"/>
            <w:sz w:val="28"/>
            <w:szCs w:val="28"/>
            <w:u w:val="single"/>
            <w:rtl/>
          </w:rPr>
          <w:t>תת"ע (נוער בית שמש) 43460-04-18</w:t>
        </w:r>
      </w:hyperlink>
      <w:r w:rsidR="000C2552" w:rsidRPr="0018486B">
        <w:rPr>
          <w:rFonts w:cs="FrankRuehl" w:hint="cs"/>
          <w:sz w:val="28"/>
          <w:szCs w:val="28"/>
          <w:u w:val="single"/>
          <w:rtl/>
        </w:rPr>
        <w:t xml:space="preserve"> (להלן </w:t>
      </w:r>
      <w:r w:rsidR="000C2552" w:rsidRPr="0018486B">
        <w:rPr>
          <w:rFonts w:cs="FrankRuehl"/>
          <w:sz w:val="28"/>
          <w:szCs w:val="28"/>
          <w:u w:val="single"/>
          <w:rtl/>
        </w:rPr>
        <w:t>–</w:t>
      </w:r>
      <w:r w:rsidR="000C2552" w:rsidRPr="0018486B">
        <w:rPr>
          <w:rFonts w:cs="FrankRuehl" w:hint="cs"/>
          <w:sz w:val="28"/>
          <w:szCs w:val="28"/>
          <w:u w:val="single"/>
          <w:rtl/>
        </w:rPr>
        <w:t xml:space="preserve"> התיק השני)</w:t>
      </w:r>
      <w:r w:rsidR="000C2552">
        <w:rPr>
          <w:rFonts w:cs="FrankRuehl" w:hint="cs"/>
          <w:sz w:val="28"/>
          <w:szCs w:val="28"/>
          <w:rtl/>
        </w:rPr>
        <w:t xml:space="preserve"> </w:t>
      </w:r>
      <w:r w:rsidR="000C2552">
        <w:rPr>
          <w:rFonts w:cs="FrankRuehl"/>
          <w:sz w:val="28"/>
          <w:szCs w:val="28"/>
          <w:rtl/>
        </w:rPr>
        <w:t>–</w:t>
      </w:r>
      <w:r w:rsidR="000C2552">
        <w:rPr>
          <w:rFonts w:cs="FrankRuehl" w:hint="cs"/>
          <w:sz w:val="28"/>
          <w:szCs w:val="28"/>
          <w:rtl/>
        </w:rPr>
        <w:t xml:space="preserve"> מועבדות כתב האישום המתוקן עולה, כי בליל ה-25.2.2018 נטל הנאשם את מפתחות הרכב של אביו, ונהג ברכב ללא רשות אביו כשהוא נוסע מחוץ לבית שמש לצור הדסה וחזרה. הוא נתפס שעה שנהג ברכב. בשל כך הורשע הנאשם בעבירות של נהיגה ללא רישיון נהיגה (מעולם לא הוציא), לפי </w:t>
      </w:r>
      <w:hyperlink r:id="rId22" w:history="1">
        <w:r w:rsidR="00EE67BC" w:rsidRPr="00EE67BC">
          <w:rPr>
            <w:rStyle w:val="Hyperlink"/>
            <w:rFonts w:cs="FrankRuehl" w:hint="eastAsia"/>
            <w:sz w:val="28"/>
            <w:szCs w:val="28"/>
            <w:rtl/>
          </w:rPr>
          <w:t>סעיף</w:t>
        </w:r>
        <w:r w:rsidR="00EE67BC" w:rsidRPr="00EE67BC">
          <w:rPr>
            <w:rStyle w:val="Hyperlink"/>
            <w:rFonts w:cs="FrankRuehl"/>
            <w:sz w:val="28"/>
            <w:szCs w:val="28"/>
            <w:rtl/>
          </w:rPr>
          <w:t xml:space="preserve"> 10(א)</w:t>
        </w:r>
      </w:hyperlink>
      <w:r w:rsidR="000C2552">
        <w:rPr>
          <w:rFonts w:cs="FrankRuehl" w:hint="cs"/>
          <w:sz w:val="28"/>
          <w:szCs w:val="28"/>
          <w:rtl/>
        </w:rPr>
        <w:t xml:space="preserve"> ל</w:t>
      </w:r>
      <w:hyperlink r:id="rId23" w:history="1">
        <w:r w:rsidRPr="00ED6FB5">
          <w:rPr>
            <w:rFonts w:cs="FrankRuehl"/>
            <w:color w:val="0000FF"/>
            <w:sz w:val="28"/>
            <w:szCs w:val="28"/>
            <w:u w:val="single"/>
            <w:rtl/>
          </w:rPr>
          <w:t>פקודת התעבורה</w:t>
        </w:r>
      </w:hyperlink>
      <w:r w:rsidR="000C2552">
        <w:rPr>
          <w:rFonts w:cs="FrankRuehl" w:hint="cs"/>
          <w:sz w:val="28"/>
          <w:szCs w:val="28"/>
          <w:rtl/>
        </w:rPr>
        <w:t xml:space="preserve">; נהיגה ברכב ללא ביטוח, לפי </w:t>
      </w:r>
      <w:hyperlink r:id="rId24" w:history="1">
        <w:r w:rsidR="00EE67BC" w:rsidRPr="00EE67BC">
          <w:rPr>
            <w:rStyle w:val="Hyperlink"/>
            <w:rFonts w:cs="FrankRuehl" w:hint="eastAsia"/>
            <w:sz w:val="28"/>
            <w:szCs w:val="28"/>
            <w:rtl/>
          </w:rPr>
          <w:t>סעיף</w:t>
        </w:r>
        <w:r w:rsidR="00EE67BC" w:rsidRPr="00EE67BC">
          <w:rPr>
            <w:rStyle w:val="Hyperlink"/>
            <w:rFonts w:cs="FrankRuehl"/>
            <w:sz w:val="28"/>
            <w:szCs w:val="28"/>
            <w:rtl/>
          </w:rPr>
          <w:t xml:space="preserve"> 2א</w:t>
        </w:r>
      </w:hyperlink>
      <w:r w:rsidR="000C2552">
        <w:rPr>
          <w:rFonts w:cs="FrankRuehl" w:hint="cs"/>
          <w:sz w:val="28"/>
          <w:szCs w:val="28"/>
          <w:rtl/>
        </w:rPr>
        <w:t xml:space="preserve"> לפקודת רכב מנועי ושימוש ברכב ללא רשות, לפי </w:t>
      </w:r>
      <w:hyperlink r:id="rId25" w:history="1">
        <w:r w:rsidR="00EE67BC" w:rsidRPr="00EE67BC">
          <w:rPr>
            <w:rStyle w:val="Hyperlink"/>
            <w:rFonts w:cs="FrankRuehl" w:hint="eastAsia"/>
            <w:sz w:val="28"/>
            <w:szCs w:val="28"/>
            <w:rtl/>
          </w:rPr>
          <w:t>סעיף</w:t>
        </w:r>
        <w:r w:rsidR="00EE67BC" w:rsidRPr="00EE67BC">
          <w:rPr>
            <w:rStyle w:val="Hyperlink"/>
            <w:rFonts w:cs="FrankRuehl"/>
            <w:sz w:val="28"/>
            <w:szCs w:val="28"/>
            <w:rtl/>
          </w:rPr>
          <w:t xml:space="preserve"> 36ב</w:t>
        </w:r>
      </w:hyperlink>
      <w:r w:rsidR="000C2552">
        <w:rPr>
          <w:rFonts w:cs="FrankRuehl" w:hint="cs"/>
          <w:sz w:val="28"/>
          <w:szCs w:val="28"/>
          <w:rtl/>
        </w:rPr>
        <w:t xml:space="preserve"> לפקודת התעבורה.</w:t>
      </w:r>
    </w:p>
    <w:p w14:paraId="04603B93" w14:textId="77777777" w:rsidR="000C2552" w:rsidRDefault="000C2552" w:rsidP="000C2552">
      <w:pPr>
        <w:spacing w:line="360" w:lineRule="auto"/>
        <w:jc w:val="both"/>
        <w:rPr>
          <w:rFonts w:cs="FrankRuehl"/>
          <w:sz w:val="28"/>
          <w:szCs w:val="28"/>
          <w:rtl/>
        </w:rPr>
      </w:pPr>
    </w:p>
    <w:p w14:paraId="7ADA27DA" w14:textId="77777777" w:rsidR="000C2552" w:rsidRPr="009060F4" w:rsidRDefault="00ED6FB5" w:rsidP="000C2552">
      <w:pPr>
        <w:spacing w:line="360" w:lineRule="auto"/>
        <w:jc w:val="both"/>
        <w:rPr>
          <w:rFonts w:cs="FrankRuehl"/>
          <w:sz w:val="28"/>
          <w:szCs w:val="28"/>
          <w:rtl/>
        </w:rPr>
      </w:pPr>
      <w:hyperlink r:id="rId26" w:history="1">
        <w:r w:rsidRPr="00ED6FB5">
          <w:rPr>
            <w:rFonts w:cs="FrankRuehl"/>
            <w:color w:val="0000FF"/>
            <w:sz w:val="28"/>
            <w:szCs w:val="28"/>
            <w:u w:val="single"/>
            <w:rtl/>
          </w:rPr>
          <w:t>ת"פ (נוער חדרה) 50515-12-17</w:t>
        </w:r>
      </w:hyperlink>
      <w:r w:rsidR="000C2552" w:rsidRPr="004D0792">
        <w:rPr>
          <w:rFonts w:cs="FrankRuehl" w:hint="cs"/>
          <w:sz w:val="28"/>
          <w:szCs w:val="28"/>
          <w:u w:val="single"/>
          <w:rtl/>
        </w:rPr>
        <w:t xml:space="preserve"> (להלן </w:t>
      </w:r>
      <w:r w:rsidR="000C2552" w:rsidRPr="004D0792">
        <w:rPr>
          <w:rFonts w:cs="FrankRuehl"/>
          <w:sz w:val="28"/>
          <w:szCs w:val="28"/>
          <w:u w:val="single"/>
          <w:rtl/>
        </w:rPr>
        <w:t>–</w:t>
      </w:r>
      <w:r w:rsidR="000C2552" w:rsidRPr="004D0792">
        <w:rPr>
          <w:rFonts w:cs="FrankRuehl" w:hint="cs"/>
          <w:sz w:val="28"/>
          <w:szCs w:val="28"/>
          <w:u w:val="single"/>
          <w:rtl/>
        </w:rPr>
        <w:t xml:space="preserve"> התיק השלישי)</w:t>
      </w:r>
      <w:r w:rsidR="000C2552">
        <w:rPr>
          <w:rFonts w:cs="FrankRuehl" w:hint="cs"/>
          <w:sz w:val="28"/>
          <w:szCs w:val="28"/>
          <w:rtl/>
        </w:rPr>
        <w:t xml:space="preserve"> </w:t>
      </w:r>
      <w:r w:rsidR="000C2552">
        <w:rPr>
          <w:rFonts w:cs="FrankRuehl"/>
          <w:sz w:val="28"/>
          <w:szCs w:val="28"/>
          <w:rtl/>
        </w:rPr>
        <w:t>–</w:t>
      </w:r>
      <w:r w:rsidR="000C2552">
        <w:rPr>
          <w:rFonts w:cs="FrankRuehl" w:hint="cs"/>
          <w:sz w:val="28"/>
          <w:szCs w:val="28"/>
          <w:rtl/>
        </w:rPr>
        <w:t xml:space="preserve"> מכתב האישום עולה, כי בעת שהגיע הנאשם לכניסה לתחנת רכבת, נמצא בתיקו אגרופן. לכן הורשע בעבירה של החזקת אגרופן, לפי </w:t>
      </w:r>
      <w:hyperlink r:id="rId27" w:history="1">
        <w:r w:rsidR="00EE67BC" w:rsidRPr="00EE67BC">
          <w:rPr>
            <w:rStyle w:val="Hyperlink"/>
            <w:rFonts w:cs="FrankRuehl" w:hint="eastAsia"/>
            <w:sz w:val="28"/>
            <w:szCs w:val="28"/>
            <w:rtl/>
          </w:rPr>
          <w:t>סעיף</w:t>
        </w:r>
        <w:r w:rsidR="00EE67BC" w:rsidRPr="00EE67BC">
          <w:rPr>
            <w:rStyle w:val="Hyperlink"/>
            <w:rFonts w:cs="FrankRuehl"/>
            <w:sz w:val="28"/>
            <w:szCs w:val="28"/>
            <w:rtl/>
          </w:rPr>
          <w:t xml:space="preserve"> 186(א)</w:t>
        </w:r>
      </w:hyperlink>
      <w:r w:rsidR="000C2552">
        <w:rPr>
          <w:rFonts w:cs="FrankRuehl" w:hint="cs"/>
          <w:sz w:val="28"/>
          <w:szCs w:val="28"/>
          <w:rtl/>
        </w:rPr>
        <w:t xml:space="preserve"> ל</w:t>
      </w:r>
      <w:hyperlink r:id="rId28" w:history="1">
        <w:r w:rsidRPr="00ED6FB5">
          <w:rPr>
            <w:rFonts w:cs="FrankRuehl"/>
            <w:color w:val="0000FF"/>
            <w:sz w:val="28"/>
            <w:szCs w:val="28"/>
            <w:u w:val="single"/>
            <w:rtl/>
          </w:rPr>
          <w:t>חוק העונשין</w:t>
        </w:r>
      </w:hyperlink>
      <w:r w:rsidR="000C2552">
        <w:rPr>
          <w:rFonts w:cs="FrankRuehl" w:hint="cs"/>
          <w:sz w:val="28"/>
          <w:szCs w:val="28"/>
          <w:rtl/>
        </w:rPr>
        <w:t>, התשל"ז-1977.</w:t>
      </w:r>
    </w:p>
    <w:p w14:paraId="1E37D1E8" w14:textId="77777777" w:rsidR="000C2552" w:rsidRDefault="000C2552" w:rsidP="000C2552">
      <w:pPr>
        <w:spacing w:line="360" w:lineRule="auto"/>
        <w:jc w:val="both"/>
        <w:rPr>
          <w:rFonts w:cs="FrankRuehl"/>
          <w:b/>
          <w:bCs/>
          <w:sz w:val="28"/>
          <w:szCs w:val="28"/>
          <w:u w:val="single"/>
        </w:rPr>
      </w:pPr>
    </w:p>
    <w:p w14:paraId="5E7C608F" w14:textId="77777777" w:rsidR="000C2552" w:rsidRDefault="000C2552" w:rsidP="000C2552">
      <w:pPr>
        <w:spacing w:line="360" w:lineRule="auto"/>
        <w:jc w:val="both"/>
        <w:rPr>
          <w:rFonts w:cs="FrankRuehl"/>
          <w:b/>
          <w:bCs/>
          <w:sz w:val="28"/>
          <w:szCs w:val="28"/>
          <w:u w:val="single"/>
        </w:rPr>
      </w:pPr>
      <w:r>
        <w:rPr>
          <w:rFonts w:cs="FrankRuehl"/>
          <w:b/>
          <w:bCs/>
          <w:sz w:val="28"/>
          <w:szCs w:val="28"/>
          <w:u w:val="single"/>
          <w:rtl/>
        </w:rPr>
        <w:t>מהלך הדיון</w:t>
      </w:r>
    </w:p>
    <w:p w14:paraId="64913F64" w14:textId="77777777" w:rsidR="000C2552" w:rsidRDefault="000C2552" w:rsidP="000C2552">
      <w:pPr>
        <w:spacing w:line="360" w:lineRule="auto"/>
        <w:jc w:val="both"/>
        <w:rPr>
          <w:rFonts w:cs="FrankRuehl"/>
          <w:sz w:val="28"/>
          <w:szCs w:val="28"/>
        </w:rPr>
      </w:pPr>
      <w:r>
        <w:rPr>
          <w:rFonts w:cs="FrankRuehl" w:hint="cs"/>
          <w:sz w:val="28"/>
          <w:szCs w:val="28"/>
          <w:rtl/>
        </w:rPr>
        <w:t xml:space="preserve">בתחילה, התנהלו התיקים השני והשלישי בבית המשפט לנוער. בסופו של דבר, לבקשת הנאשם צורפו התיקים לתיק שלפניי, שבו הנאשם נשפט </w:t>
      </w:r>
      <w:r w:rsidRPr="00CD19AD">
        <w:rPr>
          <w:rFonts w:cs="FrankRuehl" w:hint="cs"/>
          <w:b/>
          <w:bCs/>
          <w:sz w:val="28"/>
          <w:szCs w:val="28"/>
          <w:rtl/>
        </w:rPr>
        <w:t>כבגיר</w:t>
      </w:r>
      <w:r>
        <w:rPr>
          <w:rFonts w:cs="FrankRuehl" w:hint="cs"/>
          <w:sz w:val="28"/>
          <w:szCs w:val="28"/>
          <w:rtl/>
        </w:rPr>
        <w:t>.</w:t>
      </w:r>
    </w:p>
    <w:p w14:paraId="3339B951" w14:textId="77777777" w:rsidR="000C2552" w:rsidRDefault="000C2552" w:rsidP="000C2552">
      <w:pPr>
        <w:spacing w:line="360" w:lineRule="auto"/>
        <w:jc w:val="both"/>
        <w:rPr>
          <w:rFonts w:cs="FrankRuehl"/>
          <w:b/>
          <w:bCs/>
          <w:sz w:val="28"/>
          <w:szCs w:val="28"/>
          <w:u w:val="single"/>
        </w:rPr>
      </w:pPr>
    </w:p>
    <w:p w14:paraId="48873809" w14:textId="77777777" w:rsidR="000C2552" w:rsidRDefault="000C2552" w:rsidP="000C2552">
      <w:pPr>
        <w:spacing w:line="360" w:lineRule="auto"/>
        <w:jc w:val="both"/>
        <w:rPr>
          <w:rFonts w:cs="FrankRuehl"/>
          <w:b/>
          <w:bCs/>
          <w:sz w:val="28"/>
          <w:szCs w:val="28"/>
          <w:u w:val="single"/>
          <w:rtl/>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067D826C" w14:textId="77777777" w:rsidR="000C2552" w:rsidRDefault="000C2552" w:rsidP="000C2552">
      <w:pPr>
        <w:spacing w:line="360" w:lineRule="auto"/>
        <w:jc w:val="both"/>
        <w:rPr>
          <w:rFonts w:cs="FrankRuehl"/>
          <w:b/>
          <w:bCs/>
          <w:sz w:val="28"/>
          <w:szCs w:val="28"/>
          <w:u w:val="single"/>
          <w:rtl/>
        </w:rPr>
      </w:pPr>
      <w:r>
        <w:rPr>
          <w:rFonts w:cs="FrankRuehl"/>
          <w:sz w:val="28"/>
          <w:szCs w:val="28"/>
          <w:rtl/>
        </w:rPr>
        <w:t xml:space="preserve">מהתסקיר שהוגש בעניינו של הנאשם </w:t>
      </w:r>
      <w:r>
        <w:rPr>
          <w:rFonts w:cs="FrankRuehl" w:hint="cs"/>
          <w:sz w:val="28"/>
          <w:szCs w:val="28"/>
          <w:rtl/>
        </w:rPr>
        <w:t xml:space="preserve">בחודש יוני 2020 </w:t>
      </w:r>
      <w:r>
        <w:rPr>
          <w:rFonts w:cs="FrankRuehl"/>
          <w:sz w:val="28"/>
          <w:szCs w:val="28"/>
          <w:rtl/>
        </w:rPr>
        <w:t>עולה</w:t>
      </w:r>
      <w:r>
        <w:rPr>
          <w:rFonts w:cs="FrankRuehl" w:hint="cs"/>
          <w:sz w:val="28"/>
          <w:szCs w:val="28"/>
          <w:rtl/>
        </w:rPr>
        <w:t xml:space="preserve">, כי כיום הוא כבן 20, הבכור מבין שבעה אחים ואחיות, </w:t>
      </w:r>
      <w:r w:rsidRPr="00FC20B2">
        <w:rPr>
          <w:rFonts w:cs="FrankRuehl" w:hint="cs"/>
          <w:sz w:val="28"/>
          <w:szCs w:val="28"/>
          <w:rtl/>
        </w:rPr>
        <w:t>רווק ולומד בישיבה בירושלים. המשפחה מנהל</w:t>
      </w:r>
      <w:r>
        <w:rPr>
          <w:rFonts w:cs="FrankRuehl" w:hint="cs"/>
          <w:sz w:val="28"/>
          <w:szCs w:val="28"/>
          <w:rtl/>
        </w:rPr>
        <w:t>ת</w:t>
      </w:r>
      <w:r w:rsidRPr="00FC20B2">
        <w:rPr>
          <w:rFonts w:cs="FrankRuehl" w:hint="cs"/>
          <w:sz w:val="28"/>
          <w:szCs w:val="28"/>
          <w:rtl/>
        </w:rPr>
        <w:t xml:space="preserve"> אורח חיים חרדי.</w:t>
      </w:r>
      <w:r>
        <w:rPr>
          <w:rFonts w:cs="FrankRuehl" w:hint="cs"/>
          <w:sz w:val="28"/>
          <w:szCs w:val="28"/>
          <w:rtl/>
        </w:rPr>
        <w:t xml:space="preserve"> הוא למד במסגרות לאורך השנים ובשנות העשרה המאוחרות שלו חל רפיון בקיום אורח החיים הדתי, והוא התחבר לחברה שולית. אז נחשף לסמים והדבר גרם למתיחות בינו לבין הוריו. הוא עבר להתגורר בבית סבתו ממנו סולק כעבור זמן, בשל צריכת הסמים. בשנתיים האחרונות חדל להשתמש בסמים ביוזמתו, התחזק באורחות חייו הדתיים ושיפר את הקשר עם משפחתו. הנאשם מסר בדיקות שתן לשירות המבחן שכולן נמצאו נקיות. לנאשם אין הרשעות קודמות. שירות המבחן התרשם מנטילת אחריות אמיתית לעבירות אותן ביצע הנאשם. הנאשם לא הביע נזקקות טיפולית, ושירות המבחן סבר, כי אכן אינו זקוק לכך. שירות המבחן העריך, כי הנאשם חווה בצורה נכונה את ההליך הפלילי, כהליך  מרתיע, ועל-רקע זה שבו חייו למסלול יציב ומבטיח יותר. השירות עמד על כך </w:t>
      </w:r>
      <w:r>
        <w:rPr>
          <w:rFonts w:cs="FrankRuehl" w:hint="cs"/>
          <w:sz w:val="28"/>
          <w:szCs w:val="28"/>
          <w:rtl/>
        </w:rPr>
        <w:lastRenderedPageBreak/>
        <w:t>שבשל גילו הצעיר של הנאשם, טרם השלים את תהליכי עיצוב וגיבוש אישיותו. שירות המבחן המליץ להטיל על הנאשם 200 שעות של"ץ, וכן צו מבחן שיכלול מתן הוראה לביצוע בדיקות שתן באופן תדיר, והתחייבות.</w:t>
      </w:r>
    </w:p>
    <w:p w14:paraId="180111D9" w14:textId="77777777" w:rsidR="000C2552" w:rsidRDefault="000C2552" w:rsidP="000C2552">
      <w:pPr>
        <w:spacing w:line="360" w:lineRule="auto"/>
        <w:jc w:val="both"/>
        <w:rPr>
          <w:rFonts w:cs="FrankRuehl"/>
          <w:b/>
          <w:bCs/>
          <w:sz w:val="28"/>
          <w:szCs w:val="28"/>
          <w:u w:val="single"/>
          <w:rtl/>
        </w:rPr>
      </w:pPr>
    </w:p>
    <w:p w14:paraId="7C16768A" w14:textId="77777777" w:rsidR="000C2552" w:rsidRPr="00C90050" w:rsidRDefault="000C2552" w:rsidP="000C2552">
      <w:pPr>
        <w:spacing w:line="360" w:lineRule="auto"/>
        <w:jc w:val="both"/>
        <w:rPr>
          <w:rFonts w:cs="FrankRuehl"/>
          <w:sz w:val="28"/>
          <w:szCs w:val="28"/>
          <w:rtl/>
        </w:rPr>
      </w:pPr>
      <w:r w:rsidRPr="00C90050">
        <w:rPr>
          <w:rFonts w:cs="FrankRuehl" w:hint="cs"/>
          <w:sz w:val="28"/>
          <w:szCs w:val="28"/>
          <w:rtl/>
        </w:rPr>
        <w:t xml:space="preserve">בעקבות בקשת הסניגורית, כי שירות המבחן יבחן את שאלת ביטול ההרשעה, נשלח הנאשם לשירות המבחן לבחינת שאלה זו. בתסקיר שהוגש באוגוסט 2020 ציין שירות המבחן כי התלבט ביחס להמלצתו. מחד מדובר בריבוי עבירות, חלקן אינן פשוטות. מאידך, מדובר באדם צעיר בתחילת דרכו כשלהרשעה עלולה להיות פגיעה על עתידו המקצועי. לכן, בסופו של דבר, המליץ שירות המבחן על ביטול ההרשעה. </w:t>
      </w:r>
    </w:p>
    <w:p w14:paraId="04CE7BA1" w14:textId="77777777" w:rsidR="000C2552" w:rsidRDefault="000C2552" w:rsidP="000C2552">
      <w:pPr>
        <w:spacing w:line="360" w:lineRule="auto"/>
        <w:jc w:val="both"/>
        <w:rPr>
          <w:rFonts w:cs="FrankRuehl"/>
          <w:sz w:val="28"/>
          <w:szCs w:val="28"/>
          <w:rtl/>
        </w:rPr>
      </w:pPr>
    </w:p>
    <w:p w14:paraId="00698DC2" w14:textId="77777777" w:rsidR="000C2552" w:rsidRDefault="000C2552" w:rsidP="000C2552">
      <w:pPr>
        <w:spacing w:line="360" w:lineRule="auto"/>
        <w:jc w:val="both"/>
        <w:rPr>
          <w:rFonts w:cs="FrankRuehl"/>
          <w:sz w:val="28"/>
          <w:szCs w:val="28"/>
          <w:rtl/>
        </w:rPr>
      </w:pPr>
    </w:p>
    <w:p w14:paraId="6C6FFCC7" w14:textId="77777777" w:rsidR="000C2552" w:rsidRDefault="000C2552" w:rsidP="000C2552">
      <w:pPr>
        <w:spacing w:line="360" w:lineRule="auto"/>
        <w:jc w:val="both"/>
        <w:rPr>
          <w:rFonts w:cs="FrankRuehl"/>
          <w:b/>
          <w:bCs/>
          <w:sz w:val="28"/>
          <w:szCs w:val="28"/>
          <w:u w:val="single"/>
          <w:rtl/>
        </w:rPr>
      </w:pPr>
      <w:r>
        <w:rPr>
          <w:rFonts w:cs="FrankRuehl"/>
          <w:b/>
          <w:bCs/>
          <w:sz w:val="28"/>
          <w:szCs w:val="28"/>
          <w:u w:val="single"/>
          <w:rtl/>
        </w:rPr>
        <w:t>טיעונים לעונש</w:t>
      </w:r>
    </w:p>
    <w:p w14:paraId="1F414C11" w14:textId="77777777" w:rsidR="000C2552" w:rsidRDefault="000C2552" w:rsidP="000C2552">
      <w:pPr>
        <w:spacing w:line="360" w:lineRule="auto"/>
        <w:jc w:val="both"/>
        <w:rPr>
          <w:rFonts w:cs="FrankRuehl"/>
          <w:sz w:val="28"/>
          <w:szCs w:val="28"/>
          <w:rtl/>
        </w:rPr>
      </w:pPr>
      <w:r>
        <w:rPr>
          <w:rFonts w:cs="FrankRuehl"/>
          <w:sz w:val="28"/>
          <w:szCs w:val="28"/>
          <w:rtl/>
        </w:rPr>
        <w:t xml:space="preserve">הצדדים לא הגיעו להסכמה עונשית. </w:t>
      </w:r>
    </w:p>
    <w:p w14:paraId="270FEE16" w14:textId="77777777" w:rsidR="000C2552" w:rsidRDefault="000C2552" w:rsidP="000C2552">
      <w:pPr>
        <w:spacing w:line="360" w:lineRule="auto"/>
        <w:jc w:val="both"/>
        <w:rPr>
          <w:rFonts w:cs="FrankRuehl"/>
          <w:sz w:val="28"/>
          <w:szCs w:val="28"/>
          <w:rtl/>
        </w:rPr>
      </w:pPr>
      <w:r>
        <w:rPr>
          <w:rFonts w:cs="FrankRuehl"/>
          <w:sz w:val="28"/>
          <w:szCs w:val="28"/>
          <w:rtl/>
        </w:rPr>
        <w:t xml:space="preserve">מחד, המאשימה </w:t>
      </w:r>
      <w:r>
        <w:rPr>
          <w:rFonts w:cs="FrankRuehl" w:hint="cs"/>
          <w:sz w:val="28"/>
          <w:szCs w:val="28"/>
          <w:rtl/>
        </w:rPr>
        <w:t xml:space="preserve">עתרה להטיל על הנאשם מאסר שיכול וירוצה בעבודות שירות, וענישה נלווית, תוך הפניה לחומרת העבירות, החזרה על ביצוען וזאת על אף גילו הצעיר. המאשימה סברה כי הנאשם לא נעתר להמלצת שירות המבחן לטיפול ויש לזקוף זאת לחובתו. </w:t>
      </w:r>
    </w:p>
    <w:p w14:paraId="292D8787" w14:textId="77777777" w:rsidR="000C2552" w:rsidRDefault="000C2552" w:rsidP="000C2552">
      <w:pPr>
        <w:spacing w:line="360" w:lineRule="auto"/>
        <w:jc w:val="both"/>
        <w:rPr>
          <w:rFonts w:cs="FrankRuehl"/>
          <w:sz w:val="28"/>
          <w:szCs w:val="28"/>
          <w:rtl/>
        </w:rPr>
      </w:pPr>
      <w:r>
        <w:rPr>
          <w:rFonts w:cs="FrankRuehl"/>
          <w:sz w:val="28"/>
          <w:szCs w:val="28"/>
          <w:rtl/>
        </w:rPr>
        <w:t>מאידך, הסניגור</w:t>
      </w:r>
      <w:r>
        <w:rPr>
          <w:rFonts w:cs="FrankRuehl" w:hint="cs"/>
          <w:sz w:val="28"/>
          <w:szCs w:val="28"/>
          <w:rtl/>
        </w:rPr>
        <w:t>ית סברה, כי יש לתת  משקל לנטילת האחריות, לנסיבות האישיות ולגילו הצעיר מאוד. כיום הנאשם התקרב לחיי הדת וחייו בסימן התייצבות ושיפור מתמיד. הסניגורית עתרה לסיים את התהליך תוך ביטול ההרשעה ואימוץ המלצת שירות המבחן.</w:t>
      </w:r>
    </w:p>
    <w:p w14:paraId="52B50F19" w14:textId="77777777" w:rsidR="000C2552" w:rsidRDefault="000C2552" w:rsidP="000C2552">
      <w:pPr>
        <w:spacing w:line="360" w:lineRule="auto"/>
        <w:jc w:val="both"/>
        <w:rPr>
          <w:rFonts w:cs="FrankRuehl"/>
          <w:b/>
          <w:bCs/>
          <w:sz w:val="28"/>
          <w:szCs w:val="28"/>
          <w:u w:val="single"/>
        </w:rPr>
      </w:pPr>
    </w:p>
    <w:p w14:paraId="07110FBF" w14:textId="77777777" w:rsidR="000C2552" w:rsidRDefault="000C2552" w:rsidP="000C2552">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3495C7D0" w14:textId="77777777" w:rsidR="000C2552" w:rsidRDefault="000C2552" w:rsidP="000C2552">
      <w:pPr>
        <w:spacing w:line="360" w:lineRule="auto"/>
        <w:jc w:val="both"/>
        <w:rPr>
          <w:rFonts w:cs="FrankRuehl"/>
          <w:b/>
          <w:bCs/>
          <w:sz w:val="28"/>
          <w:szCs w:val="28"/>
          <w:u w:val="single"/>
          <w:rtl/>
        </w:rPr>
      </w:pPr>
    </w:p>
    <w:p w14:paraId="711F3D98" w14:textId="77777777" w:rsidR="000C2552" w:rsidRDefault="000C2552" w:rsidP="000C2552">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אשר לתיק הראשון (סמים), פגע הנאשם בערך בריאות הציבור ושלומו. אין מדובר בכמות גדולה של קנביס, ולכן מידת הפגיעה בערך המוגן נמוכה. אשר לתיק השני (שבל"ר), הנאשם סיכן את שלומו ואת שלום ציבור משתמשי הדרך בעצם הנהיגה הלא מורשית ולכן מידת הפגיעה בערכים המוגנים בינונית. אשר לתיק השלישי (אגרופן), מדובר בפגיעה בשלום הציבור ובסדר הציבורי, במידה נמוכה.</w:t>
      </w:r>
    </w:p>
    <w:p w14:paraId="568AD18D" w14:textId="77777777" w:rsidR="000C2552" w:rsidRDefault="000C2552" w:rsidP="000C2552">
      <w:pPr>
        <w:spacing w:line="360" w:lineRule="auto"/>
        <w:jc w:val="both"/>
        <w:rPr>
          <w:rFonts w:cs="FrankRuehl"/>
          <w:b/>
          <w:bCs/>
          <w:sz w:val="28"/>
          <w:szCs w:val="28"/>
          <w:u w:val="single"/>
          <w:rtl/>
        </w:rPr>
      </w:pPr>
    </w:p>
    <w:p w14:paraId="2695E644" w14:textId="77777777" w:rsidR="000C2552" w:rsidRDefault="000C2552" w:rsidP="000C2552">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9" w:history="1">
        <w:r w:rsidR="00EE67BC" w:rsidRPr="00EE67BC">
          <w:rPr>
            <w:rStyle w:val="Hyperlink"/>
            <w:rFonts w:cs="FrankRuehl"/>
            <w:b/>
            <w:bCs/>
            <w:sz w:val="28"/>
            <w:szCs w:val="28"/>
            <w:rtl/>
          </w:rPr>
          <w:t>סעיף 40ט'</w:t>
        </w:r>
      </w:hyperlink>
      <w:r>
        <w:rPr>
          <w:rFonts w:cs="FrankRuehl"/>
          <w:b/>
          <w:bCs/>
          <w:sz w:val="28"/>
          <w:szCs w:val="28"/>
          <w:u w:val="single"/>
          <w:rtl/>
        </w:rPr>
        <w:t xml:space="preserve"> ל</w:t>
      </w:r>
      <w:hyperlink r:id="rId30" w:history="1">
        <w:r w:rsidR="00ED6FB5" w:rsidRPr="00ED6FB5">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w:t>
      </w:r>
    </w:p>
    <w:p w14:paraId="5FAF8296" w14:textId="77777777" w:rsidR="000C2552" w:rsidRDefault="000C2552" w:rsidP="000C2552">
      <w:pPr>
        <w:spacing w:line="360" w:lineRule="auto"/>
        <w:jc w:val="both"/>
        <w:rPr>
          <w:rFonts w:cs="FrankRuehl"/>
          <w:sz w:val="28"/>
          <w:szCs w:val="28"/>
          <w:u w:val="single"/>
          <w:rtl/>
        </w:rPr>
      </w:pPr>
    </w:p>
    <w:p w14:paraId="6B31A40F" w14:textId="77777777" w:rsidR="000C2552" w:rsidRDefault="000C2552" w:rsidP="000C2552">
      <w:pPr>
        <w:spacing w:line="360" w:lineRule="auto"/>
        <w:jc w:val="both"/>
        <w:rPr>
          <w:rFonts w:cs="FrankRuehl"/>
          <w:sz w:val="28"/>
          <w:szCs w:val="28"/>
          <w:rtl/>
        </w:rPr>
      </w:pPr>
      <w:r w:rsidRPr="007B0318">
        <w:rPr>
          <w:rFonts w:cs="FrankRuehl" w:hint="cs"/>
          <w:sz w:val="28"/>
          <w:szCs w:val="28"/>
          <w:u w:val="single"/>
          <w:rtl/>
        </w:rPr>
        <w:t>אשר לתיק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בעבירה מתכוננת כאשר הנסיבה לחומרה היא המצאות הסמים ברכב; הנאשם ביצע את העבירה כשהוא כבר בגיר, והיה צריך להימנע מן המעשה; הנזק הוא בעיקר לנאשם עצמו ופחות לציבור.</w:t>
      </w:r>
    </w:p>
    <w:p w14:paraId="6A6FBF0B" w14:textId="77777777" w:rsidR="000C2552" w:rsidRDefault="000C2552" w:rsidP="000C2552">
      <w:pPr>
        <w:spacing w:line="360" w:lineRule="auto"/>
        <w:jc w:val="both"/>
        <w:rPr>
          <w:rFonts w:cs="FrankRuehl"/>
          <w:sz w:val="28"/>
          <w:szCs w:val="28"/>
          <w:u w:val="single"/>
          <w:rtl/>
        </w:rPr>
      </w:pPr>
    </w:p>
    <w:p w14:paraId="5C0102E7" w14:textId="77777777" w:rsidR="000C2552" w:rsidRDefault="000C2552" w:rsidP="000C2552">
      <w:pPr>
        <w:spacing w:line="360" w:lineRule="auto"/>
        <w:jc w:val="both"/>
        <w:rPr>
          <w:rFonts w:cs="FrankRuehl"/>
          <w:sz w:val="28"/>
          <w:szCs w:val="28"/>
          <w:rtl/>
        </w:rPr>
      </w:pPr>
      <w:r w:rsidRPr="007B0318">
        <w:rPr>
          <w:rFonts w:cs="FrankRuehl" w:hint="cs"/>
          <w:sz w:val="28"/>
          <w:szCs w:val="28"/>
          <w:u w:val="single"/>
          <w:rtl/>
        </w:rPr>
        <w:t>אשר לתיק השני</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בעבירה של ניצול הזדמנות המשקפת חוסר שיקול דעת האופייני לנער מתבגר שלא שקל את מכלול ההשלכות של מעשיו. עם זאת צריך היה הנאשם להימנע מן המעשה; בפועל לא נגרם נזק, אך פוטנציאל הנזק מנהיגה בלתי מורשית שכזו עלול להיות משמעותי בהיבט של פגיעה בשלום הציבור.</w:t>
      </w:r>
    </w:p>
    <w:p w14:paraId="2DD94610" w14:textId="77777777" w:rsidR="000C2552" w:rsidRDefault="000C2552" w:rsidP="000C2552">
      <w:pPr>
        <w:spacing w:line="360" w:lineRule="auto"/>
        <w:jc w:val="both"/>
        <w:rPr>
          <w:rFonts w:cs="FrankRuehl"/>
          <w:sz w:val="28"/>
          <w:szCs w:val="28"/>
          <w:u w:val="single"/>
          <w:rtl/>
        </w:rPr>
      </w:pPr>
    </w:p>
    <w:p w14:paraId="0361AE1B" w14:textId="77777777" w:rsidR="000C2552" w:rsidRDefault="000C2552" w:rsidP="000C2552">
      <w:pPr>
        <w:spacing w:line="360" w:lineRule="auto"/>
        <w:jc w:val="both"/>
        <w:rPr>
          <w:rFonts w:cs="FrankRuehl"/>
          <w:sz w:val="28"/>
          <w:szCs w:val="28"/>
          <w:rtl/>
        </w:rPr>
      </w:pPr>
      <w:r w:rsidRPr="007B0318">
        <w:rPr>
          <w:rFonts w:cs="FrankRuehl" w:hint="cs"/>
          <w:sz w:val="28"/>
          <w:szCs w:val="28"/>
          <w:u w:val="single"/>
          <w:rtl/>
        </w:rPr>
        <w:t>אשר לתיק השלישי</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בעבירה שנעשתה עם מודעות מופחתת למשמעות החזקת האגרופן, בהיות הנאשם עדיין נער בעת ביצוע העבירה; בפועל לא נגרם נזק אם כי הנזק ממכת אגרופן יכול להיות ניכר.</w:t>
      </w:r>
    </w:p>
    <w:p w14:paraId="5560F090" w14:textId="77777777" w:rsidR="000C2552" w:rsidRDefault="000C2552" w:rsidP="000C2552">
      <w:pPr>
        <w:spacing w:line="360" w:lineRule="auto"/>
        <w:jc w:val="both"/>
        <w:rPr>
          <w:rFonts w:cs="FrankRuehl"/>
          <w:b/>
          <w:bCs/>
          <w:sz w:val="28"/>
          <w:szCs w:val="28"/>
          <w:u w:val="single"/>
          <w:rtl/>
        </w:rPr>
      </w:pPr>
    </w:p>
    <w:p w14:paraId="02F9AB58" w14:textId="77777777" w:rsidR="000C2552" w:rsidRDefault="000C2552" w:rsidP="000C2552">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p>
    <w:p w14:paraId="3F2EF914" w14:textId="77777777" w:rsidR="000C2552" w:rsidRDefault="000C2552" w:rsidP="000C2552">
      <w:pPr>
        <w:spacing w:line="360" w:lineRule="auto"/>
        <w:jc w:val="both"/>
        <w:rPr>
          <w:rFonts w:cs="FrankRuehl"/>
          <w:sz w:val="28"/>
          <w:szCs w:val="28"/>
          <w:rtl/>
        </w:rPr>
      </w:pPr>
      <w:r w:rsidRPr="009C112C">
        <w:rPr>
          <w:rFonts w:cs="FrankRuehl" w:hint="cs"/>
          <w:sz w:val="28"/>
          <w:szCs w:val="28"/>
          <w:u w:val="single"/>
          <w:rtl/>
        </w:rPr>
        <w:t>אשר לתיק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ב</w:t>
      </w:r>
      <w:hyperlink r:id="rId31" w:history="1">
        <w:r w:rsidR="00ED6FB5" w:rsidRPr="00ED6FB5">
          <w:rPr>
            <w:rFonts w:cs="FrankRuehl"/>
            <w:color w:val="0000FF"/>
            <w:sz w:val="28"/>
            <w:szCs w:val="28"/>
            <w:u w:val="single"/>
            <w:rtl/>
          </w:rPr>
          <w:t>עפ"ג (ב"ש)  47987-06-13</w:t>
        </w:r>
      </w:hyperlink>
      <w:r>
        <w:rPr>
          <w:rFonts w:cs="FrankRuehl" w:hint="cs"/>
          <w:sz w:val="28"/>
          <w:szCs w:val="28"/>
          <w:rtl/>
        </w:rPr>
        <w:t xml:space="preserve"> </w:t>
      </w:r>
      <w:r w:rsidRPr="009C112C">
        <w:rPr>
          <w:rFonts w:cs="FrankRuehl" w:hint="cs"/>
          <w:b/>
          <w:bCs/>
          <w:sz w:val="28"/>
          <w:szCs w:val="28"/>
          <w:u w:val="single"/>
          <w:rtl/>
        </w:rPr>
        <w:t>מולטיסנטי</w:t>
      </w:r>
      <w:r>
        <w:rPr>
          <w:rFonts w:cs="FrankRuehl" w:hint="cs"/>
          <w:sz w:val="28"/>
          <w:szCs w:val="28"/>
          <w:rtl/>
        </w:rPr>
        <w:t xml:space="preserve"> נ' </w:t>
      </w:r>
      <w:r w:rsidRPr="009C112C">
        <w:rPr>
          <w:rFonts w:cs="FrankRuehl" w:hint="cs"/>
          <w:b/>
          <w:bCs/>
          <w:sz w:val="28"/>
          <w:szCs w:val="28"/>
          <w:u w:val="single"/>
          <w:rtl/>
        </w:rPr>
        <w:t>מ"י</w:t>
      </w:r>
      <w:r>
        <w:rPr>
          <w:rFonts w:cs="FrankRuehl" w:hint="cs"/>
          <w:sz w:val="28"/>
          <w:szCs w:val="28"/>
          <w:rtl/>
        </w:rPr>
        <w:t xml:space="preserve"> (מיום 16.10.2013) ביטל בית המשפט המחוזי עונש של מאסר בעבודות שירות והמירו לשל"ץ בהיקף 250 שעות, ושם דובר בגידול עציץ קנביס במשקל כ-20 גרם, בין היתר בשל תסקירים חיוביים שהוגשו. </w:t>
      </w:r>
    </w:p>
    <w:p w14:paraId="08165142" w14:textId="77777777" w:rsidR="000C2552" w:rsidRDefault="000C2552" w:rsidP="000C2552">
      <w:pPr>
        <w:spacing w:line="360" w:lineRule="auto"/>
        <w:jc w:val="both"/>
        <w:rPr>
          <w:rFonts w:cs="FrankRuehl"/>
          <w:sz w:val="28"/>
          <w:szCs w:val="28"/>
          <w:rtl/>
        </w:rPr>
      </w:pPr>
    </w:p>
    <w:p w14:paraId="5B38050D" w14:textId="77777777" w:rsidR="000C2552" w:rsidRDefault="000C2552" w:rsidP="000C2552">
      <w:pPr>
        <w:spacing w:line="360" w:lineRule="auto"/>
        <w:jc w:val="both"/>
        <w:rPr>
          <w:rFonts w:cs="FrankRuehl"/>
          <w:sz w:val="28"/>
          <w:szCs w:val="28"/>
          <w:rtl/>
        </w:rPr>
      </w:pPr>
      <w:r w:rsidRPr="009C112C">
        <w:rPr>
          <w:rFonts w:cs="FrankRuehl" w:hint="cs"/>
          <w:sz w:val="28"/>
          <w:szCs w:val="28"/>
          <w:u w:val="single"/>
          <w:rtl/>
        </w:rPr>
        <w:t>אשר לתיק השני</w:t>
      </w:r>
      <w:r>
        <w:rPr>
          <w:rFonts w:cs="FrankRuehl" w:hint="cs"/>
          <w:sz w:val="28"/>
          <w:szCs w:val="28"/>
          <w:rtl/>
        </w:rPr>
        <w:t xml:space="preserve">  - התיקון שבוצע לכתב האישום מתייחס לעבירת שבל"ר לפי </w:t>
      </w:r>
      <w:hyperlink r:id="rId32" w:history="1">
        <w:r w:rsidR="00ED6FB5" w:rsidRPr="00ED6FB5">
          <w:rPr>
            <w:rFonts w:cs="FrankRuehl"/>
            <w:color w:val="0000FF"/>
            <w:sz w:val="28"/>
            <w:szCs w:val="28"/>
            <w:u w:val="single"/>
            <w:rtl/>
          </w:rPr>
          <w:t>פקודת התעבורה</w:t>
        </w:r>
      </w:hyperlink>
      <w:r>
        <w:rPr>
          <w:rFonts w:cs="FrankRuehl" w:hint="cs"/>
          <w:sz w:val="28"/>
          <w:szCs w:val="28"/>
          <w:rtl/>
        </w:rPr>
        <w:t xml:space="preserve">, הקובעת פסילת מינימום של 3 שנים, ללא רכיב של מאסר, לעומת העבירה המקורית לפי </w:t>
      </w:r>
      <w:hyperlink r:id="rId33" w:history="1">
        <w:r w:rsidR="00ED6FB5" w:rsidRPr="00ED6FB5">
          <w:rPr>
            <w:rFonts w:cs="FrankRuehl"/>
            <w:color w:val="0000FF"/>
            <w:sz w:val="28"/>
            <w:szCs w:val="28"/>
            <w:u w:val="single"/>
            <w:rtl/>
          </w:rPr>
          <w:t>חוק העונשין</w:t>
        </w:r>
      </w:hyperlink>
      <w:r>
        <w:rPr>
          <w:rFonts w:cs="FrankRuehl" w:hint="cs"/>
          <w:sz w:val="28"/>
          <w:szCs w:val="28"/>
          <w:rtl/>
        </w:rPr>
        <w:t xml:space="preserve">, שהעונש עליה הוא עד 3 שנות מאסר. יש להוסיף לכך את העבירה של נהיגה ללא רישיון. במקרה חמור בהרבה, אושר מתחם ענישה שבין מאסר על-תנאי ועד 12 חודשי מאסר </w:t>
      </w:r>
      <w:r>
        <w:rPr>
          <w:rFonts w:cs="FrankRuehl"/>
          <w:sz w:val="28"/>
          <w:szCs w:val="28"/>
          <w:rtl/>
        </w:rPr>
        <w:t>–</w:t>
      </w:r>
      <w:r>
        <w:rPr>
          <w:rFonts w:cs="FrankRuehl" w:hint="cs"/>
          <w:sz w:val="28"/>
          <w:szCs w:val="28"/>
          <w:rtl/>
        </w:rPr>
        <w:t xml:space="preserve"> </w:t>
      </w:r>
      <w:hyperlink r:id="rId34" w:history="1">
        <w:r w:rsidR="00ED6FB5" w:rsidRPr="00ED6FB5">
          <w:rPr>
            <w:rFonts w:cs="FrankRuehl"/>
            <w:color w:val="0000FF"/>
            <w:sz w:val="28"/>
            <w:szCs w:val="28"/>
            <w:u w:val="single"/>
            <w:rtl/>
          </w:rPr>
          <w:t>רע"פ 2910/20</w:t>
        </w:r>
      </w:hyperlink>
      <w:r>
        <w:rPr>
          <w:rFonts w:cs="FrankRuehl" w:hint="cs"/>
          <w:sz w:val="28"/>
          <w:szCs w:val="28"/>
          <w:rtl/>
        </w:rPr>
        <w:t xml:space="preserve"> </w:t>
      </w:r>
      <w:r w:rsidRPr="009C112C">
        <w:rPr>
          <w:rFonts w:cs="FrankRuehl" w:hint="cs"/>
          <w:b/>
          <w:bCs/>
          <w:sz w:val="28"/>
          <w:szCs w:val="28"/>
          <w:u w:val="single"/>
          <w:rtl/>
        </w:rPr>
        <w:t>הייב</w:t>
      </w:r>
      <w:r>
        <w:rPr>
          <w:rFonts w:cs="FrankRuehl" w:hint="cs"/>
          <w:sz w:val="28"/>
          <w:szCs w:val="28"/>
          <w:rtl/>
        </w:rPr>
        <w:t xml:space="preserve"> נ' </w:t>
      </w:r>
      <w:r w:rsidRPr="009C112C">
        <w:rPr>
          <w:rFonts w:cs="FrankRuehl" w:hint="cs"/>
          <w:b/>
          <w:bCs/>
          <w:sz w:val="28"/>
          <w:szCs w:val="28"/>
          <w:u w:val="single"/>
          <w:rtl/>
        </w:rPr>
        <w:t>מ"י</w:t>
      </w:r>
      <w:r>
        <w:rPr>
          <w:rFonts w:cs="FrankRuehl" w:hint="cs"/>
          <w:sz w:val="28"/>
          <w:szCs w:val="28"/>
          <w:rtl/>
        </w:rPr>
        <w:t xml:space="preserve"> (מיום 7.5.2020). באותו מקרה נגזר מאסר בפועל תוך הפעלת מאסר מותנה, וזאת למשך 12 חודשים כאשר דובר באדם מועד, ולכן ההפנייה נוגעת רק לאישור מתחם הענישה.</w:t>
      </w:r>
    </w:p>
    <w:p w14:paraId="0F26A6C8" w14:textId="77777777" w:rsidR="000C2552" w:rsidRDefault="000C2552" w:rsidP="000C2552">
      <w:pPr>
        <w:spacing w:line="360" w:lineRule="auto"/>
        <w:jc w:val="both"/>
        <w:rPr>
          <w:rFonts w:cs="FrankRuehl"/>
          <w:sz w:val="28"/>
          <w:szCs w:val="28"/>
          <w:rtl/>
        </w:rPr>
      </w:pPr>
    </w:p>
    <w:p w14:paraId="58D8FF13" w14:textId="77777777" w:rsidR="000C2552" w:rsidRDefault="000C2552" w:rsidP="000C2552">
      <w:pPr>
        <w:spacing w:line="360" w:lineRule="auto"/>
        <w:jc w:val="both"/>
        <w:rPr>
          <w:rFonts w:cs="FrankRuehl"/>
          <w:sz w:val="28"/>
          <w:szCs w:val="28"/>
          <w:rtl/>
        </w:rPr>
      </w:pPr>
      <w:r w:rsidRPr="009C112C">
        <w:rPr>
          <w:rFonts w:cs="FrankRuehl" w:hint="cs"/>
          <w:sz w:val="28"/>
          <w:szCs w:val="28"/>
          <w:u w:val="single"/>
          <w:rtl/>
        </w:rPr>
        <w:t>אשר לתיק השלישי</w:t>
      </w:r>
      <w:r>
        <w:rPr>
          <w:rFonts w:cs="FrankRuehl" w:hint="cs"/>
          <w:sz w:val="28"/>
          <w:szCs w:val="28"/>
          <w:rtl/>
        </w:rPr>
        <w:t xml:space="preserve"> </w:t>
      </w:r>
      <w:r>
        <w:rPr>
          <w:rFonts w:cs="FrankRuehl"/>
          <w:sz w:val="28"/>
          <w:szCs w:val="28"/>
          <w:rtl/>
        </w:rPr>
        <w:t>–</w:t>
      </w:r>
      <w:r>
        <w:rPr>
          <w:rFonts w:cs="FrankRuehl" w:hint="cs"/>
          <w:sz w:val="28"/>
          <w:szCs w:val="28"/>
          <w:rtl/>
        </w:rPr>
        <w:t xml:space="preserve"> בהחזקת אגרופן (להבדיל מהחזקת סכין)  ניתן למצוא תיקים המסתיימים בשל"ץ ואף ללא הרשעה. ר' בהקשר זה: </w:t>
      </w:r>
      <w:hyperlink r:id="rId35" w:history="1">
        <w:r w:rsidR="00ED6FB5" w:rsidRPr="00ED6FB5">
          <w:rPr>
            <w:rFonts w:cs="FrankRuehl"/>
            <w:color w:val="0000FF"/>
            <w:sz w:val="28"/>
            <w:szCs w:val="28"/>
            <w:u w:val="single"/>
            <w:rtl/>
          </w:rPr>
          <w:t>רע"פ 1949/15</w:t>
        </w:r>
      </w:hyperlink>
      <w:r>
        <w:rPr>
          <w:rFonts w:cs="FrankRuehl" w:hint="cs"/>
          <w:sz w:val="28"/>
          <w:szCs w:val="28"/>
          <w:rtl/>
        </w:rPr>
        <w:t xml:space="preserve"> </w:t>
      </w:r>
      <w:r w:rsidRPr="009C112C">
        <w:rPr>
          <w:rFonts w:cs="FrankRuehl" w:hint="cs"/>
          <w:b/>
          <w:bCs/>
          <w:sz w:val="28"/>
          <w:szCs w:val="28"/>
          <w:u w:val="single"/>
          <w:rtl/>
        </w:rPr>
        <w:t>תקרורי</w:t>
      </w:r>
      <w:r>
        <w:rPr>
          <w:rFonts w:cs="FrankRuehl" w:hint="cs"/>
          <w:sz w:val="28"/>
          <w:szCs w:val="28"/>
          <w:rtl/>
        </w:rPr>
        <w:t xml:space="preserve"> נ' </w:t>
      </w:r>
      <w:r w:rsidRPr="009C112C">
        <w:rPr>
          <w:rFonts w:cs="FrankRuehl" w:hint="cs"/>
          <w:b/>
          <w:bCs/>
          <w:sz w:val="28"/>
          <w:szCs w:val="28"/>
          <w:u w:val="single"/>
          <w:rtl/>
        </w:rPr>
        <w:t>מ"י</w:t>
      </w:r>
      <w:r>
        <w:rPr>
          <w:rFonts w:cs="FrankRuehl" w:hint="cs"/>
          <w:sz w:val="28"/>
          <w:szCs w:val="28"/>
          <w:rtl/>
        </w:rPr>
        <w:t xml:space="preserve"> (מיום 2.4.2015) שם נותרה הרשעה על כנה, הוטל של"ץ בהיקף 180 שעות ומאסר מותנה. ב</w:t>
      </w:r>
      <w:hyperlink r:id="rId36" w:history="1">
        <w:r w:rsidR="00ED6FB5" w:rsidRPr="00ED6FB5">
          <w:rPr>
            <w:rFonts w:cs="FrankRuehl"/>
            <w:color w:val="0000FF"/>
            <w:sz w:val="28"/>
            <w:szCs w:val="28"/>
            <w:u w:val="single"/>
            <w:rtl/>
          </w:rPr>
          <w:t>רע"פ 3446/10</w:t>
        </w:r>
      </w:hyperlink>
      <w:r>
        <w:rPr>
          <w:rFonts w:cs="FrankRuehl" w:hint="cs"/>
          <w:sz w:val="28"/>
          <w:szCs w:val="28"/>
          <w:rtl/>
        </w:rPr>
        <w:t xml:space="preserve"> </w:t>
      </w:r>
      <w:r w:rsidRPr="009C112C">
        <w:rPr>
          <w:rFonts w:cs="FrankRuehl" w:hint="cs"/>
          <w:b/>
          <w:bCs/>
          <w:sz w:val="28"/>
          <w:szCs w:val="28"/>
          <w:u w:val="single"/>
          <w:rtl/>
        </w:rPr>
        <w:t>עבד אלחלים</w:t>
      </w:r>
      <w:r>
        <w:rPr>
          <w:rFonts w:cs="FrankRuehl" w:hint="cs"/>
          <w:sz w:val="28"/>
          <w:szCs w:val="28"/>
          <w:rtl/>
        </w:rPr>
        <w:t xml:space="preserve"> נ' </w:t>
      </w:r>
      <w:r w:rsidRPr="009C112C">
        <w:rPr>
          <w:rFonts w:cs="FrankRuehl" w:hint="cs"/>
          <w:b/>
          <w:bCs/>
          <w:sz w:val="28"/>
          <w:szCs w:val="28"/>
          <w:u w:val="single"/>
          <w:rtl/>
        </w:rPr>
        <w:t>מ"י</w:t>
      </w:r>
      <w:r>
        <w:rPr>
          <w:rFonts w:cs="FrankRuehl" w:hint="cs"/>
          <w:sz w:val="28"/>
          <w:szCs w:val="28"/>
          <w:rtl/>
        </w:rPr>
        <w:t xml:space="preserve"> (מיום 6.4.2011) הסתיים תיק באי-הרשעה, הטלת של"ץ בהיקף 200 שעות, צו מבחן והתחייבות.</w:t>
      </w:r>
    </w:p>
    <w:p w14:paraId="17BE737E" w14:textId="77777777" w:rsidR="000C2552" w:rsidRDefault="000C2552" w:rsidP="000C2552">
      <w:pPr>
        <w:spacing w:line="360" w:lineRule="auto"/>
        <w:jc w:val="both"/>
        <w:rPr>
          <w:rFonts w:cs="FrankRuehl"/>
          <w:sz w:val="28"/>
          <w:szCs w:val="28"/>
          <w:u w:val="single"/>
          <w:rtl/>
        </w:rPr>
      </w:pPr>
    </w:p>
    <w:p w14:paraId="0061585B" w14:textId="77777777" w:rsidR="000C2552" w:rsidRDefault="000C2552" w:rsidP="000C2552">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w:t>
      </w:r>
      <w:r>
        <w:rPr>
          <w:rFonts w:cs="FrankRuehl" w:hint="cs"/>
          <w:sz w:val="28"/>
          <w:szCs w:val="28"/>
          <w:rtl/>
        </w:rPr>
        <w:t>בכל אחד מהתיקים להלן מתחמי הענישה:</w:t>
      </w:r>
    </w:p>
    <w:p w14:paraId="31875BA6" w14:textId="77777777" w:rsidR="000C2552" w:rsidRDefault="000C2552" w:rsidP="000C2552">
      <w:pPr>
        <w:spacing w:line="360" w:lineRule="auto"/>
        <w:jc w:val="both"/>
        <w:rPr>
          <w:rFonts w:cs="FrankRuehl"/>
          <w:sz w:val="28"/>
          <w:szCs w:val="28"/>
          <w:rtl/>
        </w:rPr>
      </w:pPr>
      <w:r w:rsidRPr="009C112C">
        <w:rPr>
          <w:rFonts w:cs="FrankRuehl" w:hint="cs"/>
          <w:sz w:val="28"/>
          <w:szCs w:val="28"/>
          <w:u w:val="single"/>
          <w:rtl/>
        </w:rPr>
        <w:t>בתיק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מאסר על-תנאי ושל"ץ ועד 6 חודשי מאסר.</w:t>
      </w:r>
    </w:p>
    <w:p w14:paraId="30D3B8D0" w14:textId="77777777" w:rsidR="000C2552" w:rsidRDefault="000C2552" w:rsidP="000C2552">
      <w:pPr>
        <w:spacing w:line="360" w:lineRule="auto"/>
        <w:jc w:val="both"/>
        <w:rPr>
          <w:rFonts w:cs="FrankRuehl"/>
          <w:sz w:val="28"/>
          <w:szCs w:val="28"/>
          <w:rtl/>
        </w:rPr>
      </w:pPr>
      <w:r w:rsidRPr="009C112C">
        <w:rPr>
          <w:rFonts w:cs="FrankRuehl" w:hint="cs"/>
          <w:sz w:val="28"/>
          <w:szCs w:val="28"/>
          <w:u w:val="single"/>
          <w:rtl/>
        </w:rPr>
        <w:t>בתיק השני</w:t>
      </w:r>
      <w:r>
        <w:rPr>
          <w:rFonts w:cs="FrankRuehl" w:hint="cs"/>
          <w:sz w:val="28"/>
          <w:szCs w:val="28"/>
          <w:rtl/>
        </w:rPr>
        <w:t xml:space="preserve"> </w:t>
      </w:r>
      <w:r>
        <w:rPr>
          <w:rFonts w:cs="FrankRuehl"/>
          <w:sz w:val="28"/>
          <w:szCs w:val="28"/>
          <w:rtl/>
        </w:rPr>
        <w:t>–</w:t>
      </w:r>
      <w:r>
        <w:rPr>
          <w:rFonts w:cs="FrankRuehl" w:hint="cs"/>
          <w:sz w:val="28"/>
          <w:szCs w:val="28"/>
          <w:rtl/>
        </w:rPr>
        <w:t xml:space="preserve"> מאסר על-תנאי ושל"ץ וכן פסילת מינימום של 3 שנים, ועד 8 חודשי מאסר.</w:t>
      </w:r>
    </w:p>
    <w:p w14:paraId="4565CCB1" w14:textId="77777777" w:rsidR="000C2552" w:rsidRDefault="000C2552" w:rsidP="000C2552">
      <w:pPr>
        <w:spacing w:line="360" w:lineRule="auto"/>
        <w:jc w:val="both"/>
        <w:rPr>
          <w:rFonts w:cs="FrankRuehl"/>
          <w:sz w:val="28"/>
          <w:szCs w:val="28"/>
          <w:rtl/>
        </w:rPr>
      </w:pPr>
      <w:r w:rsidRPr="009C112C">
        <w:rPr>
          <w:rFonts w:cs="FrankRuehl" w:hint="cs"/>
          <w:sz w:val="28"/>
          <w:szCs w:val="28"/>
          <w:u w:val="single"/>
          <w:rtl/>
        </w:rPr>
        <w:t>בתיק השלישי</w:t>
      </w:r>
      <w:r>
        <w:rPr>
          <w:rFonts w:cs="FrankRuehl" w:hint="cs"/>
          <w:sz w:val="28"/>
          <w:szCs w:val="28"/>
          <w:rtl/>
        </w:rPr>
        <w:t xml:space="preserve"> </w:t>
      </w:r>
      <w:r>
        <w:rPr>
          <w:rFonts w:cs="FrankRuehl"/>
          <w:sz w:val="28"/>
          <w:szCs w:val="28"/>
          <w:rtl/>
        </w:rPr>
        <w:t>–</w:t>
      </w:r>
      <w:r>
        <w:rPr>
          <w:rFonts w:cs="FrankRuehl" w:hint="cs"/>
          <w:sz w:val="28"/>
          <w:szCs w:val="28"/>
          <w:rtl/>
        </w:rPr>
        <w:t xml:space="preserve"> מאסר על-תנאי ושל"ץ ועד 6 חודשי מאסר.</w:t>
      </w:r>
    </w:p>
    <w:p w14:paraId="6D6A86ED" w14:textId="77777777" w:rsidR="000C2552" w:rsidRDefault="000C2552" w:rsidP="000C2552">
      <w:pPr>
        <w:spacing w:line="360" w:lineRule="auto"/>
        <w:jc w:val="both"/>
        <w:rPr>
          <w:rFonts w:cs="FrankRuehl"/>
          <w:b/>
          <w:bCs/>
          <w:sz w:val="28"/>
          <w:szCs w:val="28"/>
          <w:rtl/>
        </w:rPr>
      </w:pPr>
    </w:p>
    <w:p w14:paraId="2AC73021" w14:textId="77777777" w:rsidR="000C2552" w:rsidRDefault="000C2552" w:rsidP="000C2552">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7" w:history="1">
        <w:r w:rsidR="00EE67BC" w:rsidRPr="00EE67BC">
          <w:rPr>
            <w:rStyle w:val="Hyperlink"/>
            <w:rFonts w:cs="FrankRuehl"/>
            <w:b/>
            <w:bCs/>
            <w:sz w:val="28"/>
            <w:szCs w:val="28"/>
            <w:rtl/>
          </w:rPr>
          <w:t>סעיף 40י"א</w:t>
        </w:r>
      </w:hyperlink>
      <w:r>
        <w:rPr>
          <w:rFonts w:cs="FrankRuehl"/>
          <w:b/>
          <w:bCs/>
          <w:sz w:val="28"/>
          <w:szCs w:val="28"/>
          <w:u w:val="single"/>
          <w:rtl/>
        </w:rPr>
        <w:t xml:space="preserve"> ל</w:t>
      </w:r>
      <w:hyperlink r:id="rId38" w:history="1">
        <w:r w:rsidR="00ED6FB5" w:rsidRPr="00ED6FB5">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צעיר מאוד בתחילת חייו הבוגרים, ללא עבר פלילי. הוא נטל אחריות מלאה למעשים ללא הסדר לעונש, תוך שהוא מוותר על זכותו להישפט כקטין, דבר המוכיח את עומק נטילת האחריות והסיכון שנטל בכך. הנאשם התמודד בכוחות עצמו עם קשיים לא פשוטים, חדל להשתמש בסמים מיוזמתו ושומר על ניקיון תקופה ארוכה, תוך שחזר למסלול חיים יציב וערכי.</w:t>
      </w:r>
    </w:p>
    <w:p w14:paraId="368E298C" w14:textId="77777777" w:rsidR="000C2552" w:rsidRDefault="000C2552" w:rsidP="000C2552">
      <w:pPr>
        <w:spacing w:line="360" w:lineRule="auto"/>
        <w:jc w:val="both"/>
        <w:rPr>
          <w:rFonts w:cs="FrankRuehl"/>
          <w:sz w:val="28"/>
          <w:szCs w:val="28"/>
          <w:rtl/>
        </w:rPr>
      </w:pPr>
    </w:p>
    <w:p w14:paraId="06DCA53F" w14:textId="77777777" w:rsidR="000C2552" w:rsidRDefault="000C2552" w:rsidP="000C2552">
      <w:pPr>
        <w:spacing w:line="360" w:lineRule="auto"/>
        <w:jc w:val="both"/>
        <w:rPr>
          <w:rFonts w:cs="FrankRuehl"/>
          <w:sz w:val="28"/>
          <w:szCs w:val="28"/>
          <w:rtl/>
        </w:rPr>
      </w:pPr>
      <w:r w:rsidRPr="000F49A2">
        <w:rPr>
          <w:rFonts w:cs="FrankRuehl"/>
          <w:b/>
          <w:bCs/>
          <w:sz w:val="28"/>
          <w:szCs w:val="28"/>
          <w:u w:val="single"/>
          <w:rtl/>
        </w:rPr>
        <w:t>אי הרשעה</w:t>
      </w:r>
      <w:r w:rsidRPr="000F49A2">
        <w:rPr>
          <w:rFonts w:cs="FrankRuehl"/>
          <w:sz w:val="28"/>
          <w:szCs w:val="28"/>
          <w:rtl/>
        </w:rPr>
        <w:t xml:space="preserve"> – בידוע, שעה שנמצא כי נאשם ביצע את העבירות המיוחסות לו, יש להרשיעו. זהו הכלל. אי-הרשעה הוא היוצא מן הכלל. ב</w:t>
      </w:r>
      <w:hyperlink r:id="rId39" w:history="1">
        <w:r w:rsidR="00ED6FB5" w:rsidRPr="00ED6FB5">
          <w:rPr>
            <w:rFonts w:cs="FrankRuehl"/>
            <w:color w:val="0000FF"/>
            <w:sz w:val="28"/>
            <w:szCs w:val="28"/>
            <w:u w:val="single"/>
            <w:rtl/>
          </w:rPr>
          <w:t>ע"פ 2083/96</w:t>
        </w:r>
      </w:hyperlink>
      <w:r w:rsidRPr="000F49A2">
        <w:rPr>
          <w:rFonts w:cs="FrankRuehl"/>
          <w:sz w:val="28"/>
          <w:szCs w:val="28"/>
          <w:rtl/>
        </w:rPr>
        <w:t xml:space="preserve"> </w:t>
      </w:r>
      <w:r w:rsidRPr="000F49A2">
        <w:rPr>
          <w:rFonts w:cs="FrankRuehl"/>
          <w:b/>
          <w:bCs/>
          <w:sz w:val="28"/>
          <w:szCs w:val="28"/>
          <w:u w:val="single"/>
          <w:rtl/>
        </w:rPr>
        <w:t>כתב</w:t>
      </w:r>
      <w:r w:rsidRPr="000F49A2">
        <w:rPr>
          <w:rFonts w:cs="FrankRuehl"/>
          <w:sz w:val="28"/>
          <w:szCs w:val="28"/>
          <w:rtl/>
        </w:rPr>
        <w:t xml:space="preserve"> נ' </w:t>
      </w:r>
      <w:r w:rsidRPr="000F49A2">
        <w:rPr>
          <w:rFonts w:cs="FrankRuehl"/>
          <w:b/>
          <w:bCs/>
          <w:sz w:val="28"/>
          <w:szCs w:val="28"/>
          <w:u w:val="single"/>
          <w:rtl/>
        </w:rPr>
        <w:t>מ"י</w:t>
      </w:r>
      <w:r w:rsidRPr="000F49A2">
        <w:rPr>
          <w:rFonts w:cs="FrankRuehl"/>
          <w:sz w:val="28"/>
          <w:szCs w:val="28"/>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40" w:history="1">
        <w:r w:rsidR="00ED6FB5" w:rsidRPr="00ED6FB5">
          <w:rPr>
            <w:rFonts w:cs="FrankRuehl"/>
            <w:color w:val="0000FF"/>
            <w:sz w:val="28"/>
            <w:szCs w:val="28"/>
            <w:u w:val="single"/>
            <w:rtl/>
          </w:rPr>
          <w:t>ע"פ 5985/13</w:t>
        </w:r>
      </w:hyperlink>
      <w:r w:rsidRPr="000F49A2">
        <w:rPr>
          <w:rFonts w:cs="FrankRuehl"/>
          <w:sz w:val="28"/>
          <w:szCs w:val="28"/>
          <w:rtl/>
        </w:rPr>
        <w:t xml:space="preserve"> </w:t>
      </w:r>
      <w:r w:rsidRPr="000F49A2">
        <w:rPr>
          <w:rFonts w:cs="FrankRuehl"/>
          <w:b/>
          <w:bCs/>
          <w:sz w:val="28"/>
          <w:szCs w:val="28"/>
          <w:u w:val="single"/>
          <w:rtl/>
        </w:rPr>
        <w:t>אבן</w:t>
      </w:r>
      <w:r w:rsidRPr="000F49A2">
        <w:rPr>
          <w:rFonts w:cs="FrankRuehl"/>
          <w:sz w:val="28"/>
          <w:szCs w:val="28"/>
          <w:rtl/>
        </w:rPr>
        <w:t xml:space="preserve"> נ' </w:t>
      </w:r>
      <w:r w:rsidRPr="000F49A2">
        <w:rPr>
          <w:rFonts w:cs="FrankRuehl"/>
          <w:b/>
          <w:bCs/>
          <w:sz w:val="28"/>
          <w:szCs w:val="28"/>
          <w:u w:val="single"/>
          <w:rtl/>
        </w:rPr>
        <w:t>מ"י</w:t>
      </w:r>
      <w:r w:rsidRPr="000F49A2">
        <w:rPr>
          <w:rFonts w:cs="FrankRuehl"/>
          <w:sz w:val="28"/>
          <w:szCs w:val="28"/>
          <w:rtl/>
        </w:rPr>
        <w:t xml:space="preserve"> (מיום 2.4.2014) בפסקאות 6 ו-7. </w:t>
      </w:r>
      <w:r w:rsidRPr="000F49A2">
        <w:rPr>
          <w:rFonts w:cs="FrankRuehl" w:hint="cs"/>
          <w:sz w:val="28"/>
          <w:szCs w:val="28"/>
          <w:rtl/>
        </w:rPr>
        <w:t xml:space="preserve">מצד אחד, כל אחת מהעבירות יכולה להצדיק בנסיבותיה את סיום התיק ללא הרשעה. עוד לקולא יצוין, כי הנאשם ביצע חלק מהמעשים בהיותו קטין שעה שהדין שונה ביחס להרשעתם של קטינים. הנאשם ויתר על זכות זו במודע והדבר מעיד על נטילת האחריות. מצד שני, מדובר ברצף של מעשים שבגינם הוגשו כתבי אישום שונים, </w:t>
      </w:r>
      <w:r>
        <w:rPr>
          <w:rFonts w:cs="FrankRuehl" w:hint="cs"/>
          <w:sz w:val="28"/>
          <w:szCs w:val="28"/>
          <w:rtl/>
        </w:rPr>
        <w:t xml:space="preserve">ומכאן החומרא. יחד עם זאת, לנוכח גילו של הנאשם וביצוע חלק מהמעשים כשהיה קטין, מצאתי שיש מקום להימנע מהרשעתו, בין היתר כביטוי לכברת הדרך שעשה. </w:t>
      </w:r>
    </w:p>
    <w:p w14:paraId="59BC1D01" w14:textId="77777777" w:rsidR="000C2552" w:rsidRDefault="000C2552" w:rsidP="000C2552">
      <w:pPr>
        <w:rPr>
          <w:rFonts w:cs="FrankRuehl"/>
          <w:sz w:val="28"/>
          <w:szCs w:val="28"/>
          <w:rtl/>
        </w:rPr>
      </w:pPr>
    </w:p>
    <w:p w14:paraId="20B19545" w14:textId="77777777" w:rsidR="000C2552" w:rsidRDefault="000C2552" w:rsidP="000C2552">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במכלול השיקולים יש למקם את הנאשם בתחתית המתחמים שקבעתי. שיקול מרכזי שיש לציין, הוא העובדה שבשני תיקים יכול היה הנאשם להישפט כנער, אך ויתר על זכותו זו, ויש לזקוף זאת לזכותו. כמו כן, שירות המבחן המליץ המלצה חיובית המוצדקת בנסיבות העניין. </w:t>
      </w:r>
    </w:p>
    <w:p w14:paraId="57B82CBD" w14:textId="77777777" w:rsidR="000C2552" w:rsidRDefault="000C2552" w:rsidP="000C2552">
      <w:pPr>
        <w:jc w:val="both"/>
        <w:rPr>
          <w:rFonts w:cs="FrankRuehl"/>
          <w:b/>
          <w:bCs/>
          <w:sz w:val="28"/>
          <w:szCs w:val="28"/>
          <w:u w:val="single"/>
          <w:rtl/>
        </w:rPr>
      </w:pPr>
    </w:p>
    <w:p w14:paraId="4F994319" w14:textId="77777777" w:rsidR="000C2552" w:rsidRDefault="000C2552" w:rsidP="000C2552">
      <w:pPr>
        <w:spacing w:line="360" w:lineRule="auto"/>
        <w:jc w:val="both"/>
        <w:rPr>
          <w:rFonts w:cs="FrankRuehl"/>
          <w:b/>
          <w:bCs/>
          <w:sz w:val="28"/>
          <w:szCs w:val="28"/>
          <w:u w:val="single"/>
          <w:rtl/>
        </w:rPr>
      </w:pPr>
      <w:r>
        <w:rPr>
          <w:rFonts w:cs="FrankRuehl"/>
          <w:b/>
          <w:bCs/>
          <w:sz w:val="28"/>
          <w:szCs w:val="28"/>
          <w:u w:val="single"/>
          <w:rtl/>
        </w:rPr>
        <w:t>גזירת הדין</w:t>
      </w:r>
    </w:p>
    <w:p w14:paraId="45AFFA43" w14:textId="77777777" w:rsidR="000C2552" w:rsidRDefault="000C2552" w:rsidP="000C2552">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0B20B090" w14:textId="77777777" w:rsidR="000C2552" w:rsidRDefault="000C2552" w:rsidP="000C2552">
      <w:pPr>
        <w:numPr>
          <w:ilvl w:val="0"/>
          <w:numId w:val="1"/>
        </w:numPr>
        <w:spacing w:after="160" w:line="360" w:lineRule="auto"/>
        <w:contextualSpacing/>
        <w:jc w:val="both"/>
        <w:rPr>
          <w:rFonts w:cs="FrankRuehl"/>
          <w:sz w:val="28"/>
          <w:szCs w:val="28"/>
        </w:rPr>
      </w:pPr>
      <w:r>
        <w:rPr>
          <w:rFonts w:cs="FrankRuehl" w:hint="cs"/>
          <w:sz w:val="28"/>
          <w:szCs w:val="28"/>
          <w:rtl/>
        </w:rPr>
        <w:t xml:space="preserve">350 </w:t>
      </w:r>
      <w:r>
        <w:rPr>
          <w:rFonts w:cs="FrankRuehl"/>
          <w:sz w:val="28"/>
          <w:szCs w:val="28"/>
          <w:rtl/>
        </w:rPr>
        <w:t xml:space="preserve">שעות שירות לתועלת הציבור (של"ץ), אשר ירוצו </w:t>
      </w:r>
      <w:r>
        <w:rPr>
          <w:rFonts w:cs="FrankRuehl" w:hint="cs"/>
          <w:sz w:val="28"/>
          <w:szCs w:val="28"/>
          <w:rtl/>
        </w:rPr>
        <w:t xml:space="preserve">לא לפני 2.8.2020 </w:t>
      </w:r>
      <w:r>
        <w:rPr>
          <w:rFonts w:cs="FrankRuehl"/>
          <w:sz w:val="28"/>
          <w:szCs w:val="28"/>
          <w:rtl/>
        </w:rPr>
        <w:t>על-פי התוכנית ש</w:t>
      </w:r>
      <w:r>
        <w:rPr>
          <w:rFonts w:cs="FrankRuehl" w:hint="cs"/>
          <w:sz w:val="28"/>
          <w:szCs w:val="28"/>
          <w:rtl/>
        </w:rPr>
        <w:t>י</w:t>
      </w:r>
      <w:r>
        <w:rPr>
          <w:rFonts w:cs="FrankRuehl"/>
          <w:sz w:val="28"/>
          <w:szCs w:val="28"/>
          <w:rtl/>
        </w:rPr>
        <w:t xml:space="preserve">כין שירות המבחן ובפיקוחו. </w:t>
      </w:r>
      <w:r w:rsidRPr="00B73B38">
        <w:rPr>
          <w:rFonts w:cs="FrankRuehl" w:hint="cs"/>
          <w:sz w:val="28"/>
          <w:szCs w:val="28"/>
          <w:u w:val="single"/>
          <w:rtl/>
        </w:rPr>
        <w:t>השירות יגיש תוכניתו בתוך 30 יום מהיום.</w:t>
      </w:r>
      <w:r>
        <w:rPr>
          <w:rFonts w:cs="FrankRuehl" w:hint="cs"/>
          <w:sz w:val="28"/>
          <w:szCs w:val="28"/>
          <w:rtl/>
        </w:rPr>
        <w:t xml:space="preserve"> </w:t>
      </w:r>
      <w:r>
        <w:rPr>
          <w:rFonts w:cs="FrankRuehl"/>
          <w:sz w:val="28"/>
          <w:szCs w:val="28"/>
          <w:rtl/>
        </w:rPr>
        <w:t>הנאשם הוזהר כי אי-קיום צו השל"ץ באופן משביע רצון עלול להביא להפקעת הצו ולדיון מחודש בשאלת גזר הדין הראוי לרבות הרשעה והטלת מאסר בפועל;</w:t>
      </w:r>
    </w:p>
    <w:p w14:paraId="00223E16" w14:textId="77777777" w:rsidR="000C2552" w:rsidRDefault="000C2552" w:rsidP="000C2552">
      <w:pPr>
        <w:numPr>
          <w:ilvl w:val="0"/>
          <w:numId w:val="1"/>
        </w:numPr>
        <w:spacing w:after="160" w:line="360" w:lineRule="auto"/>
        <w:contextualSpacing/>
        <w:jc w:val="both"/>
        <w:rPr>
          <w:rFonts w:cs="FrankRuehl"/>
          <w:sz w:val="28"/>
          <w:szCs w:val="28"/>
        </w:rPr>
      </w:pPr>
      <w:r>
        <w:rPr>
          <w:rFonts w:cs="FrankRuehl" w:hint="cs"/>
          <w:sz w:val="28"/>
          <w:szCs w:val="28"/>
          <w:rtl/>
        </w:rPr>
        <w:t>פסילה בפועל מלהחזיר רישיון נהיגה למשך 12 חודשים מהיום. הנאשם יפקיד את הרישיון כעת במזכירות בית המשפט. לא יפקיד את הרישיון, יהא פסול בפועל מבלי שתקופה שקבעתי תחל להימנות;</w:t>
      </w:r>
    </w:p>
    <w:p w14:paraId="3CB48731" w14:textId="77777777" w:rsidR="000C2552" w:rsidRDefault="000C2552" w:rsidP="000C2552">
      <w:pPr>
        <w:numPr>
          <w:ilvl w:val="0"/>
          <w:numId w:val="1"/>
        </w:numPr>
        <w:spacing w:after="160" w:line="360" w:lineRule="auto"/>
        <w:contextualSpacing/>
        <w:jc w:val="both"/>
        <w:rPr>
          <w:rFonts w:cs="FrankRuehl"/>
          <w:sz w:val="28"/>
          <w:szCs w:val="28"/>
        </w:rPr>
      </w:pPr>
      <w:r>
        <w:rPr>
          <w:rFonts w:cs="FrankRuehl" w:hint="cs"/>
          <w:sz w:val="28"/>
          <w:szCs w:val="28"/>
          <w:rtl/>
        </w:rPr>
        <w:t>פסילה למשך  חודשים וזאת על-תנאי, לבל יבצע הנאשם את עבירות התעבורה בהן הודה וכן עבירות סמים במשך שנתיים מהיום;</w:t>
      </w:r>
    </w:p>
    <w:p w14:paraId="74B33B4A" w14:textId="77777777" w:rsidR="000C2552" w:rsidRDefault="000C2552" w:rsidP="000C2552">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12 חודשים מהיום</w:t>
      </w:r>
      <w:r>
        <w:rPr>
          <w:rFonts w:cs="FrankRuehl"/>
          <w:sz w:val="28"/>
          <w:szCs w:val="28"/>
          <w:rtl/>
        </w:rPr>
        <w:t xml:space="preserve">. במהלך תקופה זו הנאשם מחויב בשיתוף פעולה עם שירות המבחן, </w:t>
      </w:r>
      <w:r>
        <w:rPr>
          <w:rFonts w:cs="FrankRuehl" w:hint="cs"/>
          <w:sz w:val="28"/>
          <w:szCs w:val="28"/>
          <w:rtl/>
        </w:rPr>
        <w:t xml:space="preserve">לרבות מתן בדיקות שתן על-פי דרישתו, </w:t>
      </w:r>
      <w:r>
        <w:rPr>
          <w:rFonts w:cs="FrankRuehl"/>
          <w:sz w:val="28"/>
          <w:szCs w:val="28"/>
          <w:rtl/>
        </w:rPr>
        <w:t>כאשר מובהר כי הפרת  הצו תוכל להביא לפתיחה מחודשת של המשפט וגזירת עונשו של הנאשם, לרבות עונש מאסר.</w:t>
      </w:r>
    </w:p>
    <w:p w14:paraId="1AF681F7" w14:textId="77777777" w:rsidR="000C2552" w:rsidRDefault="000C2552" w:rsidP="000C2552">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2,000 </w:t>
      </w:r>
      <w:r>
        <w:rPr>
          <w:rFonts w:cs="FrankRuehl"/>
          <w:sz w:val="28"/>
          <w:szCs w:val="28"/>
          <w:rtl/>
        </w:rPr>
        <w:t xml:space="preserve">₪ שלא לעבור </w:t>
      </w:r>
      <w:r>
        <w:rPr>
          <w:rFonts w:cs="FrankRuehl" w:hint="cs"/>
          <w:sz w:val="28"/>
          <w:szCs w:val="28"/>
          <w:rtl/>
        </w:rPr>
        <w:t xml:space="preserve">את העבירות בהן הודה </w:t>
      </w:r>
      <w:r>
        <w:rPr>
          <w:rFonts w:cs="FrankRuehl"/>
          <w:sz w:val="28"/>
          <w:szCs w:val="28"/>
          <w:rtl/>
        </w:rPr>
        <w:t xml:space="preserve">במשך שנתיים מהיום. הובהר לנאשם שמשמעות ההתחייבות היא, כי אם יעבור את </w:t>
      </w:r>
      <w:r>
        <w:rPr>
          <w:rFonts w:cs="FrankRuehl" w:hint="cs"/>
          <w:sz w:val="28"/>
          <w:szCs w:val="28"/>
          <w:rtl/>
        </w:rPr>
        <w:t xml:space="preserve">העבירות </w:t>
      </w:r>
      <w:r>
        <w:rPr>
          <w:rFonts w:cs="FrankRuehl"/>
          <w:sz w:val="28"/>
          <w:szCs w:val="28"/>
          <w:rtl/>
        </w:rPr>
        <w:t>בתוך התקופה שצוינה, בית המשפט שיגזור את הדין יהא חייב לחלט את ההתחייבות כקנס.</w:t>
      </w:r>
    </w:p>
    <w:p w14:paraId="7DE4B2C6" w14:textId="77777777" w:rsidR="000C2552" w:rsidRDefault="000C2552" w:rsidP="000C2552">
      <w:pPr>
        <w:spacing w:line="360" w:lineRule="auto"/>
        <w:rPr>
          <w:rFonts w:ascii="FrankRuehl" w:hAnsi="FrankRuehl" w:cs="FrankRuehl"/>
          <w:sz w:val="28"/>
          <w:szCs w:val="28"/>
          <w:rtl/>
        </w:rPr>
      </w:pPr>
      <w:r>
        <w:rPr>
          <w:rFonts w:ascii="FrankRuehl" w:hAnsi="FrankRuehl" w:cs="FrankRuehl" w:hint="cs"/>
          <w:sz w:val="28"/>
          <w:szCs w:val="28"/>
          <w:rtl/>
        </w:rPr>
        <w:t>יש להשמיד את הסמים.</w:t>
      </w:r>
    </w:p>
    <w:p w14:paraId="49AB5229" w14:textId="77777777" w:rsidR="000C2552" w:rsidRDefault="00ED6FB5" w:rsidP="000C2552">
      <w:pPr>
        <w:spacing w:line="360" w:lineRule="auto"/>
        <w:rPr>
          <w:rFonts w:ascii="FrankRuehl" w:hAnsi="FrankRuehl" w:cs="FrankRuehl"/>
          <w:sz w:val="28"/>
          <w:szCs w:val="28"/>
          <w:rtl/>
        </w:rPr>
      </w:pPr>
      <w:r w:rsidRPr="00ED6FB5">
        <w:rPr>
          <w:rFonts w:ascii="FrankRuehl" w:hAnsi="FrankRuehl" w:cs="FrankRuehl"/>
          <w:color w:val="FFFFFF"/>
          <w:sz w:val="2"/>
          <w:szCs w:val="2"/>
          <w:rtl/>
        </w:rPr>
        <w:t>5129371</w:t>
      </w:r>
      <w:r w:rsidR="000C2552">
        <w:rPr>
          <w:rFonts w:ascii="FrankRuehl" w:hAnsi="FrankRuehl" w:cs="FrankRuehl"/>
          <w:sz w:val="28"/>
          <w:szCs w:val="28"/>
          <w:rtl/>
        </w:rPr>
        <w:t>יש לשלוח לשירות המבחן.</w:t>
      </w:r>
    </w:p>
    <w:p w14:paraId="4C7BCF07" w14:textId="77777777" w:rsidR="000C2552" w:rsidRDefault="00ED6FB5" w:rsidP="000C2552">
      <w:pPr>
        <w:rPr>
          <w:rFonts w:ascii="FrankRuehl" w:hAnsi="FrankRuehl" w:cs="FrankRuehl"/>
          <w:sz w:val="28"/>
          <w:szCs w:val="28"/>
          <w:rtl/>
        </w:rPr>
      </w:pPr>
      <w:r w:rsidRPr="00ED6FB5">
        <w:rPr>
          <w:rFonts w:ascii="FrankRuehl" w:hAnsi="FrankRuehl" w:cs="FrankRuehl"/>
          <w:color w:val="FFFFFF"/>
          <w:sz w:val="2"/>
          <w:szCs w:val="2"/>
          <w:rtl/>
        </w:rPr>
        <w:t>54678313</w:t>
      </w:r>
      <w:r w:rsidR="000C2552">
        <w:rPr>
          <w:rFonts w:ascii="FrankRuehl" w:hAnsi="FrankRuehl" w:cs="FrankRuehl"/>
          <w:sz w:val="28"/>
          <w:szCs w:val="28"/>
          <w:rtl/>
        </w:rPr>
        <w:t>זכות ערעור כחוק לבית המשפט המחוזי בירושלים בתוך 45 יום מהיום.</w:t>
      </w:r>
    </w:p>
    <w:p w14:paraId="44C21B1B" w14:textId="77777777" w:rsidR="000C2552" w:rsidRDefault="00ED6FB5" w:rsidP="00ED6FB5">
      <w:pPr>
        <w:jc w:val="center"/>
      </w:pPr>
      <w:bookmarkStart w:id="8" w:name="Nitan"/>
      <w:r>
        <w:rPr>
          <w:rFonts w:ascii="Arial" w:hAnsi="Arial"/>
          <w:rtl/>
        </w:rPr>
        <w:t xml:space="preserve">ניתן היום,  י"ז אלול תש"פ, 06 ספטמבר 2020, במעמד הצדדים. </w:t>
      </w:r>
      <w:bookmarkEnd w:id="8"/>
      <w:r w:rsidR="000C2552">
        <w:rPr>
          <w:rFonts w:hint="cs"/>
          <w:rtl/>
        </w:rPr>
        <w:t xml:space="preserve">  </w:t>
      </w:r>
      <w:r w:rsidR="000C2552">
        <w:rPr>
          <w:rFonts w:hint="cs"/>
          <w:rtl/>
        </w:rPr>
        <w:tab/>
      </w:r>
      <w:r w:rsidR="000C2552">
        <w:rPr>
          <w:rFonts w:hint="cs"/>
          <w:rtl/>
        </w:rPr>
        <w:tab/>
      </w:r>
      <w:r w:rsidR="000C2552">
        <w:rPr>
          <w:rFonts w:hint="cs"/>
          <w:rtl/>
        </w:rPr>
        <w:tab/>
      </w:r>
      <w:r w:rsidR="000C2552">
        <w:rPr>
          <w:rFonts w:hint="cs"/>
          <w:rtl/>
        </w:rPr>
        <w:tab/>
      </w:r>
      <w:r w:rsidR="000C2552">
        <w:rPr>
          <w:rFonts w:hint="cs"/>
          <w:rtl/>
        </w:rPr>
        <w:tab/>
      </w:r>
    </w:p>
    <w:p w14:paraId="6596B34C" w14:textId="77777777" w:rsidR="000C2552" w:rsidRDefault="000C2552" w:rsidP="000C2552">
      <w:pPr>
        <w:jc w:val="center"/>
        <w:rPr>
          <w:rFonts w:ascii="Arial" w:hAnsi="Arial" w:cs="FrankRuehl"/>
          <w:sz w:val="28"/>
          <w:szCs w:val="28"/>
          <w:rtl/>
        </w:rPr>
      </w:pPr>
    </w:p>
    <w:p w14:paraId="6169584D" w14:textId="77777777" w:rsidR="00ED6FB5" w:rsidRDefault="00ED6FB5" w:rsidP="00ED6FB5">
      <w:pPr>
        <w:rPr>
          <w:rtl/>
        </w:rPr>
      </w:pPr>
    </w:p>
    <w:p w14:paraId="216D7F2E" w14:textId="77777777" w:rsidR="00ED6FB5" w:rsidRDefault="00ED6FB5" w:rsidP="00ED6FB5">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0B4CF32" w14:textId="77777777" w:rsidR="00DB15FD" w:rsidRPr="00DB15FD" w:rsidRDefault="00DB15FD" w:rsidP="00DB15FD">
      <w:pPr>
        <w:keepNext/>
        <w:rPr>
          <w:rFonts w:ascii="David" w:hAnsi="David"/>
          <w:color w:val="000000"/>
          <w:sz w:val="22"/>
          <w:szCs w:val="22"/>
          <w:rtl/>
        </w:rPr>
      </w:pPr>
    </w:p>
    <w:p w14:paraId="337D6F95" w14:textId="77777777" w:rsidR="00DB15FD" w:rsidRPr="00DB15FD" w:rsidRDefault="00DB15FD" w:rsidP="00DB15FD">
      <w:pPr>
        <w:keepNext/>
        <w:rPr>
          <w:rFonts w:ascii="David" w:hAnsi="David"/>
          <w:color w:val="000000"/>
          <w:sz w:val="22"/>
          <w:szCs w:val="22"/>
          <w:rtl/>
        </w:rPr>
      </w:pPr>
      <w:r w:rsidRPr="00DB15FD">
        <w:rPr>
          <w:rFonts w:ascii="David" w:hAnsi="David"/>
          <w:color w:val="000000"/>
          <w:sz w:val="22"/>
          <w:szCs w:val="22"/>
          <w:rtl/>
        </w:rPr>
        <w:t>דוד שאול גבאי ריכטר 54678313-/</w:t>
      </w:r>
    </w:p>
    <w:p w14:paraId="6E2E665E" w14:textId="77777777" w:rsidR="00ED6FB5" w:rsidRPr="00ED6FB5" w:rsidRDefault="00DB15FD" w:rsidP="00DB15FD">
      <w:pPr>
        <w:rPr>
          <w:rFonts w:hint="cs"/>
          <w:color w:val="0000FF"/>
          <w:u w:val="single"/>
        </w:rPr>
      </w:pPr>
      <w:r w:rsidRPr="00DB15FD">
        <w:rPr>
          <w:color w:val="000000"/>
          <w:u w:val="single"/>
          <w:rtl/>
        </w:rPr>
        <w:t>נוסח מסמך זה כפוף לשינויי ניסוח ועריכה</w:t>
      </w:r>
      <w:r w:rsidR="00DD10BC">
        <w:rPr>
          <w:rFonts w:hint="cs"/>
          <w:color w:val="0000FF"/>
          <w:u w:val="single"/>
          <w:rtl/>
        </w:rPr>
        <w:t xml:space="preserve"> </w:t>
      </w:r>
    </w:p>
    <w:sectPr w:rsidR="00ED6FB5" w:rsidRPr="00ED6FB5" w:rsidSect="00DB15FD">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B0AD4" w14:textId="77777777" w:rsidR="00FB3052" w:rsidRDefault="00FB3052" w:rsidP="004A1A3A">
      <w:r>
        <w:separator/>
      </w:r>
    </w:p>
  </w:endnote>
  <w:endnote w:type="continuationSeparator" w:id="0">
    <w:p w14:paraId="0608A5F7" w14:textId="77777777" w:rsidR="00FB3052" w:rsidRDefault="00FB3052" w:rsidP="004A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881F" w14:textId="77777777" w:rsidR="00DB15FD" w:rsidRDefault="00DB15FD" w:rsidP="00DB15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0E066C" w14:textId="77777777" w:rsidR="00B55FBE" w:rsidRPr="00DB15FD" w:rsidRDefault="00DB15FD" w:rsidP="00DB15FD">
    <w:pPr>
      <w:pStyle w:val="a5"/>
      <w:pBdr>
        <w:top w:val="single" w:sz="4" w:space="1" w:color="auto"/>
        <w:between w:val="single" w:sz="4" w:space="0" w:color="auto"/>
      </w:pBdr>
      <w:spacing w:after="60"/>
      <w:jc w:val="center"/>
      <w:rPr>
        <w:rFonts w:ascii="FrankRuehl" w:hAnsi="FrankRuehl" w:cs="FrankRuehl"/>
        <w:color w:val="000000"/>
      </w:rPr>
    </w:pPr>
    <w:r w:rsidRPr="00DB15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C1896" w14:textId="77777777" w:rsidR="00DB15FD" w:rsidRDefault="00DB15FD" w:rsidP="00DB15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6251">
      <w:rPr>
        <w:rFonts w:ascii="FrankRuehl" w:hAnsi="FrankRuehl" w:cs="FrankRuehl"/>
        <w:noProof/>
        <w:rtl/>
      </w:rPr>
      <w:t>1</w:t>
    </w:r>
    <w:r>
      <w:rPr>
        <w:rFonts w:ascii="FrankRuehl" w:hAnsi="FrankRuehl" w:cs="FrankRuehl"/>
        <w:rtl/>
      </w:rPr>
      <w:fldChar w:fldCharType="end"/>
    </w:r>
  </w:p>
  <w:p w14:paraId="380803DD" w14:textId="77777777" w:rsidR="00B55FBE" w:rsidRPr="00DB15FD" w:rsidRDefault="00DB15FD" w:rsidP="00DB15FD">
    <w:pPr>
      <w:pStyle w:val="a5"/>
      <w:pBdr>
        <w:top w:val="single" w:sz="4" w:space="1" w:color="auto"/>
        <w:between w:val="single" w:sz="4" w:space="0" w:color="auto"/>
      </w:pBdr>
      <w:spacing w:after="60"/>
      <w:jc w:val="center"/>
      <w:rPr>
        <w:rFonts w:ascii="FrankRuehl" w:hAnsi="FrankRuehl" w:cs="FrankRuehl"/>
        <w:color w:val="000000"/>
      </w:rPr>
    </w:pPr>
    <w:r w:rsidRPr="00DB15FD">
      <w:rPr>
        <w:rFonts w:ascii="FrankRuehl" w:hAnsi="FrankRuehl" w:cs="FrankRuehl"/>
        <w:color w:val="000000"/>
      </w:rPr>
      <w:pict w14:anchorId="69577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B4CAB" w14:textId="77777777" w:rsidR="00FB3052" w:rsidRDefault="00FB3052" w:rsidP="004A1A3A">
      <w:r>
        <w:separator/>
      </w:r>
    </w:p>
  </w:footnote>
  <w:footnote w:type="continuationSeparator" w:id="0">
    <w:p w14:paraId="53D06F22" w14:textId="77777777" w:rsidR="00FB3052" w:rsidRDefault="00FB3052" w:rsidP="004A1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FEF41" w14:textId="77777777" w:rsidR="00ED6FB5" w:rsidRPr="00DB15FD" w:rsidRDefault="00DB15FD" w:rsidP="00DB15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24348-01-19</w:t>
    </w:r>
    <w:r>
      <w:rPr>
        <w:rFonts w:ascii="David" w:hAnsi="David"/>
        <w:color w:val="000000"/>
        <w:sz w:val="22"/>
        <w:szCs w:val="22"/>
        <w:rtl/>
      </w:rPr>
      <w:tab/>
      <w:t xml:space="preserve"> מדינת ישראל נ' שמואל אמיתי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2F806" w14:textId="77777777" w:rsidR="00ED6FB5" w:rsidRPr="00DB15FD" w:rsidRDefault="00DB15FD" w:rsidP="00DB15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24348-01-19</w:t>
    </w:r>
    <w:r>
      <w:rPr>
        <w:rFonts w:ascii="David" w:hAnsi="David"/>
        <w:color w:val="000000"/>
        <w:sz w:val="22"/>
        <w:szCs w:val="22"/>
        <w:rtl/>
      </w:rPr>
      <w:tab/>
      <w:t xml:space="preserve"> מדינת ישראל נ' שמואל אמיתי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78257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2552"/>
    <w:rsid w:val="000C2552"/>
    <w:rsid w:val="002E1744"/>
    <w:rsid w:val="00312324"/>
    <w:rsid w:val="00387D21"/>
    <w:rsid w:val="004A1A3A"/>
    <w:rsid w:val="0077084A"/>
    <w:rsid w:val="00796251"/>
    <w:rsid w:val="00953273"/>
    <w:rsid w:val="00B55FBE"/>
    <w:rsid w:val="00B607FB"/>
    <w:rsid w:val="00C501AB"/>
    <w:rsid w:val="00DB15FD"/>
    <w:rsid w:val="00DD10BC"/>
    <w:rsid w:val="00DE29E2"/>
    <w:rsid w:val="00E55A07"/>
    <w:rsid w:val="00ED6FB5"/>
    <w:rsid w:val="00EE67BC"/>
    <w:rsid w:val="00FB30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832324"/>
  <w15:chartTrackingRefBased/>
  <w15:docId w15:val="{A4B4EA24-27E5-4E45-85FB-1712570E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25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2552"/>
    <w:pPr>
      <w:tabs>
        <w:tab w:val="center" w:pos="4153"/>
        <w:tab w:val="right" w:pos="8306"/>
      </w:tabs>
    </w:pPr>
  </w:style>
  <w:style w:type="character" w:customStyle="1" w:styleId="a4">
    <w:name w:val="כותרת עליונה תו"/>
    <w:link w:val="a3"/>
    <w:rsid w:val="000C2552"/>
    <w:rPr>
      <w:rFonts w:ascii="Times New Roman" w:eastAsia="Times New Roman" w:hAnsi="Times New Roman" w:cs="David"/>
      <w:sz w:val="24"/>
      <w:szCs w:val="24"/>
    </w:rPr>
  </w:style>
  <w:style w:type="paragraph" w:styleId="a5">
    <w:name w:val="footer"/>
    <w:basedOn w:val="a"/>
    <w:link w:val="a6"/>
    <w:rsid w:val="000C2552"/>
    <w:pPr>
      <w:tabs>
        <w:tab w:val="center" w:pos="4153"/>
        <w:tab w:val="right" w:pos="8306"/>
      </w:tabs>
    </w:pPr>
  </w:style>
  <w:style w:type="character" w:customStyle="1" w:styleId="a6">
    <w:name w:val="כותרת תחתונה תו"/>
    <w:link w:val="a5"/>
    <w:rsid w:val="000C2552"/>
    <w:rPr>
      <w:rFonts w:ascii="Times New Roman" w:eastAsia="Times New Roman" w:hAnsi="Times New Roman" w:cs="David"/>
      <w:sz w:val="24"/>
      <w:szCs w:val="24"/>
    </w:rPr>
  </w:style>
  <w:style w:type="table" w:styleId="a7">
    <w:name w:val="Table Grid"/>
    <w:basedOn w:val="a1"/>
    <w:rsid w:val="000C25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2552"/>
  </w:style>
  <w:style w:type="character" w:styleId="Hyperlink">
    <w:name w:val="Hyperlink"/>
    <w:rsid w:val="00ED6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case/23433591" TargetMode="External"/><Relationship Id="rId39" Type="http://schemas.openxmlformats.org/officeDocument/2006/relationships/hyperlink" Target="http://www.nevo.co.il/case/5810781" TargetMode="External"/><Relationship Id="rId21" Type="http://schemas.openxmlformats.org/officeDocument/2006/relationships/hyperlink" Target="http://www.nevo.co.il/case/23885828" TargetMode="External"/><Relationship Id="rId34" Type="http://schemas.openxmlformats.org/officeDocument/2006/relationships/hyperlink" Target="http://www.nevo.co.il/case/2665219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40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10.a" TargetMode="External"/><Relationship Id="rId24" Type="http://schemas.openxmlformats.org/officeDocument/2006/relationships/hyperlink" Target="http://www.nevo.co.il/law/74501/2a" TargetMode="External"/><Relationship Id="rId32" Type="http://schemas.openxmlformats.org/officeDocument/2006/relationships/hyperlink" Target="http://www.nevo.co.il/law/5227"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7980179"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522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96402" TargetMode="External"/><Relationship Id="rId10" Type="http://schemas.openxmlformats.org/officeDocument/2006/relationships/hyperlink" Target="http://www.nevo.co.il/law/5227"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769122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70301/186.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118367"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5227/36b" TargetMode="External"/><Relationship Id="rId17" Type="http://schemas.openxmlformats.org/officeDocument/2006/relationships/hyperlink" Target="http://www.nevo.co.il/law/70301/186.a" TargetMode="External"/><Relationship Id="rId25" Type="http://schemas.openxmlformats.org/officeDocument/2006/relationships/hyperlink" Target="http://www.nevo.co.il/law/5227/36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1823</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10921</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3604602</vt:i4>
      </vt:variant>
      <vt:variant>
        <vt:i4>102</vt:i4>
      </vt:variant>
      <vt:variant>
        <vt:i4>0</vt:i4>
      </vt:variant>
      <vt:variant>
        <vt:i4>5</vt:i4>
      </vt:variant>
      <vt:variant>
        <vt:lpwstr>http://www.nevo.co.il/case/7980179</vt:lpwstr>
      </vt:variant>
      <vt:variant>
        <vt:lpwstr/>
      </vt:variant>
      <vt:variant>
        <vt:i4>3276916</vt:i4>
      </vt:variant>
      <vt:variant>
        <vt:i4>99</vt:i4>
      </vt:variant>
      <vt:variant>
        <vt:i4>0</vt:i4>
      </vt:variant>
      <vt:variant>
        <vt:i4>5</vt:i4>
      </vt:variant>
      <vt:variant>
        <vt:lpwstr>http://www.nevo.co.il/case/5810781</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3801210</vt:i4>
      </vt:variant>
      <vt:variant>
        <vt:i4>90</vt:i4>
      </vt:variant>
      <vt:variant>
        <vt:i4>0</vt:i4>
      </vt:variant>
      <vt:variant>
        <vt:i4>5</vt:i4>
      </vt:variant>
      <vt:variant>
        <vt:lpwstr>http://www.nevo.co.il/case/5896402</vt:lpwstr>
      </vt:variant>
      <vt:variant>
        <vt:lpwstr/>
      </vt:variant>
      <vt:variant>
        <vt:i4>3997814</vt:i4>
      </vt:variant>
      <vt:variant>
        <vt:i4>87</vt:i4>
      </vt:variant>
      <vt:variant>
        <vt:i4>0</vt:i4>
      </vt:variant>
      <vt:variant>
        <vt:i4>5</vt:i4>
      </vt:variant>
      <vt:variant>
        <vt:lpwstr>http://www.nevo.co.il/case/20118367</vt:lpwstr>
      </vt:variant>
      <vt:variant>
        <vt:lpwstr/>
      </vt:variant>
      <vt:variant>
        <vt:i4>4128886</vt:i4>
      </vt:variant>
      <vt:variant>
        <vt:i4>84</vt:i4>
      </vt:variant>
      <vt:variant>
        <vt:i4>0</vt:i4>
      </vt:variant>
      <vt:variant>
        <vt:i4>5</vt:i4>
      </vt:variant>
      <vt:variant>
        <vt:lpwstr>http://www.nevo.co.il/case/26652190</vt:lpwstr>
      </vt:variant>
      <vt:variant>
        <vt:lpwstr/>
      </vt:variant>
      <vt:variant>
        <vt:i4>7995492</vt:i4>
      </vt:variant>
      <vt:variant>
        <vt:i4>81</vt:i4>
      </vt:variant>
      <vt:variant>
        <vt:i4>0</vt:i4>
      </vt:variant>
      <vt:variant>
        <vt:i4>5</vt:i4>
      </vt:variant>
      <vt:variant>
        <vt:lpwstr>http://www.nevo.co.il/law/70301</vt:lpwstr>
      </vt:variant>
      <vt:variant>
        <vt:lpwstr/>
      </vt:variant>
      <vt:variant>
        <vt:i4>8323175</vt:i4>
      </vt:variant>
      <vt:variant>
        <vt:i4>78</vt:i4>
      </vt:variant>
      <vt:variant>
        <vt:i4>0</vt:i4>
      </vt:variant>
      <vt:variant>
        <vt:i4>5</vt:i4>
      </vt:variant>
      <vt:variant>
        <vt:lpwstr>http://www.nevo.co.il/law/5227</vt:lpwstr>
      </vt:variant>
      <vt:variant>
        <vt:lpwstr/>
      </vt:variant>
      <vt:variant>
        <vt:i4>4128881</vt:i4>
      </vt:variant>
      <vt:variant>
        <vt:i4>75</vt:i4>
      </vt:variant>
      <vt:variant>
        <vt:i4>0</vt:i4>
      </vt:variant>
      <vt:variant>
        <vt:i4>5</vt:i4>
      </vt:variant>
      <vt:variant>
        <vt:lpwstr>http://www.nevo.co.il/case/7691223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4390994</vt:i4>
      </vt:variant>
      <vt:variant>
        <vt:i4>63</vt:i4>
      </vt:variant>
      <vt:variant>
        <vt:i4>0</vt:i4>
      </vt:variant>
      <vt:variant>
        <vt:i4>5</vt:i4>
      </vt:variant>
      <vt:variant>
        <vt:lpwstr>http://www.nevo.co.il/law/70301/186.a</vt:lpwstr>
      </vt:variant>
      <vt:variant>
        <vt:lpwstr/>
      </vt:variant>
      <vt:variant>
        <vt:i4>3932273</vt:i4>
      </vt:variant>
      <vt:variant>
        <vt:i4>60</vt:i4>
      </vt:variant>
      <vt:variant>
        <vt:i4>0</vt:i4>
      </vt:variant>
      <vt:variant>
        <vt:i4>5</vt:i4>
      </vt:variant>
      <vt:variant>
        <vt:lpwstr>http://www.nevo.co.il/case/23433591</vt:lpwstr>
      </vt:variant>
      <vt:variant>
        <vt:lpwstr/>
      </vt:variant>
      <vt:variant>
        <vt:i4>3014782</vt:i4>
      </vt:variant>
      <vt:variant>
        <vt:i4>57</vt:i4>
      </vt:variant>
      <vt:variant>
        <vt:i4>0</vt:i4>
      </vt:variant>
      <vt:variant>
        <vt:i4>5</vt:i4>
      </vt:variant>
      <vt:variant>
        <vt:lpwstr>http://www.nevo.co.il/law/5227/36b</vt:lpwstr>
      </vt:variant>
      <vt:variant>
        <vt:lpwstr/>
      </vt:variant>
      <vt:variant>
        <vt:i4>3145825</vt:i4>
      </vt:variant>
      <vt:variant>
        <vt:i4>54</vt:i4>
      </vt:variant>
      <vt:variant>
        <vt:i4>0</vt:i4>
      </vt:variant>
      <vt:variant>
        <vt:i4>5</vt:i4>
      </vt:variant>
      <vt:variant>
        <vt:lpwstr>http://www.nevo.co.il/law/74501/2a</vt:lpwstr>
      </vt:variant>
      <vt:variant>
        <vt:lpwstr/>
      </vt:variant>
      <vt:variant>
        <vt:i4>8323175</vt:i4>
      </vt:variant>
      <vt:variant>
        <vt:i4>51</vt:i4>
      </vt:variant>
      <vt:variant>
        <vt:i4>0</vt:i4>
      </vt:variant>
      <vt:variant>
        <vt:i4>5</vt:i4>
      </vt:variant>
      <vt:variant>
        <vt:lpwstr>http://www.nevo.co.il/law/5227</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3997815</vt:i4>
      </vt:variant>
      <vt:variant>
        <vt:i4>45</vt:i4>
      </vt:variant>
      <vt:variant>
        <vt:i4>0</vt:i4>
      </vt:variant>
      <vt:variant>
        <vt:i4>5</vt:i4>
      </vt:variant>
      <vt:variant>
        <vt:lpwstr>http://www.nevo.co.il/case/23885828</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3145845</vt:i4>
      </vt:variant>
      <vt:variant>
        <vt:i4>36</vt:i4>
      </vt:variant>
      <vt:variant>
        <vt:i4>0</vt:i4>
      </vt:variant>
      <vt:variant>
        <vt:i4>5</vt:i4>
      </vt:variant>
      <vt:variant>
        <vt:lpwstr>http://www.nevo.co.il/case/25307462</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4390994</vt:i4>
      </vt:variant>
      <vt:variant>
        <vt:i4>30</vt:i4>
      </vt:variant>
      <vt:variant>
        <vt:i4>0</vt:i4>
      </vt:variant>
      <vt:variant>
        <vt:i4>5</vt:i4>
      </vt:variant>
      <vt:variant>
        <vt:lpwstr>http://www.nevo.co.il/law/70301/186.a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3145825</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3014782</vt:i4>
      </vt:variant>
      <vt:variant>
        <vt:i4>15</vt:i4>
      </vt:variant>
      <vt:variant>
        <vt:i4>0</vt:i4>
      </vt:variant>
      <vt:variant>
        <vt:i4>5</vt:i4>
      </vt:variant>
      <vt:variant>
        <vt:lpwstr>http://www.nevo.co.il/law/5227/36b</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2025-04-23T00:01:00Z</dcterms:created>
  <dcterms:modified xsi:type="dcterms:W3CDTF">2025-04-23T00:01:00Z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24348</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שמואל אמיתי</vt:lpwstr>
  </property>
  <property fmtid="{D5CDD505-2E9C-101B-9397-08002B2CF9AE}" pid="10" name="LAWYER">
    <vt:lpwstr>מלי קסלסי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20200906</vt:lpwstr>
  </property>
  <property fmtid="{D5CDD505-2E9C-101B-9397-08002B2CF9AE}" pid="14" name="TYPE_N_DATE">
    <vt:lpwstr>38020200906</vt:lpwstr>
  </property>
  <property fmtid="{D5CDD505-2E9C-101B-9397-08002B2CF9AE}" pid="15" name="WORDNUMPAGES">
    <vt:lpwstr>6</vt:lpwstr>
  </property>
  <property fmtid="{D5CDD505-2E9C-101B-9397-08002B2CF9AE}" pid="16" name="TYPE_ABS_DATE">
    <vt:lpwstr>380020200906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25307462;23885828;23433591;7691223;26652190;20118367;5896402;5810781;7980179</vt:lpwstr>
  </property>
  <property fmtid="{D5CDD505-2E9C-101B-9397-08002B2CF9AE}" pid="36" name="LAWLISTTMP1">
    <vt:lpwstr>4216/007.a;007.c</vt:lpwstr>
  </property>
  <property fmtid="{D5CDD505-2E9C-101B-9397-08002B2CF9AE}" pid="37" name="LAWLISTTMP2">
    <vt:lpwstr>5227/010.a;036b</vt:lpwstr>
  </property>
  <property fmtid="{D5CDD505-2E9C-101B-9397-08002B2CF9AE}" pid="38" name="LAWLISTTMP3">
    <vt:lpwstr>74501/002a</vt:lpwstr>
  </property>
  <property fmtid="{D5CDD505-2E9C-101B-9397-08002B2CF9AE}" pid="39" name="LAWLISTTMP4">
    <vt:lpwstr>70301/186.a;040i;40ja</vt:lpwstr>
  </property>
</Properties>
</file>