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73613" w:rsidRPr="00AF1161" w14:paraId="544E2958" w14:textId="77777777" w:rsidTr="00D026F4">
        <w:trPr>
          <w:trHeight w:hRule="exact" w:val="418"/>
          <w:jc w:val="center"/>
        </w:trPr>
        <w:tc>
          <w:tcPr>
            <w:tcW w:w="8721" w:type="dxa"/>
            <w:gridSpan w:val="2"/>
          </w:tcPr>
          <w:p w14:paraId="661F27FE" w14:textId="77777777" w:rsidR="00A73613" w:rsidRPr="00AF1161" w:rsidRDefault="00A73613" w:rsidP="004438FE">
            <w:pPr>
              <w:pStyle w:val="a3"/>
              <w:jc w:val="center"/>
              <w:rPr>
                <w:rFonts w:ascii="Tahoma" w:hAnsi="Tahoma" w:cs="Tahoma"/>
                <w:color w:val="000080"/>
                <w:rtl/>
              </w:rPr>
            </w:pPr>
            <w:bookmarkStart w:id="0" w:name="FirstLawyer"/>
            <w:r w:rsidRPr="00AF1161">
              <w:rPr>
                <w:rFonts w:ascii="Tahoma" w:hAnsi="Tahoma" w:cs="Tahoma"/>
                <w:b/>
                <w:bCs/>
                <w:color w:val="000080"/>
                <w:rtl/>
              </w:rPr>
              <w:t>בית משפט השלום ברמלה</w:t>
            </w:r>
          </w:p>
        </w:tc>
      </w:tr>
      <w:tr w:rsidR="00A73613" w:rsidRPr="00AF1161" w14:paraId="46555C01" w14:textId="77777777" w:rsidTr="00D026F4">
        <w:trPr>
          <w:trHeight w:val="337"/>
          <w:jc w:val="center"/>
        </w:trPr>
        <w:tc>
          <w:tcPr>
            <w:tcW w:w="5055" w:type="dxa"/>
          </w:tcPr>
          <w:p w14:paraId="5594E84A" w14:textId="77777777" w:rsidR="00A73613" w:rsidRPr="00AF1161" w:rsidRDefault="00A73613" w:rsidP="004438FE">
            <w:pPr>
              <w:rPr>
                <w:rFonts w:cs="FrankRuehl"/>
                <w:sz w:val="28"/>
                <w:szCs w:val="28"/>
                <w:rtl/>
              </w:rPr>
            </w:pPr>
            <w:r w:rsidRPr="00AF1161">
              <w:rPr>
                <w:rFonts w:cs="FrankRuehl"/>
                <w:sz w:val="28"/>
                <w:szCs w:val="28"/>
                <w:rtl/>
              </w:rPr>
              <w:t>ת"פ</w:t>
            </w:r>
            <w:r w:rsidRPr="00AF1161">
              <w:rPr>
                <w:rFonts w:cs="FrankRuehl" w:hint="cs"/>
                <w:sz w:val="28"/>
                <w:szCs w:val="28"/>
                <w:rtl/>
              </w:rPr>
              <w:t xml:space="preserve"> </w:t>
            </w:r>
            <w:r w:rsidRPr="00AF1161">
              <w:rPr>
                <w:rFonts w:cs="FrankRuehl"/>
                <w:sz w:val="28"/>
                <w:szCs w:val="28"/>
                <w:rtl/>
              </w:rPr>
              <w:t>61470-01-19</w:t>
            </w:r>
            <w:r w:rsidRPr="00AF1161">
              <w:rPr>
                <w:rFonts w:cs="FrankRuehl" w:hint="cs"/>
                <w:sz w:val="28"/>
                <w:szCs w:val="28"/>
                <w:rtl/>
              </w:rPr>
              <w:t xml:space="preserve"> </w:t>
            </w:r>
            <w:r w:rsidRPr="00AF1161">
              <w:rPr>
                <w:rFonts w:cs="FrankRuehl"/>
                <w:sz w:val="28"/>
                <w:szCs w:val="28"/>
                <w:rtl/>
              </w:rPr>
              <w:t>מדינת ישראל נ' סאזנאייב</w:t>
            </w:r>
          </w:p>
          <w:p w14:paraId="4CA0381F" w14:textId="77777777" w:rsidR="00A73613" w:rsidRPr="00AF1161" w:rsidRDefault="00A73613" w:rsidP="004438FE">
            <w:pPr>
              <w:pStyle w:val="a3"/>
              <w:rPr>
                <w:rFonts w:cs="FrankRuehl"/>
                <w:sz w:val="28"/>
                <w:szCs w:val="28"/>
                <w:rtl/>
              </w:rPr>
            </w:pPr>
          </w:p>
        </w:tc>
        <w:tc>
          <w:tcPr>
            <w:tcW w:w="3666" w:type="dxa"/>
          </w:tcPr>
          <w:p w14:paraId="3995E3EA" w14:textId="77777777" w:rsidR="00A73613" w:rsidRPr="00AF1161" w:rsidRDefault="00A73613" w:rsidP="004438FE">
            <w:pPr>
              <w:pStyle w:val="a3"/>
              <w:jc w:val="right"/>
              <w:rPr>
                <w:rFonts w:cs="FrankRuehl"/>
                <w:sz w:val="28"/>
                <w:szCs w:val="28"/>
                <w:rtl/>
              </w:rPr>
            </w:pPr>
          </w:p>
        </w:tc>
      </w:tr>
    </w:tbl>
    <w:p w14:paraId="53B75D97" w14:textId="77777777" w:rsidR="00A73613" w:rsidRPr="00AF1161" w:rsidRDefault="00A73613" w:rsidP="00A73613">
      <w:pPr>
        <w:pStyle w:val="a3"/>
        <w:rPr>
          <w:rtl/>
        </w:rPr>
      </w:pPr>
      <w:r w:rsidRPr="00AF1161">
        <w:rPr>
          <w:rFonts w:hint="cs"/>
          <w:rtl/>
        </w:rPr>
        <w:t xml:space="preserve"> </w:t>
      </w:r>
    </w:p>
    <w:p w14:paraId="3C8E51C8" w14:textId="77777777" w:rsidR="00A73613" w:rsidRPr="00AF1161" w:rsidRDefault="00A73613" w:rsidP="00A73613">
      <w:pPr>
        <w:rPr>
          <w:rtl/>
        </w:rPr>
      </w:pPr>
    </w:p>
    <w:p w14:paraId="3AE43D06" w14:textId="77777777" w:rsidR="00A73613" w:rsidRPr="00AF1161" w:rsidRDefault="00A73613" w:rsidP="00A7361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73613" w:rsidRPr="00AF1161" w14:paraId="136F61AB" w14:textId="77777777" w:rsidTr="00A73613">
        <w:trPr>
          <w:trHeight w:val="295"/>
          <w:jc w:val="center"/>
        </w:trPr>
        <w:tc>
          <w:tcPr>
            <w:tcW w:w="923" w:type="dxa"/>
            <w:tcBorders>
              <w:top w:val="nil"/>
              <w:left w:val="nil"/>
              <w:bottom w:val="nil"/>
              <w:right w:val="nil"/>
            </w:tcBorders>
            <w:shd w:val="clear" w:color="auto" w:fill="auto"/>
          </w:tcPr>
          <w:p w14:paraId="6105E113" w14:textId="77777777" w:rsidR="00A73613" w:rsidRPr="00AF1161" w:rsidRDefault="00A73613" w:rsidP="00A73613">
            <w:pPr>
              <w:jc w:val="both"/>
              <w:rPr>
                <w:rFonts w:ascii="Arial" w:hAnsi="Arial" w:cs="FrankRuehl"/>
                <w:sz w:val="28"/>
                <w:szCs w:val="28"/>
              </w:rPr>
            </w:pPr>
            <w:r w:rsidRPr="00AF1161">
              <w:rPr>
                <w:rFonts w:ascii="Arial" w:hAnsi="Arial" w:cs="FrankRuehl" w:hint="cs"/>
                <w:sz w:val="28"/>
                <w:szCs w:val="28"/>
                <w:rtl/>
              </w:rPr>
              <w:t>ב</w:t>
            </w:r>
            <w:r w:rsidRPr="00AF116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9988433" w14:textId="77777777" w:rsidR="00A73613" w:rsidRPr="00AF1161" w:rsidRDefault="00A73613" w:rsidP="004438FE">
            <w:pPr>
              <w:rPr>
                <w:rFonts w:ascii="Arial" w:hAnsi="Arial"/>
                <w:b/>
                <w:bCs/>
                <w:rtl/>
              </w:rPr>
            </w:pPr>
            <w:r w:rsidRPr="00AF1161">
              <w:rPr>
                <w:rFonts w:ascii="Arial" w:hAnsi="Arial" w:hint="cs"/>
                <w:b/>
                <w:bCs/>
                <w:rtl/>
              </w:rPr>
              <w:t>כבוד ה</w:t>
            </w:r>
            <w:r w:rsidRPr="00AF1161">
              <w:rPr>
                <w:rFonts w:ascii="Arial" w:hAnsi="Arial"/>
                <w:b/>
                <w:bCs/>
                <w:rtl/>
              </w:rPr>
              <w:t>שופט, סגן הנשיאה</w:t>
            </w:r>
            <w:r w:rsidRPr="00AF1161">
              <w:rPr>
                <w:rFonts w:ascii="Arial" w:hAnsi="Arial" w:hint="cs"/>
                <w:b/>
                <w:bCs/>
                <w:rtl/>
              </w:rPr>
              <w:t xml:space="preserve">  </w:t>
            </w:r>
            <w:r w:rsidRPr="00AF1161">
              <w:rPr>
                <w:rFonts w:ascii="Arial" w:hAnsi="Arial"/>
                <w:b/>
                <w:bCs/>
                <w:rtl/>
              </w:rPr>
              <w:t>מנחם מזרחי</w:t>
            </w:r>
          </w:p>
          <w:p w14:paraId="2B145A64" w14:textId="77777777" w:rsidR="00A73613" w:rsidRPr="00AF1161" w:rsidRDefault="00A73613" w:rsidP="004438FE">
            <w:pPr>
              <w:rPr>
                <w:rtl/>
              </w:rPr>
            </w:pPr>
          </w:p>
          <w:p w14:paraId="46DC7B34" w14:textId="77777777" w:rsidR="00A73613" w:rsidRPr="00AF1161" w:rsidRDefault="00A73613" w:rsidP="00A73613">
            <w:pPr>
              <w:jc w:val="both"/>
              <w:rPr>
                <w:rFonts w:ascii="Arial" w:hAnsi="Arial" w:cs="FrankRuehl"/>
                <w:sz w:val="28"/>
                <w:szCs w:val="28"/>
              </w:rPr>
            </w:pPr>
          </w:p>
        </w:tc>
      </w:tr>
      <w:tr w:rsidR="00A73613" w:rsidRPr="00AF1161" w14:paraId="76A461FF" w14:textId="77777777" w:rsidTr="00A73613">
        <w:trPr>
          <w:trHeight w:val="355"/>
          <w:jc w:val="center"/>
        </w:trPr>
        <w:tc>
          <w:tcPr>
            <w:tcW w:w="923" w:type="dxa"/>
            <w:tcBorders>
              <w:top w:val="nil"/>
              <w:left w:val="nil"/>
              <w:bottom w:val="nil"/>
              <w:right w:val="nil"/>
            </w:tcBorders>
            <w:shd w:val="clear" w:color="auto" w:fill="auto"/>
          </w:tcPr>
          <w:p w14:paraId="3302A68D" w14:textId="77777777" w:rsidR="00A73613" w:rsidRPr="00AF1161" w:rsidRDefault="00A73613" w:rsidP="00A73613">
            <w:pPr>
              <w:jc w:val="both"/>
              <w:rPr>
                <w:rFonts w:ascii="Arial" w:hAnsi="Arial" w:cs="FrankRuehl"/>
                <w:sz w:val="28"/>
                <w:szCs w:val="28"/>
              </w:rPr>
            </w:pPr>
            <w:bookmarkStart w:id="1" w:name="FirstAppellant"/>
            <w:bookmarkStart w:id="2" w:name="LastJudge"/>
            <w:bookmarkEnd w:id="2"/>
            <w:r w:rsidRPr="00AF116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7BC495D" w14:textId="77777777" w:rsidR="00A73613" w:rsidRPr="00AF1161" w:rsidRDefault="00A73613" w:rsidP="004438FE">
            <w:r w:rsidRPr="00AF1161">
              <w:rPr>
                <w:rFonts w:ascii="Arial" w:hAnsi="Arial" w:cs="FrankRuehl"/>
                <w:sz w:val="28"/>
                <w:szCs w:val="28"/>
                <w:rtl/>
              </w:rPr>
              <w:t>מדינת ישראל</w:t>
            </w:r>
            <w:r w:rsidRPr="00AF1161">
              <w:rPr>
                <w:rtl/>
              </w:rPr>
              <w:br/>
            </w:r>
            <w:r w:rsidRPr="00AF1161">
              <w:rPr>
                <w:rFonts w:hint="cs"/>
                <w:rtl/>
              </w:rPr>
              <w:t>משטרת ישראל</w:t>
            </w:r>
            <w:r w:rsidRPr="00AF1161">
              <w:rPr>
                <w:rtl/>
              </w:rPr>
              <w:br/>
            </w:r>
            <w:r w:rsidRPr="00AF1161">
              <w:rPr>
                <w:rFonts w:hint="cs"/>
                <w:rtl/>
              </w:rPr>
              <w:t>תביעות שלוחת רמלה</w:t>
            </w:r>
            <w:r w:rsidRPr="00AF1161">
              <w:rPr>
                <w:rtl/>
              </w:rPr>
              <w:br/>
            </w:r>
            <w:r w:rsidRPr="00AF1161">
              <w:rPr>
                <w:rFonts w:hint="cs"/>
                <w:rtl/>
              </w:rPr>
              <w:t>באמצעות ב"כ עוה"ד חן עמרני</w:t>
            </w:r>
          </w:p>
        </w:tc>
        <w:tc>
          <w:tcPr>
            <w:tcW w:w="3771" w:type="dxa"/>
            <w:tcBorders>
              <w:top w:val="nil"/>
              <w:left w:val="nil"/>
              <w:bottom w:val="nil"/>
              <w:right w:val="nil"/>
            </w:tcBorders>
            <w:shd w:val="clear" w:color="auto" w:fill="auto"/>
          </w:tcPr>
          <w:p w14:paraId="5D573BF7" w14:textId="77777777" w:rsidR="00A73613" w:rsidRPr="00AF1161" w:rsidRDefault="00A73613" w:rsidP="00A73613">
            <w:pPr>
              <w:jc w:val="both"/>
              <w:rPr>
                <w:rFonts w:ascii="Arial" w:hAnsi="Arial" w:cs="FrankRuehl"/>
                <w:sz w:val="28"/>
                <w:szCs w:val="28"/>
              </w:rPr>
            </w:pPr>
          </w:p>
        </w:tc>
      </w:tr>
      <w:bookmarkEnd w:id="1"/>
      <w:tr w:rsidR="00A73613" w:rsidRPr="00AF1161" w14:paraId="0A362B94" w14:textId="77777777" w:rsidTr="00A73613">
        <w:trPr>
          <w:trHeight w:val="355"/>
          <w:jc w:val="center"/>
        </w:trPr>
        <w:tc>
          <w:tcPr>
            <w:tcW w:w="923" w:type="dxa"/>
            <w:tcBorders>
              <w:top w:val="nil"/>
              <w:left w:val="nil"/>
              <w:bottom w:val="nil"/>
              <w:right w:val="nil"/>
            </w:tcBorders>
            <w:shd w:val="clear" w:color="auto" w:fill="auto"/>
          </w:tcPr>
          <w:p w14:paraId="1B5069BA" w14:textId="77777777" w:rsidR="00A73613" w:rsidRPr="00AF1161" w:rsidRDefault="00A73613" w:rsidP="00A7361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6F4C23C" w14:textId="77777777" w:rsidR="00A73613" w:rsidRPr="00AF1161" w:rsidRDefault="00A73613" w:rsidP="00A73613">
            <w:pPr>
              <w:jc w:val="both"/>
              <w:rPr>
                <w:rtl/>
              </w:rPr>
            </w:pPr>
          </w:p>
        </w:tc>
        <w:tc>
          <w:tcPr>
            <w:tcW w:w="3771" w:type="dxa"/>
            <w:tcBorders>
              <w:top w:val="nil"/>
              <w:left w:val="nil"/>
              <w:bottom w:val="nil"/>
              <w:right w:val="nil"/>
            </w:tcBorders>
            <w:shd w:val="clear" w:color="auto" w:fill="auto"/>
          </w:tcPr>
          <w:p w14:paraId="26CC6472" w14:textId="77777777" w:rsidR="00A73613" w:rsidRPr="00AF1161" w:rsidRDefault="00A73613" w:rsidP="00A73613">
            <w:pPr>
              <w:jc w:val="right"/>
              <w:rPr>
                <w:rFonts w:ascii="Arial" w:hAnsi="Arial" w:cs="FrankRuehl"/>
                <w:sz w:val="28"/>
                <w:szCs w:val="28"/>
                <w:rtl/>
              </w:rPr>
            </w:pPr>
            <w:r w:rsidRPr="00AF1161">
              <w:rPr>
                <w:rFonts w:ascii="Arial" w:hAnsi="Arial" w:cs="FrankRuehl" w:hint="cs"/>
                <w:sz w:val="28"/>
                <w:szCs w:val="28"/>
                <w:rtl/>
              </w:rPr>
              <w:t>ה</w:t>
            </w:r>
            <w:r w:rsidRPr="00AF1161">
              <w:rPr>
                <w:rFonts w:ascii="Arial" w:hAnsi="Arial" w:cs="FrankRuehl"/>
                <w:sz w:val="28"/>
                <w:szCs w:val="28"/>
                <w:rtl/>
              </w:rPr>
              <w:t>מאשימה</w:t>
            </w:r>
          </w:p>
        </w:tc>
      </w:tr>
      <w:tr w:rsidR="00A73613" w:rsidRPr="00AF1161" w14:paraId="03EF5DC0" w14:textId="77777777" w:rsidTr="00A73613">
        <w:trPr>
          <w:trHeight w:val="355"/>
          <w:jc w:val="center"/>
        </w:trPr>
        <w:tc>
          <w:tcPr>
            <w:tcW w:w="923" w:type="dxa"/>
            <w:tcBorders>
              <w:top w:val="nil"/>
              <w:left w:val="nil"/>
              <w:bottom w:val="nil"/>
              <w:right w:val="nil"/>
            </w:tcBorders>
            <w:shd w:val="clear" w:color="auto" w:fill="auto"/>
          </w:tcPr>
          <w:p w14:paraId="5B328F27" w14:textId="77777777" w:rsidR="00A73613" w:rsidRPr="00AF1161" w:rsidRDefault="00A73613" w:rsidP="00A7361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DAAA276" w14:textId="77777777" w:rsidR="00A73613" w:rsidRPr="00AF1161" w:rsidRDefault="00A73613" w:rsidP="00A73613">
            <w:pPr>
              <w:jc w:val="center"/>
              <w:rPr>
                <w:rFonts w:ascii="Arial" w:hAnsi="Arial" w:cs="FrankRuehl"/>
                <w:b/>
                <w:bCs/>
                <w:sz w:val="28"/>
                <w:szCs w:val="28"/>
                <w:rtl/>
              </w:rPr>
            </w:pPr>
          </w:p>
          <w:p w14:paraId="562753CB" w14:textId="77777777" w:rsidR="00A73613" w:rsidRPr="00AF1161" w:rsidRDefault="00A73613" w:rsidP="00A73613">
            <w:pPr>
              <w:jc w:val="center"/>
              <w:rPr>
                <w:rFonts w:ascii="Arial" w:hAnsi="Arial" w:cs="FrankRuehl"/>
                <w:b/>
                <w:bCs/>
                <w:sz w:val="28"/>
                <w:szCs w:val="28"/>
                <w:rtl/>
              </w:rPr>
            </w:pPr>
            <w:r w:rsidRPr="00AF1161">
              <w:rPr>
                <w:rFonts w:ascii="Arial" w:hAnsi="Arial" w:cs="FrankRuehl"/>
                <w:b/>
                <w:bCs/>
                <w:sz w:val="28"/>
                <w:szCs w:val="28"/>
                <w:rtl/>
              </w:rPr>
              <w:t>נגד</w:t>
            </w:r>
          </w:p>
          <w:p w14:paraId="3DC68529" w14:textId="77777777" w:rsidR="00A73613" w:rsidRPr="00AF1161" w:rsidRDefault="00A73613" w:rsidP="00A73613">
            <w:pPr>
              <w:jc w:val="both"/>
              <w:rPr>
                <w:rFonts w:ascii="Arial" w:hAnsi="Arial" w:cs="FrankRuehl"/>
                <w:sz w:val="28"/>
                <w:szCs w:val="28"/>
              </w:rPr>
            </w:pPr>
          </w:p>
        </w:tc>
      </w:tr>
      <w:tr w:rsidR="00A73613" w:rsidRPr="00AF1161" w14:paraId="6CC65D2F" w14:textId="77777777" w:rsidTr="00A73613">
        <w:trPr>
          <w:trHeight w:val="355"/>
          <w:jc w:val="center"/>
        </w:trPr>
        <w:tc>
          <w:tcPr>
            <w:tcW w:w="923" w:type="dxa"/>
            <w:tcBorders>
              <w:top w:val="nil"/>
              <w:left w:val="nil"/>
              <w:bottom w:val="nil"/>
              <w:right w:val="nil"/>
            </w:tcBorders>
            <w:shd w:val="clear" w:color="auto" w:fill="auto"/>
          </w:tcPr>
          <w:p w14:paraId="10EC38CA" w14:textId="77777777" w:rsidR="00A73613" w:rsidRPr="00AF1161" w:rsidRDefault="00A73613" w:rsidP="004438FE">
            <w:pPr>
              <w:rPr>
                <w:rFonts w:ascii="Arial" w:hAnsi="Arial" w:cs="FrankRuehl"/>
                <w:sz w:val="28"/>
                <w:szCs w:val="28"/>
                <w:rtl/>
              </w:rPr>
            </w:pPr>
          </w:p>
        </w:tc>
        <w:tc>
          <w:tcPr>
            <w:tcW w:w="4126" w:type="dxa"/>
            <w:tcBorders>
              <w:top w:val="nil"/>
              <w:left w:val="nil"/>
              <w:bottom w:val="nil"/>
              <w:right w:val="nil"/>
            </w:tcBorders>
            <w:shd w:val="clear" w:color="auto" w:fill="auto"/>
          </w:tcPr>
          <w:p w14:paraId="514B4D09" w14:textId="77777777" w:rsidR="00A73613" w:rsidRPr="00AF1161" w:rsidRDefault="00A73613" w:rsidP="004438FE">
            <w:pPr>
              <w:rPr>
                <w:rtl/>
              </w:rPr>
            </w:pPr>
            <w:r w:rsidRPr="00AF1161">
              <w:rPr>
                <w:rFonts w:ascii="Arial" w:hAnsi="Arial" w:cs="FrankRuehl"/>
                <w:sz w:val="28"/>
                <w:szCs w:val="28"/>
                <w:rtl/>
              </w:rPr>
              <w:t>אלעד סאזנאייב</w:t>
            </w:r>
            <w:r w:rsidRPr="00AF1161">
              <w:rPr>
                <w:rtl/>
              </w:rPr>
              <w:br/>
            </w:r>
            <w:r w:rsidRPr="00AF1161">
              <w:rPr>
                <w:rFonts w:hint="cs"/>
                <w:rtl/>
              </w:rPr>
              <w:t>באמצעות ב"כ עוה"ד טל גלאון</w:t>
            </w:r>
          </w:p>
        </w:tc>
        <w:tc>
          <w:tcPr>
            <w:tcW w:w="3771" w:type="dxa"/>
            <w:tcBorders>
              <w:top w:val="nil"/>
              <w:left w:val="nil"/>
              <w:bottom w:val="nil"/>
              <w:right w:val="nil"/>
            </w:tcBorders>
            <w:shd w:val="clear" w:color="auto" w:fill="auto"/>
          </w:tcPr>
          <w:p w14:paraId="50D74030" w14:textId="77777777" w:rsidR="00A73613" w:rsidRPr="00AF1161" w:rsidRDefault="00A73613" w:rsidP="00A73613">
            <w:pPr>
              <w:jc w:val="right"/>
              <w:rPr>
                <w:rFonts w:ascii="Arial" w:hAnsi="Arial" w:cs="FrankRuehl"/>
                <w:sz w:val="28"/>
                <w:szCs w:val="28"/>
              </w:rPr>
            </w:pPr>
          </w:p>
        </w:tc>
      </w:tr>
      <w:tr w:rsidR="00A73613" w:rsidRPr="00AF1161" w14:paraId="0950CFBF" w14:textId="77777777" w:rsidTr="00A73613">
        <w:trPr>
          <w:trHeight w:val="355"/>
          <w:jc w:val="center"/>
        </w:trPr>
        <w:tc>
          <w:tcPr>
            <w:tcW w:w="923" w:type="dxa"/>
            <w:tcBorders>
              <w:top w:val="nil"/>
              <w:left w:val="nil"/>
              <w:bottom w:val="nil"/>
              <w:right w:val="nil"/>
            </w:tcBorders>
            <w:shd w:val="clear" w:color="auto" w:fill="auto"/>
          </w:tcPr>
          <w:p w14:paraId="10F1B58F" w14:textId="77777777" w:rsidR="00A73613" w:rsidRPr="00AF1161" w:rsidRDefault="00A73613" w:rsidP="00A7361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3CEEE91" w14:textId="77777777" w:rsidR="00A73613" w:rsidRPr="00AF1161" w:rsidRDefault="00A73613" w:rsidP="00A73613">
            <w:pPr>
              <w:jc w:val="both"/>
              <w:rPr>
                <w:rtl/>
              </w:rPr>
            </w:pPr>
          </w:p>
        </w:tc>
        <w:tc>
          <w:tcPr>
            <w:tcW w:w="3771" w:type="dxa"/>
            <w:tcBorders>
              <w:top w:val="nil"/>
              <w:left w:val="nil"/>
              <w:bottom w:val="nil"/>
              <w:right w:val="nil"/>
            </w:tcBorders>
            <w:shd w:val="clear" w:color="auto" w:fill="auto"/>
          </w:tcPr>
          <w:p w14:paraId="54A2EC51" w14:textId="77777777" w:rsidR="00A73613" w:rsidRPr="00AF1161" w:rsidRDefault="00A73613" w:rsidP="00A73613">
            <w:pPr>
              <w:jc w:val="right"/>
              <w:rPr>
                <w:rFonts w:ascii="Arial" w:hAnsi="Arial" w:cs="FrankRuehl"/>
                <w:sz w:val="28"/>
                <w:szCs w:val="28"/>
              </w:rPr>
            </w:pPr>
            <w:r w:rsidRPr="00AF1161">
              <w:rPr>
                <w:rFonts w:ascii="Arial" w:hAnsi="Arial" w:cs="FrankRuehl" w:hint="cs"/>
                <w:sz w:val="28"/>
                <w:szCs w:val="28"/>
                <w:rtl/>
              </w:rPr>
              <w:t>ה</w:t>
            </w:r>
            <w:r w:rsidRPr="00AF1161">
              <w:rPr>
                <w:rFonts w:ascii="Arial" w:hAnsi="Arial" w:cs="FrankRuehl"/>
                <w:sz w:val="28"/>
                <w:szCs w:val="28"/>
                <w:rtl/>
              </w:rPr>
              <w:t>נאשם</w:t>
            </w:r>
          </w:p>
        </w:tc>
      </w:tr>
    </w:tbl>
    <w:p w14:paraId="7C3E9093" w14:textId="77777777" w:rsidR="00D026F4" w:rsidRDefault="00D026F4" w:rsidP="00AF1161">
      <w:pPr>
        <w:rPr>
          <w:rtl/>
        </w:rPr>
      </w:pPr>
    </w:p>
    <w:p w14:paraId="073D4E78" w14:textId="77777777" w:rsidR="00D026F4" w:rsidRPr="00D026F4" w:rsidRDefault="00D026F4" w:rsidP="00D026F4">
      <w:pPr>
        <w:spacing w:after="120" w:line="240" w:lineRule="exact"/>
        <w:ind w:left="283" w:hanging="283"/>
        <w:jc w:val="both"/>
        <w:rPr>
          <w:rFonts w:ascii="FrankRuehl" w:hAnsi="FrankRuehl" w:cs="FrankRuehl"/>
          <w:rtl/>
        </w:rPr>
      </w:pPr>
    </w:p>
    <w:p w14:paraId="55F7F6D5" w14:textId="77777777" w:rsidR="006533F4" w:rsidRDefault="006533F4" w:rsidP="006533F4">
      <w:pPr>
        <w:rPr>
          <w:rtl/>
        </w:rPr>
      </w:pPr>
      <w:bookmarkStart w:id="3" w:name="LawTable"/>
      <w:bookmarkEnd w:id="3"/>
    </w:p>
    <w:p w14:paraId="24C52DC9" w14:textId="77777777" w:rsidR="006533F4" w:rsidRPr="006533F4" w:rsidRDefault="006533F4" w:rsidP="006533F4">
      <w:pPr>
        <w:spacing w:before="120" w:after="120" w:line="240" w:lineRule="exact"/>
        <w:ind w:left="283" w:hanging="283"/>
        <w:jc w:val="both"/>
        <w:rPr>
          <w:rFonts w:ascii="FrankRuehl" w:hAnsi="FrankRuehl" w:cs="FrankRuehl"/>
          <w:rtl/>
        </w:rPr>
      </w:pPr>
    </w:p>
    <w:p w14:paraId="3B7A3AC8" w14:textId="77777777" w:rsidR="006533F4" w:rsidRPr="006533F4" w:rsidRDefault="006533F4" w:rsidP="006533F4">
      <w:pPr>
        <w:spacing w:before="120" w:after="120" w:line="240" w:lineRule="exact"/>
        <w:ind w:left="283" w:hanging="283"/>
        <w:jc w:val="both"/>
        <w:rPr>
          <w:rFonts w:ascii="FrankRuehl" w:hAnsi="FrankRuehl" w:cs="FrankRuehl"/>
          <w:rtl/>
        </w:rPr>
      </w:pPr>
    </w:p>
    <w:p w14:paraId="5B2DDE6D" w14:textId="77777777" w:rsidR="006533F4" w:rsidRPr="006533F4" w:rsidRDefault="006533F4" w:rsidP="006533F4">
      <w:pPr>
        <w:spacing w:before="120" w:after="120" w:line="240" w:lineRule="exact"/>
        <w:ind w:left="283" w:hanging="283"/>
        <w:jc w:val="both"/>
        <w:rPr>
          <w:rFonts w:ascii="FrankRuehl" w:hAnsi="FrankRuehl" w:cs="FrankRuehl"/>
          <w:rtl/>
        </w:rPr>
      </w:pPr>
      <w:r w:rsidRPr="006533F4">
        <w:rPr>
          <w:rFonts w:ascii="FrankRuehl" w:hAnsi="FrankRuehl" w:cs="FrankRuehl"/>
          <w:rtl/>
        </w:rPr>
        <w:t xml:space="preserve">חקיקה שאוזכרה: </w:t>
      </w:r>
    </w:p>
    <w:p w14:paraId="09BAD84A" w14:textId="77777777" w:rsidR="006533F4" w:rsidRPr="006533F4" w:rsidRDefault="006533F4" w:rsidP="006533F4">
      <w:pPr>
        <w:spacing w:before="120" w:after="120" w:line="240" w:lineRule="exact"/>
        <w:ind w:left="283" w:hanging="283"/>
        <w:jc w:val="both"/>
        <w:rPr>
          <w:rFonts w:ascii="FrankRuehl" w:hAnsi="FrankRuehl" w:cs="FrankRuehl"/>
          <w:rtl/>
        </w:rPr>
      </w:pPr>
      <w:hyperlink r:id="rId6" w:history="1">
        <w:r w:rsidRPr="006533F4">
          <w:rPr>
            <w:rFonts w:ascii="FrankRuehl" w:hAnsi="FrankRuehl" w:cs="FrankRuehl"/>
            <w:color w:val="0000FF"/>
            <w:rtl/>
          </w:rPr>
          <w:t>פקודת הסמים המסוכנים [נוסח חדש], תשל"ג-1973</w:t>
        </w:r>
      </w:hyperlink>
      <w:r w:rsidRPr="006533F4">
        <w:rPr>
          <w:rFonts w:ascii="FrankRuehl" w:hAnsi="FrankRuehl" w:cs="FrankRuehl"/>
          <w:rtl/>
        </w:rPr>
        <w:t xml:space="preserve">: סע'  </w:t>
      </w:r>
      <w:hyperlink r:id="rId7" w:history="1">
        <w:r w:rsidRPr="006533F4">
          <w:rPr>
            <w:rFonts w:ascii="FrankRuehl" w:hAnsi="FrankRuehl" w:cs="FrankRuehl"/>
            <w:color w:val="0000FF"/>
            <w:rtl/>
          </w:rPr>
          <w:t>7 (א)</w:t>
        </w:r>
      </w:hyperlink>
      <w:r w:rsidRPr="006533F4">
        <w:rPr>
          <w:rFonts w:ascii="FrankRuehl" w:hAnsi="FrankRuehl" w:cs="FrankRuehl"/>
          <w:rtl/>
        </w:rPr>
        <w:t xml:space="preserve">, </w:t>
      </w:r>
      <w:hyperlink r:id="rId8" w:history="1">
        <w:r w:rsidRPr="006533F4">
          <w:rPr>
            <w:rFonts w:ascii="FrankRuehl" w:hAnsi="FrankRuehl" w:cs="FrankRuehl"/>
            <w:color w:val="0000FF"/>
            <w:rtl/>
          </w:rPr>
          <w:t>7 (ג)</w:t>
        </w:r>
      </w:hyperlink>
      <w:r w:rsidRPr="006533F4">
        <w:rPr>
          <w:rFonts w:ascii="FrankRuehl" w:hAnsi="FrankRuehl" w:cs="FrankRuehl"/>
          <w:rtl/>
        </w:rPr>
        <w:t xml:space="preserve">, </w:t>
      </w:r>
      <w:hyperlink r:id="rId9" w:history="1">
        <w:r w:rsidRPr="006533F4">
          <w:rPr>
            <w:rFonts w:ascii="FrankRuehl" w:hAnsi="FrankRuehl" w:cs="FrankRuehl"/>
            <w:color w:val="0000FF"/>
            <w:rtl/>
          </w:rPr>
          <w:t>13</w:t>
        </w:r>
      </w:hyperlink>
      <w:r w:rsidRPr="006533F4">
        <w:rPr>
          <w:rFonts w:ascii="FrankRuehl" w:hAnsi="FrankRuehl" w:cs="FrankRuehl"/>
          <w:rtl/>
        </w:rPr>
        <w:t xml:space="preserve">, </w:t>
      </w:r>
      <w:hyperlink r:id="rId10" w:history="1">
        <w:r w:rsidRPr="006533F4">
          <w:rPr>
            <w:rFonts w:ascii="FrankRuehl" w:hAnsi="FrankRuehl" w:cs="FrankRuehl"/>
            <w:color w:val="0000FF"/>
            <w:rtl/>
          </w:rPr>
          <w:t>19א</w:t>
        </w:r>
      </w:hyperlink>
    </w:p>
    <w:p w14:paraId="60083671" w14:textId="77777777" w:rsidR="006533F4" w:rsidRPr="006533F4" w:rsidRDefault="006533F4" w:rsidP="006533F4">
      <w:pPr>
        <w:spacing w:before="120" w:after="120" w:line="240" w:lineRule="exact"/>
        <w:ind w:left="283" w:hanging="283"/>
        <w:jc w:val="both"/>
        <w:rPr>
          <w:rFonts w:ascii="FrankRuehl" w:hAnsi="FrankRuehl" w:cs="FrankRuehl"/>
          <w:rtl/>
        </w:rPr>
      </w:pPr>
      <w:hyperlink r:id="rId11" w:history="1">
        <w:r w:rsidRPr="006533F4">
          <w:rPr>
            <w:rFonts w:ascii="FrankRuehl" w:hAnsi="FrankRuehl" w:cs="FrankRuehl"/>
            <w:color w:val="0000FF"/>
            <w:rtl/>
          </w:rPr>
          <w:t>חוק המתווכים במקרקעין, תשנ"ו-1996</w:t>
        </w:r>
      </w:hyperlink>
      <w:r w:rsidRPr="006533F4">
        <w:rPr>
          <w:rFonts w:ascii="FrankRuehl" w:hAnsi="FrankRuehl" w:cs="FrankRuehl"/>
          <w:rtl/>
        </w:rPr>
        <w:t xml:space="preserve">: סע'  </w:t>
      </w:r>
      <w:hyperlink r:id="rId12" w:history="1">
        <w:r w:rsidRPr="006533F4">
          <w:rPr>
            <w:rFonts w:ascii="FrankRuehl" w:hAnsi="FrankRuehl" w:cs="FrankRuehl"/>
            <w:color w:val="0000FF"/>
            <w:rtl/>
          </w:rPr>
          <w:t>5</w:t>
        </w:r>
      </w:hyperlink>
    </w:p>
    <w:p w14:paraId="361D89A8" w14:textId="77777777" w:rsidR="006533F4" w:rsidRPr="006533F4" w:rsidRDefault="006533F4" w:rsidP="006533F4">
      <w:pPr>
        <w:rPr>
          <w:rtl/>
        </w:rPr>
      </w:pPr>
      <w:bookmarkStart w:id="4" w:name="LawTable_End"/>
      <w:bookmarkEnd w:id="4"/>
    </w:p>
    <w:p w14:paraId="2636CE7F" w14:textId="77777777" w:rsidR="00A73613" w:rsidRPr="00AF1161" w:rsidRDefault="00A73613" w:rsidP="00A7361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73613" w14:paraId="54C1660D" w14:textId="77777777" w:rsidTr="00A73613">
        <w:trPr>
          <w:trHeight w:val="355"/>
          <w:jc w:val="center"/>
        </w:trPr>
        <w:tc>
          <w:tcPr>
            <w:tcW w:w="8820" w:type="dxa"/>
            <w:tcBorders>
              <w:top w:val="nil"/>
              <w:left w:val="nil"/>
              <w:bottom w:val="nil"/>
              <w:right w:val="nil"/>
            </w:tcBorders>
            <w:shd w:val="clear" w:color="auto" w:fill="auto"/>
          </w:tcPr>
          <w:p w14:paraId="1F9C9729" w14:textId="77777777" w:rsidR="00AF1161" w:rsidRPr="00AF1161" w:rsidRDefault="00AF1161" w:rsidP="00AF1161">
            <w:pPr>
              <w:jc w:val="center"/>
              <w:rPr>
                <w:rFonts w:ascii="Arial" w:hAnsi="Arial" w:cs="FrankRuehl"/>
                <w:b/>
                <w:bCs/>
                <w:sz w:val="32"/>
                <w:szCs w:val="32"/>
                <w:u w:val="single"/>
                <w:rtl/>
              </w:rPr>
            </w:pPr>
            <w:bookmarkStart w:id="5" w:name="PsakDin" w:colFirst="0" w:colLast="0"/>
            <w:bookmarkEnd w:id="0"/>
            <w:r w:rsidRPr="00AF1161">
              <w:rPr>
                <w:rFonts w:ascii="Arial" w:hAnsi="Arial" w:cs="FrankRuehl"/>
                <w:b/>
                <w:bCs/>
                <w:sz w:val="32"/>
                <w:szCs w:val="32"/>
                <w:u w:val="single"/>
                <w:rtl/>
              </w:rPr>
              <w:t>גזר - דין</w:t>
            </w:r>
          </w:p>
          <w:p w14:paraId="555FBC23" w14:textId="77777777" w:rsidR="00A73613" w:rsidRPr="00AF1161" w:rsidRDefault="00A73613" w:rsidP="00AF1161">
            <w:pPr>
              <w:jc w:val="center"/>
              <w:rPr>
                <w:rFonts w:ascii="Arial" w:hAnsi="Arial" w:cs="FrankRuehl"/>
                <w:bCs/>
                <w:sz w:val="32"/>
                <w:szCs w:val="32"/>
                <w:u w:val="single"/>
                <w:rtl/>
              </w:rPr>
            </w:pPr>
          </w:p>
        </w:tc>
      </w:tr>
      <w:bookmarkEnd w:id="5"/>
    </w:tbl>
    <w:p w14:paraId="1A74EAAD" w14:textId="77777777" w:rsidR="00A73613" w:rsidRPr="00B05847" w:rsidRDefault="00A73613" w:rsidP="00A73613">
      <w:pPr>
        <w:rPr>
          <w:rFonts w:ascii="Arial" w:hAnsi="Arial"/>
          <w:rtl/>
        </w:rPr>
      </w:pPr>
    </w:p>
    <w:p w14:paraId="125B9C2F" w14:textId="77777777" w:rsidR="00A73613" w:rsidRPr="00B05847" w:rsidRDefault="00A73613" w:rsidP="00A73613">
      <w:pPr>
        <w:rPr>
          <w:rFonts w:ascii="Arial" w:hAnsi="Arial"/>
          <w:rtl/>
        </w:rPr>
      </w:pPr>
    </w:p>
    <w:p w14:paraId="5F83666D" w14:textId="77777777" w:rsidR="00A73613" w:rsidRDefault="00A73613" w:rsidP="00A73613">
      <w:pPr>
        <w:jc w:val="both"/>
        <w:rPr>
          <w:b/>
          <w:bCs/>
          <w:u w:val="single"/>
          <w:rtl/>
        </w:rPr>
      </w:pPr>
      <w:r>
        <w:rPr>
          <w:rFonts w:hint="cs"/>
          <w:b/>
          <w:bCs/>
          <w:u w:val="single"/>
          <w:rtl/>
        </w:rPr>
        <w:t>א. כתב-האישום:</w:t>
      </w:r>
    </w:p>
    <w:p w14:paraId="4EFD5C02" w14:textId="77777777" w:rsidR="00A73613" w:rsidRDefault="00A73613" w:rsidP="00A73613">
      <w:pPr>
        <w:jc w:val="both"/>
        <w:rPr>
          <w:b/>
          <w:bCs/>
          <w:u w:val="single"/>
          <w:rtl/>
        </w:rPr>
      </w:pPr>
    </w:p>
    <w:p w14:paraId="68BF8E98" w14:textId="77777777" w:rsidR="00A73613" w:rsidRDefault="00A73613" w:rsidP="00A73613">
      <w:pPr>
        <w:jc w:val="both"/>
        <w:rPr>
          <w:b/>
          <w:bCs/>
          <w:u w:val="single"/>
          <w:rtl/>
        </w:rPr>
      </w:pPr>
    </w:p>
    <w:p w14:paraId="17CE3D34" w14:textId="77777777" w:rsidR="00A73613" w:rsidRDefault="00A73613" w:rsidP="00A73613">
      <w:pPr>
        <w:spacing w:line="360" w:lineRule="auto"/>
        <w:jc w:val="both"/>
        <w:rPr>
          <w:rtl/>
        </w:rPr>
      </w:pPr>
      <w:bookmarkStart w:id="6" w:name="ABSTRACT_START"/>
      <w:bookmarkEnd w:id="6"/>
      <w:r>
        <w:rPr>
          <w:rFonts w:hint="cs"/>
          <w:rtl/>
        </w:rPr>
        <w:t xml:space="preserve">הנאשם הורשע בעקבות הודאתו בכתב-אישום ובו עבירות של </w:t>
      </w:r>
      <w:r w:rsidRPr="00447C4E">
        <w:rPr>
          <w:rFonts w:hint="cs"/>
          <w:b/>
          <w:bCs/>
          <w:rtl/>
        </w:rPr>
        <w:t>סחר בסם מסוכן</w:t>
      </w:r>
      <w:r>
        <w:rPr>
          <w:rFonts w:hint="cs"/>
          <w:rtl/>
        </w:rPr>
        <w:t xml:space="preserve">, לפי </w:t>
      </w:r>
      <w:hyperlink r:id="rId13" w:history="1">
        <w:r w:rsidR="00D026F4" w:rsidRPr="00D026F4">
          <w:rPr>
            <w:rStyle w:val="Hyperlink"/>
            <w:rFonts w:hint="eastAsia"/>
            <w:rtl/>
          </w:rPr>
          <w:t>סעיפים</w:t>
        </w:r>
        <w:r w:rsidR="00D026F4" w:rsidRPr="00D026F4">
          <w:rPr>
            <w:rStyle w:val="Hyperlink"/>
            <w:rtl/>
          </w:rPr>
          <w:t xml:space="preserve"> 13</w:t>
        </w:r>
      </w:hyperlink>
      <w:r>
        <w:rPr>
          <w:rFonts w:hint="cs"/>
          <w:rtl/>
        </w:rPr>
        <w:t xml:space="preserve"> + </w:t>
      </w:r>
      <w:hyperlink r:id="rId14" w:history="1">
        <w:r w:rsidR="00D026F4" w:rsidRPr="00D026F4">
          <w:rPr>
            <w:rStyle w:val="Hyperlink"/>
            <w:rtl/>
          </w:rPr>
          <w:t>19א</w:t>
        </w:r>
      </w:hyperlink>
      <w:r>
        <w:rPr>
          <w:rFonts w:hint="cs"/>
          <w:rtl/>
        </w:rPr>
        <w:t xml:space="preserve"> ל</w:t>
      </w:r>
      <w:hyperlink r:id="rId15" w:history="1">
        <w:r w:rsidR="00AF1161" w:rsidRPr="00AF1161">
          <w:rPr>
            <w:color w:val="0000FF"/>
            <w:u w:val="single"/>
            <w:rtl/>
          </w:rPr>
          <w:t>פקודת הסמים המסוכנים</w:t>
        </w:r>
      </w:hyperlink>
      <w:r>
        <w:rPr>
          <w:rFonts w:hint="cs"/>
          <w:rtl/>
        </w:rPr>
        <w:t xml:space="preserve"> (נוסח חדש) תשל"ג </w:t>
      </w:r>
      <w:r>
        <w:rPr>
          <w:rtl/>
        </w:rPr>
        <w:t>–</w:t>
      </w:r>
      <w:r>
        <w:rPr>
          <w:rFonts w:hint="cs"/>
          <w:rtl/>
        </w:rPr>
        <w:t xml:space="preserve"> 1973 </w:t>
      </w:r>
      <w:r w:rsidRPr="00447C4E">
        <w:rPr>
          <w:rFonts w:hint="cs"/>
          <w:b/>
          <w:bCs/>
          <w:rtl/>
        </w:rPr>
        <w:t>והחזקת סם מסוכן</w:t>
      </w:r>
      <w:r>
        <w:rPr>
          <w:rFonts w:hint="cs"/>
          <w:rtl/>
        </w:rPr>
        <w:t xml:space="preserve"> שלא לצריכה עצמית, לפי סעיפים </w:t>
      </w:r>
      <w:hyperlink r:id="rId16" w:history="1">
        <w:r w:rsidR="00D026F4" w:rsidRPr="00D026F4">
          <w:rPr>
            <w:rStyle w:val="Hyperlink"/>
            <w:rtl/>
          </w:rPr>
          <w:t>7 (א)</w:t>
        </w:r>
      </w:hyperlink>
      <w:r>
        <w:rPr>
          <w:rFonts w:hint="cs"/>
          <w:rtl/>
        </w:rPr>
        <w:t xml:space="preserve"> + </w:t>
      </w:r>
      <w:hyperlink r:id="rId17" w:history="1">
        <w:r w:rsidR="00D026F4" w:rsidRPr="00D026F4">
          <w:rPr>
            <w:rStyle w:val="Hyperlink"/>
            <w:rtl/>
          </w:rPr>
          <w:t>7 (ג)</w:t>
        </w:r>
      </w:hyperlink>
      <w:r>
        <w:rPr>
          <w:rFonts w:hint="cs"/>
          <w:rtl/>
        </w:rPr>
        <w:t xml:space="preserve"> רישא לפקודה הנ"ל.</w:t>
      </w:r>
    </w:p>
    <w:p w14:paraId="5E0EC184" w14:textId="77777777" w:rsidR="00A73613" w:rsidRDefault="00A73613" w:rsidP="00A73613">
      <w:pPr>
        <w:spacing w:line="360" w:lineRule="auto"/>
        <w:jc w:val="both"/>
        <w:rPr>
          <w:rtl/>
        </w:rPr>
      </w:pPr>
      <w:bookmarkStart w:id="7" w:name="ABSTRACT_END"/>
      <w:bookmarkEnd w:id="7"/>
    </w:p>
    <w:p w14:paraId="7722C5AF" w14:textId="77777777" w:rsidR="00A73613" w:rsidRDefault="00A73613" w:rsidP="00A73613">
      <w:pPr>
        <w:spacing w:line="360" w:lineRule="auto"/>
        <w:jc w:val="both"/>
        <w:rPr>
          <w:rtl/>
        </w:rPr>
      </w:pPr>
      <w:r>
        <w:rPr>
          <w:rFonts w:hint="cs"/>
          <w:rtl/>
        </w:rPr>
        <w:lastRenderedPageBreak/>
        <w:t>בתאריך  21.1.19 פנתה שוטרת סמויה לנאשם באמצעות היישומון</w:t>
      </w:r>
      <w:r w:rsidRPr="00DB26DF">
        <w:rPr>
          <w:rFonts w:hint="cs"/>
          <w:b/>
          <w:bCs/>
          <w:rtl/>
        </w:rPr>
        <w:t xml:space="preserve"> </w:t>
      </w:r>
      <w:r>
        <w:rPr>
          <w:rFonts w:hint="cs"/>
          <w:b/>
          <w:bCs/>
          <w:rtl/>
        </w:rPr>
        <w:t>"</w:t>
      </w:r>
      <w:r w:rsidRPr="00DB26DF">
        <w:rPr>
          <w:rFonts w:hint="cs"/>
          <w:b/>
          <w:bCs/>
          <w:rtl/>
        </w:rPr>
        <w:t>טלגראס</w:t>
      </w:r>
      <w:r>
        <w:rPr>
          <w:rFonts w:hint="cs"/>
          <w:b/>
          <w:bCs/>
          <w:rtl/>
        </w:rPr>
        <w:t>"</w:t>
      </w:r>
      <w:r>
        <w:rPr>
          <w:rFonts w:hint="cs"/>
          <w:rtl/>
        </w:rPr>
        <w:t xml:space="preserve"> ובקשה לרכוש ממנו קנביס במשקל 10 גרם. הנאשם הסכים, ובתמורה דרש ממנה 750 ₪. השניים קבעו פגישה.</w:t>
      </w:r>
    </w:p>
    <w:p w14:paraId="0C06B786" w14:textId="77777777" w:rsidR="00A73613" w:rsidRDefault="00A73613" w:rsidP="00A73613">
      <w:pPr>
        <w:spacing w:line="360" w:lineRule="auto"/>
        <w:jc w:val="both"/>
        <w:rPr>
          <w:rtl/>
        </w:rPr>
      </w:pPr>
    </w:p>
    <w:p w14:paraId="78BB4759" w14:textId="77777777" w:rsidR="00A73613" w:rsidRPr="00447C4E" w:rsidRDefault="00A73613" w:rsidP="00A73613">
      <w:pPr>
        <w:spacing w:line="360" w:lineRule="auto"/>
        <w:jc w:val="both"/>
        <w:rPr>
          <w:b/>
          <w:bCs/>
          <w:rtl/>
        </w:rPr>
      </w:pPr>
      <w:r w:rsidRPr="00447C4E">
        <w:rPr>
          <w:rFonts w:hint="cs"/>
          <w:b/>
          <w:bCs/>
          <w:rtl/>
        </w:rPr>
        <w:t>הנאשם הגיע אל מקום המפגש ברכבו ומכר לשוטרת 10 גרם קנביס תמורת 750 ₪.</w:t>
      </w:r>
    </w:p>
    <w:p w14:paraId="43AD1FF6" w14:textId="77777777" w:rsidR="00A73613" w:rsidRDefault="00A73613" w:rsidP="00A73613">
      <w:pPr>
        <w:spacing w:line="360" w:lineRule="auto"/>
        <w:jc w:val="both"/>
        <w:rPr>
          <w:rtl/>
        </w:rPr>
      </w:pPr>
    </w:p>
    <w:p w14:paraId="63AFF94E" w14:textId="77777777" w:rsidR="00A73613" w:rsidRDefault="00A73613" w:rsidP="00A73613">
      <w:pPr>
        <w:spacing w:line="360" w:lineRule="auto"/>
        <w:jc w:val="both"/>
        <w:rPr>
          <w:rtl/>
        </w:rPr>
      </w:pPr>
      <w:r>
        <w:rPr>
          <w:rFonts w:hint="cs"/>
          <w:rtl/>
        </w:rPr>
        <w:t xml:space="preserve">אותה עת </w:t>
      </w:r>
      <w:r w:rsidRPr="00447C4E">
        <w:rPr>
          <w:rFonts w:hint="cs"/>
          <w:b/>
          <w:bCs/>
          <w:rtl/>
        </w:rPr>
        <w:t>החזיק הנאשם ברכבו 40 גרם קנביס</w:t>
      </w:r>
      <w:r>
        <w:rPr>
          <w:rFonts w:hint="cs"/>
          <w:rtl/>
        </w:rPr>
        <w:t xml:space="preserve"> וכסף מזומן בסך 2,440 ₪.</w:t>
      </w:r>
    </w:p>
    <w:p w14:paraId="70FC167A" w14:textId="77777777" w:rsidR="00A73613" w:rsidRDefault="00A73613" w:rsidP="00A73613">
      <w:pPr>
        <w:spacing w:line="360" w:lineRule="auto"/>
        <w:jc w:val="both"/>
        <w:rPr>
          <w:rtl/>
        </w:rPr>
      </w:pPr>
    </w:p>
    <w:p w14:paraId="11F72ACD" w14:textId="77777777" w:rsidR="00A73613" w:rsidRDefault="00A73613" w:rsidP="00A73613">
      <w:pPr>
        <w:spacing w:line="360" w:lineRule="auto"/>
        <w:jc w:val="both"/>
        <w:rPr>
          <w:b/>
          <w:bCs/>
          <w:u w:val="single"/>
          <w:rtl/>
        </w:rPr>
      </w:pPr>
      <w:r>
        <w:rPr>
          <w:rFonts w:hint="cs"/>
          <w:b/>
          <w:bCs/>
          <w:u w:val="single"/>
          <w:rtl/>
        </w:rPr>
        <w:t>ב. מתחם ענישה וזירת המחלוקת העונשית:</w:t>
      </w:r>
    </w:p>
    <w:p w14:paraId="5231C447" w14:textId="77777777" w:rsidR="00A73613" w:rsidRDefault="00A73613" w:rsidP="00A73613">
      <w:pPr>
        <w:spacing w:line="360" w:lineRule="auto"/>
        <w:jc w:val="both"/>
        <w:rPr>
          <w:b/>
          <w:bCs/>
          <w:u w:val="single"/>
          <w:rtl/>
        </w:rPr>
      </w:pPr>
    </w:p>
    <w:p w14:paraId="5A43AE69" w14:textId="77777777" w:rsidR="00A73613" w:rsidRDefault="00A73613" w:rsidP="00A73613">
      <w:pPr>
        <w:spacing w:line="360" w:lineRule="auto"/>
        <w:jc w:val="both"/>
        <w:rPr>
          <w:rtl/>
        </w:rPr>
      </w:pPr>
      <w:r>
        <w:rPr>
          <w:rFonts w:hint="cs"/>
          <w:rtl/>
        </w:rPr>
        <w:t xml:space="preserve">נוכח עקרון ההלימה ופסיקה הנוהגת בתחום, כאשר מדובר </w:t>
      </w:r>
      <w:r w:rsidRPr="00BB46B1">
        <w:rPr>
          <w:rFonts w:hint="cs"/>
          <w:b/>
          <w:bCs/>
          <w:rtl/>
        </w:rPr>
        <w:t>בעסקת סחר בודדת של קנביס</w:t>
      </w:r>
      <w:r>
        <w:rPr>
          <w:rFonts w:hint="cs"/>
          <w:rtl/>
        </w:rPr>
        <w:t xml:space="preserve"> </w:t>
      </w:r>
      <w:r w:rsidRPr="00BB46B1">
        <w:rPr>
          <w:rFonts w:hint="cs"/>
          <w:b/>
          <w:bCs/>
          <w:rtl/>
        </w:rPr>
        <w:t>במשקל 10 גרם והחזקת 40 גרם</w:t>
      </w:r>
      <w:r>
        <w:rPr>
          <w:rFonts w:hint="cs"/>
          <w:rtl/>
        </w:rPr>
        <w:t>, אני קובע כי מתחם הענישה נע בין מאסר על תנאי, של"צ עד מספר חודשי מאסר בפועל הניתנים לריצוי בדרך של עבודות שירות.</w:t>
      </w:r>
    </w:p>
    <w:p w14:paraId="7186CB15" w14:textId="77777777" w:rsidR="00A73613" w:rsidRDefault="00A73613" w:rsidP="00A73613">
      <w:pPr>
        <w:spacing w:line="360" w:lineRule="auto"/>
        <w:jc w:val="both"/>
        <w:rPr>
          <w:rtl/>
        </w:rPr>
      </w:pPr>
    </w:p>
    <w:p w14:paraId="5B29D5C5" w14:textId="77777777" w:rsidR="00A73613" w:rsidRDefault="00A73613" w:rsidP="00A73613">
      <w:pPr>
        <w:spacing w:line="360" w:lineRule="auto"/>
        <w:jc w:val="both"/>
        <w:rPr>
          <w:b/>
          <w:bCs/>
          <w:rtl/>
        </w:rPr>
      </w:pPr>
      <w:r w:rsidRPr="004C77AD">
        <w:rPr>
          <w:rFonts w:hint="cs"/>
          <w:b/>
          <w:bCs/>
          <w:rtl/>
        </w:rPr>
        <w:t>המאשימה עותרת להטיל על הנאשם ענישה הניתנת לריצוי בדרך של עבודות שירות ואילו הנאשם עותר לבטל את הרשעתו ולהטיל עליו ענישה כפי המלצת שירות המבחן.</w:t>
      </w:r>
    </w:p>
    <w:p w14:paraId="6EFACB31" w14:textId="77777777" w:rsidR="00A73613" w:rsidRDefault="00A73613" w:rsidP="00A73613">
      <w:pPr>
        <w:spacing w:line="360" w:lineRule="auto"/>
        <w:jc w:val="both"/>
        <w:rPr>
          <w:b/>
          <w:bCs/>
          <w:rtl/>
        </w:rPr>
      </w:pPr>
    </w:p>
    <w:p w14:paraId="265214D5" w14:textId="77777777" w:rsidR="00A73613" w:rsidRDefault="00A73613" w:rsidP="00A73613">
      <w:pPr>
        <w:spacing w:line="360" w:lineRule="auto"/>
        <w:jc w:val="both"/>
        <w:rPr>
          <w:b/>
          <w:bCs/>
          <w:rtl/>
        </w:rPr>
      </w:pPr>
      <w:r w:rsidRPr="004C77AD">
        <w:rPr>
          <w:rFonts w:hint="cs"/>
          <w:b/>
          <w:bCs/>
          <w:u w:val="single"/>
          <w:rtl/>
        </w:rPr>
        <w:t>ג. שיקולי ענישה</w:t>
      </w:r>
      <w:r>
        <w:rPr>
          <w:rFonts w:hint="cs"/>
          <w:b/>
          <w:bCs/>
          <w:rtl/>
        </w:rPr>
        <w:t>:</w:t>
      </w:r>
    </w:p>
    <w:p w14:paraId="35F5F6F0" w14:textId="77777777" w:rsidR="00A73613" w:rsidRDefault="00A73613" w:rsidP="00A73613">
      <w:pPr>
        <w:spacing w:line="360" w:lineRule="auto"/>
        <w:jc w:val="both"/>
        <w:rPr>
          <w:b/>
          <w:bCs/>
          <w:rtl/>
        </w:rPr>
      </w:pPr>
    </w:p>
    <w:p w14:paraId="380F1A92" w14:textId="77777777" w:rsidR="00A73613" w:rsidRPr="00DB26DF" w:rsidRDefault="00A73613" w:rsidP="00A73613">
      <w:pPr>
        <w:spacing w:line="360" w:lineRule="auto"/>
        <w:jc w:val="both"/>
        <w:rPr>
          <w:b/>
          <w:bCs/>
          <w:rtl/>
        </w:rPr>
      </w:pPr>
      <w:r>
        <w:rPr>
          <w:rFonts w:hint="cs"/>
          <w:rtl/>
        </w:rPr>
        <w:t xml:space="preserve">הנאשם ביצע עבירה חמורה מתחום הסחר בסמים שאין להקל בה ראש </w:t>
      </w:r>
      <w:r>
        <w:rPr>
          <w:rtl/>
        </w:rPr>
        <w:t>–</w:t>
      </w:r>
      <w:r>
        <w:rPr>
          <w:rFonts w:hint="cs"/>
          <w:rtl/>
        </w:rPr>
        <w:t xml:space="preserve"> </w:t>
      </w:r>
      <w:r w:rsidRPr="00DB26DF">
        <w:rPr>
          <w:rFonts w:hint="cs"/>
          <w:b/>
          <w:bCs/>
          <w:rtl/>
        </w:rPr>
        <w:t xml:space="preserve">מכירת 10 גרם קנביס לשוטרת לאחר שהיא יצרה עמו קשר דרך יישומון </w:t>
      </w:r>
      <w:r>
        <w:rPr>
          <w:rFonts w:hint="cs"/>
          <w:b/>
          <w:bCs/>
          <w:rtl/>
        </w:rPr>
        <w:t>"</w:t>
      </w:r>
      <w:r w:rsidRPr="00DB26DF">
        <w:rPr>
          <w:rFonts w:hint="cs"/>
          <w:b/>
          <w:bCs/>
          <w:rtl/>
        </w:rPr>
        <w:t>טלגראס</w:t>
      </w:r>
      <w:r>
        <w:rPr>
          <w:rFonts w:hint="cs"/>
          <w:b/>
          <w:bCs/>
          <w:rtl/>
        </w:rPr>
        <w:t>"</w:t>
      </w:r>
      <w:r w:rsidRPr="00DB26DF">
        <w:rPr>
          <w:rFonts w:hint="cs"/>
          <w:b/>
          <w:bCs/>
          <w:rtl/>
        </w:rPr>
        <w:t xml:space="preserve"> ייעודי לשם כך.</w:t>
      </w:r>
    </w:p>
    <w:p w14:paraId="367B3486" w14:textId="77777777" w:rsidR="00A73613" w:rsidRDefault="00A73613" w:rsidP="00A73613">
      <w:pPr>
        <w:spacing w:line="360" w:lineRule="auto"/>
        <w:jc w:val="both"/>
        <w:rPr>
          <w:rtl/>
        </w:rPr>
      </w:pPr>
    </w:p>
    <w:p w14:paraId="2F9AB838" w14:textId="77777777" w:rsidR="00A73613" w:rsidRDefault="00A73613" w:rsidP="00A73613">
      <w:pPr>
        <w:spacing w:line="360" w:lineRule="auto"/>
        <w:jc w:val="both"/>
        <w:rPr>
          <w:rtl/>
        </w:rPr>
      </w:pPr>
      <w:r w:rsidRPr="00DB26DF">
        <w:rPr>
          <w:rFonts w:hint="cs"/>
          <w:b/>
          <w:bCs/>
          <w:rtl/>
        </w:rPr>
        <w:t>אני סבור, כי חומרת העבירה אינה מאפשרת</w:t>
      </w:r>
      <w:r>
        <w:rPr>
          <w:rFonts w:hint="cs"/>
          <w:b/>
          <w:bCs/>
          <w:rtl/>
        </w:rPr>
        <w:t>,</w:t>
      </w:r>
      <w:r w:rsidRPr="00DB26DF">
        <w:rPr>
          <w:rFonts w:hint="cs"/>
          <w:b/>
          <w:bCs/>
          <w:rtl/>
        </w:rPr>
        <w:t xml:space="preserve"> בנסיבות תיק זה</w:t>
      </w:r>
      <w:r>
        <w:rPr>
          <w:rFonts w:hint="cs"/>
          <w:b/>
          <w:bCs/>
          <w:rtl/>
        </w:rPr>
        <w:t>,</w:t>
      </w:r>
      <w:r w:rsidRPr="00DB26DF">
        <w:rPr>
          <w:rFonts w:hint="cs"/>
          <w:b/>
          <w:bCs/>
          <w:rtl/>
        </w:rPr>
        <w:t xml:space="preserve"> הקלה ענישתית עד כדי ביטול ההרשעה, </w:t>
      </w:r>
      <w:r>
        <w:rPr>
          <w:rFonts w:hint="cs"/>
          <w:rtl/>
        </w:rPr>
        <w:t>אך יתרת השיקולים שאפרט להלן, בהחלט מאפשרים למקם את עונשו של הנאשם כפי המלצתו העקרונית של שירות המבחן.</w:t>
      </w:r>
    </w:p>
    <w:p w14:paraId="5D9A1761" w14:textId="77777777" w:rsidR="00A73613" w:rsidRDefault="00A73613" w:rsidP="00A73613">
      <w:pPr>
        <w:spacing w:line="360" w:lineRule="auto"/>
        <w:jc w:val="both"/>
        <w:rPr>
          <w:rtl/>
        </w:rPr>
      </w:pPr>
    </w:p>
    <w:p w14:paraId="7B7FD8AC" w14:textId="77777777" w:rsidR="00A73613" w:rsidRPr="008C412E" w:rsidRDefault="00A73613" w:rsidP="00A73613">
      <w:pPr>
        <w:spacing w:line="360" w:lineRule="auto"/>
        <w:jc w:val="both"/>
        <w:rPr>
          <w:b/>
          <w:bCs/>
          <w:rtl/>
        </w:rPr>
      </w:pPr>
      <w:r w:rsidRPr="008C412E">
        <w:rPr>
          <w:rFonts w:hint="cs"/>
          <w:b/>
          <w:bCs/>
          <w:rtl/>
        </w:rPr>
        <w:t xml:space="preserve">התסקירים שהוגשו בעניינו של הנאשם </w:t>
      </w:r>
      <w:r>
        <w:rPr>
          <w:rFonts w:hint="cs"/>
          <w:b/>
          <w:bCs/>
          <w:rtl/>
        </w:rPr>
        <w:t>הציגו תמונת מצב חיובית בעיקרה</w:t>
      </w:r>
      <w:r w:rsidRPr="008C412E">
        <w:rPr>
          <w:rFonts w:hint="cs"/>
          <w:b/>
          <w:bCs/>
          <w:rtl/>
        </w:rPr>
        <w:t>:</w:t>
      </w:r>
    </w:p>
    <w:p w14:paraId="72A84906" w14:textId="77777777" w:rsidR="00A73613" w:rsidRDefault="00A73613" w:rsidP="00A73613">
      <w:pPr>
        <w:spacing w:line="360" w:lineRule="auto"/>
        <w:jc w:val="both"/>
        <w:rPr>
          <w:rtl/>
        </w:rPr>
      </w:pPr>
    </w:p>
    <w:p w14:paraId="3D0665D6" w14:textId="77777777" w:rsidR="00A73613" w:rsidRDefault="00A73613" w:rsidP="00A73613">
      <w:pPr>
        <w:spacing w:line="360" w:lineRule="auto"/>
        <w:jc w:val="both"/>
        <w:rPr>
          <w:rtl/>
        </w:rPr>
      </w:pPr>
      <w:r w:rsidRPr="0050013F">
        <w:rPr>
          <w:rFonts w:hint="cs"/>
          <w:b/>
          <w:bCs/>
          <w:rtl/>
        </w:rPr>
        <w:t>התסקיר מחודש מאי 2019</w:t>
      </w:r>
      <w:r>
        <w:rPr>
          <w:rFonts w:hint="cs"/>
          <w:rtl/>
        </w:rPr>
        <w:t xml:space="preserve"> לא בא בהמלצה לשלבו בבית-המשפט הקהילתי.</w:t>
      </w:r>
    </w:p>
    <w:p w14:paraId="397DA9EB" w14:textId="77777777" w:rsidR="00A73613" w:rsidRDefault="00A73613" w:rsidP="00A73613">
      <w:pPr>
        <w:spacing w:line="360" w:lineRule="auto"/>
        <w:jc w:val="both"/>
        <w:rPr>
          <w:rtl/>
        </w:rPr>
      </w:pPr>
    </w:p>
    <w:p w14:paraId="24EC7AC8" w14:textId="77777777" w:rsidR="00A73613" w:rsidRDefault="00A73613" w:rsidP="00A73613">
      <w:pPr>
        <w:spacing w:line="360" w:lineRule="auto"/>
        <w:jc w:val="both"/>
        <w:rPr>
          <w:rtl/>
        </w:rPr>
      </w:pPr>
      <w:r w:rsidRPr="0050013F">
        <w:rPr>
          <w:rFonts w:hint="cs"/>
          <w:b/>
          <w:bCs/>
          <w:rtl/>
        </w:rPr>
        <w:t xml:space="preserve">התסקיר מספטמבר 2020 </w:t>
      </w:r>
      <w:r>
        <w:rPr>
          <w:rFonts w:hint="cs"/>
          <w:rtl/>
        </w:rPr>
        <w:t xml:space="preserve">הציג את תולדות חייו: הוא גדל במשפחה המנהלת </w:t>
      </w:r>
      <w:r w:rsidRPr="0050013F">
        <w:rPr>
          <w:rFonts w:hint="cs"/>
          <w:b/>
          <w:bCs/>
          <w:rtl/>
        </w:rPr>
        <w:t>אורח חיים נורמטיבי</w:t>
      </w:r>
      <w:r>
        <w:rPr>
          <w:rFonts w:hint="cs"/>
          <w:rtl/>
        </w:rPr>
        <w:t xml:space="preserve">, הוא בעל כוחות תפקוד תקינים והוא </w:t>
      </w:r>
      <w:r w:rsidRPr="00D31114">
        <w:rPr>
          <w:rFonts w:hint="cs"/>
          <w:b/>
          <w:bCs/>
          <w:rtl/>
        </w:rPr>
        <w:t>אינו מחזיק בדפוסי עבריינות מושרשים</w:t>
      </w:r>
      <w:r>
        <w:rPr>
          <w:rFonts w:hint="cs"/>
          <w:rtl/>
        </w:rPr>
        <w:t>.</w:t>
      </w:r>
    </w:p>
    <w:p w14:paraId="1F2F1F67" w14:textId="77777777" w:rsidR="00A73613" w:rsidRDefault="00A73613" w:rsidP="00A73613">
      <w:pPr>
        <w:spacing w:line="360" w:lineRule="auto"/>
        <w:jc w:val="both"/>
        <w:rPr>
          <w:rtl/>
        </w:rPr>
      </w:pPr>
    </w:p>
    <w:p w14:paraId="6DD4769A" w14:textId="77777777" w:rsidR="00A73613" w:rsidRDefault="00A73613" w:rsidP="00A73613">
      <w:pPr>
        <w:spacing w:line="360" w:lineRule="auto"/>
        <w:jc w:val="both"/>
        <w:rPr>
          <w:rtl/>
        </w:rPr>
      </w:pPr>
      <w:r>
        <w:rPr>
          <w:rFonts w:hint="cs"/>
          <w:rtl/>
        </w:rPr>
        <w:t xml:space="preserve">התקבל הרושם, כי </w:t>
      </w:r>
      <w:r w:rsidRPr="0050013F">
        <w:rPr>
          <w:rFonts w:hint="cs"/>
          <w:b/>
          <w:bCs/>
          <w:rtl/>
        </w:rPr>
        <w:t>בשנים שקדמו לביצוע העבריינות העמיקה התמכרותו לסמים</w:t>
      </w:r>
      <w:r>
        <w:rPr>
          <w:rFonts w:hint="cs"/>
          <w:rtl/>
        </w:rPr>
        <w:t xml:space="preserve"> והוא התקשה להיענות לגבולות.</w:t>
      </w:r>
    </w:p>
    <w:p w14:paraId="0AD6D707" w14:textId="77777777" w:rsidR="00A73613" w:rsidRDefault="00A73613" w:rsidP="00A73613">
      <w:pPr>
        <w:spacing w:line="360" w:lineRule="auto"/>
        <w:jc w:val="both"/>
        <w:rPr>
          <w:rtl/>
        </w:rPr>
      </w:pPr>
    </w:p>
    <w:p w14:paraId="6F03DC5D" w14:textId="77777777" w:rsidR="00A73613" w:rsidRDefault="00A73613" w:rsidP="00A73613">
      <w:pPr>
        <w:spacing w:line="360" w:lineRule="auto"/>
        <w:jc w:val="both"/>
        <w:rPr>
          <w:rtl/>
        </w:rPr>
      </w:pPr>
      <w:r w:rsidRPr="0050013F">
        <w:rPr>
          <w:rFonts w:hint="cs"/>
          <w:b/>
          <w:bCs/>
          <w:rtl/>
        </w:rPr>
        <w:lastRenderedPageBreak/>
        <w:t>הוא מסר כי מימן את צריכת הסמים שלו "באמצעות רווח כלכלי מהיר</w:t>
      </w:r>
      <w:r>
        <w:rPr>
          <w:rFonts w:hint="cs"/>
          <w:rtl/>
        </w:rPr>
        <w:t>".</w:t>
      </w:r>
    </w:p>
    <w:p w14:paraId="0229DE2A" w14:textId="77777777" w:rsidR="00A73613" w:rsidRDefault="00A73613" w:rsidP="00A73613">
      <w:pPr>
        <w:spacing w:line="360" w:lineRule="auto"/>
        <w:jc w:val="both"/>
        <w:rPr>
          <w:rtl/>
        </w:rPr>
      </w:pPr>
    </w:p>
    <w:p w14:paraId="1B3CA6D6" w14:textId="77777777" w:rsidR="00A73613" w:rsidRDefault="00A73613" w:rsidP="00A73613">
      <w:pPr>
        <w:spacing w:line="360" w:lineRule="auto"/>
        <w:jc w:val="both"/>
        <w:rPr>
          <w:rtl/>
        </w:rPr>
      </w:pPr>
      <w:r>
        <w:rPr>
          <w:rFonts w:hint="cs"/>
          <w:rtl/>
        </w:rPr>
        <w:t xml:space="preserve">מסר כי ערך מאמצים </w:t>
      </w:r>
      <w:r w:rsidRPr="0050013F">
        <w:rPr>
          <w:rFonts w:hint="cs"/>
          <w:b/>
          <w:bCs/>
          <w:rtl/>
        </w:rPr>
        <w:t>אישיים</w:t>
      </w:r>
      <w:r>
        <w:rPr>
          <w:rFonts w:hint="cs"/>
          <w:rtl/>
        </w:rPr>
        <w:t xml:space="preserve"> להיגמל.</w:t>
      </w:r>
    </w:p>
    <w:p w14:paraId="00D90E5B" w14:textId="77777777" w:rsidR="00A73613" w:rsidRDefault="00A73613" w:rsidP="00A73613">
      <w:pPr>
        <w:spacing w:line="360" w:lineRule="auto"/>
        <w:jc w:val="both"/>
        <w:rPr>
          <w:rtl/>
        </w:rPr>
      </w:pPr>
    </w:p>
    <w:p w14:paraId="22085C6D" w14:textId="77777777" w:rsidR="00A73613" w:rsidRDefault="00A73613" w:rsidP="00A73613">
      <w:pPr>
        <w:spacing w:line="360" w:lineRule="auto"/>
        <w:jc w:val="both"/>
        <w:rPr>
          <w:rtl/>
        </w:rPr>
      </w:pPr>
      <w:r>
        <w:rPr>
          <w:rFonts w:hint="cs"/>
          <w:rtl/>
        </w:rPr>
        <w:t xml:space="preserve">נמסר כי מחודש אוקטובר 2019 הופנה  להליך טיפולי, הוא דיווח על מעידות חד פעמיות, אך בדיקות שתן שמסר </w:t>
      </w:r>
      <w:r w:rsidRPr="00D31114">
        <w:rPr>
          <w:rFonts w:hint="cs"/>
          <w:b/>
          <w:bCs/>
          <w:rtl/>
        </w:rPr>
        <w:t>לאחרונה לימדו על ניקיון מסמים.</w:t>
      </w:r>
    </w:p>
    <w:p w14:paraId="35CE9140" w14:textId="77777777" w:rsidR="00A73613" w:rsidRDefault="00A73613" w:rsidP="00A73613">
      <w:pPr>
        <w:spacing w:line="360" w:lineRule="auto"/>
        <w:jc w:val="both"/>
        <w:rPr>
          <w:rtl/>
        </w:rPr>
      </w:pPr>
    </w:p>
    <w:p w14:paraId="50A70673" w14:textId="77777777" w:rsidR="00A73613" w:rsidRDefault="00A73613" w:rsidP="00A73613">
      <w:pPr>
        <w:spacing w:line="360" w:lineRule="auto"/>
        <w:jc w:val="both"/>
        <w:rPr>
          <w:rtl/>
        </w:rPr>
      </w:pPr>
      <w:r>
        <w:rPr>
          <w:rFonts w:hint="cs"/>
          <w:rtl/>
        </w:rPr>
        <w:t>כיום הוא מסוגל להתבוננות ביקורתית בהתנהלותו.</w:t>
      </w:r>
    </w:p>
    <w:p w14:paraId="32AF42CB" w14:textId="77777777" w:rsidR="00A73613" w:rsidRDefault="00A73613" w:rsidP="00A73613">
      <w:pPr>
        <w:spacing w:line="360" w:lineRule="auto"/>
        <w:jc w:val="both"/>
        <w:rPr>
          <w:rtl/>
        </w:rPr>
      </w:pPr>
    </w:p>
    <w:p w14:paraId="08A2377F" w14:textId="77777777" w:rsidR="00A73613" w:rsidRDefault="00A73613" w:rsidP="00A73613">
      <w:pPr>
        <w:spacing w:line="360" w:lineRule="auto"/>
        <w:jc w:val="both"/>
        <w:rPr>
          <w:rtl/>
        </w:rPr>
      </w:pPr>
      <w:r>
        <w:rPr>
          <w:rFonts w:hint="cs"/>
          <w:rtl/>
        </w:rPr>
        <w:t>ההמלצה הייתה להסתפק בענישה שיקומית בדרך של 300 שעות לתועלת הציבור והעמדתו במבחן.</w:t>
      </w:r>
    </w:p>
    <w:p w14:paraId="5237BD21" w14:textId="77777777" w:rsidR="00A73613" w:rsidRDefault="00A73613" w:rsidP="00A73613">
      <w:pPr>
        <w:spacing w:line="360" w:lineRule="auto"/>
        <w:jc w:val="both"/>
        <w:rPr>
          <w:rtl/>
        </w:rPr>
      </w:pPr>
    </w:p>
    <w:p w14:paraId="3F5F8B75" w14:textId="77777777" w:rsidR="00A73613" w:rsidRDefault="00A73613" w:rsidP="00A73613">
      <w:pPr>
        <w:spacing w:line="360" w:lineRule="auto"/>
        <w:jc w:val="both"/>
        <w:rPr>
          <w:rtl/>
        </w:rPr>
      </w:pPr>
      <w:r w:rsidRPr="0050013F">
        <w:rPr>
          <w:rFonts w:hint="cs"/>
          <w:b/>
          <w:bCs/>
          <w:rtl/>
        </w:rPr>
        <w:t>התסקיר מאוקטובר 2020</w:t>
      </w:r>
      <w:r>
        <w:rPr>
          <w:rFonts w:hint="cs"/>
          <w:rtl/>
        </w:rPr>
        <w:t xml:space="preserve"> חזר על המלצתו והוסיף המלצה לשקול בחיוב את ביטול הרשעתו.</w:t>
      </w:r>
    </w:p>
    <w:p w14:paraId="4F75D3A1" w14:textId="77777777" w:rsidR="00A73613" w:rsidRDefault="00A73613" w:rsidP="00A73613">
      <w:pPr>
        <w:spacing w:line="360" w:lineRule="auto"/>
        <w:jc w:val="both"/>
        <w:rPr>
          <w:rtl/>
        </w:rPr>
      </w:pPr>
    </w:p>
    <w:p w14:paraId="7644B64E" w14:textId="77777777" w:rsidR="00A73613" w:rsidRDefault="00A73613" w:rsidP="00A73613">
      <w:pPr>
        <w:spacing w:line="360" w:lineRule="auto"/>
        <w:jc w:val="both"/>
        <w:rPr>
          <w:rtl/>
        </w:rPr>
      </w:pPr>
      <w:r>
        <w:rPr>
          <w:rFonts w:hint="cs"/>
          <w:rtl/>
        </w:rPr>
        <w:t>יצוין, כי למרות התסקיר החיובי, והעובדה</w:t>
      </w:r>
      <w:r w:rsidRPr="007906D6">
        <w:rPr>
          <w:rFonts w:hint="cs"/>
          <w:b/>
          <w:bCs/>
          <w:rtl/>
        </w:rPr>
        <w:t xml:space="preserve"> הכללית</w:t>
      </w:r>
      <w:r>
        <w:rPr>
          <w:rFonts w:hint="cs"/>
          <w:rtl/>
        </w:rPr>
        <w:t xml:space="preserve">, כי מסר בדיקות שתן שהעידו על ניקיון מסם, לא מצאתי בו פירוט כנדרש, המלמד, כי הנאשם עבר הליך טיפולי ארוך טווח, מוכח, באמצעות שירות המבחן אשר גמל אותו לחלוטין מן המניע לסחר בסם והוא </w:t>
      </w:r>
      <w:r w:rsidRPr="00D31114">
        <w:rPr>
          <w:rFonts w:hint="cs"/>
          <w:b/>
          <w:bCs/>
          <w:rtl/>
        </w:rPr>
        <w:t>מימון צריכתו שלו</w:t>
      </w:r>
      <w:r>
        <w:rPr>
          <w:rFonts w:hint="cs"/>
          <w:rtl/>
        </w:rPr>
        <w:t xml:space="preserve"> ונראה כי טענה לגמילה מבוססת </w:t>
      </w:r>
      <w:r w:rsidRPr="00D31114">
        <w:rPr>
          <w:rFonts w:hint="cs"/>
          <w:b/>
          <w:bCs/>
          <w:rtl/>
        </w:rPr>
        <w:t>בעיקר על דיווחיו</w:t>
      </w:r>
      <w:r>
        <w:rPr>
          <w:rFonts w:hint="cs"/>
          <w:rtl/>
        </w:rPr>
        <w:t xml:space="preserve"> ושיחות במחלקה לשירותים חברתיים, בלא פירוט בדבר מספר בדיקות השתן </w:t>
      </w:r>
      <w:r w:rsidRPr="007906D6">
        <w:rPr>
          <w:rFonts w:hint="cs"/>
          <w:b/>
          <w:bCs/>
          <w:rtl/>
        </w:rPr>
        <w:t>ועכשוויות</w:t>
      </w:r>
      <w:r>
        <w:rPr>
          <w:rFonts w:hint="cs"/>
          <w:rtl/>
        </w:rPr>
        <w:t xml:space="preserve"> הבדיקות - עמוד 3 פסקה שנייה.</w:t>
      </w:r>
    </w:p>
    <w:p w14:paraId="4512C0FA" w14:textId="77777777" w:rsidR="00A73613" w:rsidRDefault="00A73613" w:rsidP="00A73613">
      <w:pPr>
        <w:spacing w:line="360" w:lineRule="auto"/>
        <w:jc w:val="both"/>
        <w:rPr>
          <w:rtl/>
        </w:rPr>
      </w:pPr>
    </w:p>
    <w:p w14:paraId="7B820D5C" w14:textId="77777777" w:rsidR="00A73613" w:rsidRPr="007906D6" w:rsidRDefault="00A73613" w:rsidP="00A73613">
      <w:pPr>
        <w:spacing w:line="360" w:lineRule="auto"/>
        <w:jc w:val="both"/>
        <w:rPr>
          <w:b/>
          <w:bCs/>
          <w:rtl/>
        </w:rPr>
      </w:pPr>
      <w:r>
        <w:rPr>
          <w:rFonts w:hint="cs"/>
          <w:b/>
          <w:bCs/>
          <w:rtl/>
        </w:rPr>
        <w:t xml:space="preserve">אכן, </w:t>
      </w:r>
      <w:r w:rsidRPr="007906D6">
        <w:rPr>
          <w:rFonts w:hint="cs"/>
          <w:b/>
          <w:bCs/>
          <w:rtl/>
        </w:rPr>
        <w:t xml:space="preserve">הנאשם עבר בהצלחה את הבחינה לקבלת רישיון תיווך במקרקעין (במ/1). </w:t>
      </w:r>
      <w:r>
        <w:rPr>
          <w:rFonts w:hint="cs"/>
          <w:b/>
          <w:bCs/>
          <w:rtl/>
        </w:rPr>
        <w:t xml:space="preserve">יחד עם זאת, </w:t>
      </w:r>
      <w:r w:rsidRPr="007906D6">
        <w:rPr>
          <w:rFonts w:hint="cs"/>
          <w:b/>
          <w:bCs/>
          <w:rtl/>
        </w:rPr>
        <w:t xml:space="preserve">לא הוצג רישיון </w:t>
      </w:r>
      <w:r>
        <w:rPr>
          <w:rFonts w:hint="cs"/>
          <w:b/>
          <w:bCs/>
          <w:rtl/>
        </w:rPr>
        <w:t>תיווך במקרקעין ו</w:t>
      </w:r>
      <w:r w:rsidRPr="007906D6">
        <w:rPr>
          <w:rFonts w:hint="cs"/>
          <w:b/>
          <w:bCs/>
          <w:rtl/>
        </w:rPr>
        <w:t>לא נמסר כי הנאשם החל לעבוד בתחום.</w:t>
      </w:r>
    </w:p>
    <w:p w14:paraId="47477AC2" w14:textId="77777777" w:rsidR="00A73613" w:rsidRDefault="00A73613" w:rsidP="00A73613">
      <w:pPr>
        <w:spacing w:line="360" w:lineRule="auto"/>
        <w:jc w:val="both"/>
        <w:rPr>
          <w:rtl/>
        </w:rPr>
      </w:pPr>
    </w:p>
    <w:p w14:paraId="1C3D3387" w14:textId="77777777" w:rsidR="00A73613" w:rsidRDefault="00AF1161" w:rsidP="00A73613">
      <w:pPr>
        <w:spacing w:line="360" w:lineRule="auto"/>
        <w:jc w:val="both"/>
        <w:rPr>
          <w:rtl/>
        </w:rPr>
      </w:pPr>
      <w:hyperlink r:id="rId18" w:history="1">
        <w:r w:rsidRPr="00AF1161">
          <w:rPr>
            <w:color w:val="0000FF"/>
            <w:u w:val="single"/>
            <w:rtl/>
          </w:rPr>
          <w:t>חוק המתווכים במקרקעין</w:t>
        </w:r>
      </w:hyperlink>
      <w:r w:rsidR="00A73613">
        <w:rPr>
          <w:rFonts w:hint="cs"/>
          <w:rtl/>
        </w:rPr>
        <w:t xml:space="preserve">, תשנ"ו </w:t>
      </w:r>
      <w:r w:rsidR="00A73613">
        <w:rPr>
          <w:rtl/>
        </w:rPr>
        <w:t>–</w:t>
      </w:r>
      <w:r w:rsidR="00A73613">
        <w:rPr>
          <w:rFonts w:hint="cs"/>
          <w:rtl/>
        </w:rPr>
        <w:t xml:space="preserve"> 1996 קובע </w:t>
      </w:r>
      <w:hyperlink r:id="rId19" w:history="1">
        <w:r w:rsidR="00D026F4" w:rsidRPr="00D026F4">
          <w:rPr>
            <w:rStyle w:val="Hyperlink"/>
            <w:rFonts w:hint="eastAsia"/>
            <w:rtl/>
          </w:rPr>
          <w:t>בסעיף</w:t>
        </w:r>
        <w:r w:rsidR="00D026F4" w:rsidRPr="00D026F4">
          <w:rPr>
            <w:rStyle w:val="Hyperlink"/>
            <w:rtl/>
          </w:rPr>
          <w:t xml:space="preserve"> 5</w:t>
        </w:r>
      </w:hyperlink>
      <w:r w:rsidR="00A73613">
        <w:rPr>
          <w:rFonts w:hint="cs"/>
          <w:rtl/>
        </w:rPr>
        <w:t xml:space="preserve"> את התנאים לקבלת רישיון תיווך במקרקעין, ובין השאר: "(4). הוא לא הורשע בעבירה שמפאת מהותה, חומרתה ונסיבותיה אין הוא ראוי לשמש מתווך במקרקעין. (5). אם הוא נדון לעונש מאסר בפועל, הוא סיים לשאת את עונשו שישה חודשים לפחות לפני הגשת הבקשה לרישיון". </w:t>
      </w:r>
    </w:p>
    <w:p w14:paraId="72EE8DB8" w14:textId="77777777" w:rsidR="00A73613" w:rsidRDefault="00A73613" w:rsidP="00A73613">
      <w:pPr>
        <w:spacing w:line="360" w:lineRule="auto"/>
        <w:jc w:val="both"/>
        <w:rPr>
          <w:rtl/>
        </w:rPr>
      </w:pPr>
    </w:p>
    <w:p w14:paraId="44BFB737" w14:textId="77777777" w:rsidR="00A73613" w:rsidRPr="007906D6" w:rsidRDefault="00A73613" w:rsidP="00A73613">
      <w:pPr>
        <w:spacing w:line="360" w:lineRule="auto"/>
        <w:jc w:val="both"/>
        <w:rPr>
          <w:rtl/>
        </w:rPr>
      </w:pPr>
      <w:r>
        <w:rPr>
          <w:rFonts w:hint="cs"/>
          <w:rtl/>
        </w:rPr>
        <w:t xml:space="preserve">זהו סעיף, (כדומיו בחקיקה אחרת, מסדירי תחומי עיסוק שונים), מעניק לרשם </w:t>
      </w:r>
      <w:r w:rsidRPr="007906D6">
        <w:rPr>
          <w:rFonts w:hint="cs"/>
          <w:b/>
          <w:bCs/>
          <w:rtl/>
        </w:rPr>
        <w:t>שיקול דעת</w:t>
      </w:r>
      <w:r>
        <w:rPr>
          <w:rFonts w:hint="cs"/>
          <w:rtl/>
        </w:rPr>
        <w:t xml:space="preserve">, </w:t>
      </w:r>
      <w:r w:rsidRPr="007906D6">
        <w:rPr>
          <w:rFonts w:hint="cs"/>
          <w:b/>
          <w:bCs/>
          <w:rtl/>
        </w:rPr>
        <w:t>ואין ללמוד ממנו כי ההרשעה לא תאפשר לנאשם לקבל רישיון.</w:t>
      </w:r>
      <w:r>
        <w:rPr>
          <w:rFonts w:hint="cs"/>
          <w:rtl/>
        </w:rPr>
        <w:t xml:space="preserve"> אפנה בעניין זה לדברים שנקבעו ב</w:t>
      </w:r>
      <w:hyperlink r:id="rId20" w:history="1">
        <w:r w:rsidR="00AF1161" w:rsidRPr="00AF1161">
          <w:rPr>
            <w:color w:val="0000FF"/>
            <w:u w:val="single"/>
            <w:rtl/>
          </w:rPr>
          <w:t>רע"פ 3224/19</w:t>
        </w:r>
      </w:hyperlink>
      <w:r>
        <w:rPr>
          <w:rFonts w:hint="cs"/>
          <w:rtl/>
        </w:rPr>
        <w:t xml:space="preserve"> </w:t>
      </w:r>
      <w:r>
        <w:rPr>
          <w:rFonts w:hint="cs"/>
          <w:b/>
          <w:bCs/>
          <w:rtl/>
        </w:rPr>
        <w:t xml:space="preserve">אדם אביב נגד מדינת ישראל </w:t>
      </w:r>
      <w:r>
        <w:rPr>
          <w:rFonts w:hint="cs"/>
          <w:rtl/>
        </w:rPr>
        <w:t>(28.5.19) (בהמשך הדיון).</w:t>
      </w:r>
    </w:p>
    <w:p w14:paraId="09E49E10" w14:textId="77777777" w:rsidR="00A73613" w:rsidRDefault="00A73613" w:rsidP="00A73613">
      <w:pPr>
        <w:spacing w:line="360" w:lineRule="auto"/>
        <w:jc w:val="both"/>
        <w:rPr>
          <w:rtl/>
        </w:rPr>
      </w:pPr>
    </w:p>
    <w:p w14:paraId="22908090" w14:textId="77777777" w:rsidR="00A73613" w:rsidRDefault="00A73613" w:rsidP="00A73613">
      <w:pPr>
        <w:spacing w:line="360" w:lineRule="auto"/>
        <w:jc w:val="both"/>
        <w:rPr>
          <w:b/>
          <w:bCs/>
          <w:rtl/>
        </w:rPr>
      </w:pPr>
      <w:r>
        <w:rPr>
          <w:rFonts w:hint="cs"/>
          <w:rtl/>
        </w:rPr>
        <w:t xml:space="preserve">יש לזכור, כי </w:t>
      </w:r>
      <w:r w:rsidRPr="007906D6">
        <w:rPr>
          <w:rFonts w:hint="cs"/>
          <w:b/>
          <w:bCs/>
          <w:rtl/>
        </w:rPr>
        <w:t>אין מדובר בנאשם העוסק בתחום שנים רבות שפרנסת רבת שנים מושתת בתחום זה</w:t>
      </w:r>
      <w:r>
        <w:rPr>
          <w:rFonts w:hint="cs"/>
          <w:rtl/>
        </w:rPr>
        <w:t xml:space="preserve">, </w:t>
      </w:r>
      <w:r w:rsidRPr="007906D6">
        <w:rPr>
          <w:rFonts w:hint="cs"/>
          <w:b/>
          <w:bCs/>
          <w:rtl/>
        </w:rPr>
        <w:t>בעל משרד ומעגל לקוחות רב שנים.</w:t>
      </w:r>
    </w:p>
    <w:p w14:paraId="1CA0E95C" w14:textId="77777777" w:rsidR="00A73613" w:rsidRDefault="00A73613" w:rsidP="00A73613">
      <w:pPr>
        <w:spacing w:line="360" w:lineRule="auto"/>
        <w:jc w:val="both"/>
        <w:rPr>
          <w:b/>
          <w:bCs/>
          <w:rtl/>
        </w:rPr>
      </w:pPr>
    </w:p>
    <w:p w14:paraId="6425281D" w14:textId="77777777" w:rsidR="00A73613" w:rsidRPr="007906D6" w:rsidRDefault="00A73613" w:rsidP="00A73613">
      <w:pPr>
        <w:spacing w:line="360" w:lineRule="auto"/>
        <w:jc w:val="both"/>
        <w:rPr>
          <w:rtl/>
        </w:rPr>
      </w:pPr>
      <w:r>
        <w:rPr>
          <w:rFonts w:hint="cs"/>
          <w:rtl/>
        </w:rPr>
        <w:t>בהערת אגב, יושם אל לב, כי הסעיף הנ"ל בהחלט מאפשר, באופן עקרוני עיסוק בתחום התיווך במקרקעין גם למי שהורשע, נדון לעונש מאסר בפועל וסיים לרצות את עונשו שישה חודשים לפני הגשת הבקשה, קל וחומר במקרה העומד בפניי.</w:t>
      </w:r>
    </w:p>
    <w:p w14:paraId="0080DB7F" w14:textId="77777777" w:rsidR="00A73613" w:rsidRDefault="00A73613" w:rsidP="00A73613">
      <w:pPr>
        <w:spacing w:line="360" w:lineRule="auto"/>
        <w:jc w:val="both"/>
        <w:rPr>
          <w:rtl/>
        </w:rPr>
      </w:pPr>
    </w:p>
    <w:p w14:paraId="6A714D62" w14:textId="77777777" w:rsidR="00A73613" w:rsidRDefault="00A73613" w:rsidP="00A73613">
      <w:pPr>
        <w:spacing w:line="360" w:lineRule="auto"/>
        <w:jc w:val="both"/>
        <w:rPr>
          <w:rtl/>
        </w:rPr>
      </w:pPr>
      <w:r w:rsidRPr="007F10EF">
        <w:rPr>
          <w:rFonts w:hint="cs"/>
          <w:b/>
          <w:bCs/>
          <w:rtl/>
        </w:rPr>
        <w:t>עיינתי באישו</w:t>
      </w:r>
      <w:r>
        <w:rPr>
          <w:rFonts w:hint="cs"/>
          <w:b/>
          <w:bCs/>
          <w:rtl/>
        </w:rPr>
        <w:t>ר קבלתו של</w:t>
      </w:r>
      <w:r w:rsidRPr="007F10EF">
        <w:rPr>
          <w:rFonts w:hint="cs"/>
          <w:b/>
          <w:bCs/>
          <w:rtl/>
        </w:rPr>
        <w:t xml:space="preserve"> הנאשם לאוניברסיטת אריאל</w:t>
      </w:r>
      <w:r>
        <w:rPr>
          <w:rFonts w:hint="cs"/>
          <w:rtl/>
        </w:rPr>
        <w:t xml:space="preserve"> והבאתי זאת בחשבון (במ/2).</w:t>
      </w:r>
    </w:p>
    <w:p w14:paraId="17B295ED" w14:textId="77777777" w:rsidR="00A73613" w:rsidRDefault="00A73613" w:rsidP="00A73613">
      <w:pPr>
        <w:spacing w:line="360" w:lineRule="auto"/>
        <w:jc w:val="both"/>
        <w:rPr>
          <w:rtl/>
        </w:rPr>
      </w:pPr>
    </w:p>
    <w:p w14:paraId="392E6490" w14:textId="77777777" w:rsidR="00A73613" w:rsidRDefault="00A73613" w:rsidP="00A73613">
      <w:pPr>
        <w:spacing w:line="360" w:lineRule="auto"/>
        <w:jc w:val="both"/>
        <w:rPr>
          <w:rtl/>
        </w:rPr>
      </w:pPr>
      <w:r>
        <w:rPr>
          <w:rFonts w:hint="cs"/>
          <w:rtl/>
        </w:rPr>
        <w:t xml:space="preserve">עיינתי </w:t>
      </w:r>
      <w:r w:rsidRPr="007F10EF">
        <w:rPr>
          <w:rFonts w:hint="cs"/>
          <w:b/>
          <w:bCs/>
          <w:rtl/>
        </w:rPr>
        <w:t>בתלושי השכר</w:t>
      </w:r>
      <w:r>
        <w:rPr>
          <w:rFonts w:hint="cs"/>
          <w:rtl/>
        </w:rPr>
        <w:t xml:space="preserve">(במ/3)  המלמדים כי בחודשים האחרונים </w:t>
      </w:r>
      <w:r w:rsidRPr="007F10EF">
        <w:rPr>
          <w:rFonts w:hint="cs"/>
          <w:b/>
          <w:bCs/>
          <w:rtl/>
        </w:rPr>
        <w:t>עבד הנאשם לפרנסתו בתחנת דלק.</w:t>
      </w:r>
      <w:r>
        <w:rPr>
          <w:rFonts w:hint="cs"/>
          <w:rtl/>
        </w:rPr>
        <w:t xml:space="preserve"> </w:t>
      </w:r>
    </w:p>
    <w:p w14:paraId="43D4BC62" w14:textId="77777777" w:rsidR="00A73613" w:rsidRDefault="00A73613" w:rsidP="00A73613">
      <w:pPr>
        <w:spacing w:line="360" w:lineRule="auto"/>
        <w:jc w:val="both"/>
        <w:rPr>
          <w:rtl/>
        </w:rPr>
      </w:pPr>
    </w:p>
    <w:p w14:paraId="534BCDCC" w14:textId="77777777" w:rsidR="00A73613" w:rsidRPr="00D31114" w:rsidRDefault="00A73613" w:rsidP="00A73613">
      <w:pPr>
        <w:spacing w:line="360" w:lineRule="auto"/>
        <w:jc w:val="both"/>
        <w:rPr>
          <w:b/>
          <w:bCs/>
          <w:rtl/>
        </w:rPr>
      </w:pPr>
      <w:r w:rsidRPr="007F10EF">
        <w:rPr>
          <w:rFonts w:hint="cs"/>
          <w:b/>
          <w:bCs/>
          <w:rtl/>
        </w:rPr>
        <w:t xml:space="preserve">אכן, זהו נאשם צעיר, </w:t>
      </w:r>
      <w:r>
        <w:rPr>
          <w:rFonts w:hint="cs"/>
          <w:b/>
          <w:bCs/>
          <w:rtl/>
        </w:rPr>
        <w:t>יליד 2000, אשר ביצע את העבירה בתחילת שנת 2019, נעדר כל עבר פלילי, שכל עתידו לפניו</w:t>
      </w:r>
      <w:r>
        <w:rPr>
          <w:rFonts w:hint="cs"/>
          <w:rtl/>
        </w:rPr>
        <w:t xml:space="preserve">. ברם, נתונים אלה </w:t>
      </w:r>
      <w:r w:rsidRPr="007F10EF">
        <w:rPr>
          <w:rFonts w:hint="cs"/>
          <w:b/>
          <w:bCs/>
          <w:rtl/>
        </w:rPr>
        <w:t>אינם יכולים להוביל לשינוי הכלל</w:t>
      </w:r>
      <w:r>
        <w:rPr>
          <w:rFonts w:hint="cs"/>
          <w:rtl/>
        </w:rPr>
        <w:t xml:space="preserve"> שנקבע ביחס לנאשמים שכאלה, </w:t>
      </w:r>
      <w:r w:rsidRPr="001952AE">
        <w:rPr>
          <w:rFonts w:hint="cs"/>
          <w:b/>
          <w:bCs/>
          <w:rtl/>
        </w:rPr>
        <w:t>הסוחרים בסמים</w:t>
      </w:r>
      <w:r>
        <w:rPr>
          <w:rFonts w:hint="cs"/>
          <w:rtl/>
        </w:rPr>
        <w:t xml:space="preserve">, שאם תאמר כן, הרי </w:t>
      </w:r>
      <w:r w:rsidRPr="00D31114">
        <w:rPr>
          <w:rFonts w:hint="cs"/>
          <w:b/>
          <w:bCs/>
          <w:rtl/>
        </w:rPr>
        <w:t>שבפני בית-משפט זה, אין זה חיזיון נדיר</w:t>
      </w:r>
      <w:r>
        <w:rPr>
          <w:rFonts w:hint="cs"/>
          <w:rtl/>
        </w:rPr>
        <w:t xml:space="preserve">, שבעלי נתונים שכאלה עומדים לדין בגין מעשים דומים, ושמא תאמר כי </w:t>
      </w:r>
      <w:r w:rsidRPr="00D31114">
        <w:rPr>
          <w:rFonts w:hint="cs"/>
          <w:b/>
          <w:bCs/>
          <w:rtl/>
        </w:rPr>
        <w:t xml:space="preserve">מכאן ולהבא יחול כלל דומה גם ביחס אליהם והחריג יהפוך לכלל  ? </w:t>
      </w:r>
    </w:p>
    <w:p w14:paraId="1E22EEEB" w14:textId="77777777" w:rsidR="00A73613" w:rsidRDefault="00A73613" w:rsidP="00A73613">
      <w:pPr>
        <w:spacing w:line="360" w:lineRule="auto"/>
        <w:jc w:val="both"/>
        <w:rPr>
          <w:rtl/>
        </w:rPr>
      </w:pPr>
    </w:p>
    <w:p w14:paraId="3D345EC0" w14:textId="77777777" w:rsidR="00A73613" w:rsidRDefault="00A73613" w:rsidP="00A73613">
      <w:pPr>
        <w:spacing w:line="360" w:lineRule="auto"/>
        <w:jc w:val="both"/>
        <w:rPr>
          <w:rtl/>
        </w:rPr>
      </w:pPr>
      <w:r w:rsidRPr="007F10EF">
        <w:rPr>
          <w:rFonts w:hint="cs"/>
          <w:b/>
          <w:bCs/>
          <w:rtl/>
        </w:rPr>
        <w:t>הבאתי בחשבון את עדותם של אביו ושל אמו של הנאשם</w:t>
      </w:r>
      <w:r>
        <w:rPr>
          <w:rFonts w:hint="cs"/>
          <w:rtl/>
        </w:rPr>
        <w:t xml:space="preserve"> (פרוטוקול יום 13.9.20 עמוד 9 שורה 19 והלאה) מהם למדתי, כי הנאשם שינה דרכיו, הוא משקיע מאמצים כנים בשיקום חייו ואת בקשתה של האם, כי הדבר "לא יפגע לו בעתיד, שיכול להתקדם".</w:t>
      </w:r>
    </w:p>
    <w:p w14:paraId="1D23BA21" w14:textId="77777777" w:rsidR="00A73613" w:rsidRDefault="00A73613" w:rsidP="00A73613">
      <w:pPr>
        <w:spacing w:line="360" w:lineRule="auto"/>
        <w:jc w:val="both"/>
        <w:rPr>
          <w:rtl/>
        </w:rPr>
      </w:pPr>
    </w:p>
    <w:p w14:paraId="7EA83750" w14:textId="77777777" w:rsidR="00A73613" w:rsidRPr="001426BD" w:rsidRDefault="00A73613" w:rsidP="00A73613">
      <w:pPr>
        <w:spacing w:line="360" w:lineRule="auto"/>
        <w:jc w:val="both"/>
        <w:rPr>
          <w:b/>
          <w:bCs/>
          <w:rtl/>
        </w:rPr>
      </w:pPr>
      <w:r w:rsidRPr="001426BD">
        <w:rPr>
          <w:rFonts w:hint="cs"/>
          <w:b/>
          <w:bCs/>
          <w:rtl/>
        </w:rPr>
        <w:t>בעניין שאלת ביטול ההרשעה בחנתי מספר פס</w:t>
      </w:r>
      <w:r>
        <w:rPr>
          <w:rFonts w:hint="cs"/>
          <w:b/>
          <w:bCs/>
          <w:rtl/>
        </w:rPr>
        <w:t>קי-</w:t>
      </w:r>
      <w:r w:rsidRPr="001426BD">
        <w:rPr>
          <w:rFonts w:hint="cs"/>
          <w:b/>
          <w:bCs/>
          <w:rtl/>
        </w:rPr>
        <w:t>דין מנחים</w:t>
      </w:r>
      <w:r>
        <w:rPr>
          <w:rFonts w:hint="cs"/>
          <w:b/>
          <w:bCs/>
          <w:rtl/>
        </w:rPr>
        <w:t>, שבמסגרתם ביטלו בתי-המשפט הרשעות, ובין השאר את אלו</w:t>
      </w:r>
      <w:r w:rsidRPr="001426BD">
        <w:rPr>
          <w:rFonts w:hint="cs"/>
          <w:b/>
          <w:bCs/>
          <w:rtl/>
        </w:rPr>
        <w:t>:</w:t>
      </w:r>
    </w:p>
    <w:p w14:paraId="165EE22A" w14:textId="77777777" w:rsidR="00A73613" w:rsidRDefault="00A73613" w:rsidP="00A73613">
      <w:pPr>
        <w:spacing w:line="360" w:lineRule="auto"/>
        <w:jc w:val="both"/>
        <w:rPr>
          <w:rtl/>
        </w:rPr>
      </w:pPr>
    </w:p>
    <w:p w14:paraId="51172086" w14:textId="77777777" w:rsidR="00A73613" w:rsidRPr="00275C13" w:rsidRDefault="00AF1161" w:rsidP="00A73613">
      <w:pPr>
        <w:spacing w:line="360" w:lineRule="auto"/>
        <w:jc w:val="both"/>
      </w:pPr>
      <w:hyperlink r:id="rId21" w:history="1">
        <w:r w:rsidRPr="00AF1161">
          <w:rPr>
            <w:color w:val="0000FF"/>
            <w:u w:val="single"/>
            <w:rtl/>
          </w:rPr>
          <w:t>ע"פ 4898/09</w:t>
        </w:r>
      </w:hyperlink>
      <w:r w:rsidR="00A73613" w:rsidRPr="00275C13">
        <w:rPr>
          <w:rtl/>
        </w:rPr>
        <w:t xml:space="preserve"> (מחוזי ירושלים) </w:t>
      </w:r>
      <w:r w:rsidR="00A73613" w:rsidRPr="001426BD">
        <w:rPr>
          <w:b/>
          <w:bCs/>
          <w:rtl/>
        </w:rPr>
        <w:t>מדינת ישראל נגד בהאא</w:t>
      </w:r>
      <w:r w:rsidR="00A73613">
        <w:rPr>
          <w:rtl/>
        </w:rPr>
        <w:t xml:space="preserve"> (22.11.09)</w:t>
      </w:r>
      <w:r w:rsidR="00A73613">
        <w:rPr>
          <w:rFonts w:hint="cs"/>
          <w:rtl/>
        </w:rPr>
        <w:t xml:space="preserve">: </w:t>
      </w:r>
      <w:r w:rsidR="00A73613">
        <w:rPr>
          <w:rtl/>
        </w:rPr>
        <w:t xml:space="preserve">בעבירה של </w:t>
      </w:r>
      <w:r w:rsidR="00A73613" w:rsidRPr="001952AE">
        <w:rPr>
          <w:b/>
          <w:bCs/>
          <w:rtl/>
        </w:rPr>
        <w:t>החזקת סכין</w:t>
      </w:r>
      <w:r w:rsidR="00A73613">
        <w:rPr>
          <w:rFonts w:hint="cs"/>
          <w:rtl/>
        </w:rPr>
        <w:t xml:space="preserve">, </w:t>
      </w:r>
      <w:r w:rsidR="00A73613" w:rsidRPr="00275C13">
        <w:rPr>
          <w:rtl/>
        </w:rPr>
        <w:t xml:space="preserve">נוכח מצב כלכלי קשה, תסקיר חיובי, </w:t>
      </w:r>
      <w:r w:rsidR="00A73613">
        <w:rPr>
          <w:rFonts w:hint="cs"/>
          <w:rtl/>
        </w:rPr>
        <w:t xml:space="preserve">נוכח </w:t>
      </w:r>
      <w:r w:rsidR="00A73613" w:rsidRPr="00275C13">
        <w:rPr>
          <w:rtl/>
        </w:rPr>
        <w:t>קושי מוערך להשתלב במעגל העבודה.</w:t>
      </w:r>
    </w:p>
    <w:p w14:paraId="7F47A884" w14:textId="77777777" w:rsidR="00A73613" w:rsidRPr="00275C13" w:rsidRDefault="00A73613" w:rsidP="00A73613">
      <w:pPr>
        <w:spacing w:line="360" w:lineRule="auto"/>
        <w:jc w:val="both"/>
      </w:pPr>
    </w:p>
    <w:p w14:paraId="7B18C91C" w14:textId="77777777" w:rsidR="00A73613" w:rsidRPr="00275C13" w:rsidRDefault="00AF1161" w:rsidP="00A73613">
      <w:pPr>
        <w:spacing w:line="360" w:lineRule="auto"/>
        <w:jc w:val="both"/>
        <w:rPr>
          <w:rtl/>
        </w:rPr>
      </w:pPr>
      <w:hyperlink r:id="rId22" w:history="1">
        <w:r w:rsidRPr="00AF1161">
          <w:rPr>
            <w:color w:val="0000FF"/>
            <w:u w:val="single"/>
            <w:rtl/>
          </w:rPr>
          <w:t>עפ"ג (מחוזי מרכז) 53504-01-11</w:t>
        </w:r>
      </w:hyperlink>
      <w:r w:rsidR="00A73613" w:rsidRPr="00275C13">
        <w:rPr>
          <w:rtl/>
        </w:rPr>
        <w:t xml:space="preserve"> </w:t>
      </w:r>
      <w:r w:rsidR="00A73613" w:rsidRPr="001426BD">
        <w:rPr>
          <w:b/>
          <w:bCs/>
          <w:rtl/>
        </w:rPr>
        <w:t>אדם אלון נגד מדינת ישראל</w:t>
      </w:r>
      <w:r w:rsidR="00A73613" w:rsidRPr="00275C13">
        <w:rPr>
          <w:rtl/>
        </w:rPr>
        <w:t xml:space="preserve"> (22.5.11): </w:t>
      </w:r>
      <w:r w:rsidR="00A73613" w:rsidRPr="001952AE">
        <w:rPr>
          <w:b/>
          <w:bCs/>
          <w:rtl/>
        </w:rPr>
        <w:t>החזקת סם</w:t>
      </w:r>
      <w:r w:rsidR="00A73613" w:rsidRPr="00275C13">
        <w:rPr>
          <w:rtl/>
        </w:rPr>
        <w:t xml:space="preserve"> שלא לצריכה עצמית, קנביס במשקל 8,220 גרם, תסקיר חיובי, עבירה יחידה בתקופה משברית ספורטיבית, הודה, נטל אחריות, </w:t>
      </w:r>
      <w:r w:rsidR="00A73613">
        <w:rPr>
          <w:rFonts w:hint="cs"/>
          <w:rtl/>
        </w:rPr>
        <w:t>נוכח העובדה ש</w:t>
      </w:r>
      <w:r w:rsidR="00A73613" w:rsidRPr="00275C13">
        <w:rPr>
          <w:rtl/>
        </w:rPr>
        <w:t>לא יוכל להשתתף בתחרויות אול</w:t>
      </w:r>
      <w:r w:rsidR="00A73613">
        <w:rPr>
          <w:rFonts w:hint="cs"/>
          <w:rtl/>
        </w:rPr>
        <w:t>י</w:t>
      </w:r>
      <w:r w:rsidR="00A73613" w:rsidRPr="00275C13">
        <w:rPr>
          <w:rtl/>
        </w:rPr>
        <w:t>מפיות בג</w:t>
      </w:r>
      <w:r w:rsidR="00A73613">
        <w:rPr>
          <w:rFonts w:hint="cs"/>
          <w:rtl/>
        </w:rPr>
        <w:t>'</w:t>
      </w:r>
      <w:r w:rsidR="00A73613">
        <w:rPr>
          <w:rtl/>
        </w:rPr>
        <w:t>ודו אם תיוותר ההרשעה</w:t>
      </w:r>
      <w:r w:rsidR="00A73613" w:rsidRPr="00275C13">
        <w:rPr>
          <w:rtl/>
        </w:rPr>
        <w:t>.</w:t>
      </w:r>
    </w:p>
    <w:p w14:paraId="00E82C70" w14:textId="77777777" w:rsidR="00A73613" w:rsidRPr="00275C13" w:rsidRDefault="00A73613" w:rsidP="00A73613">
      <w:pPr>
        <w:spacing w:line="360" w:lineRule="auto"/>
        <w:jc w:val="both"/>
        <w:rPr>
          <w:rtl/>
        </w:rPr>
      </w:pPr>
    </w:p>
    <w:p w14:paraId="65FD8280" w14:textId="77777777" w:rsidR="00A73613" w:rsidRDefault="00AF1161" w:rsidP="00A73613">
      <w:pPr>
        <w:spacing w:line="360" w:lineRule="auto"/>
        <w:jc w:val="both"/>
        <w:rPr>
          <w:rtl/>
        </w:rPr>
      </w:pPr>
      <w:hyperlink r:id="rId23" w:history="1">
        <w:r w:rsidRPr="00AF1161">
          <w:rPr>
            <w:color w:val="0000FF"/>
            <w:u w:val="single"/>
            <w:rtl/>
          </w:rPr>
          <w:t>עפ"ג  (מחוזי מרכז) 28996-03-11</w:t>
        </w:r>
      </w:hyperlink>
      <w:r w:rsidR="00A73613" w:rsidRPr="00275C13">
        <w:rPr>
          <w:rtl/>
        </w:rPr>
        <w:t xml:space="preserve"> </w:t>
      </w:r>
      <w:r w:rsidR="00A73613" w:rsidRPr="001426BD">
        <w:rPr>
          <w:b/>
          <w:bCs/>
          <w:rtl/>
        </w:rPr>
        <w:t>גמזו נגד מדינת ישראל</w:t>
      </w:r>
      <w:r w:rsidR="00A73613" w:rsidRPr="00275C13">
        <w:rPr>
          <w:rtl/>
        </w:rPr>
        <w:t xml:space="preserve"> (26.6.11)</w:t>
      </w:r>
      <w:r w:rsidR="00A73613">
        <w:rPr>
          <w:rFonts w:hint="cs"/>
          <w:rtl/>
        </w:rPr>
        <w:t>:</w:t>
      </w:r>
      <w:r w:rsidR="00A73613" w:rsidRPr="00275C13">
        <w:rPr>
          <w:rtl/>
        </w:rPr>
        <w:t xml:space="preserve"> </w:t>
      </w:r>
      <w:r w:rsidR="00A73613" w:rsidRPr="001952AE">
        <w:rPr>
          <w:b/>
          <w:bCs/>
          <w:rtl/>
        </w:rPr>
        <w:t>החזקת סכין</w:t>
      </w:r>
      <w:r w:rsidR="00A73613" w:rsidRPr="00275C13">
        <w:rPr>
          <w:rtl/>
        </w:rPr>
        <w:t xml:space="preserve">, תסקיר חיובי, טכנאי מיזוג, </w:t>
      </w:r>
      <w:r w:rsidR="00A73613">
        <w:rPr>
          <w:rFonts w:hint="cs"/>
          <w:rtl/>
        </w:rPr>
        <w:t>נוכח העובדה ש</w:t>
      </w:r>
      <w:r w:rsidR="00A73613" w:rsidRPr="00275C13">
        <w:rPr>
          <w:rtl/>
        </w:rPr>
        <w:t>עיסוקו ייפגע</w:t>
      </w:r>
      <w:r w:rsidR="00A73613">
        <w:rPr>
          <w:rFonts w:hint="cs"/>
          <w:rtl/>
        </w:rPr>
        <w:t xml:space="preserve">: "...עם זאת, יש מקום לבטל את הרשעתו של המערער בעיקר בשל הנזק המשמעותי שצפוי לעיסוקו כבעל עסק פרטי כטכנאי מיזוג אוויר, בו הוא עובד ומעסיק את בנו הבכור על מנת להרחיקו מעבריינות, אם יורשע...מאחר והמערער עובד יחיד בעסקו הרי הנזק שייגרם לפרנסתו ולפרנסת משפחתו הוא נזק חמור והרשעתו תפגע פגיעה לא מידתית </w:t>
      </w:r>
      <w:r w:rsidR="00A73613">
        <w:rPr>
          <w:rtl/>
        </w:rPr>
        <w:t>–</w:t>
      </w:r>
      <w:r w:rsidR="00A73613">
        <w:rPr>
          <w:rFonts w:hint="cs"/>
          <w:rtl/>
        </w:rPr>
        <w:t xml:space="preserve"> אף מבלי להקל ראש בעבירה של החזקת סכין, אך בהתחשב בנסיבות ביצועה, דהיינו, היותה מיועדת לשמש כחלק מאוסף סכינים והחזקתה במקום ברכב כשבנו נהג בו...".</w:t>
      </w:r>
    </w:p>
    <w:p w14:paraId="49846315" w14:textId="77777777" w:rsidR="00A73613" w:rsidRDefault="00A73613" w:rsidP="00A73613">
      <w:pPr>
        <w:spacing w:line="360" w:lineRule="auto"/>
        <w:jc w:val="both"/>
        <w:rPr>
          <w:rtl/>
        </w:rPr>
      </w:pPr>
    </w:p>
    <w:p w14:paraId="76DA0839" w14:textId="77777777" w:rsidR="00A73613" w:rsidRPr="00CE534C" w:rsidRDefault="00AF1161" w:rsidP="00A73613">
      <w:pPr>
        <w:spacing w:line="360" w:lineRule="auto"/>
        <w:jc w:val="both"/>
        <w:rPr>
          <w:rtl/>
        </w:rPr>
      </w:pPr>
      <w:hyperlink r:id="rId24" w:history="1">
        <w:r w:rsidRPr="00AF1161">
          <w:rPr>
            <w:color w:val="0000FF"/>
            <w:u w:val="single"/>
            <w:rtl/>
          </w:rPr>
          <w:t>רע"פ 3446/10</w:t>
        </w:r>
      </w:hyperlink>
      <w:r w:rsidR="00A73613">
        <w:rPr>
          <w:rFonts w:hint="cs"/>
          <w:rtl/>
        </w:rPr>
        <w:t xml:space="preserve"> </w:t>
      </w:r>
      <w:r w:rsidR="00A73613">
        <w:rPr>
          <w:rFonts w:hint="cs"/>
          <w:b/>
          <w:bCs/>
          <w:rtl/>
        </w:rPr>
        <w:t xml:space="preserve">אלחלים נגד מדינת ישראל </w:t>
      </w:r>
      <w:r w:rsidR="00A73613">
        <w:rPr>
          <w:rFonts w:hint="cs"/>
          <w:rtl/>
        </w:rPr>
        <w:t xml:space="preserve">(6.4.11): </w:t>
      </w:r>
      <w:r w:rsidR="00A73613">
        <w:rPr>
          <w:rFonts w:hint="cs"/>
          <w:b/>
          <w:bCs/>
          <w:rtl/>
        </w:rPr>
        <w:t xml:space="preserve">החזקת סכין, </w:t>
      </w:r>
      <w:r w:rsidR="00A73613">
        <w:rPr>
          <w:rFonts w:hint="cs"/>
          <w:rtl/>
        </w:rPr>
        <w:t>צעיר נורמטיבי, נוכח הפגיעה בעתידו.</w:t>
      </w:r>
    </w:p>
    <w:p w14:paraId="257A6C9E" w14:textId="77777777" w:rsidR="00A73613" w:rsidRPr="00275C13" w:rsidRDefault="00A73613" w:rsidP="00A73613">
      <w:pPr>
        <w:spacing w:line="360" w:lineRule="auto"/>
        <w:jc w:val="both"/>
        <w:rPr>
          <w:rtl/>
        </w:rPr>
      </w:pPr>
    </w:p>
    <w:p w14:paraId="64A5B141" w14:textId="77777777" w:rsidR="00A73613" w:rsidRPr="00275C13" w:rsidRDefault="00AF1161" w:rsidP="00A73613">
      <w:pPr>
        <w:spacing w:line="360" w:lineRule="auto"/>
        <w:jc w:val="both"/>
      </w:pPr>
      <w:hyperlink r:id="rId25" w:history="1">
        <w:r w:rsidRPr="00AF1161">
          <w:rPr>
            <w:color w:val="0000FF"/>
            <w:u w:val="single"/>
            <w:rtl/>
          </w:rPr>
          <w:t>ע"פ 4466/13</w:t>
        </w:r>
      </w:hyperlink>
      <w:r w:rsidR="00A73613" w:rsidRPr="00275C13">
        <w:rPr>
          <w:rtl/>
        </w:rPr>
        <w:t xml:space="preserve"> </w:t>
      </w:r>
      <w:r w:rsidR="00A73613" w:rsidRPr="001426BD">
        <w:rPr>
          <w:b/>
          <w:bCs/>
          <w:rtl/>
        </w:rPr>
        <w:t>פורטל נגד מדינת ישראל</w:t>
      </w:r>
      <w:r w:rsidR="00A73613" w:rsidRPr="00275C13">
        <w:rPr>
          <w:rtl/>
        </w:rPr>
        <w:t xml:space="preserve"> (22.5.14): אי הרשעה בעבירה של </w:t>
      </w:r>
      <w:r w:rsidR="00A73613" w:rsidRPr="001952AE">
        <w:rPr>
          <w:b/>
          <w:bCs/>
          <w:rtl/>
        </w:rPr>
        <w:t>סיוע לאחר מעשה</w:t>
      </w:r>
      <w:r w:rsidR="00A73613" w:rsidRPr="00275C13">
        <w:rPr>
          <w:rtl/>
        </w:rPr>
        <w:t xml:space="preserve"> לעבירת שוד, הסעת השודדים ממקום ביצוע השוד תמורת 100 ₪, צעיר, קושי במציאת עבודה.</w:t>
      </w:r>
    </w:p>
    <w:p w14:paraId="438DEBDF" w14:textId="77777777" w:rsidR="00A73613" w:rsidRPr="00275C13" w:rsidRDefault="00A73613" w:rsidP="00A73613">
      <w:pPr>
        <w:spacing w:line="360" w:lineRule="auto"/>
        <w:jc w:val="both"/>
      </w:pPr>
    </w:p>
    <w:p w14:paraId="369E9B03" w14:textId="77777777" w:rsidR="00A73613" w:rsidRPr="00275C13" w:rsidRDefault="00AF1161" w:rsidP="00A73613">
      <w:pPr>
        <w:spacing w:line="360" w:lineRule="auto"/>
        <w:jc w:val="both"/>
      </w:pPr>
      <w:hyperlink r:id="rId26" w:history="1">
        <w:r w:rsidRPr="00AF1161">
          <w:rPr>
            <w:color w:val="0000FF"/>
            <w:u w:val="single"/>
            <w:rtl/>
          </w:rPr>
          <w:t>ע"פ 111/14</w:t>
        </w:r>
      </w:hyperlink>
      <w:r w:rsidR="00A73613" w:rsidRPr="00275C13">
        <w:rPr>
          <w:rtl/>
        </w:rPr>
        <w:t xml:space="preserve"> </w:t>
      </w:r>
      <w:r w:rsidR="00A73613" w:rsidRPr="001426BD">
        <w:rPr>
          <w:b/>
          <w:bCs/>
          <w:rtl/>
        </w:rPr>
        <w:t>פלוני נגד מדינת ישראל</w:t>
      </w:r>
      <w:r w:rsidR="00A73613" w:rsidRPr="00275C13">
        <w:rPr>
          <w:rtl/>
        </w:rPr>
        <w:t xml:space="preserve"> (1.4.14): אי הרשעה בעבירה של סח</w:t>
      </w:r>
      <w:r w:rsidR="00A73613" w:rsidRPr="001952AE">
        <w:rPr>
          <w:b/>
          <w:bCs/>
          <w:rtl/>
        </w:rPr>
        <w:t xml:space="preserve">יטה באיומים </w:t>
      </w:r>
      <w:r w:rsidR="00A73613" w:rsidRPr="00275C13">
        <w:rPr>
          <w:rtl/>
        </w:rPr>
        <w:t xml:space="preserve">וקשירת קשר, בעניינם של בגירים צעירים, בעלי נסיבות מיוחדות, המשפט התקיים בפועל בחלוף 4 שנים מעת ביצוע העבירה, בתקופה זו </w:t>
      </w:r>
      <w:r w:rsidR="00A73613">
        <w:rPr>
          <w:rtl/>
        </w:rPr>
        <w:t>סיימו את שירותם הצבאי בהצטיינות</w:t>
      </w:r>
      <w:r w:rsidR="00A73613">
        <w:rPr>
          <w:rFonts w:hint="cs"/>
          <w:rtl/>
        </w:rPr>
        <w:t>.</w:t>
      </w:r>
      <w:r w:rsidR="00A73613" w:rsidRPr="00275C13">
        <w:rPr>
          <w:rtl/>
        </w:rPr>
        <w:t xml:space="preserve"> </w:t>
      </w:r>
    </w:p>
    <w:p w14:paraId="7DAD8320" w14:textId="77777777" w:rsidR="00A73613" w:rsidRPr="00275C13" w:rsidRDefault="00A73613" w:rsidP="00A73613">
      <w:pPr>
        <w:spacing w:line="360" w:lineRule="auto"/>
        <w:jc w:val="both"/>
        <w:rPr>
          <w:rtl/>
        </w:rPr>
      </w:pPr>
    </w:p>
    <w:p w14:paraId="048C55F2" w14:textId="77777777" w:rsidR="00A73613" w:rsidRDefault="00AF1161" w:rsidP="00A73613">
      <w:pPr>
        <w:spacing w:line="360" w:lineRule="auto"/>
        <w:jc w:val="both"/>
        <w:rPr>
          <w:rtl/>
        </w:rPr>
      </w:pPr>
      <w:hyperlink r:id="rId27" w:history="1">
        <w:r w:rsidRPr="00AF1161">
          <w:rPr>
            <w:color w:val="0000FF"/>
            <w:u w:val="single"/>
            <w:rtl/>
          </w:rPr>
          <w:t>עפ"ג 14167-10-15</w:t>
        </w:r>
      </w:hyperlink>
      <w:r w:rsidR="00A73613" w:rsidRPr="00275C13">
        <w:rPr>
          <w:rtl/>
        </w:rPr>
        <w:t xml:space="preserve"> </w:t>
      </w:r>
      <w:r>
        <w:rPr>
          <w:rtl/>
        </w:rPr>
        <w:t xml:space="preserve"> </w:t>
      </w:r>
      <w:r w:rsidR="00A73613" w:rsidRPr="00275C13">
        <w:rPr>
          <w:rtl/>
        </w:rPr>
        <w:t xml:space="preserve">(מחוזי מרכז) </w:t>
      </w:r>
      <w:r w:rsidR="00A73613" w:rsidRPr="001426BD">
        <w:rPr>
          <w:b/>
          <w:bCs/>
          <w:rtl/>
        </w:rPr>
        <w:t>אלמנאו נגד מדינת ישראל</w:t>
      </w:r>
      <w:r w:rsidR="00A73613" w:rsidRPr="00275C13">
        <w:rPr>
          <w:rtl/>
        </w:rPr>
        <w:t xml:space="preserve"> (9.2.16): אי הרשעה בעבירת</w:t>
      </w:r>
      <w:r w:rsidR="00A73613" w:rsidRPr="001952AE">
        <w:rPr>
          <w:b/>
          <w:bCs/>
          <w:rtl/>
        </w:rPr>
        <w:t xml:space="preserve"> התפרצות</w:t>
      </w:r>
      <w:r w:rsidR="00A73613" w:rsidRPr="00275C13">
        <w:rPr>
          <w:rtl/>
        </w:rPr>
        <w:t xml:space="preserve">, </w:t>
      </w:r>
      <w:r w:rsidR="00A73613">
        <w:rPr>
          <w:rFonts w:hint="cs"/>
          <w:rtl/>
        </w:rPr>
        <w:t xml:space="preserve">תסקירים חיוביים, השבת הגניבה, </w:t>
      </w:r>
      <w:r w:rsidR="00A73613" w:rsidRPr="00894EAF">
        <w:rPr>
          <w:rFonts w:hint="cs"/>
          <w:b/>
          <w:bCs/>
          <w:rtl/>
        </w:rPr>
        <w:t>בגירים-צעירים</w:t>
      </w:r>
      <w:r w:rsidR="00A73613">
        <w:rPr>
          <w:rFonts w:hint="cs"/>
          <w:rtl/>
        </w:rPr>
        <w:t xml:space="preserve">, </w:t>
      </w:r>
      <w:r w:rsidR="00A73613" w:rsidRPr="00275C13">
        <w:rPr>
          <w:rtl/>
        </w:rPr>
        <w:t xml:space="preserve">אף שלא הוצג נזק קונקרטי, כאשר מדובר בעניינם של קטינים-בגירים, </w:t>
      </w:r>
      <w:r w:rsidR="00A73613">
        <w:rPr>
          <w:rFonts w:hint="cs"/>
          <w:rtl/>
        </w:rPr>
        <w:t>צוין ש</w:t>
      </w:r>
      <w:r w:rsidR="00A73613" w:rsidRPr="00275C13">
        <w:rPr>
          <w:rtl/>
        </w:rPr>
        <w:t>בית המשפט רשאי להתגמש בדרישת הנזק הקונקרטי.</w:t>
      </w:r>
    </w:p>
    <w:p w14:paraId="16C9C702" w14:textId="77777777" w:rsidR="00A73613" w:rsidRDefault="00A73613" w:rsidP="00A73613">
      <w:pPr>
        <w:spacing w:line="360" w:lineRule="auto"/>
        <w:jc w:val="both"/>
        <w:rPr>
          <w:rtl/>
        </w:rPr>
      </w:pPr>
    </w:p>
    <w:p w14:paraId="55E46401" w14:textId="77777777" w:rsidR="00A73613" w:rsidRDefault="00AF1161" w:rsidP="00A73613">
      <w:pPr>
        <w:spacing w:line="360" w:lineRule="auto"/>
        <w:jc w:val="both"/>
        <w:rPr>
          <w:rtl/>
        </w:rPr>
      </w:pPr>
      <w:hyperlink r:id="rId28" w:history="1">
        <w:r w:rsidRPr="00AF1161">
          <w:rPr>
            <w:color w:val="0000FF"/>
            <w:u w:val="single"/>
            <w:rtl/>
          </w:rPr>
          <w:t>ע"פ 3554/16</w:t>
        </w:r>
      </w:hyperlink>
      <w:r w:rsidR="00A73613">
        <w:rPr>
          <w:rFonts w:hint="cs"/>
          <w:rtl/>
        </w:rPr>
        <w:t xml:space="preserve"> </w:t>
      </w:r>
      <w:r w:rsidR="00A73613" w:rsidRPr="001952AE">
        <w:rPr>
          <w:rFonts w:hint="cs"/>
          <w:b/>
          <w:bCs/>
          <w:rtl/>
        </w:rPr>
        <w:t>יעקובוביץ נגד מדינת ישראל</w:t>
      </w:r>
      <w:r w:rsidR="00A73613">
        <w:rPr>
          <w:rFonts w:hint="cs"/>
          <w:rtl/>
        </w:rPr>
        <w:t xml:space="preserve"> (11.6.17): אי הרשעה בעבירות של הפרת אמונים התחזות כעובד ציבור, פגיעה בפרטיות, נעדר עבר פלילי, תסקיר ממליץ, בין השאר משום ש"...המערער הוסיף לחתור לקידום עתידו המקצועי </w:t>
      </w:r>
      <w:r w:rsidR="00A73613">
        <w:rPr>
          <w:rtl/>
        </w:rPr>
        <w:t>–</w:t>
      </w:r>
      <w:r w:rsidR="00A73613">
        <w:rPr>
          <w:rFonts w:hint="cs"/>
          <w:rtl/>
        </w:rPr>
        <w:t xml:space="preserve"> השלים את לימודיו (מעקל) וניגש לבחינות כל אלה מלמדים על נחישותו של המערער לעשות את המרב כדי לעלות באופן סופי ומוחלט על דרך הישר...".</w:t>
      </w:r>
    </w:p>
    <w:p w14:paraId="35DD50C2" w14:textId="77777777" w:rsidR="00A73613" w:rsidRDefault="00A73613" w:rsidP="00A73613">
      <w:pPr>
        <w:spacing w:line="360" w:lineRule="auto"/>
        <w:jc w:val="both"/>
        <w:rPr>
          <w:rtl/>
        </w:rPr>
      </w:pPr>
    </w:p>
    <w:p w14:paraId="066FE684" w14:textId="77777777" w:rsidR="00A73613" w:rsidRDefault="00AF1161" w:rsidP="00A73613">
      <w:pPr>
        <w:spacing w:line="360" w:lineRule="auto"/>
        <w:jc w:val="both"/>
        <w:rPr>
          <w:rtl/>
        </w:rPr>
      </w:pPr>
      <w:hyperlink r:id="rId29" w:history="1">
        <w:r w:rsidRPr="00AF1161">
          <w:rPr>
            <w:color w:val="0000FF"/>
            <w:u w:val="single"/>
            <w:rtl/>
          </w:rPr>
          <w:t>ע"פ 9090/00</w:t>
        </w:r>
      </w:hyperlink>
      <w:r w:rsidR="00A73613">
        <w:rPr>
          <w:rFonts w:hint="cs"/>
          <w:rtl/>
        </w:rPr>
        <w:t xml:space="preserve"> </w:t>
      </w:r>
      <w:r w:rsidR="00A73613">
        <w:rPr>
          <w:rFonts w:hint="cs"/>
          <w:b/>
          <w:bCs/>
          <w:rtl/>
        </w:rPr>
        <w:t xml:space="preserve">שניידרמן נגד מדינת ישראל </w:t>
      </w:r>
      <w:r w:rsidR="00A73613">
        <w:rPr>
          <w:rFonts w:hint="cs"/>
          <w:rtl/>
        </w:rPr>
        <w:t>(22.2.01): אי הרשעה בעבירה של החזקת נשק וקשירת קשר לביצוע פשע, חבירה יחד לביצוע שוד, צעיר מאוד, נעדר עבר פלילי, משום שהתברר כי ההרשעה תהווה מכשול של ממש לגיוסו לצה"ל.</w:t>
      </w:r>
    </w:p>
    <w:p w14:paraId="0DEB06BC" w14:textId="77777777" w:rsidR="00A73613" w:rsidRDefault="00A73613" w:rsidP="00A73613">
      <w:pPr>
        <w:spacing w:line="360" w:lineRule="auto"/>
        <w:jc w:val="both"/>
        <w:rPr>
          <w:rtl/>
        </w:rPr>
      </w:pPr>
    </w:p>
    <w:p w14:paraId="0C6E174B" w14:textId="77777777" w:rsidR="00A73613" w:rsidRDefault="00AF1161" w:rsidP="00A73613">
      <w:pPr>
        <w:spacing w:line="360" w:lineRule="auto"/>
        <w:jc w:val="both"/>
        <w:rPr>
          <w:rtl/>
        </w:rPr>
      </w:pPr>
      <w:hyperlink r:id="rId30" w:history="1">
        <w:r w:rsidRPr="00AF1161">
          <w:rPr>
            <w:color w:val="0000FF"/>
            <w:u w:val="single"/>
            <w:rtl/>
          </w:rPr>
          <w:t>רע"פ 3224/19</w:t>
        </w:r>
      </w:hyperlink>
      <w:r w:rsidR="00A73613">
        <w:rPr>
          <w:rFonts w:hint="cs"/>
          <w:rtl/>
        </w:rPr>
        <w:t xml:space="preserve"> </w:t>
      </w:r>
      <w:r w:rsidR="00A73613">
        <w:rPr>
          <w:rFonts w:hint="cs"/>
          <w:b/>
          <w:bCs/>
          <w:rtl/>
        </w:rPr>
        <w:t xml:space="preserve">אדם אביב נגד מדינת ישראל </w:t>
      </w:r>
      <w:r w:rsidR="00A73613">
        <w:rPr>
          <w:rFonts w:hint="cs"/>
          <w:rtl/>
        </w:rPr>
        <w:t xml:space="preserve">(28.5.19): צעיר, נעדר עבר פלילי, הודה בשלושה אישומים </w:t>
      </w:r>
      <w:r w:rsidR="00A73613">
        <w:rPr>
          <w:rtl/>
        </w:rPr>
        <w:t>–</w:t>
      </w:r>
      <w:r w:rsidR="00A73613">
        <w:rPr>
          <w:rFonts w:hint="cs"/>
          <w:rtl/>
        </w:rPr>
        <w:t xml:space="preserve"> שני אירועי אלימות ואירוע של החזקת סמים לצריכה עצמית. בית-משפט השלום הורה על ביטול ההרשעה נוכח הקשר החיובי עם שירות המבחן וגילו הצעיר</w:t>
      </w:r>
      <w:r w:rsidR="00A73613" w:rsidRPr="00D31114">
        <w:rPr>
          <w:rFonts w:hint="cs"/>
          <w:b/>
          <w:bCs/>
          <w:rtl/>
        </w:rPr>
        <w:t>. בית-המשפט המחוזי הפך את ההחלטה והותיר את ההרשעה על כנה</w:t>
      </w:r>
      <w:r w:rsidR="00A73613">
        <w:rPr>
          <w:rFonts w:hint="cs"/>
          <w:rtl/>
        </w:rPr>
        <w:t>, משום שהעבירות בהן הודה אינן מאפשרות הימנעות מהרשעה ואין ראייה לקיומו של נזק קונקרטי. בית-המשפט העליון אישר את פסק דינו של בית המשפט המחוזי.</w:t>
      </w:r>
    </w:p>
    <w:p w14:paraId="7680462D" w14:textId="77777777" w:rsidR="00A73613" w:rsidRDefault="00A73613" w:rsidP="00A73613">
      <w:pPr>
        <w:spacing w:line="360" w:lineRule="auto"/>
        <w:jc w:val="both"/>
        <w:rPr>
          <w:rtl/>
        </w:rPr>
      </w:pPr>
    </w:p>
    <w:p w14:paraId="32111373" w14:textId="77777777" w:rsidR="00A73613" w:rsidRDefault="00A73613" w:rsidP="00A73613">
      <w:pPr>
        <w:spacing w:line="360" w:lineRule="auto"/>
        <w:jc w:val="both"/>
        <w:rPr>
          <w:b/>
          <w:bCs/>
          <w:rtl/>
        </w:rPr>
      </w:pPr>
      <w:r>
        <w:rPr>
          <w:rFonts w:hint="cs"/>
          <w:b/>
          <w:bCs/>
          <w:rtl/>
        </w:rPr>
        <w:t xml:space="preserve">בית-המשפט העליון ובית המשפט המחוזי ערכו דיון בשאלה האם ההרשעה מונעת את קבלת </w:t>
      </w:r>
      <w:r w:rsidRPr="00075241">
        <w:rPr>
          <w:rFonts w:hint="cs"/>
          <w:b/>
          <w:bCs/>
          <w:u w:val="single"/>
          <w:rtl/>
        </w:rPr>
        <w:t>רישיון התיווך</w:t>
      </w:r>
      <w:r>
        <w:rPr>
          <w:rFonts w:hint="cs"/>
          <w:b/>
          <w:bCs/>
          <w:rtl/>
        </w:rPr>
        <w:t xml:space="preserve"> וקבעו:</w:t>
      </w:r>
    </w:p>
    <w:p w14:paraId="5423FA38" w14:textId="77777777" w:rsidR="00A73613" w:rsidRDefault="00A73613" w:rsidP="00A73613">
      <w:pPr>
        <w:spacing w:line="360" w:lineRule="auto"/>
        <w:jc w:val="both"/>
        <w:rPr>
          <w:b/>
          <w:bCs/>
          <w:rtl/>
        </w:rPr>
      </w:pPr>
    </w:p>
    <w:p w14:paraId="03430F36" w14:textId="77777777" w:rsidR="00A73613" w:rsidRPr="00075241" w:rsidRDefault="00A73613" w:rsidP="00A73613">
      <w:pPr>
        <w:spacing w:line="360" w:lineRule="auto"/>
        <w:jc w:val="both"/>
        <w:rPr>
          <w:rtl/>
        </w:rPr>
      </w:pPr>
      <w:r>
        <w:rPr>
          <w:rFonts w:hint="cs"/>
          <w:rtl/>
        </w:rPr>
        <w:t>"...</w:t>
      </w:r>
      <w:r w:rsidRPr="00075241">
        <w:rPr>
          <w:b/>
          <w:bCs/>
          <w:rtl/>
        </w:rPr>
        <w:t xml:space="preserve">למעשה, גם אם יורשע המבקש, עדיין נתונה לרשות המנהלית שיקול הדעת האם להעניק לו את </w:t>
      </w:r>
      <w:r w:rsidRPr="00D31114">
        <w:rPr>
          <w:b/>
          <w:bCs/>
          <w:u w:val="single"/>
          <w:rtl/>
        </w:rPr>
        <w:t>רישיון התיווך</w:t>
      </w:r>
      <w:r w:rsidRPr="00075241">
        <w:rPr>
          <w:b/>
          <w:bCs/>
          <w:rtl/>
        </w:rPr>
        <w:t xml:space="preserve">. </w:t>
      </w:r>
      <w:r w:rsidRPr="00D31114">
        <w:rPr>
          <w:b/>
          <w:bCs/>
          <w:u w:val="single"/>
          <w:rtl/>
        </w:rPr>
        <w:t>הרשעה בפלילים איננה מונעת באופן "אוטומטי</w:t>
      </w:r>
      <w:r w:rsidRPr="00075241">
        <w:rPr>
          <w:b/>
          <w:bCs/>
          <w:rtl/>
        </w:rPr>
        <w:t>"</w:t>
      </w:r>
      <w:r w:rsidRPr="00075241">
        <w:rPr>
          <w:rtl/>
        </w:rPr>
        <w:t xml:space="preserve"> מהמבקש לקבל רישיון. גם לשון </w:t>
      </w:r>
      <w:hyperlink r:id="rId31" w:history="1">
        <w:r w:rsidR="00D026F4" w:rsidRPr="00D026F4">
          <w:rPr>
            <w:rStyle w:val="Hyperlink"/>
            <w:rtl/>
          </w:rPr>
          <w:t>סעיף 5</w:t>
        </w:r>
      </w:hyperlink>
      <w:r w:rsidRPr="00075241">
        <w:rPr>
          <w:rtl/>
        </w:rPr>
        <w:t xml:space="preserve"> הנ"ל מקנה במפורש שיקול דעת נרחב לרשם האם להעניק את הרישיון במקרה הקונקרטי, וזאת בשים לב למהותה, לחומרתה ולנסיבותיה של העבירה. בשקלו את עניין המבקש, יוכל הרשם (ואין אני מחווה דעה בעניין זה) להחליט כי המבקש ראוי לקבל את הרישיון וכי ההרשעה בפלילים איננה מונעת זאת ממנו. לכן, לא מתקיימת פגיעה חמורה בשיקום, המהווה את הרציונל לחריג אי ההרשעה. יותר מכך, לו תתקבל טענת המבקש כי כאשר לרשות מינהלית יש שיקול דעת האם להעניק רישיון, מתקיימת גם דרישת הנזק הקונקרטי כך שיש "לוותר" על ההרשעה (במידה שמתקיים גם התנאי בדבר חומרת העבירה), הדבר יאיין את התכלית שבבסיס הוראות החוק המאפשרות לרשויות להחליט האם ראוי שהרשעה בפלילים תמנע מאותו אדם לעסוק בעיסוק או במשלח יד מסוימים</w:t>
      </w:r>
      <w:r>
        <w:rPr>
          <w:rFonts w:hint="cs"/>
          <w:rtl/>
        </w:rPr>
        <w:t>"</w:t>
      </w:r>
      <w:r w:rsidRPr="00075241">
        <w:rPr>
          <w:rtl/>
        </w:rPr>
        <w:t>.</w:t>
      </w:r>
    </w:p>
    <w:p w14:paraId="3EAB4E6D" w14:textId="77777777" w:rsidR="00A73613" w:rsidRDefault="00A73613" w:rsidP="00A73613">
      <w:pPr>
        <w:spacing w:line="360" w:lineRule="auto"/>
        <w:jc w:val="both"/>
        <w:rPr>
          <w:rtl/>
        </w:rPr>
      </w:pPr>
    </w:p>
    <w:p w14:paraId="4CEC9433" w14:textId="77777777" w:rsidR="00A73613" w:rsidRPr="00F4233E" w:rsidRDefault="00A73613" w:rsidP="00A73613">
      <w:pPr>
        <w:spacing w:line="360" w:lineRule="auto"/>
        <w:jc w:val="both"/>
        <w:rPr>
          <w:rtl/>
        </w:rPr>
      </w:pPr>
      <w:r>
        <w:rPr>
          <w:rFonts w:hint="cs"/>
          <w:rtl/>
        </w:rPr>
        <w:t xml:space="preserve">ב"כ הנאשם הגיש מטעמו בין השאר, את </w:t>
      </w:r>
      <w:hyperlink r:id="rId32" w:history="1">
        <w:r w:rsidR="00AF1161" w:rsidRPr="00AF1161">
          <w:rPr>
            <w:color w:val="0000FF"/>
            <w:u w:val="single"/>
            <w:rtl/>
          </w:rPr>
          <w:t>ת"פ 64135-02-18</w:t>
        </w:r>
      </w:hyperlink>
      <w:r>
        <w:rPr>
          <w:rFonts w:hint="cs"/>
          <w:rtl/>
        </w:rPr>
        <w:t xml:space="preserve"> </w:t>
      </w:r>
      <w:r>
        <w:rPr>
          <w:rtl/>
        </w:rPr>
        <w:t>–</w:t>
      </w:r>
      <w:r>
        <w:rPr>
          <w:rFonts w:hint="cs"/>
          <w:rtl/>
        </w:rPr>
        <w:t xml:space="preserve"> אי הרשעה בעבירות סמים </w:t>
      </w:r>
      <w:r>
        <w:rPr>
          <w:rtl/>
        </w:rPr>
        <w:t>–</w:t>
      </w:r>
      <w:r>
        <w:rPr>
          <w:rFonts w:hint="cs"/>
          <w:rtl/>
        </w:rPr>
        <w:t xml:space="preserve"> אך בית-המשפט המחוזי מרכז  הפך החלטה זו, ובמסגרת </w:t>
      </w:r>
      <w:hyperlink r:id="rId33" w:history="1">
        <w:r w:rsidR="00AF1161" w:rsidRPr="00AF1161">
          <w:rPr>
            <w:color w:val="0000FF"/>
            <w:u w:val="single"/>
            <w:rtl/>
          </w:rPr>
          <w:t>עפ"ג 70570-02-19</w:t>
        </w:r>
      </w:hyperlink>
      <w:r>
        <w:rPr>
          <w:rFonts w:hint="cs"/>
          <w:rtl/>
        </w:rPr>
        <w:t xml:space="preserve"> </w:t>
      </w:r>
      <w:r w:rsidRPr="00CC1587">
        <w:rPr>
          <w:rFonts w:hint="cs"/>
          <w:b/>
          <w:bCs/>
          <w:u w:val="single"/>
          <w:rtl/>
        </w:rPr>
        <w:t>מדינת ישראל נגד לוין</w:t>
      </w:r>
      <w:r w:rsidRPr="00F4233E">
        <w:rPr>
          <w:rFonts w:hint="cs"/>
          <w:rtl/>
        </w:rPr>
        <w:t xml:space="preserve"> </w:t>
      </w:r>
      <w:r w:rsidRPr="00F4233E">
        <w:rPr>
          <w:rtl/>
        </w:rPr>
        <w:t>–</w:t>
      </w:r>
      <w:r w:rsidRPr="00F4233E">
        <w:rPr>
          <w:rFonts w:hint="cs"/>
          <w:rtl/>
        </w:rPr>
        <w:t xml:space="preserve"> 8.7.19 </w:t>
      </w:r>
      <w:r>
        <w:rPr>
          <w:rFonts w:hint="cs"/>
          <w:rtl/>
        </w:rPr>
        <w:t xml:space="preserve">(הרכב בראשות השופטת דנה מרשק מרום) דווקא </w:t>
      </w:r>
      <w:r w:rsidRPr="00F4233E">
        <w:rPr>
          <w:rFonts w:hint="cs"/>
          <w:rtl/>
        </w:rPr>
        <w:t>קבע</w:t>
      </w:r>
      <w:r>
        <w:rPr>
          <w:rFonts w:hint="cs"/>
          <w:rtl/>
        </w:rPr>
        <w:t xml:space="preserve"> קביעות אינן מאפשרות את ביטול ההרשעה</w:t>
      </w:r>
      <w:r w:rsidRPr="00F4233E">
        <w:rPr>
          <w:rFonts w:hint="cs"/>
          <w:rtl/>
        </w:rPr>
        <w:t xml:space="preserve">, בין השאר: </w:t>
      </w:r>
      <w:r>
        <w:rPr>
          <w:rFonts w:hint="cs"/>
          <w:rtl/>
        </w:rPr>
        <w:t>"</w:t>
      </w:r>
      <w:r>
        <w:rPr>
          <w:rFonts w:hint="cs"/>
          <w:b/>
          <w:bCs/>
          <w:rtl/>
        </w:rPr>
        <w:t xml:space="preserve">הימנעות מהרשעה היא, כאמור, הליך חריג ביותר. אם כך הוא הכלל, הרי כשמדובר בעבירות של </w:t>
      </w:r>
      <w:r w:rsidRPr="002017DB">
        <w:rPr>
          <w:rFonts w:hint="cs"/>
          <w:b/>
          <w:bCs/>
          <w:u w:val="single"/>
          <w:rtl/>
        </w:rPr>
        <w:t>ס</w:t>
      </w:r>
      <w:r>
        <w:rPr>
          <w:rFonts w:hint="cs"/>
          <w:b/>
          <w:bCs/>
          <w:u w:val="single"/>
          <w:rtl/>
        </w:rPr>
        <w:t>ח</w:t>
      </w:r>
      <w:r w:rsidRPr="002017DB">
        <w:rPr>
          <w:rFonts w:hint="cs"/>
          <w:b/>
          <w:bCs/>
          <w:u w:val="single"/>
          <w:rtl/>
        </w:rPr>
        <w:t>ר בסמים</w:t>
      </w:r>
      <w:r>
        <w:rPr>
          <w:rFonts w:hint="cs"/>
          <w:b/>
          <w:bCs/>
          <w:rtl/>
        </w:rPr>
        <w:t xml:space="preserve"> </w:t>
      </w:r>
      <w:r w:rsidRPr="002017DB">
        <w:rPr>
          <w:rFonts w:hint="cs"/>
          <w:b/>
          <w:bCs/>
          <w:u w:val="single"/>
          <w:rtl/>
        </w:rPr>
        <w:t>ראוי שאפשרות מעין זו תישמר למקרה חריג שבחריגים</w:t>
      </w:r>
      <w:r>
        <w:rPr>
          <w:rFonts w:hint="cs"/>
          <w:b/>
          <w:bCs/>
          <w:rtl/>
        </w:rPr>
        <w:t>. עמדה זו תקפה גם כאשר מדובר במשיב שהוא על סף גיל הבגירות"</w:t>
      </w:r>
      <w:r>
        <w:rPr>
          <w:rFonts w:hint="cs"/>
          <w:rtl/>
        </w:rPr>
        <w:t xml:space="preserve"> (פסקה 42).</w:t>
      </w:r>
    </w:p>
    <w:p w14:paraId="2AFE48E3" w14:textId="77777777" w:rsidR="00A73613" w:rsidRDefault="00A73613" w:rsidP="00A73613">
      <w:pPr>
        <w:spacing w:line="360" w:lineRule="auto"/>
        <w:jc w:val="both"/>
        <w:rPr>
          <w:rtl/>
        </w:rPr>
      </w:pPr>
    </w:p>
    <w:p w14:paraId="783EF691" w14:textId="77777777" w:rsidR="00A73613" w:rsidRDefault="00A73613" w:rsidP="00A73613">
      <w:pPr>
        <w:spacing w:line="360" w:lineRule="auto"/>
        <w:jc w:val="both"/>
        <w:rPr>
          <w:rtl/>
        </w:rPr>
      </w:pPr>
      <w:r>
        <w:rPr>
          <w:rFonts w:hint="cs"/>
          <w:rtl/>
        </w:rPr>
        <w:t>אזכיר מושכלות יסוד, כי הכלל שקבע בית-המשפט העליון (</w:t>
      </w:r>
      <w:hyperlink r:id="rId34" w:history="1">
        <w:r w:rsidR="00AF1161" w:rsidRPr="00AF1161">
          <w:rPr>
            <w:color w:val="0000FF"/>
            <w:u w:val="single"/>
            <w:rtl/>
          </w:rPr>
          <w:t>ע"פ 2083/96 כתב נגד מדינת ישראל, פ"ד נב</w:t>
        </w:r>
      </w:hyperlink>
      <w:r>
        <w:rPr>
          <w:rFonts w:hint="cs"/>
          <w:rtl/>
        </w:rPr>
        <w:t xml:space="preserve"> (3) 337) הינו הותרת ההרשעה על כנה, ואילו ביטול ההרשעה ייעשה במקרים חריגים בכפוף לקיומו של נזק חריג לנאשם, לפי מהות העבירה ולאור לכלל הנסיבות.</w:t>
      </w:r>
    </w:p>
    <w:p w14:paraId="22860B2B" w14:textId="77777777" w:rsidR="00A73613" w:rsidRDefault="00A73613" w:rsidP="00A73613">
      <w:pPr>
        <w:spacing w:line="360" w:lineRule="auto"/>
        <w:jc w:val="both"/>
        <w:rPr>
          <w:rtl/>
        </w:rPr>
      </w:pPr>
    </w:p>
    <w:p w14:paraId="0B673915" w14:textId="77777777" w:rsidR="00A73613" w:rsidRDefault="00A73613" w:rsidP="00A73613">
      <w:pPr>
        <w:spacing w:line="360" w:lineRule="auto"/>
        <w:jc w:val="both"/>
        <w:rPr>
          <w:rtl/>
        </w:rPr>
      </w:pPr>
      <w:r w:rsidRPr="002017DB">
        <w:rPr>
          <w:rFonts w:hint="cs"/>
          <w:b/>
          <w:bCs/>
          <w:rtl/>
        </w:rPr>
        <w:t>במקרה העומד בפניי איני סבור, כי התקיימו התנאים המצטברים</w:t>
      </w:r>
      <w:r>
        <w:rPr>
          <w:rFonts w:hint="cs"/>
          <w:rtl/>
        </w:rPr>
        <w:t xml:space="preserve"> בהלכות בית-המשפט העליון שלפיהן, יש לסטות באופן חריג ביותר מן הכלל בדבר הרשעה, </w:t>
      </w:r>
      <w:r w:rsidRPr="002017DB">
        <w:rPr>
          <w:rFonts w:hint="cs"/>
          <w:b/>
          <w:bCs/>
          <w:rtl/>
        </w:rPr>
        <w:t>נוכח חומרת העבירה של סחר בסמים</w:t>
      </w:r>
      <w:r>
        <w:rPr>
          <w:rFonts w:hint="cs"/>
          <w:rtl/>
        </w:rPr>
        <w:t xml:space="preserve"> תוך שימוש ביישומון "טלגראס", המניע הכלכלי לממן את צריכה הסם (כעולה מן התסקיר), ולא שוכנעתי שקיימת פגיעה כה חמורה וקונקרטית, מוכחת בשיקום הנאשם אם ההרשעה תיוותר על כנה.</w:t>
      </w:r>
    </w:p>
    <w:p w14:paraId="1205808C" w14:textId="77777777" w:rsidR="00A73613" w:rsidRDefault="00A73613" w:rsidP="00A73613">
      <w:pPr>
        <w:spacing w:line="360" w:lineRule="auto"/>
        <w:jc w:val="both"/>
        <w:rPr>
          <w:rtl/>
        </w:rPr>
      </w:pPr>
    </w:p>
    <w:p w14:paraId="78212AE3" w14:textId="77777777" w:rsidR="00A73613" w:rsidRDefault="00A73613" w:rsidP="00A73613">
      <w:pPr>
        <w:spacing w:line="360" w:lineRule="auto"/>
        <w:jc w:val="both"/>
        <w:rPr>
          <w:b/>
          <w:bCs/>
          <w:rtl/>
        </w:rPr>
      </w:pPr>
      <w:r w:rsidRPr="00DC3806">
        <w:rPr>
          <w:rFonts w:hint="cs"/>
          <w:b/>
          <w:bCs/>
          <w:rtl/>
        </w:rPr>
        <w:t>אני סבור כי ביטול הרשעה במקרים של סחר בסמים יעביר מסר סלחני, מקל מדי, ויפגע בתרומת בתי-המשפט למיגור התופעה החמורה</w:t>
      </w:r>
      <w:r>
        <w:rPr>
          <w:rFonts w:hint="cs"/>
          <w:b/>
          <w:bCs/>
          <w:rtl/>
        </w:rPr>
        <w:t>,</w:t>
      </w:r>
      <w:r w:rsidRPr="00DC3806">
        <w:rPr>
          <w:rFonts w:hint="cs"/>
          <w:b/>
          <w:bCs/>
          <w:rtl/>
        </w:rPr>
        <w:t xml:space="preserve"> הפוגעת בכל פינה של החברה.</w:t>
      </w:r>
    </w:p>
    <w:p w14:paraId="2B7730DD" w14:textId="77777777" w:rsidR="00A73613" w:rsidRDefault="00A73613" w:rsidP="00A73613">
      <w:pPr>
        <w:spacing w:line="360" w:lineRule="auto"/>
        <w:jc w:val="both"/>
        <w:rPr>
          <w:b/>
          <w:bCs/>
          <w:rtl/>
        </w:rPr>
      </w:pPr>
    </w:p>
    <w:p w14:paraId="169A656E" w14:textId="77777777" w:rsidR="00A73613" w:rsidRPr="00DC3806" w:rsidRDefault="00A73613" w:rsidP="00A73613">
      <w:pPr>
        <w:spacing w:line="360" w:lineRule="auto"/>
        <w:jc w:val="both"/>
        <w:rPr>
          <w:rtl/>
        </w:rPr>
      </w:pPr>
      <w:r>
        <w:rPr>
          <w:rFonts w:hint="cs"/>
          <w:rtl/>
        </w:rPr>
        <w:t>מנגד, כאמור, הצטברו כאן נתונים מקלים המאפשרים לקבל את יתרת המלצות שירות המבחן לענישה.</w:t>
      </w:r>
    </w:p>
    <w:p w14:paraId="3C31E9F4" w14:textId="77777777" w:rsidR="00A73613" w:rsidRDefault="00A73613" w:rsidP="00A73613">
      <w:pPr>
        <w:spacing w:line="360" w:lineRule="auto"/>
        <w:jc w:val="both"/>
        <w:rPr>
          <w:rtl/>
        </w:rPr>
      </w:pPr>
    </w:p>
    <w:p w14:paraId="61E909EF" w14:textId="77777777" w:rsidR="00A73613" w:rsidRDefault="00A73613" w:rsidP="00A73613">
      <w:pPr>
        <w:spacing w:line="360" w:lineRule="auto"/>
        <w:jc w:val="both"/>
        <w:rPr>
          <w:b/>
          <w:bCs/>
          <w:u w:val="single"/>
          <w:rtl/>
        </w:rPr>
      </w:pPr>
      <w:r>
        <w:rPr>
          <w:rFonts w:hint="cs"/>
          <w:b/>
          <w:bCs/>
          <w:u w:val="single"/>
          <w:rtl/>
        </w:rPr>
        <w:t>ד. תוצאה:</w:t>
      </w:r>
    </w:p>
    <w:p w14:paraId="442EFCED" w14:textId="77777777" w:rsidR="00A73613" w:rsidRDefault="00A73613" w:rsidP="00A73613">
      <w:pPr>
        <w:spacing w:line="360" w:lineRule="auto"/>
        <w:jc w:val="both"/>
        <w:rPr>
          <w:b/>
          <w:bCs/>
          <w:u w:val="single"/>
          <w:rtl/>
        </w:rPr>
      </w:pPr>
    </w:p>
    <w:p w14:paraId="59A9E78A" w14:textId="77777777" w:rsidR="00A73613" w:rsidRPr="009A7D6E" w:rsidRDefault="00A73613" w:rsidP="00A73613">
      <w:pPr>
        <w:spacing w:line="360" w:lineRule="auto"/>
        <w:jc w:val="both"/>
        <w:rPr>
          <w:b/>
          <w:bCs/>
          <w:rtl/>
        </w:rPr>
      </w:pPr>
      <w:r w:rsidRPr="009A7D6E">
        <w:rPr>
          <w:rFonts w:hint="cs"/>
          <w:b/>
          <w:bCs/>
          <w:rtl/>
        </w:rPr>
        <w:t>לאור כל האמור לעיל, אני מורה</w:t>
      </w:r>
      <w:r>
        <w:rPr>
          <w:rFonts w:hint="cs"/>
          <w:b/>
          <w:bCs/>
          <w:rtl/>
        </w:rPr>
        <w:t>,</w:t>
      </w:r>
      <w:r w:rsidRPr="009A7D6E">
        <w:rPr>
          <w:rFonts w:hint="cs"/>
          <w:b/>
          <w:bCs/>
          <w:rtl/>
        </w:rPr>
        <w:t xml:space="preserve"> כי ההרשעה תוותר על כנה ואני גוזר אל הנאשם את העונשים הבאים:</w:t>
      </w:r>
    </w:p>
    <w:p w14:paraId="662471FF" w14:textId="77777777" w:rsidR="00A73613" w:rsidRDefault="00A73613" w:rsidP="00A73613">
      <w:pPr>
        <w:spacing w:line="360" w:lineRule="auto"/>
        <w:jc w:val="both"/>
        <w:rPr>
          <w:rtl/>
        </w:rPr>
      </w:pPr>
    </w:p>
    <w:p w14:paraId="1F362DD0" w14:textId="77777777" w:rsidR="00A73613" w:rsidRDefault="00A73613" w:rsidP="00A73613">
      <w:pPr>
        <w:spacing w:line="360" w:lineRule="auto"/>
        <w:jc w:val="both"/>
        <w:rPr>
          <w:rtl/>
        </w:rPr>
      </w:pPr>
      <w:r w:rsidRPr="00DC3806">
        <w:rPr>
          <w:rFonts w:hint="cs"/>
          <w:b/>
          <w:bCs/>
          <w:rtl/>
        </w:rPr>
        <w:t>א.</w:t>
      </w:r>
      <w:r w:rsidRPr="009A7D6E">
        <w:rPr>
          <w:rFonts w:hint="cs"/>
          <w:rtl/>
        </w:rPr>
        <w:t xml:space="preserve"> </w:t>
      </w:r>
      <w:r>
        <w:rPr>
          <w:rFonts w:hint="cs"/>
          <w:rtl/>
        </w:rPr>
        <w:t xml:space="preserve">300 של"צ לפי התוכנית שהובאה בתסקיר שירות המבחן - בבית מכבי </w:t>
      </w:r>
      <w:r>
        <w:rPr>
          <w:rtl/>
        </w:rPr>
        <w:t>–</w:t>
      </w:r>
      <w:r>
        <w:rPr>
          <w:rFonts w:hint="cs"/>
          <w:rtl/>
        </w:rPr>
        <w:t xml:space="preserve"> היכל הספורט.</w:t>
      </w:r>
    </w:p>
    <w:p w14:paraId="7C8846CC" w14:textId="77777777" w:rsidR="00A73613" w:rsidRDefault="00A73613" w:rsidP="00A73613">
      <w:pPr>
        <w:spacing w:line="360" w:lineRule="auto"/>
        <w:jc w:val="both"/>
        <w:rPr>
          <w:rtl/>
        </w:rPr>
      </w:pPr>
    </w:p>
    <w:p w14:paraId="1310EFD5" w14:textId="77777777" w:rsidR="00A73613" w:rsidRDefault="00A73613" w:rsidP="00A73613">
      <w:pPr>
        <w:spacing w:line="360" w:lineRule="auto"/>
        <w:jc w:val="both"/>
        <w:rPr>
          <w:rtl/>
        </w:rPr>
      </w:pPr>
      <w:r w:rsidRPr="00DC3806">
        <w:rPr>
          <w:rFonts w:hint="cs"/>
          <w:b/>
          <w:bCs/>
          <w:rtl/>
        </w:rPr>
        <w:t>ב.</w:t>
      </w:r>
      <w:r>
        <w:rPr>
          <w:rFonts w:hint="cs"/>
          <w:rtl/>
        </w:rPr>
        <w:t xml:space="preserve"> צו מבחן למשך 12 חודשים.</w:t>
      </w:r>
    </w:p>
    <w:p w14:paraId="0BCD6B44" w14:textId="77777777" w:rsidR="00A73613" w:rsidRDefault="00A73613" w:rsidP="00A73613">
      <w:pPr>
        <w:spacing w:line="360" w:lineRule="auto"/>
        <w:jc w:val="both"/>
        <w:rPr>
          <w:rtl/>
        </w:rPr>
      </w:pPr>
    </w:p>
    <w:p w14:paraId="6298BB9C" w14:textId="77777777" w:rsidR="00A73613" w:rsidRDefault="00A73613" w:rsidP="00A73613">
      <w:pPr>
        <w:spacing w:line="360" w:lineRule="auto"/>
        <w:jc w:val="both"/>
        <w:rPr>
          <w:rtl/>
        </w:rPr>
      </w:pPr>
      <w:r>
        <w:rPr>
          <w:rFonts w:hint="cs"/>
          <w:rtl/>
        </w:rPr>
        <w:t>הנאשם מוזהר, כי אם יפר את צו השל"צ או את צו המבחן, ניתן להשיב אותו אל בית-המשפט ולגזור את עונשו כבתחילה.</w:t>
      </w:r>
    </w:p>
    <w:p w14:paraId="18623A73" w14:textId="77777777" w:rsidR="00A73613" w:rsidRDefault="00A73613" w:rsidP="00A73613">
      <w:pPr>
        <w:spacing w:line="360" w:lineRule="auto"/>
        <w:jc w:val="both"/>
        <w:rPr>
          <w:rtl/>
        </w:rPr>
      </w:pPr>
    </w:p>
    <w:p w14:paraId="0B68FB0A" w14:textId="77777777" w:rsidR="00A73613" w:rsidRDefault="00A73613" w:rsidP="00A73613">
      <w:pPr>
        <w:spacing w:line="360" w:lineRule="auto"/>
        <w:jc w:val="both"/>
        <w:rPr>
          <w:rtl/>
        </w:rPr>
      </w:pPr>
      <w:r>
        <w:rPr>
          <w:rFonts w:hint="cs"/>
          <w:rtl/>
        </w:rPr>
        <w:t>עותק לשירות המבחן.</w:t>
      </w:r>
    </w:p>
    <w:p w14:paraId="55735705" w14:textId="77777777" w:rsidR="00A73613" w:rsidRDefault="00A73613" w:rsidP="00A73613">
      <w:pPr>
        <w:spacing w:line="360" w:lineRule="auto"/>
        <w:jc w:val="both"/>
        <w:rPr>
          <w:rtl/>
        </w:rPr>
      </w:pPr>
    </w:p>
    <w:p w14:paraId="44DE30FC" w14:textId="77777777" w:rsidR="00A73613" w:rsidRDefault="00A73613" w:rsidP="00A73613">
      <w:pPr>
        <w:spacing w:line="360" w:lineRule="auto"/>
        <w:jc w:val="both"/>
        <w:rPr>
          <w:rtl/>
        </w:rPr>
      </w:pPr>
      <w:r>
        <w:rPr>
          <w:rFonts w:hint="cs"/>
          <w:b/>
          <w:bCs/>
          <w:rtl/>
        </w:rPr>
        <w:t>ג.</w:t>
      </w:r>
      <w:r>
        <w:rPr>
          <w:rFonts w:hint="cs"/>
          <w:rtl/>
        </w:rPr>
        <w:t xml:space="preserve"> 3 חודשי מאסר שאותם לא ירצה אלא אם כן יעבור בתוך 3 שנים מהיום עבירה בניגוד ל</w:t>
      </w:r>
      <w:hyperlink r:id="rId35" w:history="1">
        <w:r w:rsidR="00AF1161" w:rsidRPr="00AF1161">
          <w:rPr>
            <w:color w:val="0000FF"/>
            <w:u w:val="single"/>
            <w:rtl/>
          </w:rPr>
          <w:t>פקודת הסמים המסוכנים</w:t>
        </w:r>
      </w:hyperlink>
      <w:r>
        <w:rPr>
          <w:rFonts w:hint="cs"/>
          <w:rtl/>
        </w:rPr>
        <w:t>.</w:t>
      </w:r>
    </w:p>
    <w:p w14:paraId="1B0A090B" w14:textId="77777777" w:rsidR="00A73613" w:rsidRDefault="00A73613" w:rsidP="00A73613">
      <w:pPr>
        <w:spacing w:line="360" w:lineRule="auto"/>
        <w:jc w:val="both"/>
        <w:rPr>
          <w:rtl/>
        </w:rPr>
      </w:pPr>
    </w:p>
    <w:p w14:paraId="6B09A823" w14:textId="77777777" w:rsidR="00A73613" w:rsidRPr="009A7D6E" w:rsidRDefault="00A73613" w:rsidP="00A73613">
      <w:pPr>
        <w:spacing w:line="360" w:lineRule="auto"/>
        <w:jc w:val="both"/>
        <w:rPr>
          <w:rtl/>
        </w:rPr>
      </w:pPr>
      <w:r w:rsidRPr="00DC3806">
        <w:rPr>
          <w:rFonts w:hint="cs"/>
          <w:b/>
          <w:bCs/>
          <w:rtl/>
        </w:rPr>
        <w:t>ד.</w:t>
      </w:r>
      <w:r>
        <w:rPr>
          <w:rFonts w:hint="cs"/>
          <w:rtl/>
        </w:rPr>
        <w:t xml:space="preserve"> קנס בסך 3,000 ₪, אשר ישולם בעשרה תשלומים חודשיים שווים, הראשון בתאריך 1.1.21 והנותרים בכל ראשון לחודש שלאחר מכן.</w:t>
      </w:r>
    </w:p>
    <w:p w14:paraId="6C8428F2" w14:textId="77777777" w:rsidR="00A73613" w:rsidRDefault="00A73613" w:rsidP="00A73613">
      <w:pPr>
        <w:spacing w:line="360" w:lineRule="auto"/>
        <w:jc w:val="both"/>
        <w:rPr>
          <w:rtl/>
        </w:rPr>
      </w:pPr>
    </w:p>
    <w:p w14:paraId="2523AADA" w14:textId="77777777" w:rsidR="00A73613" w:rsidRPr="00442FF9" w:rsidRDefault="00A73613" w:rsidP="00A73613">
      <w:pPr>
        <w:spacing w:line="360" w:lineRule="auto"/>
        <w:jc w:val="both"/>
        <w:rPr>
          <w:rtl/>
        </w:rPr>
      </w:pPr>
      <w:r w:rsidRPr="00DC3806">
        <w:rPr>
          <w:rFonts w:hint="cs"/>
          <w:b/>
          <w:bCs/>
          <w:rtl/>
        </w:rPr>
        <w:t>ה.</w:t>
      </w:r>
      <w:r>
        <w:rPr>
          <w:rFonts w:hint="cs"/>
          <w:rtl/>
        </w:rPr>
        <w:t xml:space="preserve"> בהתאם למוסכם בעת הצגת ההסדר (עמוד 6 שורות 9 </w:t>
      </w:r>
      <w:r>
        <w:rPr>
          <w:rtl/>
        </w:rPr>
        <w:t>–</w:t>
      </w:r>
      <w:r>
        <w:rPr>
          <w:rFonts w:hint="cs"/>
          <w:rtl/>
        </w:rPr>
        <w:t xml:space="preserve"> 11) אני מורה על חילוט הכסף והטלפון המצוינים בכתב-האישום לטובת קרן החילוט סמים.</w:t>
      </w:r>
    </w:p>
    <w:p w14:paraId="645E2610" w14:textId="77777777" w:rsidR="00A73613" w:rsidRDefault="00A73613" w:rsidP="00A73613">
      <w:pPr>
        <w:spacing w:line="360" w:lineRule="auto"/>
        <w:jc w:val="both"/>
        <w:rPr>
          <w:rtl/>
        </w:rPr>
      </w:pPr>
    </w:p>
    <w:p w14:paraId="0AE72ED9" w14:textId="77777777" w:rsidR="00A73613" w:rsidRDefault="00A73613" w:rsidP="00A73613">
      <w:pPr>
        <w:rPr>
          <w:rtl/>
        </w:rPr>
      </w:pPr>
      <w:r>
        <w:rPr>
          <w:rFonts w:hint="cs"/>
          <w:rtl/>
        </w:rPr>
        <w:t>זכות ערעור לבית-המשפט המחוזי מרכז/לוד בתוך 45 ימים.</w:t>
      </w:r>
    </w:p>
    <w:p w14:paraId="61FCF80C" w14:textId="77777777" w:rsidR="00A73613" w:rsidRDefault="00A73613" w:rsidP="00A73613">
      <w:pPr>
        <w:rPr>
          <w:rtl/>
        </w:rPr>
      </w:pPr>
    </w:p>
    <w:p w14:paraId="40C4CD8F" w14:textId="77777777" w:rsidR="00A73613" w:rsidRDefault="00A73613" w:rsidP="00A73613">
      <w:pPr>
        <w:rPr>
          <w:rtl/>
        </w:rPr>
      </w:pPr>
    </w:p>
    <w:p w14:paraId="590EC1B0" w14:textId="77777777" w:rsidR="00A73613" w:rsidRDefault="00A73613" w:rsidP="00A73613">
      <w:pPr>
        <w:rPr>
          <w:rtl/>
        </w:rPr>
      </w:pPr>
      <w:r>
        <w:rPr>
          <w:rFonts w:hint="cs"/>
          <w:rtl/>
        </w:rPr>
        <w:t>צו כללי למוצגים.</w:t>
      </w:r>
    </w:p>
    <w:p w14:paraId="26295581" w14:textId="77777777" w:rsidR="00A73613" w:rsidRDefault="00A73613" w:rsidP="00A73613">
      <w:pPr>
        <w:rPr>
          <w:rtl/>
        </w:rPr>
      </w:pPr>
    </w:p>
    <w:p w14:paraId="1AC2042A" w14:textId="77777777" w:rsidR="00A73613" w:rsidRDefault="00A73613" w:rsidP="00A73613">
      <w:pPr>
        <w:rPr>
          <w:rtl/>
        </w:rPr>
      </w:pPr>
    </w:p>
    <w:p w14:paraId="202691FB" w14:textId="77777777" w:rsidR="00A73613" w:rsidRDefault="00A73613" w:rsidP="00A73613">
      <w:pPr>
        <w:rPr>
          <w:rtl/>
        </w:rPr>
      </w:pPr>
      <w:r>
        <w:rPr>
          <w:rFonts w:hint="cs"/>
          <w:rtl/>
        </w:rPr>
        <w:t>הסמים יושמדו.</w:t>
      </w:r>
    </w:p>
    <w:p w14:paraId="02BB120B" w14:textId="77777777" w:rsidR="00A73613" w:rsidRDefault="00A73613" w:rsidP="00A73613">
      <w:pPr>
        <w:rPr>
          <w:rtl/>
        </w:rPr>
      </w:pPr>
    </w:p>
    <w:p w14:paraId="5DAFEAE3" w14:textId="77777777" w:rsidR="00A73613" w:rsidRDefault="00A73613" w:rsidP="00A73613">
      <w:pPr>
        <w:rPr>
          <w:rtl/>
        </w:rPr>
      </w:pPr>
    </w:p>
    <w:p w14:paraId="40D2FDD4" w14:textId="77777777" w:rsidR="00A73613" w:rsidRPr="00B05847" w:rsidRDefault="00A73613" w:rsidP="00A73613">
      <w:pPr>
        <w:rPr>
          <w:rtl/>
        </w:rPr>
      </w:pPr>
      <w:r>
        <w:rPr>
          <w:rFonts w:hint="cs"/>
          <w:rtl/>
        </w:rPr>
        <w:t>התיק סגור.</w:t>
      </w:r>
    </w:p>
    <w:p w14:paraId="7960860E" w14:textId="77777777" w:rsidR="00A73613" w:rsidRPr="00B05847" w:rsidRDefault="00A73613" w:rsidP="00A73613">
      <w:pPr>
        <w:rPr>
          <w:rtl/>
        </w:rPr>
      </w:pPr>
    </w:p>
    <w:p w14:paraId="0703B157" w14:textId="77777777" w:rsidR="00A73613" w:rsidRPr="00B05847" w:rsidRDefault="00A73613" w:rsidP="00A73613">
      <w:pPr>
        <w:rPr>
          <w:rtl/>
        </w:rPr>
      </w:pPr>
    </w:p>
    <w:p w14:paraId="33B6F999" w14:textId="77777777" w:rsidR="00A73613" w:rsidRDefault="00AF1161" w:rsidP="00A73613">
      <w:pPr>
        <w:spacing w:line="360" w:lineRule="auto"/>
        <w:jc w:val="both"/>
        <w:rPr>
          <w:rFonts w:ascii="Arial" w:hAnsi="Arial"/>
        </w:rPr>
      </w:pPr>
      <w:bookmarkStart w:id="8" w:name="Nitan"/>
      <w:r w:rsidRPr="00AF1161">
        <w:rPr>
          <w:rFonts w:ascii="Arial" w:hAnsi="Arial"/>
          <w:color w:val="FFFFFF"/>
          <w:sz w:val="2"/>
          <w:szCs w:val="2"/>
          <w:rtl/>
        </w:rPr>
        <w:t>5129371</w:t>
      </w:r>
      <w:r>
        <w:rPr>
          <w:rFonts w:ascii="Arial" w:hAnsi="Arial"/>
          <w:rtl/>
        </w:rPr>
        <w:t xml:space="preserve">ניתן היום,  י"ג כסלו תשפ"א, 29 נובמבר 2020, במעמד הצדדים. </w:t>
      </w:r>
      <w:bookmarkEnd w:id="8"/>
    </w:p>
    <w:p w14:paraId="0D9235C1" w14:textId="77777777" w:rsidR="00A73613" w:rsidRPr="00AF1161" w:rsidRDefault="00AF1161" w:rsidP="00A73613">
      <w:pPr>
        <w:rPr>
          <w:rFonts w:cs="FrankRuehl"/>
          <w:color w:val="FFFFFF"/>
          <w:sz w:val="2"/>
          <w:szCs w:val="2"/>
          <w:rtl/>
        </w:rPr>
      </w:pPr>
      <w:r w:rsidRPr="00AF1161">
        <w:rPr>
          <w:rFonts w:cs="FrankRuehl"/>
          <w:color w:val="FFFFFF"/>
          <w:sz w:val="2"/>
          <w:szCs w:val="2"/>
          <w:rtl/>
        </w:rPr>
        <w:t>54678313</w:t>
      </w:r>
    </w:p>
    <w:p w14:paraId="3D24F86B" w14:textId="77777777" w:rsidR="00A73613" w:rsidRDefault="00A73613" w:rsidP="00AF116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E5AE967" w14:textId="77777777" w:rsidR="00A73613" w:rsidRDefault="00A73613" w:rsidP="00A73613">
      <w:pPr>
        <w:jc w:val="center"/>
        <w:rPr>
          <w:rFonts w:ascii="Arial" w:hAnsi="Arial" w:cs="FrankRuehl"/>
          <w:sz w:val="28"/>
          <w:szCs w:val="28"/>
          <w:rtl/>
        </w:rPr>
      </w:pPr>
    </w:p>
    <w:p w14:paraId="10B8E7AB" w14:textId="77777777" w:rsidR="00AF1161" w:rsidRDefault="00AF1161" w:rsidP="00AF1161">
      <w:pPr>
        <w:rPr>
          <w:rtl/>
        </w:rPr>
      </w:pPr>
    </w:p>
    <w:p w14:paraId="209C3708" w14:textId="77777777" w:rsidR="00AF1161" w:rsidRDefault="00AF1161" w:rsidP="00AF1161">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23F7F251" w14:textId="77777777" w:rsidR="00D026F4" w:rsidRPr="00D026F4" w:rsidRDefault="00D026F4" w:rsidP="00D026F4">
      <w:pPr>
        <w:keepNext/>
        <w:rPr>
          <w:rFonts w:ascii="David" w:hAnsi="David"/>
          <w:color w:val="000000"/>
          <w:sz w:val="22"/>
          <w:szCs w:val="22"/>
          <w:rtl/>
        </w:rPr>
      </w:pPr>
    </w:p>
    <w:p w14:paraId="7A17E10B" w14:textId="77777777" w:rsidR="00D026F4" w:rsidRPr="00D026F4" w:rsidRDefault="00D026F4" w:rsidP="00D026F4">
      <w:pPr>
        <w:keepNext/>
        <w:rPr>
          <w:rFonts w:ascii="David" w:hAnsi="David"/>
          <w:color w:val="000000"/>
          <w:sz w:val="22"/>
          <w:szCs w:val="22"/>
          <w:rtl/>
        </w:rPr>
      </w:pPr>
      <w:r w:rsidRPr="00D026F4">
        <w:rPr>
          <w:rFonts w:ascii="David" w:hAnsi="David"/>
          <w:color w:val="000000"/>
          <w:sz w:val="22"/>
          <w:szCs w:val="22"/>
          <w:rtl/>
        </w:rPr>
        <w:t>מנחם מזרחי 54678313-/</w:t>
      </w:r>
    </w:p>
    <w:p w14:paraId="0121581D" w14:textId="77777777" w:rsidR="00AF1161" w:rsidRPr="00AF1161" w:rsidRDefault="00D026F4" w:rsidP="00D026F4">
      <w:pPr>
        <w:rPr>
          <w:rFonts w:hint="cs"/>
          <w:color w:val="0000FF"/>
          <w:u w:val="single"/>
        </w:rPr>
      </w:pPr>
      <w:r w:rsidRPr="00D026F4">
        <w:rPr>
          <w:color w:val="000000"/>
          <w:u w:val="single"/>
          <w:rtl/>
        </w:rPr>
        <w:t>נוסח מסמך זה כפוף לשינויי ניסוח ועריכה</w:t>
      </w:r>
      <w:r w:rsidR="004E396A">
        <w:rPr>
          <w:rFonts w:hint="cs"/>
          <w:color w:val="0000FF"/>
          <w:u w:val="single"/>
          <w:rtl/>
        </w:rPr>
        <w:t xml:space="preserve"> </w:t>
      </w:r>
    </w:p>
    <w:sectPr w:rsidR="00AF1161" w:rsidRPr="00AF1161" w:rsidSect="00D026F4">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D9393" w14:textId="77777777" w:rsidR="004F00B8" w:rsidRDefault="004F00B8" w:rsidP="00D11C42">
      <w:r>
        <w:separator/>
      </w:r>
    </w:p>
  </w:endnote>
  <w:endnote w:type="continuationSeparator" w:id="0">
    <w:p w14:paraId="2A9DABD4" w14:textId="77777777" w:rsidR="004F00B8" w:rsidRDefault="004F00B8" w:rsidP="00D11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FB23B" w14:textId="77777777" w:rsidR="00D026F4" w:rsidRDefault="00D026F4" w:rsidP="00D026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6564B6" w14:textId="77777777" w:rsidR="004438FE" w:rsidRPr="00D026F4" w:rsidRDefault="00D026F4" w:rsidP="00D026F4">
    <w:pPr>
      <w:pStyle w:val="a5"/>
      <w:pBdr>
        <w:top w:val="single" w:sz="4" w:space="1" w:color="auto"/>
        <w:between w:val="single" w:sz="4" w:space="0" w:color="auto"/>
      </w:pBdr>
      <w:spacing w:after="60"/>
      <w:jc w:val="center"/>
      <w:rPr>
        <w:rFonts w:ascii="FrankRuehl" w:hAnsi="FrankRuehl" w:cs="FrankRuehl"/>
        <w:color w:val="000000"/>
      </w:rPr>
    </w:pPr>
    <w:r w:rsidRPr="00D026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0E302" w14:textId="77777777" w:rsidR="00D026F4" w:rsidRDefault="00D026F4" w:rsidP="00D026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6BAC">
      <w:rPr>
        <w:rFonts w:ascii="FrankRuehl" w:hAnsi="FrankRuehl" w:cs="FrankRuehl"/>
        <w:noProof/>
        <w:rtl/>
      </w:rPr>
      <w:t>1</w:t>
    </w:r>
    <w:r>
      <w:rPr>
        <w:rFonts w:ascii="FrankRuehl" w:hAnsi="FrankRuehl" w:cs="FrankRuehl"/>
        <w:rtl/>
      </w:rPr>
      <w:fldChar w:fldCharType="end"/>
    </w:r>
  </w:p>
  <w:p w14:paraId="3E017747" w14:textId="77777777" w:rsidR="004438FE" w:rsidRPr="00D026F4" w:rsidRDefault="00D026F4" w:rsidP="00D026F4">
    <w:pPr>
      <w:pStyle w:val="a5"/>
      <w:pBdr>
        <w:top w:val="single" w:sz="4" w:space="1" w:color="auto"/>
        <w:between w:val="single" w:sz="4" w:space="0" w:color="auto"/>
      </w:pBdr>
      <w:spacing w:after="60"/>
      <w:jc w:val="center"/>
      <w:rPr>
        <w:rFonts w:ascii="FrankRuehl" w:hAnsi="FrankRuehl" w:cs="FrankRuehl"/>
        <w:color w:val="000000"/>
      </w:rPr>
    </w:pPr>
    <w:r w:rsidRPr="00D026F4">
      <w:rPr>
        <w:rFonts w:ascii="FrankRuehl" w:hAnsi="FrankRuehl" w:cs="FrankRuehl"/>
        <w:color w:val="000000"/>
      </w:rPr>
      <w:pict w14:anchorId="647D7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2BEF9" w14:textId="77777777" w:rsidR="004F00B8" w:rsidRDefault="004F00B8" w:rsidP="00D11C42">
      <w:r>
        <w:separator/>
      </w:r>
    </w:p>
  </w:footnote>
  <w:footnote w:type="continuationSeparator" w:id="0">
    <w:p w14:paraId="736A4A02" w14:textId="77777777" w:rsidR="004F00B8" w:rsidRDefault="004F00B8" w:rsidP="00D11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198DA" w14:textId="77777777" w:rsidR="00AF1161" w:rsidRPr="00D026F4" w:rsidRDefault="00D026F4" w:rsidP="00D026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61470-01-19</w:t>
    </w:r>
    <w:r>
      <w:rPr>
        <w:rFonts w:ascii="David" w:hAnsi="David"/>
        <w:color w:val="000000"/>
        <w:sz w:val="22"/>
        <w:szCs w:val="22"/>
        <w:rtl/>
      </w:rPr>
      <w:tab/>
      <w:t xml:space="preserve"> מדינת ישראל- משטרת ישראל  נ' אלעד סאזנאייב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8D2CC" w14:textId="77777777" w:rsidR="00AF1161" w:rsidRPr="00D026F4" w:rsidRDefault="00D026F4" w:rsidP="00D026F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61470-01-19</w:t>
    </w:r>
    <w:r>
      <w:rPr>
        <w:rFonts w:ascii="David" w:hAnsi="David"/>
        <w:color w:val="000000"/>
        <w:sz w:val="22"/>
        <w:szCs w:val="22"/>
        <w:rtl/>
      </w:rPr>
      <w:tab/>
      <w:t xml:space="preserve"> מדינת ישראל- משטרת ישראל  נ' אלעד סאזנאייב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3613"/>
    <w:rsid w:val="00210A94"/>
    <w:rsid w:val="0029661B"/>
    <w:rsid w:val="003A33AF"/>
    <w:rsid w:val="004438FE"/>
    <w:rsid w:val="004E396A"/>
    <w:rsid w:val="004F00B8"/>
    <w:rsid w:val="004F6261"/>
    <w:rsid w:val="006533F4"/>
    <w:rsid w:val="008C77FA"/>
    <w:rsid w:val="00A73613"/>
    <w:rsid w:val="00AF1161"/>
    <w:rsid w:val="00C616D8"/>
    <w:rsid w:val="00C77121"/>
    <w:rsid w:val="00D026F4"/>
    <w:rsid w:val="00D11C42"/>
    <w:rsid w:val="00D63BF0"/>
    <w:rsid w:val="00E16B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02A2EC"/>
  <w15:chartTrackingRefBased/>
  <w15:docId w15:val="{A0452805-5E12-4B4E-8BD6-318FCC10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36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3613"/>
    <w:pPr>
      <w:tabs>
        <w:tab w:val="center" w:pos="4153"/>
        <w:tab w:val="right" w:pos="8306"/>
      </w:tabs>
    </w:pPr>
  </w:style>
  <w:style w:type="character" w:customStyle="1" w:styleId="a4">
    <w:name w:val="כותרת עליונה תו"/>
    <w:link w:val="a3"/>
    <w:rsid w:val="00A73613"/>
    <w:rPr>
      <w:rFonts w:ascii="Times New Roman" w:eastAsia="Times New Roman" w:hAnsi="Times New Roman" w:cs="David"/>
      <w:sz w:val="24"/>
      <w:szCs w:val="24"/>
    </w:rPr>
  </w:style>
  <w:style w:type="paragraph" w:styleId="a5">
    <w:name w:val="footer"/>
    <w:basedOn w:val="a"/>
    <w:link w:val="a6"/>
    <w:rsid w:val="00A73613"/>
    <w:pPr>
      <w:tabs>
        <w:tab w:val="center" w:pos="4153"/>
        <w:tab w:val="right" w:pos="8306"/>
      </w:tabs>
    </w:pPr>
  </w:style>
  <w:style w:type="character" w:customStyle="1" w:styleId="a6">
    <w:name w:val="כותרת תחתונה תו"/>
    <w:link w:val="a5"/>
    <w:rsid w:val="00A73613"/>
    <w:rPr>
      <w:rFonts w:ascii="Times New Roman" w:eastAsia="Times New Roman" w:hAnsi="Times New Roman" w:cs="David"/>
      <w:sz w:val="24"/>
      <w:szCs w:val="24"/>
    </w:rPr>
  </w:style>
  <w:style w:type="table" w:styleId="a7">
    <w:name w:val="Table Grid"/>
    <w:basedOn w:val="a1"/>
    <w:rsid w:val="00A736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73613"/>
  </w:style>
  <w:style w:type="character" w:styleId="Hyperlink">
    <w:name w:val="Hyperlink"/>
    <w:rsid w:val="00AF11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2991" TargetMode="External"/><Relationship Id="rId26" Type="http://schemas.openxmlformats.org/officeDocument/2006/relationships/hyperlink" Target="http://www.nevo.co.il/case/11269559" TargetMode="External"/><Relationship Id="rId39" Type="http://schemas.openxmlformats.org/officeDocument/2006/relationships/footer" Target="footer1.xml"/><Relationship Id="rId21" Type="http://schemas.openxmlformats.org/officeDocument/2006/relationships/hyperlink" Target="http://www.nevo.co.il/case/1613191" TargetMode="External"/><Relationship Id="rId34" Type="http://schemas.openxmlformats.org/officeDocument/2006/relationships/hyperlink" Target="http://www.nevo.co.il/case/5810781" TargetMode="External"/><Relationship Id="rId42"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7.a" TargetMode="External"/><Relationship Id="rId20" Type="http://schemas.openxmlformats.org/officeDocument/2006/relationships/hyperlink" Target="http://www.nevo.co.il/case/25690628" TargetMode="External"/><Relationship Id="rId29" Type="http://schemas.openxmlformats.org/officeDocument/2006/relationships/hyperlink" Target="http://www.nevo.co.il/case/6144854"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2991" TargetMode="External"/><Relationship Id="rId24" Type="http://schemas.openxmlformats.org/officeDocument/2006/relationships/hyperlink" Target="http://www.nevo.co.il/case/5896402" TargetMode="External"/><Relationship Id="rId32" Type="http://schemas.openxmlformats.org/officeDocument/2006/relationships/hyperlink" Target="http://www.nevo.co.il/case/2367461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810905" TargetMode="External"/><Relationship Id="rId28" Type="http://schemas.openxmlformats.org/officeDocument/2006/relationships/hyperlink" Target="http://www.nevo.co.il/case/21473702"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72991/5" TargetMode="External"/><Relationship Id="rId31" Type="http://schemas.openxmlformats.org/officeDocument/2006/relationships/hyperlink" Target="http://www.nevo.co.il/law/72991/5"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5633505" TargetMode="External"/><Relationship Id="rId27" Type="http://schemas.openxmlformats.org/officeDocument/2006/relationships/hyperlink" Target="http://www.nevo.co.il/case/20616018" TargetMode="External"/><Relationship Id="rId30" Type="http://schemas.openxmlformats.org/officeDocument/2006/relationships/hyperlink" Target="http://www.nevo.co.il/case/25690628"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2991/5"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7688113" TargetMode="External"/><Relationship Id="rId33" Type="http://schemas.openxmlformats.org/officeDocument/2006/relationships/hyperlink" Target="http://www.nevo.co.il/case/25494716"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2037</Words>
  <Characters>10189</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12202</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3276916</vt:i4>
      </vt:variant>
      <vt:variant>
        <vt:i4>84</vt:i4>
      </vt:variant>
      <vt:variant>
        <vt:i4>0</vt:i4>
      </vt:variant>
      <vt:variant>
        <vt:i4>5</vt:i4>
      </vt:variant>
      <vt:variant>
        <vt:lpwstr>http://www.nevo.co.il/case/5810781</vt:lpwstr>
      </vt:variant>
      <vt:variant>
        <vt:lpwstr/>
      </vt:variant>
      <vt:variant>
        <vt:i4>3342463</vt:i4>
      </vt:variant>
      <vt:variant>
        <vt:i4>81</vt:i4>
      </vt:variant>
      <vt:variant>
        <vt:i4>0</vt:i4>
      </vt:variant>
      <vt:variant>
        <vt:i4>5</vt:i4>
      </vt:variant>
      <vt:variant>
        <vt:lpwstr>http://www.nevo.co.il/case/25494716</vt:lpwstr>
      </vt:variant>
      <vt:variant>
        <vt:lpwstr/>
      </vt:variant>
      <vt:variant>
        <vt:i4>3211382</vt:i4>
      </vt:variant>
      <vt:variant>
        <vt:i4>78</vt:i4>
      </vt:variant>
      <vt:variant>
        <vt:i4>0</vt:i4>
      </vt:variant>
      <vt:variant>
        <vt:i4>5</vt:i4>
      </vt:variant>
      <vt:variant>
        <vt:lpwstr>http://www.nevo.co.il/case/23674614</vt:lpwstr>
      </vt:variant>
      <vt:variant>
        <vt:lpwstr/>
      </vt:variant>
      <vt:variant>
        <vt:i4>6160479</vt:i4>
      </vt:variant>
      <vt:variant>
        <vt:i4>75</vt:i4>
      </vt:variant>
      <vt:variant>
        <vt:i4>0</vt:i4>
      </vt:variant>
      <vt:variant>
        <vt:i4>5</vt:i4>
      </vt:variant>
      <vt:variant>
        <vt:lpwstr>http://www.nevo.co.il/law/72991/5</vt:lpwstr>
      </vt:variant>
      <vt:variant>
        <vt:lpwstr/>
      </vt:variant>
      <vt:variant>
        <vt:i4>3539070</vt:i4>
      </vt:variant>
      <vt:variant>
        <vt:i4>72</vt:i4>
      </vt:variant>
      <vt:variant>
        <vt:i4>0</vt:i4>
      </vt:variant>
      <vt:variant>
        <vt:i4>5</vt:i4>
      </vt:variant>
      <vt:variant>
        <vt:lpwstr>http://www.nevo.co.il/case/25690628</vt:lpwstr>
      </vt:variant>
      <vt:variant>
        <vt:lpwstr/>
      </vt:variant>
      <vt:variant>
        <vt:i4>4063348</vt:i4>
      </vt:variant>
      <vt:variant>
        <vt:i4>69</vt:i4>
      </vt:variant>
      <vt:variant>
        <vt:i4>0</vt:i4>
      </vt:variant>
      <vt:variant>
        <vt:i4>5</vt:i4>
      </vt:variant>
      <vt:variant>
        <vt:lpwstr>http://www.nevo.co.il/case/6144854</vt:lpwstr>
      </vt:variant>
      <vt:variant>
        <vt:lpwstr/>
      </vt:variant>
      <vt:variant>
        <vt:i4>3473525</vt:i4>
      </vt:variant>
      <vt:variant>
        <vt:i4>66</vt:i4>
      </vt:variant>
      <vt:variant>
        <vt:i4>0</vt:i4>
      </vt:variant>
      <vt:variant>
        <vt:i4>5</vt:i4>
      </vt:variant>
      <vt:variant>
        <vt:lpwstr>http://www.nevo.co.il/case/21473702</vt:lpwstr>
      </vt:variant>
      <vt:variant>
        <vt:lpwstr/>
      </vt:variant>
      <vt:variant>
        <vt:i4>3342453</vt:i4>
      </vt:variant>
      <vt:variant>
        <vt:i4>63</vt:i4>
      </vt:variant>
      <vt:variant>
        <vt:i4>0</vt:i4>
      </vt:variant>
      <vt:variant>
        <vt:i4>5</vt:i4>
      </vt:variant>
      <vt:variant>
        <vt:lpwstr>http://www.nevo.co.il/case/20616018</vt:lpwstr>
      </vt:variant>
      <vt:variant>
        <vt:lpwstr/>
      </vt:variant>
      <vt:variant>
        <vt:i4>4128886</vt:i4>
      </vt:variant>
      <vt:variant>
        <vt:i4>60</vt:i4>
      </vt:variant>
      <vt:variant>
        <vt:i4>0</vt:i4>
      </vt:variant>
      <vt:variant>
        <vt:i4>5</vt:i4>
      </vt:variant>
      <vt:variant>
        <vt:lpwstr>http://www.nevo.co.il/case/11269559</vt:lpwstr>
      </vt:variant>
      <vt:variant>
        <vt:lpwstr/>
      </vt:variant>
      <vt:variant>
        <vt:i4>3997819</vt:i4>
      </vt:variant>
      <vt:variant>
        <vt:i4>57</vt:i4>
      </vt:variant>
      <vt:variant>
        <vt:i4>0</vt:i4>
      </vt:variant>
      <vt:variant>
        <vt:i4>5</vt:i4>
      </vt:variant>
      <vt:variant>
        <vt:lpwstr>http://www.nevo.co.il/case/7688113</vt:lpwstr>
      </vt:variant>
      <vt:variant>
        <vt:lpwstr/>
      </vt:variant>
      <vt:variant>
        <vt:i4>3801210</vt:i4>
      </vt:variant>
      <vt:variant>
        <vt:i4>54</vt:i4>
      </vt:variant>
      <vt:variant>
        <vt:i4>0</vt:i4>
      </vt:variant>
      <vt:variant>
        <vt:i4>5</vt:i4>
      </vt:variant>
      <vt:variant>
        <vt:lpwstr>http://www.nevo.co.il/case/5896402</vt:lpwstr>
      </vt:variant>
      <vt:variant>
        <vt:lpwstr/>
      </vt:variant>
      <vt:variant>
        <vt:i4>4128892</vt:i4>
      </vt:variant>
      <vt:variant>
        <vt:i4>51</vt:i4>
      </vt:variant>
      <vt:variant>
        <vt:i4>0</vt:i4>
      </vt:variant>
      <vt:variant>
        <vt:i4>5</vt:i4>
      </vt:variant>
      <vt:variant>
        <vt:lpwstr>http://www.nevo.co.il/case/2810905</vt:lpwstr>
      </vt:variant>
      <vt:variant>
        <vt:lpwstr/>
      </vt:variant>
      <vt:variant>
        <vt:i4>3539057</vt:i4>
      </vt:variant>
      <vt:variant>
        <vt:i4>48</vt:i4>
      </vt:variant>
      <vt:variant>
        <vt:i4>0</vt:i4>
      </vt:variant>
      <vt:variant>
        <vt:i4>5</vt:i4>
      </vt:variant>
      <vt:variant>
        <vt:lpwstr>http://www.nevo.co.il/case/5633505</vt:lpwstr>
      </vt:variant>
      <vt:variant>
        <vt:lpwstr/>
      </vt:variant>
      <vt:variant>
        <vt:i4>3145848</vt:i4>
      </vt:variant>
      <vt:variant>
        <vt:i4>45</vt:i4>
      </vt:variant>
      <vt:variant>
        <vt:i4>0</vt:i4>
      </vt:variant>
      <vt:variant>
        <vt:i4>5</vt:i4>
      </vt:variant>
      <vt:variant>
        <vt:lpwstr>http://www.nevo.co.il/case/1613191</vt:lpwstr>
      </vt:variant>
      <vt:variant>
        <vt:lpwstr/>
      </vt:variant>
      <vt:variant>
        <vt:i4>3539070</vt:i4>
      </vt:variant>
      <vt:variant>
        <vt:i4>42</vt:i4>
      </vt:variant>
      <vt:variant>
        <vt:i4>0</vt:i4>
      </vt:variant>
      <vt:variant>
        <vt:i4>5</vt:i4>
      </vt:variant>
      <vt:variant>
        <vt:lpwstr>http://www.nevo.co.il/case/25690628</vt:lpwstr>
      </vt:variant>
      <vt:variant>
        <vt:lpwstr/>
      </vt:variant>
      <vt:variant>
        <vt:i4>6160479</vt:i4>
      </vt:variant>
      <vt:variant>
        <vt:i4>39</vt:i4>
      </vt:variant>
      <vt:variant>
        <vt:i4>0</vt:i4>
      </vt:variant>
      <vt:variant>
        <vt:i4>5</vt:i4>
      </vt:variant>
      <vt:variant>
        <vt:lpwstr>http://www.nevo.co.il/law/72991/5</vt:lpwstr>
      </vt:variant>
      <vt:variant>
        <vt:lpwstr/>
      </vt:variant>
      <vt:variant>
        <vt:i4>7405678</vt:i4>
      </vt:variant>
      <vt:variant>
        <vt:i4>36</vt:i4>
      </vt:variant>
      <vt:variant>
        <vt:i4>0</vt:i4>
      </vt:variant>
      <vt:variant>
        <vt:i4>5</vt:i4>
      </vt:variant>
      <vt:variant>
        <vt:lpwstr>http://www.nevo.co.il/law/72991</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6160479</vt:i4>
      </vt:variant>
      <vt:variant>
        <vt:i4>18</vt:i4>
      </vt:variant>
      <vt:variant>
        <vt:i4>0</vt:i4>
      </vt:variant>
      <vt:variant>
        <vt:i4>5</vt:i4>
      </vt:variant>
      <vt:variant>
        <vt:lpwstr>http://www.nevo.co.il/law/72991/5</vt:lpwstr>
      </vt:variant>
      <vt:variant>
        <vt:lpwstr/>
      </vt:variant>
      <vt:variant>
        <vt:i4>7405678</vt:i4>
      </vt:variant>
      <vt:variant>
        <vt:i4>15</vt:i4>
      </vt:variant>
      <vt:variant>
        <vt:i4>0</vt:i4>
      </vt:variant>
      <vt:variant>
        <vt:i4>5</vt:i4>
      </vt:variant>
      <vt:variant>
        <vt:lpwstr>http://www.nevo.co.il/law/72991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2025-04-23T00:02:00Z</dcterms:created>
  <dcterms:modified xsi:type="dcterms:W3CDTF">2025-04-23T00:02:00Z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61470</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 משטרת ישראל </vt:lpwstr>
  </property>
  <property fmtid="{D5CDD505-2E9C-101B-9397-08002B2CF9AE}" pid="9" name="APPELLEE">
    <vt:lpwstr>אלעד סאזנאייב</vt:lpwstr>
  </property>
  <property fmtid="{D5CDD505-2E9C-101B-9397-08002B2CF9AE}" pid="10" name="LAWYER">
    <vt:lpwstr>חן עמרני;טל גלאון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20201129</vt:lpwstr>
  </property>
  <property fmtid="{D5CDD505-2E9C-101B-9397-08002B2CF9AE}" pid="14" name="TYPE_N_DATE">
    <vt:lpwstr>38020201129</vt:lpwstr>
  </property>
  <property fmtid="{D5CDD505-2E9C-101B-9397-08002B2CF9AE}" pid="15" name="WORDNUMPAGES">
    <vt:lpwstr>7</vt:lpwstr>
  </property>
  <property fmtid="{D5CDD505-2E9C-101B-9397-08002B2CF9AE}" pid="16" name="TYPE_ABS_DATE">
    <vt:lpwstr>380020201129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25690628:2;1613191;5633505;2810905;5896402;7688113;11269559;20616018;21473702;6144854;23674614;25494716;5810781</vt:lpwstr>
  </property>
  <property fmtid="{D5CDD505-2E9C-101B-9397-08002B2CF9AE}" pid="36" name="LAWLISTTMP1">
    <vt:lpwstr>4216/013;019a;007.a;007.c</vt:lpwstr>
  </property>
  <property fmtid="{D5CDD505-2E9C-101B-9397-08002B2CF9AE}" pid="37" name="LAWLISTTMP2">
    <vt:lpwstr>72991/005:2</vt:lpwstr>
  </property>
</Properties>
</file>