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9270B9" w:rsidRPr="00BC1C7E" w14:paraId="40116C06" w14:textId="77777777" w:rsidTr="009B3F05">
        <w:trPr>
          <w:gridAfter w:val="1"/>
          <w:wAfter w:w="99" w:type="dxa"/>
          <w:trHeight w:hRule="exact" w:val="418"/>
          <w:jc w:val="center"/>
        </w:trPr>
        <w:tc>
          <w:tcPr>
            <w:tcW w:w="8721" w:type="dxa"/>
            <w:gridSpan w:val="3"/>
          </w:tcPr>
          <w:p w14:paraId="02E9027F" w14:textId="77777777" w:rsidR="009270B9" w:rsidRPr="00BC1C7E" w:rsidRDefault="009270B9" w:rsidP="00D458E7">
            <w:pPr>
              <w:pStyle w:val="a3"/>
              <w:jc w:val="center"/>
              <w:rPr>
                <w:rFonts w:ascii="Tahoma" w:hAnsi="Tahoma" w:cs="Tahoma"/>
                <w:color w:val="000080"/>
                <w:rtl/>
              </w:rPr>
            </w:pPr>
            <w:bookmarkStart w:id="0" w:name="LastJudge"/>
            <w:r w:rsidRPr="00BC1C7E">
              <w:rPr>
                <w:rFonts w:ascii="Tahoma" w:hAnsi="Tahoma" w:cs="Tahoma"/>
                <w:b/>
                <w:bCs/>
                <w:color w:val="000080"/>
                <w:rtl/>
              </w:rPr>
              <w:t>בית משפט השלום בירושלים</w:t>
            </w:r>
          </w:p>
        </w:tc>
      </w:tr>
      <w:tr w:rsidR="009270B9" w:rsidRPr="00BC1C7E" w14:paraId="1D0CCC14" w14:textId="77777777" w:rsidTr="009B3F05">
        <w:trPr>
          <w:gridAfter w:val="1"/>
          <w:wAfter w:w="99" w:type="dxa"/>
          <w:trHeight w:val="337"/>
          <w:jc w:val="center"/>
        </w:trPr>
        <w:tc>
          <w:tcPr>
            <w:tcW w:w="5054" w:type="dxa"/>
            <w:gridSpan w:val="2"/>
          </w:tcPr>
          <w:p w14:paraId="7769EA43" w14:textId="77777777" w:rsidR="009270B9" w:rsidRPr="00BC1C7E" w:rsidRDefault="009270B9" w:rsidP="00D458E7">
            <w:pPr>
              <w:rPr>
                <w:rFonts w:ascii="David" w:hAnsi="David"/>
                <w:b/>
                <w:bCs/>
                <w:sz w:val="28"/>
                <w:szCs w:val="28"/>
                <w:rtl/>
              </w:rPr>
            </w:pPr>
            <w:r w:rsidRPr="00BC1C7E">
              <w:rPr>
                <w:rFonts w:ascii="David" w:hAnsi="David"/>
                <w:b/>
                <w:bCs/>
                <w:sz w:val="28"/>
                <w:szCs w:val="28"/>
                <w:rtl/>
              </w:rPr>
              <w:t>ת"פ 7349-01-19 מדינת ישראל נ' אילוז</w:t>
            </w:r>
          </w:p>
          <w:p w14:paraId="354CF324" w14:textId="77777777" w:rsidR="009270B9" w:rsidRPr="00BC1C7E" w:rsidRDefault="009270B9" w:rsidP="00D458E7">
            <w:pPr>
              <w:pStyle w:val="a3"/>
              <w:rPr>
                <w:rFonts w:cs="FrankRuehl"/>
                <w:sz w:val="28"/>
                <w:szCs w:val="28"/>
                <w:rtl/>
              </w:rPr>
            </w:pPr>
          </w:p>
        </w:tc>
        <w:tc>
          <w:tcPr>
            <w:tcW w:w="3667" w:type="dxa"/>
          </w:tcPr>
          <w:p w14:paraId="64188E02" w14:textId="77777777" w:rsidR="009270B9" w:rsidRPr="00BC1C7E" w:rsidRDefault="009270B9" w:rsidP="00D458E7">
            <w:pPr>
              <w:pStyle w:val="a3"/>
              <w:jc w:val="right"/>
              <w:rPr>
                <w:rFonts w:cs="FrankRuehl"/>
                <w:sz w:val="28"/>
                <w:szCs w:val="28"/>
                <w:rtl/>
              </w:rPr>
            </w:pPr>
          </w:p>
        </w:tc>
      </w:tr>
      <w:tr w:rsidR="009270B9" w:rsidRPr="00BC1C7E" w14:paraId="22DF1CE1" w14:textId="77777777" w:rsidTr="009B3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EFDDD95" w14:textId="77777777" w:rsidR="009270B9" w:rsidRPr="00BC1C7E" w:rsidRDefault="009270B9" w:rsidP="009270B9">
            <w:pPr>
              <w:jc w:val="both"/>
              <w:rPr>
                <w:rFonts w:ascii="David" w:hAnsi="David"/>
                <w:b/>
                <w:bCs/>
                <w:sz w:val="26"/>
                <w:szCs w:val="26"/>
              </w:rPr>
            </w:pPr>
            <w:r w:rsidRPr="00BC1C7E">
              <w:rPr>
                <w:rFonts w:hint="cs"/>
                <w:rtl/>
              </w:rPr>
              <w:t xml:space="preserve"> </w:t>
            </w:r>
            <w:r w:rsidRPr="00BC1C7E">
              <w:rPr>
                <w:rFonts w:ascii="David" w:hAnsi="David" w:hint="cs"/>
                <w:b/>
                <w:bCs/>
                <w:sz w:val="26"/>
                <w:szCs w:val="26"/>
                <w:rtl/>
              </w:rPr>
              <w:t>ל</w:t>
            </w:r>
            <w:r w:rsidRPr="00BC1C7E">
              <w:rPr>
                <w:rFonts w:ascii="David" w:hAnsi="David"/>
                <w:b/>
                <w:bCs/>
                <w:sz w:val="26"/>
                <w:szCs w:val="26"/>
                <w:rtl/>
              </w:rPr>
              <w:t xml:space="preserve">פני </w:t>
            </w:r>
          </w:p>
        </w:tc>
        <w:tc>
          <w:tcPr>
            <w:tcW w:w="7897" w:type="dxa"/>
            <w:gridSpan w:val="3"/>
            <w:tcBorders>
              <w:top w:val="nil"/>
              <w:left w:val="nil"/>
              <w:bottom w:val="nil"/>
              <w:right w:val="nil"/>
            </w:tcBorders>
            <w:shd w:val="clear" w:color="auto" w:fill="auto"/>
          </w:tcPr>
          <w:p w14:paraId="3C2A4717" w14:textId="77777777" w:rsidR="009270B9" w:rsidRPr="00BC1C7E" w:rsidRDefault="009270B9" w:rsidP="00D458E7">
            <w:pPr>
              <w:rPr>
                <w:rFonts w:ascii="David" w:hAnsi="David"/>
                <w:b/>
                <w:bCs/>
                <w:sz w:val="26"/>
                <w:szCs w:val="26"/>
                <w:rtl/>
              </w:rPr>
            </w:pPr>
            <w:r w:rsidRPr="00BC1C7E">
              <w:rPr>
                <w:rFonts w:ascii="David" w:hAnsi="David"/>
                <w:b/>
                <w:bCs/>
                <w:sz w:val="26"/>
                <w:szCs w:val="26"/>
                <w:rtl/>
              </w:rPr>
              <w:t>כבוד השופט  דוד שאול גבאי ריכטר</w:t>
            </w:r>
          </w:p>
          <w:p w14:paraId="3CF60C68" w14:textId="77777777" w:rsidR="009270B9" w:rsidRPr="00BC1C7E" w:rsidRDefault="009270B9" w:rsidP="00D458E7">
            <w:pPr>
              <w:rPr>
                <w:rFonts w:ascii="David" w:hAnsi="David"/>
                <w:b/>
                <w:bCs/>
                <w:sz w:val="26"/>
                <w:szCs w:val="26"/>
                <w:rtl/>
              </w:rPr>
            </w:pPr>
          </w:p>
          <w:p w14:paraId="4646BD75" w14:textId="77777777" w:rsidR="009270B9" w:rsidRPr="00BC1C7E" w:rsidRDefault="009270B9" w:rsidP="009270B9">
            <w:pPr>
              <w:jc w:val="both"/>
              <w:rPr>
                <w:rFonts w:ascii="David" w:hAnsi="David"/>
                <w:b/>
                <w:bCs/>
                <w:sz w:val="26"/>
                <w:szCs w:val="26"/>
              </w:rPr>
            </w:pPr>
          </w:p>
        </w:tc>
      </w:tr>
      <w:tr w:rsidR="009270B9" w:rsidRPr="00BC1C7E" w14:paraId="3C01D5E3" w14:textId="77777777" w:rsidTr="009B3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63A260" w14:textId="77777777" w:rsidR="009270B9" w:rsidRPr="00BC1C7E" w:rsidRDefault="009270B9" w:rsidP="009270B9">
            <w:pPr>
              <w:jc w:val="both"/>
              <w:rPr>
                <w:rFonts w:ascii="David" w:hAnsi="David"/>
                <w:b/>
                <w:bCs/>
                <w:sz w:val="26"/>
                <w:szCs w:val="26"/>
              </w:rPr>
            </w:pPr>
            <w:bookmarkStart w:id="1" w:name="FirstAppellant"/>
            <w:r w:rsidRPr="00BC1C7E">
              <w:rPr>
                <w:rFonts w:ascii="David" w:hAnsi="David"/>
                <w:b/>
                <w:bCs/>
                <w:sz w:val="26"/>
                <w:szCs w:val="26"/>
                <w:rtl/>
              </w:rPr>
              <w:t>בעניין:</w:t>
            </w:r>
          </w:p>
        </w:tc>
        <w:tc>
          <w:tcPr>
            <w:tcW w:w="4126" w:type="dxa"/>
            <w:tcBorders>
              <w:top w:val="nil"/>
              <w:left w:val="nil"/>
              <w:bottom w:val="nil"/>
              <w:right w:val="nil"/>
            </w:tcBorders>
            <w:shd w:val="clear" w:color="auto" w:fill="auto"/>
          </w:tcPr>
          <w:p w14:paraId="5D593762" w14:textId="77777777" w:rsidR="009270B9" w:rsidRPr="00BC1C7E" w:rsidRDefault="009270B9" w:rsidP="00D458E7">
            <w:pPr>
              <w:rPr>
                <w:rFonts w:ascii="David" w:hAnsi="David"/>
                <w:b/>
                <w:bCs/>
                <w:sz w:val="26"/>
                <w:szCs w:val="26"/>
              </w:rPr>
            </w:pPr>
            <w:r w:rsidRPr="00BC1C7E">
              <w:rPr>
                <w:rFonts w:ascii="David" w:hAnsi="David"/>
                <w:b/>
                <w:bCs/>
                <w:sz w:val="26"/>
                <w:szCs w:val="26"/>
                <w:rtl/>
              </w:rPr>
              <w:t>מדינת ישראל</w:t>
            </w:r>
          </w:p>
        </w:tc>
        <w:tc>
          <w:tcPr>
            <w:tcW w:w="3771" w:type="dxa"/>
            <w:gridSpan w:val="2"/>
            <w:tcBorders>
              <w:top w:val="nil"/>
              <w:left w:val="nil"/>
              <w:bottom w:val="nil"/>
              <w:right w:val="nil"/>
            </w:tcBorders>
            <w:shd w:val="clear" w:color="auto" w:fill="auto"/>
          </w:tcPr>
          <w:p w14:paraId="42AE83C4" w14:textId="77777777" w:rsidR="009270B9" w:rsidRPr="00BC1C7E" w:rsidRDefault="009270B9" w:rsidP="009270B9">
            <w:pPr>
              <w:jc w:val="both"/>
              <w:rPr>
                <w:rFonts w:ascii="David" w:hAnsi="David"/>
                <w:b/>
                <w:bCs/>
                <w:sz w:val="26"/>
                <w:szCs w:val="26"/>
              </w:rPr>
            </w:pPr>
          </w:p>
        </w:tc>
      </w:tr>
      <w:tr w:rsidR="009270B9" w:rsidRPr="00BC1C7E" w14:paraId="6C653375" w14:textId="77777777" w:rsidTr="009B3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773D95" w14:textId="77777777" w:rsidR="009270B9" w:rsidRPr="00BC1C7E" w:rsidRDefault="009270B9" w:rsidP="009270B9">
            <w:pPr>
              <w:jc w:val="both"/>
              <w:rPr>
                <w:rFonts w:ascii="David" w:hAnsi="David"/>
                <w:b/>
                <w:bCs/>
                <w:sz w:val="26"/>
                <w:szCs w:val="26"/>
                <w:rtl/>
              </w:rPr>
            </w:pPr>
            <w:bookmarkStart w:id="2" w:name="FirstLawyer"/>
            <w:bookmarkEnd w:id="1"/>
          </w:p>
        </w:tc>
        <w:tc>
          <w:tcPr>
            <w:tcW w:w="4126" w:type="dxa"/>
            <w:tcBorders>
              <w:top w:val="nil"/>
              <w:left w:val="nil"/>
              <w:bottom w:val="nil"/>
              <w:right w:val="nil"/>
            </w:tcBorders>
            <w:shd w:val="clear" w:color="auto" w:fill="auto"/>
          </w:tcPr>
          <w:p w14:paraId="528247FB" w14:textId="77777777" w:rsidR="009270B9" w:rsidRPr="00BC1C7E" w:rsidRDefault="009270B9" w:rsidP="009270B9">
            <w:pPr>
              <w:jc w:val="both"/>
              <w:rPr>
                <w:rFonts w:ascii="David" w:hAnsi="David"/>
                <w:b/>
                <w:bCs/>
                <w:sz w:val="26"/>
                <w:szCs w:val="26"/>
                <w:rtl/>
              </w:rPr>
            </w:pPr>
            <w:r w:rsidRPr="00BC1C7E">
              <w:rPr>
                <w:rFonts w:ascii="David" w:hAnsi="David" w:hint="cs"/>
                <w:b/>
                <w:bCs/>
                <w:sz w:val="26"/>
                <w:szCs w:val="26"/>
                <w:rtl/>
              </w:rPr>
              <w:t>ע"י ב"כ עו"ד אילה גלברד יעקב (פמ"י)</w:t>
            </w:r>
          </w:p>
        </w:tc>
        <w:tc>
          <w:tcPr>
            <w:tcW w:w="3771" w:type="dxa"/>
            <w:gridSpan w:val="2"/>
            <w:tcBorders>
              <w:top w:val="nil"/>
              <w:left w:val="nil"/>
              <w:bottom w:val="nil"/>
              <w:right w:val="nil"/>
            </w:tcBorders>
            <w:shd w:val="clear" w:color="auto" w:fill="auto"/>
          </w:tcPr>
          <w:p w14:paraId="6B1053A1" w14:textId="77777777" w:rsidR="009270B9" w:rsidRPr="00BC1C7E" w:rsidRDefault="009270B9" w:rsidP="009270B9">
            <w:pPr>
              <w:jc w:val="right"/>
              <w:rPr>
                <w:rFonts w:ascii="David" w:hAnsi="David"/>
                <w:b/>
                <w:bCs/>
                <w:sz w:val="26"/>
                <w:szCs w:val="26"/>
                <w:rtl/>
              </w:rPr>
            </w:pPr>
            <w:r w:rsidRPr="00BC1C7E">
              <w:rPr>
                <w:rFonts w:ascii="David" w:hAnsi="David"/>
                <w:b/>
                <w:bCs/>
                <w:sz w:val="26"/>
                <w:szCs w:val="26"/>
                <w:rtl/>
              </w:rPr>
              <w:t>המאשימה</w:t>
            </w:r>
          </w:p>
        </w:tc>
      </w:tr>
      <w:bookmarkEnd w:id="2"/>
      <w:tr w:rsidR="009270B9" w:rsidRPr="00BC1C7E" w14:paraId="72DDB2E9" w14:textId="77777777" w:rsidTr="009B3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7405F8" w14:textId="77777777" w:rsidR="009270B9" w:rsidRPr="00BC1C7E" w:rsidRDefault="009270B9" w:rsidP="009270B9">
            <w:pPr>
              <w:jc w:val="both"/>
              <w:rPr>
                <w:rFonts w:ascii="David" w:hAnsi="David"/>
                <w:b/>
                <w:bCs/>
                <w:sz w:val="26"/>
                <w:szCs w:val="26"/>
                <w:rtl/>
              </w:rPr>
            </w:pPr>
          </w:p>
        </w:tc>
        <w:tc>
          <w:tcPr>
            <w:tcW w:w="7897" w:type="dxa"/>
            <w:gridSpan w:val="3"/>
            <w:tcBorders>
              <w:top w:val="nil"/>
              <w:left w:val="nil"/>
              <w:bottom w:val="nil"/>
              <w:right w:val="nil"/>
            </w:tcBorders>
            <w:shd w:val="clear" w:color="auto" w:fill="auto"/>
          </w:tcPr>
          <w:p w14:paraId="5B15B550" w14:textId="77777777" w:rsidR="009270B9" w:rsidRPr="00BC1C7E" w:rsidRDefault="009270B9" w:rsidP="009270B9">
            <w:pPr>
              <w:jc w:val="center"/>
              <w:rPr>
                <w:rFonts w:ascii="David" w:hAnsi="David"/>
                <w:b/>
                <w:bCs/>
                <w:sz w:val="26"/>
                <w:szCs w:val="26"/>
                <w:rtl/>
              </w:rPr>
            </w:pPr>
          </w:p>
          <w:p w14:paraId="6AD99D12" w14:textId="77777777" w:rsidR="009270B9" w:rsidRPr="00BC1C7E" w:rsidRDefault="009270B9" w:rsidP="009270B9">
            <w:pPr>
              <w:jc w:val="center"/>
              <w:rPr>
                <w:rFonts w:ascii="David" w:hAnsi="David"/>
                <w:b/>
                <w:bCs/>
                <w:sz w:val="26"/>
                <w:szCs w:val="26"/>
                <w:rtl/>
              </w:rPr>
            </w:pPr>
            <w:r w:rsidRPr="00BC1C7E">
              <w:rPr>
                <w:rFonts w:ascii="David" w:hAnsi="David"/>
                <w:b/>
                <w:bCs/>
                <w:sz w:val="26"/>
                <w:szCs w:val="26"/>
                <w:rtl/>
              </w:rPr>
              <w:t>נגד</w:t>
            </w:r>
          </w:p>
          <w:p w14:paraId="396BAD22" w14:textId="77777777" w:rsidR="009270B9" w:rsidRPr="00BC1C7E" w:rsidRDefault="009270B9" w:rsidP="009270B9">
            <w:pPr>
              <w:jc w:val="both"/>
              <w:rPr>
                <w:rFonts w:ascii="David" w:hAnsi="David"/>
                <w:b/>
                <w:bCs/>
                <w:sz w:val="26"/>
                <w:szCs w:val="26"/>
              </w:rPr>
            </w:pPr>
          </w:p>
        </w:tc>
      </w:tr>
      <w:tr w:rsidR="009270B9" w:rsidRPr="00BC1C7E" w14:paraId="33C428EE" w14:textId="77777777" w:rsidTr="009B3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259260" w14:textId="77777777" w:rsidR="009270B9" w:rsidRPr="00BC1C7E" w:rsidRDefault="009270B9" w:rsidP="00D458E7">
            <w:pPr>
              <w:rPr>
                <w:rFonts w:ascii="David" w:hAnsi="David"/>
                <w:b/>
                <w:bCs/>
                <w:sz w:val="26"/>
                <w:szCs w:val="26"/>
                <w:rtl/>
              </w:rPr>
            </w:pPr>
          </w:p>
        </w:tc>
        <w:tc>
          <w:tcPr>
            <w:tcW w:w="4126" w:type="dxa"/>
            <w:tcBorders>
              <w:top w:val="nil"/>
              <w:left w:val="nil"/>
              <w:bottom w:val="nil"/>
              <w:right w:val="nil"/>
            </w:tcBorders>
            <w:shd w:val="clear" w:color="auto" w:fill="auto"/>
          </w:tcPr>
          <w:p w14:paraId="426D3EEC" w14:textId="77777777" w:rsidR="009270B9" w:rsidRPr="00BC1C7E" w:rsidRDefault="009270B9" w:rsidP="00D458E7">
            <w:pPr>
              <w:rPr>
                <w:rFonts w:ascii="David" w:hAnsi="David"/>
                <w:b/>
                <w:bCs/>
                <w:sz w:val="26"/>
                <w:szCs w:val="26"/>
                <w:rtl/>
              </w:rPr>
            </w:pPr>
            <w:r w:rsidRPr="00BC1C7E">
              <w:rPr>
                <w:rFonts w:ascii="David" w:hAnsi="David"/>
                <w:b/>
                <w:bCs/>
                <w:sz w:val="26"/>
                <w:szCs w:val="26"/>
                <w:rtl/>
              </w:rPr>
              <w:t>נתנאל אילוז</w:t>
            </w:r>
          </w:p>
        </w:tc>
        <w:tc>
          <w:tcPr>
            <w:tcW w:w="3771" w:type="dxa"/>
            <w:gridSpan w:val="2"/>
            <w:tcBorders>
              <w:top w:val="nil"/>
              <w:left w:val="nil"/>
              <w:bottom w:val="nil"/>
              <w:right w:val="nil"/>
            </w:tcBorders>
            <w:shd w:val="clear" w:color="auto" w:fill="auto"/>
          </w:tcPr>
          <w:p w14:paraId="7413B999" w14:textId="77777777" w:rsidR="009270B9" w:rsidRPr="00BC1C7E" w:rsidRDefault="009270B9" w:rsidP="009270B9">
            <w:pPr>
              <w:jc w:val="right"/>
              <w:rPr>
                <w:rFonts w:ascii="David" w:hAnsi="David"/>
                <w:b/>
                <w:bCs/>
                <w:sz w:val="26"/>
                <w:szCs w:val="26"/>
              </w:rPr>
            </w:pPr>
          </w:p>
        </w:tc>
      </w:tr>
      <w:tr w:rsidR="009270B9" w:rsidRPr="00BC1C7E" w14:paraId="05E4E056" w14:textId="77777777" w:rsidTr="009B3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63002A" w14:textId="77777777" w:rsidR="009270B9" w:rsidRPr="00BC1C7E" w:rsidRDefault="009270B9" w:rsidP="009270B9">
            <w:pPr>
              <w:jc w:val="both"/>
              <w:rPr>
                <w:rFonts w:ascii="David" w:hAnsi="David"/>
                <w:b/>
                <w:bCs/>
                <w:sz w:val="26"/>
                <w:szCs w:val="26"/>
                <w:rtl/>
              </w:rPr>
            </w:pPr>
          </w:p>
        </w:tc>
        <w:tc>
          <w:tcPr>
            <w:tcW w:w="4126" w:type="dxa"/>
            <w:tcBorders>
              <w:top w:val="nil"/>
              <w:left w:val="nil"/>
              <w:bottom w:val="nil"/>
              <w:right w:val="nil"/>
            </w:tcBorders>
            <w:shd w:val="clear" w:color="auto" w:fill="auto"/>
          </w:tcPr>
          <w:p w14:paraId="7C0A0C98" w14:textId="77777777" w:rsidR="009270B9" w:rsidRPr="00BC1C7E" w:rsidRDefault="009270B9" w:rsidP="009270B9">
            <w:pPr>
              <w:jc w:val="both"/>
              <w:rPr>
                <w:rFonts w:ascii="David" w:hAnsi="David"/>
                <w:b/>
                <w:bCs/>
                <w:sz w:val="26"/>
                <w:szCs w:val="26"/>
                <w:rtl/>
              </w:rPr>
            </w:pPr>
            <w:r w:rsidRPr="00BC1C7E">
              <w:rPr>
                <w:rFonts w:ascii="David" w:hAnsi="David" w:hint="cs"/>
                <w:b/>
                <w:bCs/>
                <w:sz w:val="26"/>
                <w:szCs w:val="26"/>
                <w:rtl/>
              </w:rPr>
              <w:t>ע"י ב"כ עו"ד מיכאל עירוני</w:t>
            </w:r>
          </w:p>
        </w:tc>
        <w:tc>
          <w:tcPr>
            <w:tcW w:w="3771" w:type="dxa"/>
            <w:gridSpan w:val="2"/>
            <w:tcBorders>
              <w:top w:val="nil"/>
              <w:left w:val="nil"/>
              <w:bottom w:val="nil"/>
              <w:right w:val="nil"/>
            </w:tcBorders>
            <w:shd w:val="clear" w:color="auto" w:fill="auto"/>
          </w:tcPr>
          <w:p w14:paraId="28920C0C" w14:textId="77777777" w:rsidR="009270B9" w:rsidRPr="00BC1C7E" w:rsidRDefault="009270B9" w:rsidP="009270B9">
            <w:pPr>
              <w:jc w:val="right"/>
              <w:rPr>
                <w:rFonts w:ascii="David" w:hAnsi="David"/>
                <w:b/>
                <w:bCs/>
                <w:sz w:val="26"/>
                <w:szCs w:val="26"/>
              </w:rPr>
            </w:pPr>
            <w:r w:rsidRPr="00BC1C7E">
              <w:rPr>
                <w:rFonts w:ascii="David" w:hAnsi="David"/>
                <w:b/>
                <w:bCs/>
                <w:sz w:val="26"/>
                <w:szCs w:val="26"/>
                <w:rtl/>
              </w:rPr>
              <w:t>הנאשם</w:t>
            </w:r>
          </w:p>
        </w:tc>
      </w:tr>
    </w:tbl>
    <w:p w14:paraId="387EEAA8" w14:textId="77777777" w:rsidR="009B3F05" w:rsidRDefault="009B3F05" w:rsidP="009270B9">
      <w:pPr>
        <w:rPr>
          <w:sz w:val="26"/>
          <w:szCs w:val="26"/>
          <w:rtl/>
        </w:rPr>
      </w:pPr>
    </w:p>
    <w:p w14:paraId="77FCF755" w14:textId="77777777" w:rsidR="009B3F05" w:rsidRPr="009B3F05" w:rsidRDefault="009B3F05" w:rsidP="009B3F05">
      <w:pPr>
        <w:spacing w:after="120" w:line="240" w:lineRule="exact"/>
        <w:ind w:left="283" w:hanging="283"/>
        <w:jc w:val="both"/>
        <w:rPr>
          <w:rFonts w:ascii="FrankRuehl" w:hAnsi="FrankRuehl" w:cs="FrankRuehl"/>
          <w:rtl/>
        </w:rPr>
      </w:pPr>
    </w:p>
    <w:p w14:paraId="3EA982F2" w14:textId="77777777" w:rsidR="00BE1AF9" w:rsidRPr="00BE1AF9" w:rsidRDefault="00BE1AF9" w:rsidP="00BE1AF9">
      <w:pPr>
        <w:spacing w:before="120" w:after="120" w:line="240" w:lineRule="exact"/>
        <w:ind w:left="283" w:hanging="283"/>
        <w:jc w:val="both"/>
        <w:rPr>
          <w:rFonts w:ascii="FrankRuehl" w:hAnsi="FrankRuehl" w:cs="FrankRuehl"/>
          <w:rtl/>
        </w:rPr>
      </w:pPr>
    </w:p>
    <w:p w14:paraId="08115C8D" w14:textId="77777777" w:rsidR="00844041" w:rsidRDefault="00844041" w:rsidP="00844041">
      <w:pPr>
        <w:rPr>
          <w:sz w:val="26"/>
          <w:szCs w:val="26"/>
          <w:rtl/>
        </w:rPr>
      </w:pPr>
      <w:bookmarkStart w:id="3" w:name="LawTable"/>
      <w:bookmarkEnd w:id="3"/>
    </w:p>
    <w:p w14:paraId="1D185083" w14:textId="77777777" w:rsidR="00844041" w:rsidRPr="00844041" w:rsidRDefault="00844041" w:rsidP="00844041">
      <w:pPr>
        <w:spacing w:before="120" w:after="120" w:line="240" w:lineRule="exact"/>
        <w:ind w:left="283" w:hanging="283"/>
        <w:jc w:val="both"/>
        <w:rPr>
          <w:rFonts w:ascii="FrankRuehl" w:hAnsi="FrankRuehl" w:cs="FrankRuehl"/>
          <w:rtl/>
        </w:rPr>
      </w:pPr>
    </w:p>
    <w:p w14:paraId="48D56969" w14:textId="77777777" w:rsidR="00844041" w:rsidRPr="00844041" w:rsidRDefault="00844041" w:rsidP="00844041">
      <w:pPr>
        <w:spacing w:before="120" w:after="120" w:line="240" w:lineRule="exact"/>
        <w:ind w:left="283" w:hanging="283"/>
        <w:jc w:val="both"/>
        <w:rPr>
          <w:rFonts w:ascii="FrankRuehl" w:hAnsi="FrankRuehl" w:cs="FrankRuehl"/>
          <w:rtl/>
        </w:rPr>
      </w:pPr>
    </w:p>
    <w:p w14:paraId="3E39C759" w14:textId="77777777" w:rsidR="00844041" w:rsidRPr="00844041" w:rsidRDefault="00844041" w:rsidP="00844041">
      <w:pPr>
        <w:spacing w:before="120" w:after="120" w:line="240" w:lineRule="exact"/>
        <w:ind w:left="283" w:hanging="283"/>
        <w:jc w:val="both"/>
        <w:rPr>
          <w:rFonts w:ascii="FrankRuehl" w:hAnsi="FrankRuehl" w:cs="FrankRuehl"/>
          <w:rtl/>
        </w:rPr>
      </w:pPr>
      <w:r w:rsidRPr="00844041">
        <w:rPr>
          <w:rFonts w:ascii="FrankRuehl" w:hAnsi="FrankRuehl" w:cs="FrankRuehl"/>
          <w:rtl/>
        </w:rPr>
        <w:t xml:space="preserve">חקיקה שאוזכרה: </w:t>
      </w:r>
    </w:p>
    <w:p w14:paraId="49A171E1" w14:textId="77777777" w:rsidR="00844041" w:rsidRPr="00844041" w:rsidRDefault="00844041" w:rsidP="00844041">
      <w:pPr>
        <w:spacing w:before="120" w:after="120" w:line="240" w:lineRule="exact"/>
        <w:ind w:left="283" w:hanging="283"/>
        <w:jc w:val="both"/>
        <w:rPr>
          <w:rFonts w:ascii="FrankRuehl" w:hAnsi="FrankRuehl" w:cs="FrankRuehl"/>
          <w:rtl/>
        </w:rPr>
      </w:pPr>
      <w:hyperlink r:id="rId7" w:history="1">
        <w:r w:rsidRPr="00844041">
          <w:rPr>
            <w:rFonts w:ascii="FrankRuehl" w:hAnsi="FrankRuehl" w:cs="FrankRuehl"/>
            <w:color w:val="0000FF"/>
            <w:rtl/>
          </w:rPr>
          <w:t>פקודת הסמים המסוכנים [נוסח חדש], תשל"ג-1973</w:t>
        </w:r>
      </w:hyperlink>
      <w:r w:rsidRPr="00844041">
        <w:rPr>
          <w:rFonts w:ascii="FrankRuehl" w:hAnsi="FrankRuehl" w:cs="FrankRuehl"/>
          <w:rtl/>
        </w:rPr>
        <w:t xml:space="preserve">: סע'  </w:t>
      </w:r>
      <w:hyperlink r:id="rId8" w:history="1">
        <w:r w:rsidRPr="00844041">
          <w:rPr>
            <w:rFonts w:ascii="FrankRuehl" w:hAnsi="FrankRuehl" w:cs="FrankRuehl"/>
            <w:color w:val="0000FF"/>
            <w:rtl/>
          </w:rPr>
          <w:t>7(א)</w:t>
        </w:r>
      </w:hyperlink>
      <w:r w:rsidRPr="00844041">
        <w:rPr>
          <w:rFonts w:ascii="FrankRuehl" w:hAnsi="FrankRuehl" w:cs="FrankRuehl"/>
          <w:rtl/>
        </w:rPr>
        <w:t xml:space="preserve">, </w:t>
      </w:r>
      <w:hyperlink r:id="rId9" w:history="1">
        <w:r w:rsidRPr="00844041">
          <w:rPr>
            <w:rFonts w:ascii="FrankRuehl" w:hAnsi="FrankRuehl" w:cs="FrankRuehl"/>
            <w:color w:val="0000FF"/>
            <w:rtl/>
          </w:rPr>
          <w:t>ג</w:t>
        </w:r>
      </w:hyperlink>
    </w:p>
    <w:p w14:paraId="519AA8B1" w14:textId="77777777" w:rsidR="00844041" w:rsidRPr="00844041" w:rsidRDefault="00844041" w:rsidP="00844041">
      <w:pPr>
        <w:rPr>
          <w:sz w:val="26"/>
          <w:szCs w:val="26"/>
          <w:rtl/>
        </w:rPr>
      </w:pPr>
      <w:bookmarkStart w:id="4" w:name="LawTable_End"/>
      <w:bookmarkEnd w:id="4"/>
    </w:p>
    <w:p w14:paraId="354673FB" w14:textId="77777777" w:rsidR="009270B9" w:rsidRPr="00BE1AF9" w:rsidRDefault="009270B9" w:rsidP="00BE1AF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70B9" w14:paraId="70AEE46A" w14:textId="77777777" w:rsidTr="009270B9">
        <w:trPr>
          <w:trHeight w:val="355"/>
          <w:jc w:val="center"/>
        </w:trPr>
        <w:tc>
          <w:tcPr>
            <w:tcW w:w="8820" w:type="dxa"/>
            <w:tcBorders>
              <w:top w:val="nil"/>
              <w:left w:val="nil"/>
              <w:bottom w:val="nil"/>
              <w:right w:val="nil"/>
            </w:tcBorders>
            <w:shd w:val="clear" w:color="auto" w:fill="auto"/>
          </w:tcPr>
          <w:p w14:paraId="6ADC2A50" w14:textId="77777777" w:rsidR="00BC1C7E" w:rsidRPr="00BC1C7E" w:rsidRDefault="00BC1C7E" w:rsidP="00BC1C7E">
            <w:pPr>
              <w:jc w:val="center"/>
              <w:rPr>
                <w:rFonts w:ascii="David" w:hAnsi="David"/>
                <w:b/>
                <w:bCs/>
                <w:sz w:val="32"/>
                <w:szCs w:val="32"/>
                <w:u w:val="single"/>
                <w:rtl/>
              </w:rPr>
            </w:pPr>
            <w:bookmarkStart w:id="5" w:name="PsakDin" w:colFirst="0" w:colLast="0"/>
            <w:bookmarkEnd w:id="0"/>
            <w:r w:rsidRPr="00BC1C7E">
              <w:rPr>
                <w:rFonts w:ascii="David" w:hAnsi="David"/>
                <w:b/>
                <w:bCs/>
                <w:sz w:val="32"/>
                <w:szCs w:val="32"/>
                <w:u w:val="single"/>
                <w:rtl/>
              </w:rPr>
              <w:t>גזר דין</w:t>
            </w:r>
          </w:p>
          <w:p w14:paraId="1B503FDE" w14:textId="77777777" w:rsidR="009270B9" w:rsidRPr="00BC1C7E" w:rsidRDefault="009270B9" w:rsidP="00BC1C7E">
            <w:pPr>
              <w:jc w:val="center"/>
              <w:rPr>
                <w:rFonts w:ascii="David" w:hAnsi="David"/>
                <w:bCs/>
                <w:sz w:val="32"/>
                <w:szCs w:val="32"/>
                <w:u w:val="single"/>
                <w:rtl/>
              </w:rPr>
            </w:pPr>
          </w:p>
        </w:tc>
      </w:tr>
      <w:bookmarkEnd w:id="5"/>
    </w:tbl>
    <w:p w14:paraId="007D9C44" w14:textId="77777777" w:rsidR="009270B9" w:rsidRPr="002B7D23" w:rsidRDefault="009270B9" w:rsidP="009270B9">
      <w:pPr>
        <w:rPr>
          <w:rFonts w:ascii="David" w:hAnsi="David"/>
          <w:sz w:val="26"/>
          <w:szCs w:val="26"/>
          <w:rtl/>
        </w:rPr>
      </w:pPr>
    </w:p>
    <w:p w14:paraId="6DE08397" w14:textId="77777777" w:rsidR="009270B9" w:rsidRPr="002B7D23" w:rsidRDefault="009270B9" w:rsidP="009270B9">
      <w:pPr>
        <w:rPr>
          <w:rFonts w:ascii="David" w:hAnsi="David"/>
          <w:sz w:val="26"/>
          <w:szCs w:val="26"/>
          <w:rtl/>
        </w:rPr>
      </w:pPr>
    </w:p>
    <w:p w14:paraId="59251C1C" w14:textId="77777777" w:rsidR="009270B9" w:rsidRPr="009270B9" w:rsidRDefault="009270B9" w:rsidP="009270B9">
      <w:pPr>
        <w:spacing w:line="360" w:lineRule="auto"/>
        <w:jc w:val="both"/>
        <w:rPr>
          <w:rFonts w:cs="Arial"/>
          <w:b/>
          <w:bCs/>
          <w:sz w:val="22"/>
          <w:szCs w:val="22"/>
          <w:u w:val="single"/>
        </w:rPr>
      </w:pPr>
      <w:r w:rsidRPr="00E81A39">
        <w:rPr>
          <w:b/>
          <w:bCs/>
          <w:u w:val="single"/>
          <w:rtl/>
        </w:rPr>
        <w:t xml:space="preserve">כתב </w:t>
      </w:r>
      <w:r>
        <w:rPr>
          <w:rFonts w:hint="cs"/>
          <w:b/>
          <w:bCs/>
          <w:u w:val="single"/>
          <w:rtl/>
        </w:rPr>
        <w:t>ה</w:t>
      </w:r>
      <w:r w:rsidRPr="00E81A39">
        <w:rPr>
          <w:b/>
          <w:bCs/>
          <w:u w:val="single"/>
          <w:rtl/>
        </w:rPr>
        <w:t xml:space="preserve">אישום מתוקן </w:t>
      </w:r>
    </w:p>
    <w:p w14:paraId="7FB444E5" w14:textId="77777777" w:rsidR="009270B9" w:rsidRDefault="009270B9" w:rsidP="009270B9">
      <w:pPr>
        <w:pStyle w:val="a9"/>
        <w:numPr>
          <w:ilvl w:val="0"/>
          <w:numId w:val="2"/>
        </w:numPr>
        <w:spacing w:line="360" w:lineRule="auto"/>
        <w:jc w:val="both"/>
        <w:rPr>
          <w:rtl/>
        </w:rPr>
      </w:pPr>
      <w:bookmarkStart w:id="6" w:name="ABSTRACT_START"/>
      <w:bookmarkEnd w:id="6"/>
      <w:r>
        <w:rPr>
          <w:rtl/>
        </w:rPr>
        <w:t xml:space="preserve">הנאשם הורשע על פי הודאתו בביצוע עבירה של </w:t>
      </w:r>
      <w:r w:rsidRPr="009D5189">
        <w:rPr>
          <w:b/>
          <w:bCs/>
          <w:rtl/>
        </w:rPr>
        <w:t>החזקת סם שלא לצריכה עצמית</w:t>
      </w:r>
      <w:r>
        <w:rPr>
          <w:rtl/>
        </w:rPr>
        <w:t xml:space="preserve">, לפי </w:t>
      </w:r>
      <w:hyperlink r:id="rId10" w:history="1">
        <w:r w:rsidR="009B3F05" w:rsidRPr="009B3F05">
          <w:rPr>
            <w:rStyle w:val="Hyperlink"/>
            <w:rtl/>
          </w:rPr>
          <w:t>סעיף 7(א)</w:t>
        </w:r>
      </w:hyperlink>
      <w:r>
        <w:rPr>
          <w:rFonts w:hint="cs"/>
          <w:rtl/>
        </w:rPr>
        <w:t xml:space="preserve"> ו-</w:t>
      </w:r>
      <w:r>
        <w:rPr>
          <w:rtl/>
        </w:rPr>
        <w:t>(</w:t>
      </w:r>
      <w:hyperlink r:id="rId11" w:history="1">
        <w:r w:rsidR="009B3F05" w:rsidRPr="009B3F05">
          <w:rPr>
            <w:rStyle w:val="Hyperlink"/>
            <w:rtl/>
          </w:rPr>
          <w:t>ג</w:t>
        </w:r>
      </w:hyperlink>
      <w:r>
        <w:rPr>
          <w:rtl/>
        </w:rPr>
        <w:t>) רישא לפקודת סמים. מעובדות כתב האישום עולה</w:t>
      </w:r>
      <w:r>
        <w:rPr>
          <w:rFonts w:hint="cs"/>
          <w:rtl/>
        </w:rPr>
        <w:t>,</w:t>
      </w:r>
      <w:r>
        <w:rPr>
          <w:rtl/>
        </w:rPr>
        <w:t xml:space="preserve"> כי במהלך חודש נובמבר </w:t>
      </w:r>
      <w:r>
        <w:rPr>
          <w:rFonts w:hint="cs"/>
          <w:rtl/>
        </w:rPr>
        <w:t xml:space="preserve">2018, </w:t>
      </w:r>
      <w:r>
        <w:rPr>
          <w:rtl/>
        </w:rPr>
        <w:t>קשר הנאשם קשר יחד עם אדם בשם נחמן ואדם בשם יצחק להעביר סמים מסו</w:t>
      </w:r>
      <w:r>
        <w:rPr>
          <w:rFonts w:hint="cs"/>
          <w:rtl/>
        </w:rPr>
        <w:t>ג</w:t>
      </w:r>
      <w:r>
        <w:rPr>
          <w:rtl/>
        </w:rPr>
        <w:t xml:space="preserve"> חשיש/גראס במשקל כ-3.5 ק"ג לרשותם של נחמן ויצחק. הסמים הי</w:t>
      </w:r>
      <w:r>
        <w:rPr>
          <w:rFonts w:hint="cs"/>
          <w:rtl/>
        </w:rPr>
        <w:t>ו</w:t>
      </w:r>
      <w:r>
        <w:rPr>
          <w:rtl/>
        </w:rPr>
        <w:t xml:space="preserve"> מוסתרים במחסן בעיר</w:t>
      </w:r>
      <w:r>
        <w:rPr>
          <w:rFonts w:hint="cs"/>
          <w:rtl/>
        </w:rPr>
        <w:t xml:space="preserve"> ברצלונה ש</w:t>
      </w:r>
      <w:r>
        <w:rPr>
          <w:rtl/>
        </w:rPr>
        <w:t>בספרד שהיה ברשותו של הנאשם ו</w:t>
      </w:r>
      <w:r>
        <w:rPr>
          <w:rFonts w:hint="cs"/>
          <w:rtl/>
        </w:rPr>
        <w:t xml:space="preserve">היה </w:t>
      </w:r>
      <w:r>
        <w:rPr>
          <w:rtl/>
        </w:rPr>
        <w:t xml:space="preserve">נעול במפתח בו הוא החזיק. במסגרת הקשר ולשם קידומו, במהלך חודש נובמבר </w:t>
      </w:r>
      <w:r>
        <w:rPr>
          <w:rFonts w:hint="cs"/>
          <w:rtl/>
        </w:rPr>
        <w:t>האמור</w:t>
      </w:r>
      <w:r>
        <w:rPr>
          <w:rtl/>
        </w:rPr>
        <w:t>, בעת שהיו הנאשם ונחמן בישראל, ולאחר שתיאמו זאת ביניהם, העביר הנאשם לנחמן את המפתח, תוך שהסביר לו היכן ממוקם המחסן, זאת על מנת שנחמן יאסוף משם את הסמים. לאחר מכן, רכש נחמן כרטיס טיסה עבורו ועבור יצחק, וביום 25.11.</w:t>
      </w:r>
      <w:r>
        <w:rPr>
          <w:rFonts w:hint="cs"/>
          <w:rtl/>
        </w:rPr>
        <w:t>20</w:t>
      </w:r>
      <w:r>
        <w:rPr>
          <w:rtl/>
        </w:rPr>
        <w:t>18 טסו השניים לספרד כדי לאסוף את הסמים. הם עשו זאת בין התאריכים 25.11.</w:t>
      </w:r>
      <w:r>
        <w:rPr>
          <w:rFonts w:hint="cs"/>
          <w:rtl/>
        </w:rPr>
        <w:t>20</w:t>
      </w:r>
      <w:r>
        <w:rPr>
          <w:rtl/>
        </w:rPr>
        <w:t>18 ל-28.11.</w:t>
      </w:r>
      <w:r>
        <w:rPr>
          <w:rFonts w:hint="cs"/>
          <w:rtl/>
        </w:rPr>
        <w:t>20</w:t>
      </w:r>
      <w:r>
        <w:rPr>
          <w:rtl/>
        </w:rPr>
        <w:t xml:space="preserve">18. </w:t>
      </w:r>
    </w:p>
    <w:p w14:paraId="41C40685" w14:textId="77777777" w:rsidR="009270B9" w:rsidRDefault="009270B9" w:rsidP="009270B9">
      <w:pPr>
        <w:spacing w:line="360" w:lineRule="auto"/>
        <w:jc w:val="both"/>
        <w:rPr>
          <w:rtl/>
        </w:rPr>
      </w:pPr>
    </w:p>
    <w:p w14:paraId="183AE393" w14:textId="77777777" w:rsidR="009270B9" w:rsidRPr="00E81A39" w:rsidRDefault="009270B9" w:rsidP="009270B9">
      <w:pPr>
        <w:spacing w:line="360" w:lineRule="auto"/>
        <w:jc w:val="both"/>
        <w:rPr>
          <w:b/>
          <w:bCs/>
          <w:u w:val="single"/>
          <w:rtl/>
        </w:rPr>
      </w:pPr>
      <w:bookmarkStart w:id="7" w:name="ABSTRACT_END"/>
      <w:bookmarkEnd w:id="7"/>
      <w:r w:rsidRPr="00E81A39">
        <w:rPr>
          <w:b/>
          <w:bCs/>
          <w:u w:val="single"/>
          <w:rtl/>
        </w:rPr>
        <w:t>מהלך התיק</w:t>
      </w:r>
    </w:p>
    <w:p w14:paraId="26394E47" w14:textId="77777777" w:rsidR="009270B9" w:rsidRDefault="009270B9" w:rsidP="009270B9">
      <w:pPr>
        <w:pStyle w:val="a9"/>
        <w:numPr>
          <w:ilvl w:val="0"/>
          <w:numId w:val="2"/>
        </w:numPr>
        <w:spacing w:line="360" w:lineRule="auto"/>
        <w:jc w:val="both"/>
      </w:pPr>
      <w:r>
        <w:rPr>
          <w:rFonts w:hint="cs"/>
          <w:rtl/>
        </w:rPr>
        <w:t>ישנה חשיבות לתיאור מהלך התיק נוכח חלוף הזמן ומורכבות התנהלותו של הנאשם, כפי שיפורט להלן:</w:t>
      </w:r>
    </w:p>
    <w:p w14:paraId="7F7CC564" w14:textId="77777777" w:rsidR="009270B9" w:rsidRDefault="009270B9" w:rsidP="009270B9">
      <w:pPr>
        <w:pStyle w:val="a9"/>
        <w:numPr>
          <w:ilvl w:val="0"/>
          <w:numId w:val="3"/>
        </w:numPr>
        <w:spacing w:line="360" w:lineRule="auto"/>
        <w:jc w:val="both"/>
        <w:rPr>
          <w:rtl/>
        </w:rPr>
      </w:pPr>
      <w:r>
        <w:rPr>
          <w:rtl/>
        </w:rPr>
        <w:t>ביום 16.12.</w:t>
      </w:r>
      <w:r>
        <w:rPr>
          <w:rFonts w:hint="cs"/>
          <w:rtl/>
        </w:rPr>
        <w:t>20</w:t>
      </w:r>
      <w:r>
        <w:rPr>
          <w:rtl/>
        </w:rPr>
        <w:t>18 נעצר הנאשם במסגרת חקירת המקרה, וביום 25.12.</w:t>
      </w:r>
      <w:r>
        <w:rPr>
          <w:rFonts w:hint="cs"/>
          <w:rtl/>
        </w:rPr>
        <w:t>20</w:t>
      </w:r>
      <w:r>
        <w:rPr>
          <w:rtl/>
        </w:rPr>
        <w:t>18 שוחרר בהסכמה למעצר בית מלא.  בעוד התנאים נותרו על כנם, הוגש כתב אישום ביום 3.1.</w:t>
      </w:r>
      <w:r>
        <w:rPr>
          <w:rFonts w:hint="cs"/>
          <w:rtl/>
        </w:rPr>
        <w:t>20</w:t>
      </w:r>
      <w:r>
        <w:rPr>
          <w:rtl/>
        </w:rPr>
        <w:t>19. ביום 21.1.</w:t>
      </w:r>
      <w:r>
        <w:rPr>
          <w:rFonts w:hint="cs"/>
          <w:rtl/>
        </w:rPr>
        <w:t>20</w:t>
      </w:r>
      <w:r>
        <w:rPr>
          <w:rtl/>
        </w:rPr>
        <w:t>19 קבע חברי כב' השופט צימרמן, כי קיים כרסום ראייתי במיוחס לנאשם ולכן הורה על הקלה בתנא</w:t>
      </w:r>
      <w:r>
        <w:rPr>
          <w:rFonts w:hint="cs"/>
          <w:rtl/>
        </w:rPr>
        <w:t>י</w:t>
      </w:r>
      <w:r>
        <w:rPr>
          <w:rtl/>
        </w:rPr>
        <w:t>ם, וכך גם התאפשר ביום 4.3.</w:t>
      </w:r>
      <w:r>
        <w:rPr>
          <w:rFonts w:hint="cs"/>
          <w:rtl/>
        </w:rPr>
        <w:t>20</w:t>
      </w:r>
      <w:r>
        <w:rPr>
          <w:rtl/>
        </w:rPr>
        <w:t>19, וביום 1.5.</w:t>
      </w:r>
      <w:r>
        <w:rPr>
          <w:rFonts w:hint="cs"/>
          <w:rtl/>
        </w:rPr>
        <w:t>20</w:t>
      </w:r>
      <w:r>
        <w:rPr>
          <w:rtl/>
        </w:rPr>
        <w:t>19. ביום 27.10.</w:t>
      </w:r>
      <w:r>
        <w:rPr>
          <w:rFonts w:hint="cs"/>
          <w:rtl/>
        </w:rPr>
        <w:t>20</w:t>
      </w:r>
      <w:r>
        <w:rPr>
          <w:rtl/>
        </w:rPr>
        <w:t>19 נותר הנאשם במעצר בית לילי, וביום 27.11.</w:t>
      </w:r>
      <w:r>
        <w:rPr>
          <w:rFonts w:hint="cs"/>
          <w:rtl/>
        </w:rPr>
        <w:t>20</w:t>
      </w:r>
      <w:r>
        <w:rPr>
          <w:rtl/>
        </w:rPr>
        <w:t xml:space="preserve">20, ביטלתי את תנאי המעצר המגבילים. לאורך כל התקופה לא נרשמו לחובת הנאשם הפרות כלשהן. </w:t>
      </w:r>
    </w:p>
    <w:p w14:paraId="70AD9818" w14:textId="77777777" w:rsidR="009270B9" w:rsidRDefault="009270B9" w:rsidP="009270B9">
      <w:pPr>
        <w:pStyle w:val="a9"/>
        <w:numPr>
          <w:ilvl w:val="0"/>
          <w:numId w:val="3"/>
        </w:numPr>
        <w:spacing w:line="360" w:lineRule="auto"/>
        <w:jc w:val="both"/>
        <w:rPr>
          <w:rtl/>
        </w:rPr>
      </w:pPr>
      <w:r>
        <w:rPr>
          <w:rtl/>
        </w:rPr>
        <w:t>יצוין, כי הנאשם מאובחן כמי שסובל מתחלואה כפולה שמשמעותה כי הוא משתמש בסמים ו</w:t>
      </w:r>
      <w:r>
        <w:rPr>
          <w:rFonts w:hint="cs"/>
          <w:rtl/>
        </w:rPr>
        <w:t xml:space="preserve">בה בעת </w:t>
      </w:r>
      <w:r>
        <w:rPr>
          <w:rtl/>
        </w:rPr>
        <w:t>סובל</w:t>
      </w:r>
      <w:r>
        <w:rPr>
          <w:rFonts w:hint="cs"/>
          <w:rtl/>
        </w:rPr>
        <w:t xml:space="preserve"> </w:t>
      </w:r>
      <w:r>
        <w:rPr>
          <w:rtl/>
        </w:rPr>
        <w:t>מהפרעה סכיז</w:t>
      </w:r>
      <w:r>
        <w:rPr>
          <w:rFonts w:hint="cs"/>
          <w:rtl/>
        </w:rPr>
        <w:t>ו-</w:t>
      </w:r>
      <w:r>
        <w:rPr>
          <w:rtl/>
        </w:rPr>
        <w:t xml:space="preserve">אפקטיבית. </w:t>
      </w:r>
      <w:r>
        <w:rPr>
          <w:rFonts w:hint="cs"/>
          <w:rtl/>
        </w:rPr>
        <w:t>ב</w:t>
      </w:r>
      <w:r>
        <w:rPr>
          <w:rtl/>
        </w:rPr>
        <w:t xml:space="preserve">מהלך משפטו הוא היה מאושפז יותר מפעם אחת והתקבלו מספר </w:t>
      </w:r>
      <w:r>
        <w:rPr>
          <w:rFonts w:hint="cs"/>
          <w:rtl/>
        </w:rPr>
        <w:t xml:space="preserve">חוות דעת </w:t>
      </w:r>
      <w:r>
        <w:rPr>
          <w:rtl/>
        </w:rPr>
        <w:t xml:space="preserve">בעניינו, האחרונה </w:t>
      </w:r>
      <w:r>
        <w:rPr>
          <w:rFonts w:hint="cs"/>
          <w:rtl/>
        </w:rPr>
        <w:t>שבהן מיום 12.1.2022. הוא נמצא כשיר ואחראי.</w:t>
      </w:r>
      <w:r>
        <w:rPr>
          <w:rtl/>
        </w:rPr>
        <w:t xml:space="preserve"> </w:t>
      </w:r>
    </w:p>
    <w:p w14:paraId="4EB0B9D8" w14:textId="77777777" w:rsidR="009270B9" w:rsidRDefault="009270B9" w:rsidP="009270B9">
      <w:pPr>
        <w:pStyle w:val="a9"/>
        <w:numPr>
          <w:ilvl w:val="0"/>
          <w:numId w:val="3"/>
        </w:numPr>
        <w:spacing w:line="360" w:lineRule="auto"/>
        <w:jc w:val="both"/>
        <w:rPr>
          <w:rtl/>
        </w:rPr>
      </w:pPr>
      <w:r>
        <w:rPr>
          <w:rtl/>
        </w:rPr>
        <w:t>בתחילה</w:t>
      </w:r>
      <w:r>
        <w:rPr>
          <w:rFonts w:hint="cs"/>
          <w:rtl/>
        </w:rPr>
        <w:t>,</w:t>
      </w:r>
      <w:r>
        <w:rPr>
          <w:rtl/>
        </w:rPr>
        <w:t xml:space="preserve"> העלה הנאשם טענות שונות נגד כתב האישום וכן העלה טענת זוטא ביחס לקבילות הודעתו. ביום 11.12.</w:t>
      </w:r>
      <w:r>
        <w:rPr>
          <w:rFonts w:hint="cs"/>
          <w:rtl/>
        </w:rPr>
        <w:t>20</w:t>
      </w:r>
      <w:r>
        <w:rPr>
          <w:rtl/>
        </w:rPr>
        <w:t>19 דחיתי את טענתו המקדמית ביח</w:t>
      </w:r>
      <w:r>
        <w:rPr>
          <w:rFonts w:hint="cs"/>
          <w:rtl/>
        </w:rPr>
        <w:t>ס</w:t>
      </w:r>
      <w:r>
        <w:rPr>
          <w:rtl/>
        </w:rPr>
        <w:t xml:space="preserve"> לפגם </w:t>
      </w:r>
      <w:r>
        <w:rPr>
          <w:rFonts w:hint="cs"/>
          <w:rtl/>
        </w:rPr>
        <w:t>ב</w:t>
      </w:r>
      <w:r>
        <w:rPr>
          <w:rtl/>
        </w:rPr>
        <w:t>כתב האישום, וביום  8.9.</w:t>
      </w:r>
      <w:r>
        <w:rPr>
          <w:rFonts w:hint="cs"/>
          <w:rtl/>
        </w:rPr>
        <w:t>20</w:t>
      </w:r>
      <w:r>
        <w:rPr>
          <w:rtl/>
        </w:rPr>
        <w:t xml:space="preserve">20 דחיתי  את טענתו בדבר קבילות הודעתו. </w:t>
      </w:r>
    </w:p>
    <w:p w14:paraId="6CD66750" w14:textId="77777777" w:rsidR="009270B9" w:rsidRDefault="009270B9" w:rsidP="009270B9">
      <w:pPr>
        <w:pStyle w:val="a9"/>
        <w:numPr>
          <w:ilvl w:val="0"/>
          <w:numId w:val="3"/>
        </w:numPr>
        <w:spacing w:line="360" w:lineRule="auto"/>
        <w:jc w:val="both"/>
      </w:pPr>
      <w:r>
        <w:rPr>
          <w:rtl/>
        </w:rPr>
        <w:t>ביום 27.11.</w:t>
      </w:r>
      <w:r>
        <w:rPr>
          <w:rFonts w:hint="cs"/>
          <w:rtl/>
        </w:rPr>
        <w:t>20</w:t>
      </w:r>
      <w:r>
        <w:rPr>
          <w:rtl/>
        </w:rPr>
        <w:t>20 הו</w:t>
      </w:r>
      <w:r>
        <w:rPr>
          <w:rFonts w:hint="cs"/>
          <w:rtl/>
        </w:rPr>
        <w:t>ג</w:t>
      </w:r>
      <w:r>
        <w:rPr>
          <w:rtl/>
        </w:rPr>
        <w:t>ש כתב אישום מתוקן במסגרת הסדר, והנאשם הורשע על פיו כאמור לעיל. בין הצדדים לא הי</w:t>
      </w:r>
      <w:r>
        <w:rPr>
          <w:rFonts w:hint="cs"/>
          <w:rtl/>
        </w:rPr>
        <w:t>י</w:t>
      </w:r>
      <w:r>
        <w:rPr>
          <w:rtl/>
        </w:rPr>
        <w:t>תה הסכמה לעני</w:t>
      </w:r>
      <w:r>
        <w:rPr>
          <w:rFonts w:hint="cs"/>
          <w:rtl/>
        </w:rPr>
        <w:t>י</w:t>
      </w:r>
      <w:r>
        <w:rPr>
          <w:rtl/>
        </w:rPr>
        <w:t xml:space="preserve">ן העונש כשהמאשימה עתרה להטיל עליו מאסר בפועל. </w:t>
      </w:r>
    </w:p>
    <w:p w14:paraId="78464BB7" w14:textId="77777777" w:rsidR="009270B9" w:rsidRDefault="009270B9" w:rsidP="009270B9">
      <w:pPr>
        <w:pStyle w:val="a9"/>
        <w:numPr>
          <w:ilvl w:val="0"/>
          <w:numId w:val="3"/>
        </w:numPr>
        <w:spacing w:line="360" w:lineRule="auto"/>
        <w:jc w:val="both"/>
        <w:rPr>
          <w:rtl/>
        </w:rPr>
      </w:pPr>
      <w:r>
        <w:rPr>
          <w:rFonts w:hint="cs"/>
          <w:rtl/>
        </w:rPr>
        <w:t>אשר לשותפים, יצחק נדון בבית משפט בספרד לעונש בן 3 שנות מאסר, לקנס ולמאסר מותנה, ואילו נחמן נדון בישראל לעונש מאסר בן 11 חודשים (גזרי הדין הוגשו במסגרת הטיעונים לעונש ע"י המאשימה). יצוין כי בעניינו של נחמן נקבע מתחם עונש שבין 10 ל-30 חודשי מאסר, וגזר הדין על כל חלקיו אושר ע"י בית המשפט המחוזי [</w:t>
      </w:r>
      <w:hyperlink r:id="rId12" w:history="1">
        <w:r w:rsidR="00BC1C7E" w:rsidRPr="00BC1C7E">
          <w:rPr>
            <w:color w:val="0000FF"/>
            <w:u w:val="single"/>
            <w:rtl/>
          </w:rPr>
          <w:t>עפ"ג (ירושלים) 3548-08-20</w:t>
        </w:r>
      </w:hyperlink>
      <w:r>
        <w:rPr>
          <w:rFonts w:hint="cs"/>
          <w:rtl/>
        </w:rPr>
        <w:t xml:space="preserve"> </w:t>
      </w:r>
      <w:r w:rsidRPr="00CC45B2">
        <w:rPr>
          <w:rFonts w:hint="cs"/>
          <w:b/>
          <w:bCs/>
          <w:rtl/>
        </w:rPr>
        <w:t>האמער נ' מ"י</w:t>
      </w:r>
      <w:r>
        <w:rPr>
          <w:rFonts w:hint="cs"/>
          <w:rtl/>
        </w:rPr>
        <w:t xml:space="preserve"> (מיום 9.12.2021)].</w:t>
      </w:r>
    </w:p>
    <w:p w14:paraId="3BD39BCC" w14:textId="77777777" w:rsidR="009270B9" w:rsidRDefault="009270B9" w:rsidP="009270B9">
      <w:pPr>
        <w:spacing w:line="360" w:lineRule="auto"/>
        <w:jc w:val="both"/>
        <w:rPr>
          <w:rtl/>
        </w:rPr>
      </w:pPr>
    </w:p>
    <w:p w14:paraId="400CC5BD" w14:textId="77777777" w:rsidR="009270B9" w:rsidRPr="00EE2A6C" w:rsidRDefault="009270B9" w:rsidP="009270B9">
      <w:pPr>
        <w:spacing w:line="360" w:lineRule="auto"/>
        <w:jc w:val="both"/>
        <w:rPr>
          <w:b/>
          <w:bCs/>
          <w:u w:val="single"/>
          <w:rtl/>
        </w:rPr>
      </w:pPr>
      <w:r w:rsidRPr="00EE2A6C">
        <w:rPr>
          <w:b/>
          <w:bCs/>
          <w:u w:val="single"/>
          <w:rtl/>
        </w:rPr>
        <w:t>תסקירי שירות המבחן</w:t>
      </w:r>
    </w:p>
    <w:p w14:paraId="450ABB54" w14:textId="77777777" w:rsidR="009270B9" w:rsidRDefault="009270B9" w:rsidP="009270B9">
      <w:pPr>
        <w:pStyle w:val="a9"/>
        <w:numPr>
          <w:ilvl w:val="0"/>
          <w:numId w:val="2"/>
        </w:numPr>
        <w:spacing w:line="360" w:lineRule="auto"/>
        <w:jc w:val="both"/>
      </w:pPr>
      <w:r>
        <w:rPr>
          <w:rtl/>
        </w:rPr>
        <w:t>בענ</w:t>
      </w:r>
      <w:r>
        <w:rPr>
          <w:rFonts w:hint="cs"/>
          <w:rtl/>
        </w:rPr>
        <w:t>י</w:t>
      </w:r>
      <w:r>
        <w:rPr>
          <w:rtl/>
        </w:rPr>
        <w:t>ינו של הנאשם הוגשו תסקירים</w:t>
      </w:r>
      <w:r>
        <w:rPr>
          <w:rFonts w:hint="cs"/>
          <w:rtl/>
        </w:rPr>
        <w:t xml:space="preserve"> רבים</w:t>
      </w:r>
      <w:r>
        <w:rPr>
          <w:rtl/>
        </w:rPr>
        <w:t>. מהתסקירים עולה</w:t>
      </w:r>
      <w:r>
        <w:rPr>
          <w:rFonts w:hint="cs"/>
          <w:rtl/>
        </w:rPr>
        <w:t>,</w:t>
      </w:r>
      <w:r>
        <w:rPr>
          <w:rtl/>
        </w:rPr>
        <w:t xml:space="preserve"> כי הנאשם בסוף שנות השלושים לחייו, רווק, ומתגורר עם אמו. הוא מגיע ממשפחה </w:t>
      </w:r>
      <w:r>
        <w:rPr>
          <w:rFonts w:hint="cs"/>
          <w:rtl/>
        </w:rPr>
        <w:t>ג</w:t>
      </w:r>
      <w:r>
        <w:rPr>
          <w:rtl/>
        </w:rPr>
        <w:t>רעינית קטנה והוריו התגרשו כשהיה צעיר, כשחוויה זו הותירה בו חותם שלילי. הנאשם סיים 10 שנות לימוד בעקבות ה</w:t>
      </w:r>
      <w:r>
        <w:rPr>
          <w:rFonts w:hint="cs"/>
          <w:rtl/>
        </w:rPr>
        <w:t>י</w:t>
      </w:r>
      <w:r>
        <w:rPr>
          <w:rtl/>
        </w:rPr>
        <w:t>שגים נמוכים, ובהיותו כבן 17 אושפז לראשונה אשפוז פסיכיאטרי</w:t>
      </w:r>
      <w:r>
        <w:rPr>
          <w:rFonts w:hint="cs"/>
          <w:rtl/>
        </w:rPr>
        <w:t>,</w:t>
      </w:r>
      <w:r>
        <w:rPr>
          <w:rtl/>
        </w:rPr>
        <w:t xml:space="preserve"> אז אובחן כמי שסובל מסכיזופרניה. כבר </w:t>
      </w:r>
      <w:r>
        <w:rPr>
          <w:rFonts w:hint="cs"/>
          <w:rtl/>
        </w:rPr>
        <w:t xml:space="preserve">בגיל </w:t>
      </w:r>
      <w:r>
        <w:rPr>
          <w:rtl/>
        </w:rPr>
        <w:t>15 החל לצרוך חומרים משני תודעה, ול</w:t>
      </w:r>
      <w:r>
        <w:rPr>
          <w:rFonts w:hint="cs"/>
          <w:rtl/>
        </w:rPr>
        <w:t>ה</w:t>
      </w:r>
      <w:r>
        <w:rPr>
          <w:rtl/>
        </w:rPr>
        <w:t xml:space="preserve">שתמש בהם לרעה </w:t>
      </w:r>
      <w:r>
        <w:rPr>
          <w:rFonts w:hint="cs"/>
          <w:rtl/>
        </w:rPr>
        <w:t xml:space="preserve">באופן </w:t>
      </w:r>
      <w:r>
        <w:rPr>
          <w:rtl/>
        </w:rPr>
        <w:t xml:space="preserve">מעמיק והולך. לאחר שחרורו מאשפוז ועל רקע אי גיוסו לצבא בשל מצבו הנפשי, שהה בחו"ל, שם נע ונד </w:t>
      </w:r>
      <w:r>
        <w:rPr>
          <w:rFonts w:hint="cs"/>
          <w:rtl/>
        </w:rPr>
        <w:t>ו</w:t>
      </w:r>
      <w:r>
        <w:rPr>
          <w:rtl/>
        </w:rPr>
        <w:t xml:space="preserve">עבד, ובסופו </w:t>
      </w:r>
      <w:r>
        <w:rPr>
          <w:rtl/>
        </w:rPr>
        <w:lastRenderedPageBreak/>
        <w:t xml:space="preserve">של דבר חזר ארצה בשנת 2015. </w:t>
      </w:r>
      <w:r>
        <w:rPr>
          <w:rFonts w:hint="cs"/>
          <w:rtl/>
        </w:rPr>
        <w:t>ג</w:t>
      </w:r>
      <w:r>
        <w:rPr>
          <w:rtl/>
        </w:rPr>
        <w:t>ם בשהותו בחו"ל המשיך בשימוש בסמים ומצא עצמו מאושפז במקומות שונים</w:t>
      </w:r>
      <w:r>
        <w:rPr>
          <w:rFonts w:hint="cs"/>
          <w:rtl/>
        </w:rPr>
        <w:t xml:space="preserve"> לרבות בחו"ל</w:t>
      </w:r>
      <w:r>
        <w:rPr>
          <w:rtl/>
        </w:rPr>
        <w:t xml:space="preserve">. </w:t>
      </w:r>
    </w:p>
    <w:p w14:paraId="47C14CEC" w14:textId="77777777" w:rsidR="009270B9" w:rsidRDefault="009270B9" w:rsidP="009270B9">
      <w:pPr>
        <w:pStyle w:val="a9"/>
        <w:spacing w:line="360" w:lineRule="auto"/>
        <w:ind w:left="360"/>
        <w:jc w:val="both"/>
        <w:rPr>
          <w:rtl/>
        </w:rPr>
      </w:pPr>
    </w:p>
    <w:p w14:paraId="5DB0D78B" w14:textId="77777777" w:rsidR="009270B9" w:rsidRDefault="009270B9" w:rsidP="009270B9">
      <w:pPr>
        <w:pStyle w:val="a9"/>
        <w:numPr>
          <w:ilvl w:val="0"/>
          <w:numId w:val="2"/>
        </w:numPr>
        <w:spacing w:line="360" w:lineRule="auto"/>
        <w:jc w:val="both"/>
      </w:pPr>
      <w:r>
        <w:rPr>
          <w:rtl/>
        </w:rPr>
        <w:t>לנאשם רישום פלילי בודד בעבירה של ש</w:t>
      </w:r>
      <w:r>
        <w:rPr>
          <w:rFonts w:hint="cs"/>
          <w:rtl/>
        </w:rPr>
        <w:t>י</w:t>
      </w:r>
      <w:r>
        <w:rPr>
          <w:rtl/>
        </w:rPr>
        <w:t>מוש עצמי בסמים והתנגדות למעצר, בגינה הוטל עליו מאסר מותנה. שירות המבחן התרשם</w:t>
      </w:r>
      <w:r>
        <w:rPr>
          <w:rFonts w:hint="cs"/>
          <w:rtl/>
        </w:rPr>
        <w:t>,</w:t>
      </w:r>
      <w:r>
        <w:rPr>
          <w:rtl/>
        </w:rPr>
        <w:t xml:space="preserve"> כי הנאשם </w:t>
      </w:r>
      <w:r>
        <w:rPr>
          <w:rFonts w:hint="cs"/>
          <w:rtl/>
        </w:rPr>
        <w:t>ה</w:t>
      </w:r>
      <w:r>
        <w:rPr>
          <w:rtl/>
        </w:rPr>
        <w:t>תקשה לקבל אחריות למעשים</w:t>
      </w:r>
      <w:r>
        <w:rPr>
          <w:rFonts w:hint="cs"/>
          <w:rtl/>
        </w:rPr>
        <w:t>,</w:t>
      </w:r>
      <w:r>
        <w:rPr>
          <w:rtl/>
        </w:rPr>
        <w:t xml:space="preserve"> אך אישר את האמור בכתב האישום, כשלדבריו לא היתה לו כוונה לייבא את הסמים ארצה אלא לעשות בהם ש</w:t>
      </w:r>
      <w:r>
        <w:rPr>
          <w:rFonts w:hint="cs"/>
          <w:rtl/>
        </w:rPr>
        <w:t>י</w:t>
      </w:r>
      <w:r>
        <w:rPr>
          <w:rtl/>
        </w:rPr>
        <w:t xml:space="preserve">מוש לצרכיו שלו.  </w:t>
      </w:r>
    </w:p>
    <w:p w14:paraId="6449D938" w14:textId="77777777" w:rsidR="009270B9" w:rsidRDefault="009270B9" w:rsidP="009270B9">
      <w:pPr>
        <w:pStyle w:val="a9"/>
        <w:rPr>
          <w:rtl/>
        </w:rPr>
      </w:pPr>
    </w:p>
    <w:p w14:paraId="001F1E80" w14:textId="77777777" w:rsidR="009270B9" w:rsidRDefault="009270B9" w:rsidP="009270B9">
      <w:pPr>
        <w:pStyle w:val="a9"/>
        <w:numPr>
          <w:ilvl w:val="0"/>
          <w:numId w:val="2"/>
        </w:numPr>
        <w:spacing w:line="360" w:lineRule="auto"/>
        <w:jc w:val="both"/>
      </w:pPr>
      <w:r>
        <w:rPr>
          <w:rtl/>
        </w:rPr>
        <w:t>יצוין</w:t>
      </w:r>
      <w:r>
        <w:rPr>
          <w:rFonts w:hint="cs"/>
          <w:rtl/>
        </w:rPr>
        <w:t>,</w:t>
      </w:r>
      <w:r>
        <w:rPr>
          <w:rtl/>
        </w:rPr>
        <w:t xml:space="preserve"> כי במסגרת צו פיקוח מעצרים השתלב הנאשם במשך חצי שנה בטיפול בתחלואה כפולה, שמר על יציבות </w:t>
      </w:r>
      <w:r>
        <w:rPr>
          <w:rFonts w:hint="cs"/>
          <w:rtl/>
        </w:rPr>
        <w:t xml:space="preserve">ומסר בדיקות </w:t>
      </w:r>
      <w:r>
        <w:rPr>
          <w:rtl/>
        </w:rPr>
        <w:t>שתן נקיות, אלא שבהמשך</w:t>
      </w:r>
      <w:r>
        <w:rPr>
          <w:rFonts w:hint="cs"/>
          <w:rtl/>
        </w:rPr>
        <w:t>,</w:t>
      </w:r>
      <w:r>
        <w:rPr>
          <w:rtl/>
        </w:rPr>
        <w:t xml:space="preserve"> ש</w:t>
      </w:r>
      <w:r>
        <w:rPr>
          <w:rFonts w:hint="cs"/>
          <w:rtl/>
        </w:rPr>
        <w:t>י</w:t>
      </w:r>
      <w:r>
        <w:rPr>
          <w:rtl/>
        </w:rPr>
        <w:t xml:space="preserve">תוף הפעולה התדרדר ואף נמצאו בדיקות סמים מלוכלכות בהמשך הדרך. כאמור, </w:t>
      </w:r>
      <w:r>
        <w:rPr>
          <w:rFonts w:hint="cs"/>
          <w:rtl/>
        </w:rPr>
        <w:t xml:space="preserve">במהלך </w:t>
      </w:r>
      <w:r>
        <w:rPr>
          <w:rtl/>
        </w:rPr>
        <w:t>משפטו אושפז הנאשם על רקע פסיכיאטרי יותר מפעם אחת</w:t>
      </w:r>
      <w:r>
        <w:rPr>
          <w:rFonts w:hint="cs"/>
          <w:rtl/>
        </w:rPr>
        <w:t>,</w:t>
      </w:r>
      <w:r>
        <w:rPr>
          <w:rtl/>
        </w:rPr>
        <w:t xml:space="preserve"> ובשל כך גם התבקשו </w:t>
      </w:r>
      <w:r>
        <w:rPr>
          <w:rFonts w:hint="cs"/>
          <w:rtl/>
        </w:rPr>
        <w:t>חוות-דעת</w:t>
      </w:r>
      <w:r>
        <w:rPr>
          <w:rtl/>
        </w:rPr>
        <w:t xml:space="preserve"> עדכניות בענ</w:t>
      </w:r>
      <w:r>
        <w:rPr>
          <w:rFonts w:hint="cs"/>
          <w:rtl/>
        </w:rPr>
        <w:t>י</w:t>
      </w:r>
      <w:r>
        <w:rPr>
          <w:rtl/>
        </w:rPr>
        <w:t>ין כשירותו לעמוד לדין. בכולן נמצא כי הוא כשיר לעמוד לדין.</w:t>
      </w:r>
    </w:p>
    <w:p w14:paraId="44E1D038" w14:textId="77777777" w:rsidR="009270B9" w:rsidRDefault="009270B9" w:rsidP="009270B9">
      <w:pPr>
        <w:pStyle w:val="a9"/>
        <w:rPr>
          <w:rtl/>
        </w:rPr>
      </w:pPr>
    </w:p>
    <w:p w14:paraId="25FDC545" w14:textId="77777777" w:rsidR="009270B9" w:rsidRDefault="009270B9" w:rsidP="009270B9">
      <w:pPr>
        <w:pStyle w:val="a9"/>
        <w:numPr>
          <w:ilvl w:val="0"/>
          <w:numId w:val="2"/>
        </w:numPr>
        <w:spacing w:line="360" w:lineRule="auto"/>
        <w:jc w:val="both"/>
      </w:pPr>
      <w:r>
        <w:rPr>
          <w:rFonts w:hint="cs"/>
          <w:rtl/>
        </w:rPr>
        <w:t>בסוף שנת 2021 חלה נסיגה במצבו ובמידת שיתוף הפעולה של הנאשם, והוא שב להשתמש בסמים. בעקבות דיון שנערך ובו הבהרתי לו מה עומד על כפות המאזניים, השתלב הנאשם באשפוזית והתנקה מסמים, תוך שצוין בתסקיר מפברואר 2022, כי הנאשם הביע רצון לשנות את אורחותיו ולעלות על פסי תפקוד תקינים.</w:t>
      </w:r>
    </w:p>
    <w:p w14:paraId="1385B086" w14:textId="77777777" w:rsidR="009270B9" w:rsidRDefault="009270B9" w:rsidP="009270B9">
      <w:pPr>
        <w:pStyle w:val="a9"/>
        <w:rPr>
          <w:rtl/>
        </w:rPr>
      </w:pPr>
    </w:p>
    <w:p w14:paraId="0AD1D0F6" w14:textId="77777777" w:rsidR="009270B9" w:rsidRDefault="009270B9" w:rsidP="009270B9">
      <w:pPr>
        <w:pStyle w:val="a9"/>
        <w:numPr>
          <w:ilvl w:val="0"/>
          <w:numId w:val="2"/>
        </w:numPr>
        <w:spacing w:line="360" w:lineRule="auto"/>
        <w:jc w:val="both"/>
      </w:pPr>
      <w:r>
        <w:rPr>
          <w:rFonts w:hint="cs"/>
          <w:rtl/>
        </w:rPr>
        <w:t>בחודש אפריל 2022 חלה נסיגה נוספת במצבו של הנאשם, עת אושפז בבית חולים פסיכיאטרי בשל כניסתו למצב מאני פסיכוטי, בין היתר על רקע שימוש בסמים. שירות המבחן דיווח על ניסיון שהנאשם ישתלב ב"קרית שלמה", בית חולים המטפל, בין היתר, בחולים בתחלואה כפולה ואולם הדבר לא יצא אל הפועל.</w:t>
      </w:r>
    </w:p>
    <w:p w14:paraId="2E4A1D66" w14:textId="77777777" w:rsidR="009270B9" w:rsidRDefault="009270B9" w:rsidP="009270B9">
      <w:pPr>
        <w:pStyle w:val="a9"/>
        <w:rPr>
          <w:rtl/>
        </w:rPr>
      </w:pPr>
    </w:p>
    <w:p w14:paraId="6C569616" w14:textId="77777777" w:rsidR="009270B9" w:rsidRDefault="009270B9" w:rsidP="009270B9">
      <w:pPr>
        <w:pStyle w:val="a9"/>
        <w:numPr>
          <w:ilvl w:val="0"/>
          <w:numId w:val="2"/>
        </w:numPr>
        <w:spacing w:line="360" w:lineRule="auto"/>
        <w:jc w:val="both"/>
      </w:pPr>
      <w:r>
        <w:rPr>
          <w:rFonts w:hint="cs"/>
          <w:rtl/>
        </w:rPr>
        <w:t xml:space="preserve">בחודש יולי 2022 הגיש שירות המבחן תסקיר ממנה עלה, כי הנאשם מסר בדיקות שתן מדי שבוע, המעידות על ניקיון מסמים, הוא טופל במסגרת קבוצת </w:t>
      </w:r>
      <w:r>
        <w:rPr>
          <w:rFonts w:hint="cs"/>
        </w:rPr>
        <w:t>NA</w:t>
      </w:r>
      <w:r>
        <w:rPr>
          <w:rFonts w:hint="cs"/>
          <w:rtl/>
        </w:rPr>
        <w:t xml:space="preserve"> והחל לעבוד, דבר שהעניק לו תחושת הישג ועוגן לקיומו. הנאשם לא סבר כי הוא נדרש לטיפול במסגרת כוללנית ולכן נמנע שירות המבחן מהמלצה טיפולית, אך המליץ לסיים את ההליכים במאסר מותנה והתחייבות, וזאת מחשש שמאסר של ממש מאחורי סורג ובריח, ידרדר עד מאוד את מצבו של הנאשם.</w:t>
      </w:r>
    </w:p>
    <w:p w14:paraId="50C8C77F" w14:textId="77777777" w:rsidR="009270B9" w:rsidRDefault="009270B9" w:rsidP="009270B9">
      <w:pPr>
        <w:pStyle w:val="a9"/>
        <w:rPr>
          <w:rtl/>
        </w:rPr>
      </w:pPr>
    </w:p>
    <w:p w14:paraId="419A3691" w14:textId="77777777" w:rsidR="009270B9" w:rsidRDefault="009270B9" w:rsidP="009270B9">
      <w:pPr>
        <w:pStyle w:val="a9"/>
        <w:numPr>
          <w:ilvl w:val="0"/>
          <w:numId w:val="2"/>
        </w:numPr>
        <w:spacing w:line="360" w:lineRule="auto"/>
        <w:jc w:val="both"/>
      </w:pPr>
      <w:r>
        <w:rPr>
          <w:rFonts w:hint="cs"/>
          <w:rtl/>
        </w:rPr>
        <w:t>בחודש נובמבר 2022 הגיש שירות המבחן תסקיר נוסף ממנו עלה, כי במהלך תקופת הדחייה השתלב הנאשם ביחידה להתמכרויות במקום מגוריו, המשיך לשמור על ניקיון מסמים ויצר קשר טיפולי חיובי עם מטפליו. שירות המבחן התרשם ממוטיבציה פנימית של הנאשם בהקשר הטיפולי, והוא אף פנה למיצוי זכויותיו במסגרת "סל שיקום" למתמודדי נפש. לכן המליץ שירות המבחן על הטלת צו מבחן לצד ענישה צופה פני עתיד, על-מנת לשמר את מצבו והישגיו של הנאשם.</w:t>
      </w:r>
    </w:p>
    <w:p w14:paraId="542C33F0" w14:textId="77777777" w:rsidR="009270B9" w:rsidRDefault="009270B9" w:rsidP="009270B9">
      <w:pPr>
        <w:pStyle w:val="a9"/>
        <w:rPr>
          <w:rtl/>
        </w:rPr>
      </w:pPr>
    </w:p>
    <w:p w14:paraId="3ED1612B" w14:textId="77777777" w:rsidR="009270B9" w:rsidRDefault="009270B9" w:rsidP="009270B9">
      <w:pPr>
        <w:pStyle w:val="a9"/>
        <w:numPr>
          <w:ilvl w:val="0"/>
          <w:numId w:val="2"/>
        </w:numPr>
        <w:spacing w:line="360" w:lineRule="auto"/>
        <w:jc w:val="both"/>
      </w:pPr>
      <w:r>
        <w:rPr>
          <w:rFonts w:hint="cs"/>
          <w:rtl/>
        </w:rPr>
        <w:t xml:space="preserve">התסקיר האחרון הוגש בחודש פברואר 2023. בתקופת הדחיה המשיך הנאשם את הטיפול ביחידת ההתמכרויות וכן את הניקיון מסמים. בטיפול גילה הנאשם מוטיבציה פנימית ויוזמה להתעמת עם בעיותיו ודפוסי התמכרותו. במקביל הוא המשיך בהשתלבות בקבוצת </w:t>
      </w:r>
      <w:r>
        <w:rPr>
          <w:rFonts w:hint="cs"/>
        </w:rPr>
        <w:t>NA</w:t>
      </w:r>
      <w:r>
        <w:rPr>
          <w:rFonts w:hint="cs"/>
          <w:rtl/>
        </w:rPr>
        <w:t xml:space="preserve"> באופן מקוון וחש סיפוק רב. חלה התקדמות גם בגזרת "סל שיקום", והנאשם נמצא בתהליכי רכישת מקצוע. שירות המבחן שינה את המלצתו נוכח ההתייצבות במצבו של הנאשם, היותו נקי מסמים, התמדתו בטיפול והיעדר פתיחת תיקים חדשים, והמליץ על הטלת של"ץ בהיקף 150 שעות לצד צו מבחן שיבטיח המשך טיפול, וכן המליץ על הטלת מאסר מותנה.</w:t>
      </w:r>
    </w:p>
    <w:p w14:paraId="01898671" w14:textId="77777777" w:rsidR="009270B9" w:rsidRDefault="009270B9" w:rsidP="009270B9">
      <w:pPr>
        <w:spacing w:line="360" w:lineRule="auto"/>
        <w:jc w:val="both"/>
        <w:rPr>
          <w:rtl/>
        </w:rPr>
      </w:pPr>
    </w:p>
    <w:p w14:paraId="13F74C09" w14:textId="77777777" w:rsidR="009270B9" w:rsidRPr="002F22E0" w:rsidRDefault="009270B9" w:rsidP="009270B9">
      <w:pPr>
        <w:spacing w:line="360" w:lineRule="auto"/>
        <w:jc w:val="both"/>
        <w:rPr>
          <w:b/>
          <w:bCs/>
          <w:u w:val="single"/>
          <w:rtl/>
        </w:rPr>
      </w:pPr>
      <w:r w:rsidRPr="002F22E0">
        <w:rPr>
          <w:rFonts w:hint="cs"/>
          <w:b/>
          <w:bCs/>
          <w:u w:val="single"/>
          <w:rtl/>
        </w:rPr>
        <w:t>חוות דעת הממונה על עבודות השירות</w:t>
      </w:r>
    </w:p>
    <w:p w14:paraId="112CA47B" w14:textId="77777777" w:rsidR="009270B9" w:rsidRPr="002F22E0" w:rsidRDefault="009270B9" w:rsidP="009270B9">
      <w:pPr>
        <w:pStyle w:val="a9"/>
        <w:numPr>
          <w:ilvl w:val="0"/>
          <w:numId w:val="2"/>
        </w:numPr>
        <w:spacing w:line="360" w:lineRule="auto"/>
        <w:jc w:val="both"/>
        <w:rPr>
          <w:rFonts w:ascii="David" w:hAnsi="David"/>
        </w:rPr>
      </w:pPr>
      <w:r w:rsidRPr="002F22E0">
        <w:rPr>
          <w:rFonts w:ascii="David" w:hAnsi="David" w:hint="cs"/>
          <w:rtl/>
        </w:rPr>
        <w:t>הממונה לא מצא את הנאשם כשיר לעבודות שירות נוכח מורכבות מצבו הפסיכיאטרי.</w:t>
      </w:r>
    </w:p>
    <w:p w14:paraId="78AEABEE" w14:textId="77777777" w:rsidR="009270B9" w:rsidRPr="002F22E0" w:rsidRDefault="009270B9" w:rsidP="009270B9">
      <w:pPr>
        <w:spacing w:line="360" w:lineRule="auto"/>
        <w:jc w:val="both"/>
        <w:rPr>
          <w:rFonts w:ascii="David" w:hAnsi="David"/>
          <w:rtl/>
        </w:rPr>
      </w:pPr>
    </w:p>
    <w:p w14:paraId="6006B638" w14:textId="77777777" w:rsidR="009270B9" w:rsidRPr="002F22E0" w:rsidRDefault="009270B9" w:rsidP="009270B9">
      <w:pPr>
        <w:spacing w:line="360" w:lineRule="auto"/>
        <w:jc w:val="both"/>
        <w:rPr>
          <w:rFonts w:ascii="David" w:hAnsi="David"/>
          <w:b/>
          <w:bCs/>
          <w:u w:val="single"/>
          <w:rtl/>
        </w:rPr>
      </w:pPr>
      <w:r w:rsidRPr="002F22E0">
        <w:rPr>
          <w:rFonts w:ascii="David" w:hAnsi="David" w:hint="cs"/>
          <w:b/>
          <w:bCs/>
          <w:u w:val="single"/>
          <w:rtl/>
        </w:rPr>
        <w:t>ראיות וטיעונים לעונש</w:t>
      </w:r>
    </w:p>
    <w:p w14:paraId="7C896206" w14:textId="77777777" w:rsidR="009270B9" w:rsidRDefault="009270B9" w:rsidP="009270B9">
      <w:pPr>
        <w:pStyle w:val="a9"/>
        <w:numPr>
          <w:ilvl w:val="0"/>
          <w:numId w:val="2"/>
        </w:numPr>
        <w:spacing w:line="360" w:lineRule="auto"/>
        <w:jc w:val="both"/>
        <w:rPr>
          <w:rFonts w:ascii="David" w:hAnsi="David"/>
        </w:rPr>
      </w:pPr>
      <w:r w:rsidRPr="002F22E0">
        <w:rPr>
          <w:rFonts w:ascii="David" w:hAnsi="David" w:hint="cs"/>
          <w:rtl/>
        </w:rPr>
        <w:t xml:space="preserve">כאמור, ב"כ המאשימה הגישה את גזרי הדין של השותפים ואת רישומו הפלילי </w:t>
      </w:r>
      <w:r>
        <w:rPr>
          <w:rFonts w:ascii="David" w:hAnsi="David" w:hint="cs"/>
          <w:rtl/>
        </w:rPr>
        <w:t xml:space="preserve">של הנאשם </w:t>
      </w:r>
      <w:r w:rsidRPr="002F22E0">
        <w:rPr>
          <w:rFonts w:ascii="David" w:hAnsi="David" w:hint="cs"/>
          <w:rtl/>
        </w:rPr>
        <w:t xml:space="preserve">עליהם עמדתי לעיל. המאשימה הפנתה לכך שבעניינו של נחמן, </w:t>
      </w:r>
      <w:r>
        <w:rPr>
          <w:rFonts w:ascii="David" w:hAnsi="David" w:hint="cs"/>
          <w:rtl/>
        </w:rPr>
        <w:t>הוא</w:t>
      </w:r>
      <w:r w:rsidRPr="002F22E0">
        <w:rPr>
          <w:rFonts w:ascii="David" w:hAnsi="David" w:hint="cs"/>
          <w:rtl/>
        </w:rPr>
        <w:t xml:space="preserve"> הודה בכתב אישום זהה לזה שבו הודה הנאשם, ולכן עתרה להשוות את עניינם, כך שיוטלו על הנאשם 11 חודשי מאסר על בסיס המתחם שקבע חברי סגן הנשיא, כב' השופט מינטקביץ', ושאושר בבית המשפט המחוזי</w:t>
      </w:r>
      <w:r>
        <w:rPr>
          <w:rFonts w:ascii="David" w:hAnsi="David" w:hint="cs"/>
          <w:rtl/>
        </w:rPr>
        <w:t xml:space="preserve"> (ובהמשך בבית המשפט העליון כפי שיפורט בהמשך)</w:t>
      </w:r>
      <w:r w:rsidRPr="002F22E0">
        <w:rPr>
          <w:rFonts w:ascii="David" w:hAnsi="David" w:hint="cs"/>
          <w:rtl/>
        </w:rPr>
        <w:t>. ב"כ המאשימה לא סברה שמתקיימות נסיבות המאפשרות חריגה מהמתחם</w:t>
      </w:r>
      <w:r>
        <w:rPr>
          <w:rFonts w:ascii="David" w:hAnsi="David" w:hint="cs"/>
          <w:rtl/>
        </w:rPr>
        <w:t>,</w:t>
      </w:r>
      <w:r w:rsidRPr="002F22E0">
        <w:rPr>
          <w:rFonts w:ascii="David" w:hAnsi="David" w:hint="cs"/>
          <w:rtl/>
        </w:rPr>
        <w:t xml:space="preserve"> ובוודאי שבנסיבות העניין, אין מקום להתחיל את המתחם בעבודות שירות. מנגד ביקש הסניגור שלא למצות את הדין עם הנאשם ושלא להשיבו למצב הקשה שבו היה נתון בתחילת ההליכים, מבחינת מצבו הנפשי והתמכרותו לסמים. הוא עמד על התהליך השיקומי שעבר הנאשם וסבר שניתן לאמץ את המלצת שירות המבחן. הן הנאשם והן אמו סיפרו </w:t>
      </w:r>
      <w:r>
        <w:rPr>
          <w:rFonts w:ascii="David" w:hAnsi="David" w:hint="cs"/>
          <w:rtl/>
        </w:rPr>
        <w:t xml:space="preserve">על </w:t>
      </w:r>
      <w:r w:rsidRPr="002F22E0">
        <w:rPr>
          <w:rFonts w:ascii="David" w:hAnsi="David" w:hint="cs"/>
          <w:rtl/>
        </w:rPr>
        <w:t>הקורות אותם בעשורים האחרונים, כשהנאשם עמד על כך שלראשונה מזה שנים רבות, הוא נקי מסמים, חש מוטיבציה חיובית ומתפקד באורח חיובי.</w:t>
      </w:r>
    </w:p>
    <w:p w14:paraId="3D827EA9" w14:textId="77777777" w:rsidR="009270B9" w:rsidRDefault="009270B9" w:rsidP="009270B9">
      <w:pPr>
        <w:pStyle w:val="a9"/>
        <w:spacing w:line="360" w:lineRule="auto"/>
        <w:ind w:left="360"/>
        <w:jc w:val="both"/>
        <w:rPr>
          <w:rFonts w:ascii="David" w:hAnsi="David"/>
        </w:rPr>
      </w:pPr>
    </w:p>
    <w:p w14:paraId="5241E43F" w14:textId="77777777" w:rsidR="009270B9" w:rsidRPr="002F22E0" w:rsidRDefault="009270B9" w:rsidP="009270B9">
      <w:pPr>
        <w:pStyle w:val="a9"/>
        <w:numPr>
          <w:ilvl w:val="0"/>
          <w:numId w:val="2"/>
        </w:numPr>
        <w:spacing w:line="360" w:lineRule="auto"/>
        <w:jc w:val="both"/>
        <w:rPr>
          <w:rFonts w:ascii="David" w:hAnsi="David"/>
        </w:rPr>
      </w:pPr>
      <w:r w:rsidRPr="002F22E0">
        <w:rPr>
          <w:rFonts w:ascii="David" w:hAnsi="David" w:hint="cs"/>
          <w:rtl/>
        </w:rPr>
        <w:t>בתום הטיעונים לעונש, עמדתי על כך שלטעמי, עבר הנאשם שינוי תהומי במהלך השנים של ניהול התיק, וכיום הוא מפוכח, נקי מסמים ומתפקד באופן חיובי. ציינתי כי אני מאמץ את עתירת המאשימה מבחינת מתחם העונש, אך סברתי שיש לסיים את ההליכים או בשל"ץ או בעבודות שירות, ולכן שלחתי את הנאשם לממונה. כאמור, הנאשם לא נמצא כשיר לעבודות שירות, בשעה ששירות המבחן המליץ בסופו של יום, על הטלת של"ץ.</w:t>
      </w:r>
    </w:p>
    <w:p w14:paraId="44DE3055" w14:textId="77777777" w:rsidR="009270B9" w:rsidRPr="002F22E0" w:rsidRDefault="009270B9" w:rsidP="009270B9">
      <w:pPr>
        <w:spacing w:line="360" w:lineRule="auto"/>
        <w:jc w:val="both"/>
        <w:rPr>
          <w:rFonts w:ascii="David" w:hAnsi="David"/>
          <w:b/>
          <w:bCs/>
          <w:u w:val="single"/>
          <w:rtl/>
        </w:rPr>
      </w:pPr>
    </w:p>
    <w:p w14:paraId="1AF118DA" w14:textId="77777777" w:rsidR="009270B9" w:rsidRPr="002F22E0" w:rsidRDefault="009270B9" w:rsidP="009270B9">
      <w:pPr>
        <w:spacing w:line="360" w:lineRule="auto"/>
        <w:jc w:val="both"/>
        <w:rPr>
          <w:rFonts w:ascii="David" w:hAnsi="David"/>
          <w:b/>
          <w:bCs/>
          <w:u w:val="single"/>
        </w:rPr>
      </w:pPr>
      <w:r w:rsidRPr="002F22E0">
        <w:rPr>
          <w:rFonts w:ascii="David" w:hAnsi="David" w:hint="cs"/>
          <w:b/>
          <w:bCs/>
          <w:u w:val="single"/>
          <w:rtl/>
        </w:rPr>
        <w:t>קביעת מתחם העונש ההולם</w:t>
      </w:r>
    </w:p>
    <w:p w14:paraId="2E533338" w14:textId="77777777" w:rsidR="009270B9" w:rsidRDefault="009270B9" w:rsidP="009270B9">
      <w:pPr>
        <w:pStyle w:val="a9"/>
        <w:numPr>
          <w:ilvl w:val="0"/>
          <w:numId w:val="2"/>
        </w:numPr>
        <w:spacing w:line="360" w:lineRule="auto"/>
        <w:jc w:val="both"/>
        <w:rPr>
          <w:rFonts w:ascii="David" w:hAnsi="David"/>
        </w:rPr>
      </w:pPr>
      <w:r w:rsidRPr="002F22E0">
        <w:rPr>
          <w:rFonts w:ascii="David" w:hAnsi="David" w:hint="cs"/>
          <w:rtl/>
        </w:rPr>
        <w:t xml:space="preserve">על בית המשפט הגוזר את הדין לתת דעתו לעקרון ההלימה, הנובע מן הערכים שנפגעו ומידת הפגיעה בהם, מנסיבות ביצוע העבירה ומידת אחריותו של הנאשם, וממדיניות הענישה הנוהגת. </w:t>
      </w:r>
    </w:p>
    <w:p w14:paraId="48E0C4E2" w14:textId="77777777" w:rsidR="009270B9" w:rsidRPr="002F22E0" w:rsidRDefault="009270B9" w:rsidP="009270B9">
      <w:pPr>
        <w:pStyle w:val="a9"/>
        <w:spacing w:line="360" w:lineRule="auto"/>
        <w:ind w:left="360"/>
        <w:jc w:val="both"/>
        <w:rPr>
          <w:rFonts w:ascii="David" w:hAnsi="David"/>
        </w:rPr>
      </w:pPr>
    </w:p>
    <w:p w14:paraId="71EDEE43" w14:textId="77777777" w:rsidR="009270B9" w:rsidRDefault="009270B9" w:rsidP="009270B9">
      <w:pPr>
        <w:pStyle w:val="a9"/>
        <w:numPr>
          <w:ilvl w:val="0"/>
          <w:numId w:val="2"/>
        </w:numPr>
        <w:spacing w:line="360" w:lineRule="auto"/>
        <w:jc w:val="both"/>
        <w:rPr>
          <w:rFonts w:ascii="David" w:hAnsi="David"/>
        </w:rPr>
      </w:pPr>
      <w:r w:rsidRPr="002F22E0">
        <w:rPr>
          <w:rFonts w:ascii="David" w:hAnsi="David" w:hint="cs"/>
          <w:b/>
          <w:bCs/>
          <w:rtl/>
        </w:rPr>
        <w:t>אשר לערכים המוגנים</w:t>
      </w:r>
      <w:r w:rsidRPr="002F22E0">
        <w:rPr>
          <w:rFonts w:ascii="David" w:hAnsi="David" w:hint="cs"/>
          <w:rtl/>
        </w:rPr>
        <w:t xml:space="preserve"> </w:t>
      </w:r>
      <w:r w:rsidRPr="002F22E0">
        <w:rPr>
          <w:rFonts w:ascii="David" w:hAnsi="David"/>
          <w:rtl/>
        </w:rPr>
        <w:t>–</w:t>
      </w:r>
      <w:r w:rsidRPr="002F22E0">
        <w:rPr>
          <w:rFonts w:ascii="David" w:hAnsi="David" w:hint="cs"/>
          <w:rtl/>
        </w:rPr>
        <w:t xml:space="preserve"> החזקת סמים בכמות מסחרית שלא לצריכה עצמית, פוגעת ברמה גבוהה בערכים המוגנים של שלום הציבור, ביטחונו ובריאותו, וזאת גם אם מדובר בסם "קל" מסוג קנביס</w:t>
      </w:r>
      <w:r>
        <w:rPr>
          <w:rFonts w:ascii="David" w:hAnsi="David" w:hint="cs"/>
          <w:rtl/>
        </w:rPr>
        <w:t>/גראס</w:t>
      </w:r>
      <w:r w:rsidRPr="002F22E0">
        <w:rPr>
          <w:rFonts w:ascii="David" w:hAnsi="David" w:hint="cs"/>
          <w:rtl/>
        </w:rPr>
        <w:t>.</w:t>
      </w:r>
    </w:p>
    <w:p w14:paraId="4FDA6A36" w14:textId="77777777" w:rsidR="009270B9" w:rsidRPr="00A300FE" w:rsidRDefault="009270B9" w:rsidP="009270B9">
      <w:pPr>
        <w:pStyle w:val="a9"/>
        <w:rPr>
          <w:rFonts w:ascii="David" w:hAnsi="David"/>
          <w:rtl/>
        </w:rPr>
      </w:pPr>
    </w:p>
    <w:p w14:paraId="09298CC9" w14:textId="77777777" w:rsidR="009270B9" w:rsidRDefault="009270B9" w:rsidP="009270B9">
      <w:pPr>
        <w:pStyle w:val="a9"/>
        <w:numPr>
          <w:ilvl w:val="0"/>
          <w:numId w:val="2"/>
        </w:numPr>
        <w:spacing w:line="360" w:lineRule="auto"/>
        <w:jc w:val="both"/>
        <w:rPr>
          <w:rFonts w:ascii="David" w:hAnsi="David"/>
        </w:rPr>
      </w:pPr>
      <w:r w:rsidRPr="002F22E0">
        <w:rPr>
          <w:rFonts w:ascii="David" w:hAnsi="David" w:hint="cs"/>
          <w:b/>
          <w:bCs/>
          <w:rtl/>
        </w:rPr>
        <w:t>אשר לנסיבות ביצוע העבירה</w:t>
      </w:r>
      <w:r w:rsidRPr="002F22E0">
        <w:rPr>
          <w:rFonts w:ascii="David" w:hAnsi="David" w:hint="cs"/>
          <w:rtl/>
        </w:rPr>
        <w:t xml:space="preserve"> </w:t>
      </w:r>
      <w:r w:rsidRPr="002F22E0">
        <w:rPr>
          <w:rFonts w:ascii="David" w:hAnsi="David"/>
          <w:rtl/>
        </w:rPr>
        <w:t>–</w:t>
      </w:r>
      <w:r w:rsidRPr="002F22E0">
        <w:rPr>
          <w:rFonts w:ascii="David" w:hAnsi="David" w:hint="cs"/>
          <w:rtl/>
        </w:rPr>
        <w:t xml:space="preserve"> הנאשם ואחרים תכננו לעשות שימוש בכמות מסחרית של סם מסוג חשיש/גראס שאוחסן במחסן בבעלותו של הנאשם</w:t>
      </w:r>
      <w:r>
        <w:rPr>
          <w:rFonts w:ascii="David" w:hAnsi="David" w:hint="cs"/>
          <w:rtl/>
        </w:rPr>
        <w:t xml:space="preserve"> בחו"ל</w:t>
      </w:r>
      <w:r w:rsidRPr="002F22E0">
        <w:rPr>
          <w:rFonts w:ascii="David" w:hAnsi="David" w:hint="cs"/>
          <w:rtl/>
        </w:rPr>
        <w:t>, כך שחלקו של הנאשם בקנוניה אינו קטן. למרות מצבו הנפשי של הנאשם, קבעתי בהחלטות קודמות כי הוא ביצע את המעשים מתוך מודעות מלאה לטיבם, ועל כן הוא אחראי באופן מלא למעשים. בפועל לא נגרם נזק, אך לו</w:t>
      </w:r>
      <w:r>
        <w:rPr>
          <w:rFonts w:ascii="David" w:hAnsi="David" w:hint="cs"/>
          <w:rtl/>
        </w:rPr>
        <w:t>ּ</w:t>
      </w:r>
      <w:r w:rsidRPr="002F22E0">
        <w:rPr>
          <w:rFonts w:ascii="David" w:hAnsi="David" w:hint="cs"/>
          <w:rtl/>
        </w:rPr>
        <w:t xml:space="preserve"> היו מופצים הסמים, הנזק עלול היה להיות משמעותי. </w:t>
      </w:r>
      <w:r>
        <w:rPr>
          <w:rFonts w:ascii="David" w:hAnsi="David" w:hint="cs"/>
          <w:rtl/>
        </w:rPr>
        <w:t>במהלך הדיונים והתסקירים שהוגשו טען הנאשם שהסמים היו לצריכתו העצמית, ונוכח עומק השימוש של הנאשם בסמים ותדירותו, הדעת נותנת, בנסיבות העניין, שהסמים אכן נועדו לשימושו לאורך תקופה לא קצרה.</w:t>
      </w:r>
    </w:p>
    <w:p w14:paraId="1A0AB577" w14:textId="77777777" w:rsidR="009270B9" w:rsidRPr="00A300FE" w:rsidRDefault="009270B9" w:rsidP="009270B9">
      <w:pPr>
        <w:pStyle w:val="a9"/>
        <w:rPr>
          <w:rFonts w:ascii="David" w:hAnsi="David"/>
          <w:rtl/>
        </w:rPr>
      </w:pPr>
    </w:p>
    <w:p w14:paraId="27E063C8" w14:textId="77777777" w:rsidR="009270B9" w:rsidRPr="002F22E0" w:rsidRDefault="009270B9" w:rsidP="009270B9">
      <w:pPr>
        <w:pStyle w:val="a9"/>
        <w:numPr>
          <w:ilvl w:val="0"/>
          <w:numId w:val="2"/>
        </w:numPr>
        <w:spacing w:line="360" w:lineRule="auto"/>
        <w:jc w:val="both"/>
        <w:rPr>
          <w:rFonts w:ascii="David" w:hAnsi="David"/>
          <w:b/>
          <w:bCs/>
          <w:rtl/>
        </w:rPr>
      </w:pPr>
      <w:r w:rsidRPr="002F22E0">
        <w:rPr>
          <w:rFonts w:ascii="David" w:hAnsi="David" w:hint="cs"/>
          <w:b/>
          <w:bCs/>
          <w:rtl/>
        </w:rPr>
        <w:t>אשר למדיניות הענישה הנוהגת</w:t>
      </w:r>
      <w:r w:rsidRPr="002F22E0">
        <w:rPr>
          <w:rFonts w:ascii="David" w:hAnsi="David" w:hint="cs"/>
          <w:rtl/>
        </w:rPr>
        <w:t xml:space="preserve"> </w:t>
      </w:r>
      <w:r w:rsidRPr="002F22E0">
        <w:rPr>
          <w:rFonts w:ascii="David" w:hAnsi="David"/>
          <w:rtl/>
        </w:rPr>
        <w:t>–</w:t>
      </w:r>
      <w:r w:rsidRPr="002F22E0">
        <w:rPr>
          <w:rFonts w:ascii="David" w:hAnsi="David" w:hint="cs"/>
          <w:rtl/>
        </w:rPr>
        <w:t xml:space="preserve"> בוודאי שהכלל בנסיבות שכאלו הוא מאסר. </w:t>
      </w:r>
    </w:p>
    <w:p w14:paraId="6660C96B" w14:textId="77777777" w:rsidR="009270B9" w:rsidRPr="002F22E0" w:rsidRDefault="00BC1C7E" w:rsidP="009270B9">
      <w:pPr>
        <w:pStyle w:val="a9"/>
        <w:numPr>
          <w:ilvl w:val="0"/>
          <w:numId w:val="1"/>
        </w:numPr>
        <w:spacing w:line="360" w:lineRule="auto"/>
        <w:jc w:val="both"/>
        <w:rPr>
          <w:rFonts w:ascii="David" w:hAnsi="David"/>
        </w:rPr>
      </w:pPr>
      <w:hyperlink r:id="rId13" w:history="1">
        <w:r w:rsidRPr="00BC1C7E">
          <w:rPr>
            <w:rFonts w:ascii="David" w:hAnsi="David"/>
            <w:color w:val="0000FF"/>
            <w:u w:val="single"/>
            <w:rtl/>
          </w:rPr>
          <w:t>רע"פ 1830/16</w:t>
        </w:r>
      </w:hyperlink>
      <w:r w:rsidR="009270B9" w:rsidRPr="002F22E0">
        <w:rPr>
          <w:rFonts w:ascii="David" w:hAnsi="David" w:hint="cs"/>
          <w:rtl/>
        </w:rPr>
        <w:t xml:space="preserve"> </w:t>
      </w:r>
      <w:r w:rsidR="009270B9" w:rsidRPr="002F22E0">
        <w:rPr>
          <w:rFonts w:ascii="David" w:hAnsi="David" w:hint="cs"/>
          <w:b/>
          <w:bCs/>
          <w:rtl/>
        </w:rPr>
        <w:t>רקיבי נ' מ"י</w:t>
      </w:r>
      <w:r w:rsidR="009270B9" w:rsidRPr="002F22E0">
        <w:rPr>
          <w:rFonts w:ascii="David" w:hAnsi="David" w:hint="cs"/>
          <w:rtl/>
        </w:rPr>
        <w:t xml:space="preserve"> (מיום 11.4.2016) - אושר מתחם ענישה שבין 6 ל-15 חודשי מאסר בנסיבות של החזקת 2.3 ק"ג חשיש מחולק לחבילות, וכן אושר עונש של 8 חודשי מאסר בפועל.</w:t>
      </w:r>
    </w:p>
    <w:p w14:paraId="2A1BFEF1" w14:textId="77777777" w:rsidR="009270B9" w:rsidRPr="002F22E0" w:rsidRDefault="00BC1C7E" w:rsidP="009270B9">
      <w:pPr>
        <w:pStyle w:val="a9"/>
        <w:numPr>
          <w:ilvl w:val="0"/>
          <w:numId w:val="1"/>
        </w:numPr>
        <w:spacing w:line="360" w:lineRule="auto"/>
        <w:jc w:val="both"/>
        <w:rPr>
          <w:rFonts w:ascii="David" w:hAnsi="David"/>
        </w:rPr>
      </w:pPr>
      <w:hyperlink r:id="rId14" w:history="1">
        <w:r w:rsidRPr="00BC1C7E">
          <w:rPr>
            <w:rFonts w:ascii="David" w:hAnsi="David"/>
            <w:color w:val="0000FF"/>
            <w:u w:val="single"/>
            <w:rtl/>
          </w:rPr>
          <w:t>רע"פ 7819/15</w:t>
        </w:r>
      </w:hyperlink>
      <w:r w:rsidR="009270B9" w:rsidRPr="002F22E0">
        <w:rPr>
          <w:rFonts w:ascii="David" w:hAnsi="David" w:hint="cs"/>
          <w:rtl/>
        </w:rPr>
        <w:t xml:space="preserve"> </w:t>
      </w:r>
      <w:r w:rsidR="009270B9" w:rsidRPr="002F22E0">
        <w:rPr>
          <w:rFonts w:ascii="David" w:hAnsi="David" w:hint="cs"/>
          <w:b/>
          <w:bCs/>
          <w:rtl/>
        </w:rPr>
        <w:t>סלור נ' מ"י</w:t>
      </w:r>
      <w:r w:rsidR="009270B9" w:rsidRPr="002F22E0">
        <w:rPr>
          <w:rFonts w:ascii="David" w:hAnsi="David" w:hint="cs"/>
          <w:rtl/>
        </w:rPr>
        <w:t xml:space="preserve"> (מיום 22.5.2016) </w:t>
      </w:r>
      <w:r w:rsidR="009270B9" w:rsidRPr="002F22E0">
        <w:rPr>
          <w:rFonts w:ascii="David" w:hAnsi="David"/>
          <w:rtl/>
        </w:rPr>
        <w:t>–</w:t>
      </w:r>
      <w:r w:rsidR="009270B9" w:rsidRPr="002F22E0">
        <w:rPr>
          <w:rFonts w:ascii="David" w:hAnsi="David" w:hint="cs"/>
          <w:rtl/>
        </w:rPr>
        <w:t xml:space="preserve"> אושר מתחם שבין 7 ל-18 חודשי מאסר בנסיבות של גידול והחזקה שלא לצריכה עצמית של סם מסוג קנביס במשקל של 7 ק"ג ומעלה. אושר עונש של 9 חודשי מאסר בפועל. </w:t>
      </w:r>
    </w:p>
    <w:p w14:paraId="0F101AB4" w14:textId="77777777" w:rsidR="009270B9" w:rsidRPr="002F22E0" w:rsidRDefault="00BC1C7E" w:rsidP="009270B9">
      <w:pPr>
        <w:pStyle w:val="a9"/>
        <w:numPr>
          <w:ilvl w:val="0"/>
          <w:numId w:val="1"/>
        </w:numPr>
        <w:spacing w:line="360" w:lineRule="auto"/>
        <w:jc w:val="both"/>
        <w:rPr>
          <w:rFonts w:ascii="David" w:hAnsi="David"/>
        </w:rPr>
      </w:pPr>
      <w:hyperlink r:id="rId15" w:history="1">
        <w:r w:rsidRPr="00BC1C7E">
          <w:rPr>
            <w:rFonts w:ascii="David" w:hAnsi="David"/>
            <w:color w:val="0000FF"/>
            <w:u w:val="single"/>
            <w:rtl/>
          </w:rPr>
          <w:t>רע"פ 7810/20</w:t>
        </w:r>
      </w:hyperlink>
      <w:r w:rsidR="009270B9" w:rsidRPr="002F22E0">
        <w:rPr>
          <w:rFonts w:ascii="David" w:hAnsi="David" w:hint="cs"/>
          <w:rtl/>
        </w:rPr>
        <w:t xml:space="preserve"> </w:t>
      </w:r>
      <w:r w:rsidR="009270B9" w:rsidRPr="002F22E0">
        <w:rPr>
          <w:rFonts w:ascii="David" w:hAnsi="David" w:hint="cs"/>
          <w:b/>
          <w:bCs/>
          <w:rtl/>
        </w:rPr>
        <w:t>אלדרוב נ' מ"י</w:t>
      </w:r>
      <w:r w:rsidR="009270B9" w:rsidRPr="002F22E0">
        <w:rPr>
          <w:rFonts w:ascii="David" w:hAnsi="David" w:hint="cs"/>
          <w:rtl/>
        </w:rPr>
        <w:t xml:space="preserve"> (מיום 31.12.2020) - אושר מתחם שבין 6 ל-25 חודשי מאסר ביחס לעבירה של החזקה שלא לצריכה עצמית וגידול קנביס במשקל העולה על קילו. באותן נסיבות נדון הנאשם ל-20 חודשי מאסר בשל עבירות נוספות וחמורות יותר, אך המתחם שנקבע, כאמור, רלבנטי לענייננו.</w:t>
      </w:r>
    </w:p>
    <w:p w14:paraId="77DD12E0" w14:textId="77777777" w:rsidR="009270B9" w:rsidRPr="002F22E0" w:rsidRDefault="00BC1C7E" w:rsidP="009270B9">
      <w:pPr>
        <w:pStyle w:val="a9"/>
        <w:numPr>
          <w:ilvl w:val="0"/>
          <w:numId w:val="1"/>
        </w:numPr>
        <w:spacing w:line="360" w:lineRule="auto"/>
        <w:jc w:val="both"/>
        <w:rPr>
          <w:rFonts w:ascii="David" w:hAnsi="David"/>
        </w:rPr>
      </w:pPr>
      <w:hyperlink r:id="rId16" w:history="1">
        <w:r w:rsidRPr="00BC1C7E">
          <w:rPr>
            <w:rFonts w:ascii="David" w:hAnsi="David"/>
            <w:color w:val="0000FF"/>
            <w:u w:val="single"/>
            <w:rtl/>
          </w:rPr>
          <w:t>רע"פ 174/21</w:t>
        </w:r>
      </w:hyperlink>
      <w:r w:rsidR="009270B9" w:rsidRPr="002F22E0">
        <w:rPr>
          <w:rFonts w:ascii="David" w:hAnsi="David" w:hint="cs"/>
          <w:rtl/>
        </w:rPr>
        <w:t xml:space="preserve"> </w:t>
      </w:r>
      <w:r w:rsidR="009270B9" w:rsidRPr="002F22E0">
        <w:rPr>
          <w:rFonts w:ascii="David" w:hAnsi="David" w:hint="cs"/>
          <w:b/>
          <w:bCs/>
          <w:rtl/>
        </w:rPr>
        <w:t>סויסה נ' מ"י</w:t>
      </w:r>
      <w:r w:rsidR="009270B9" w:rsidRPr="002F22E0">
        <w:rPr>
          <w:rFonts w:ascii="David" w:hAnsi="David" w:hint="cs"/>
          <w:rtl/>
        </w:rPr>
        <w:t xml:space="preserve"> (מיום 25.2.2021) </w:t>
      </w:r>
      <w:r w:rsidR="009270B9" w:rsidRPr="002F22E0">
        <w:rPr>
          <w:rFonts w:ascii="David" w:hAnsi="David"/>
          <w:rtl/>
        </w:rPr>
        <w:t>–</w:t>
      </w:r>
      <w:r w:rsidR="009270B9" w:rsidRPr="002F22E0">
        <w:rPr>
          <w:rFonts w:ascii="David" w:hAnsi="David" w:hint="cs"/>
          <w:rtl/>
        </w:rPr>
        <w:t xml:space="preserve"> אושר עונש של 18 חודשי מאסר שהוחמר מ-9 חודשי מאסר בעבודות שירות בנסיבות של מכירות מרובות לכל דכפין, לרבות לקטין ובנסיבות של החזקת כ-200 גרם קנביס שלא לצריכה עצמי. </w:t>
      </w:r>
    </w:p>
    <w:p w14:paraId="772A1102" w14:textId="77777777" w:rsidR="009270B9" w:rsidRPr="002F22E0" w:rsidRDefault="00BC1C7E" w:rsidP="009270B9">
      <w:pPr>
        <w:pStyle w:val="a9"/>
        <w:numPr>
          <w:ilvl w:val="0"/>
          <w:numId w:val="1"/>
        </w:numPr>
        <w:spacing w:line="360" w:lineRule="auto"/>
        <w:jc w:val="both"/>
        <w:rPr>
          <w:rFonts w:ascii="David" w:hAnsi="David"/>
        </w:rPr>
      </w:pPr>
      <w:hyperlink r:id="rId17" w:history="1">
        <w:r w:rsidRPr="00BC1C7E">
          <w:rPr>
            <w:rFonts w:ascii="David" w:hAnsi="David"/>
            <w:color w:val="0000FF"/>
            <w:u w:val="single"/>
            <w:rtl/>
          </w:rPr>
          <w:t>רע"פ 3287/21</w:t>
        </w:r>
      </w:hyperlink>
      <w:r w:rsidR="009270B9" w:rsidRPr="002F22E0">
        <w:rPr>
          <w:rFonts w:ascii="David" w:hAnsi="David" w:hint="cs"/>
          <w:rtl/>
        </w:rPr>
        <w:t xml:space="preserve"> </w:t>
      </w:r>
      <w:r w:rsidR="009270B9" w:rsidRPr="002F22E0">
        <w:rPr>
          <w:rFonts w:ascii="David" w:hAnsi="David" w:hint="cs"/>
          <w:b/>
          <w:bCs/>
          <w:rtl/>
        </w:rPr>
        <w:t>עתמין נ' מ"י</w:t>
      </w:r>
      <w:r w:rsidR="009270B9" w:rsidRPr="002F22E0">
        <w:rPr>
          <w:rFonts w:ascii="David" w:hAnsi="David" w:hint="cs"/>
          <w:rtl/>
        </w:rPr>
        <w:t xml:space="preserve"> (מיום 12.5.2021), אושר מתחם שבין 24 ל-48 חודשים ועונש של 20 חודשי מאסר שהוחמר בבית המשפט המחוזי מ-9 חודשי עבודות שירות. שם דובר בגידול בחממה של שתילי קנביס במשקל 57.4 ק"ג.</w:t>
      </w:r>
    </w:p>
    <w:p w14:paraId="23DB80D3" w14:textId="77777777" w:rsidR="009270B9" w:rsidRPr="002F22E0" w:rsidRDefault="00BC1C7E" w:rsidP="009270B9">
      <w:pPr>
        <w:pStyle w:val="a9"/>
        <w:numPr>
          <w:ilvl w:val="0"/>
          <w:numId w:val="1"/>
        </w:numPr>
        <w:spacing w:line="360" w:lineRule="auto"/>
        <w:jc w:val="both"/>
        <w:rPr>
          <w:rFonts w:ascii="David" w:hAnsi="David"/>
        </w:rPr>
      </w:pPr>
      <w:hyperlink r:id="rId18" w:history="1">
        <w:r w:rsidRPr="00BC1C7E">
          <w:rPr>
            <w:rFonts w:ascii="David" w:hAnsi="David"/>
            <w:color w:val="0000FF"/>
            <w:u w:val="single"/>
            <w:rtl/>
          </w:rPr>
          <w:t>רע"פ 8630/21</w:t>
        </w:r>
      </w:hyperlink>
      <w:r w:rsidR="009270B9" w:rsidRPr="002F22E0">
        <w:rPr>
          <w:rFonts w:ascii="David" w:hAnsi="David" w:hint="cs"/>
          <w:rtl/>
        </w:rPr>
        <w:t xml:space="preserve"> </w:t>
      </w:r>
      <w:r w:rsidR="009270B9" w:rsidRPr="002F22E0">
        <w:rPr>
          <w:rFonts w:ascii="David" w:hAnsi="David" w:hint="cs"/>
          <w:b/>
          <w:bCs/>
          <w:rtl/>
        </w:rPr>
        <w:t>האמער נ' מ"י</w:t>
      </w:r>
      <w:r w:rsidR="009270B9" w:rsidRPr="002F22E0">
        <w:rPr>
          <w:rFonts w:ascii="David" w:hAnsi="David" w:hint="cs"/>
          <w:rtl/>
        </w:rPr>
        <w:t xml:space="preserve"> (מיום 21.12.2021) </w:t>
      </w:r>
      <w:r w:rsidR="009270B9" w:rsidRPr="002F22E0">
        <w:rPr>
          <w:rFonts w:ascii="David" w:hAnsi="David"/>
          <w:rtl/>
        </w:rPr>
        <w:t>–</w:t>
      </w:r>
      <w:r w:rsidR="009270B9" w:rsidRPr="002F22E0">
        <w:rPr>
          <w:rFonts w:ascii="David" w:hAnsi="David" w:hint="cs"/>
          <w:rtl/>
        </w:rPr>
        <w:t xml:space="preserve"> זוהי בקשת רשות ערעור בעניינו של השותף נחמן, שם אישר בית המשפט העליון את קביעות הערכאות </w:t>
      </w:r>
      <w:r w:rsidR="009270B9">
        <w:rPr>
          <w:rFonts w:ascii="David" w:hAnsi="David" w:hint="cs"/>
          <w:rtl/>
        </w:rPr>
        <w:t xml:space="preserve">הראשונות </w:t>
      </w:r>
      <w:r w:rsidR="009270B9" w:rsidRPr="002F22E0">
        <w:rPr>
          <w:rFonts w:ascii="David" w:hAnsi="David" w:hint="cs"/>
          <w:rtl/>
        </w:rPr>
        <w:t>ואישר מתחם שבין 10 ל-30 חודשים בנסיבות מקרה זה.</w:t>
      </w:r>
    </w:p>
    <w:p w14:paraId="36E9E550" w14:textId="77777777" w:rsidR="009270B9" w:rsidRPr="002F22E0" w:rsidRDefault="00BC1C7E" w:rsidP="009270B9">
      <w:pPr>
        <w:pStyle w:val="a9"/>
        <w:numPr>
          <w:ilvl w:val="0"/>
          <w:numId w:val="1"/>
        </w:numPr>
        <w:spacing w:line="360" w:lineRule="auto"/>
        <w:jc w:val="both"/>
        <w:rPr>
          <w:rFonts w:ascii="David" w:hAnsi="David"/>
        </w:rPr>
      </w:pPr>
      <w:hyperlink r:id="rId19" w:history="1">
        <w:r w:rsidRPr="00BC1C7E">
          <w:rPr>
            <w:rFonts w:ascii="David" w:hAnsi="David"/>
            <w:color w:val="0000FF"/>
            <w:u w:val="single"/>
            <w:rtl/>
          </w:rPr>
          <w:t>עפ"ג (חיפה) 28110-10-15</w:t>
        </w:r>
      </w:hyperlink>
      <w:r w:rsidR="009270B9" w:rsidRPr="002F22E0">
        <w:rPr>
          <w:rFonts w:ascii="David" w:hAnsi="David" w:hint="cs"/>
          <w:rtl/>
        </w:rPr>
        <w:t xml:space="preserve"> </w:t>
      </w:r>
      <w:r w:rsidR="009270B9" w:rsidRPr="002F22E0">
        <w:rPr>
          <w:rFonts w:ascii="David" w:hAnsi="David" w:hint="cs"/>
          <w:b/>
          <w:bCs/>
          <w:rtl/>
        </w:rPr>
        <w:t>מ"י נ' דוד</w:t>
      </w:r>
      <w:r w:rsidR="009270B9" w:rsidRPr="002F22E0">
        <w:rPr>
          <w:rFonts w:ascii="David" w:hAnsi="David" w:hint="cs"/>
          <w:rtl/>
        </w:rPr>
        <w:t xml:space="preserve"> (מיום 17.12.2015) </w:t>
      </w:r>
      <w:r w:rsidR="009270B9" w:rsidRPr="002F22E0">
        <w:rPr>
          <w:rFonts w:ascii="David" w:hAnsi="David"/>
          <w:rtl/>
        </w:rPr>
        <w:t>–</w:t>
      </w:r>
      <w:r w:rsidR="009270B9" w:rsidRPr="002F22E0">
        <w:rPr>
          <w:rFonts w:ascii="David" w:hAnsi="David" w:hint="cs"/>
          <w:rtl/>
        </w:rPr>
        <w:t xml:space="preserve"> גידול 3.6 ק"ג קנביס. אושר מתחם שבין 6 ל-12 חודשי מאסר ועונש של 180 ש' של"ץ כחריגה מהמתחם מטעמי שיקום.</w:t>
      </w:r>
    </w:p>
    <w:p w14:paraId="460EEC8D" w14:textId="77777777" w:rsidR="009270B9" w:rsidRPr="002F22E0" w:rsidRDefault="00BC1C7E" w:rsidP="009270B9">
      <w:pPr>
        <w:pStyle w:val="a9"/>
        <w:numPr>
          <w:ilvl w:val="0"/>
          <w:numId w:val="1"/>
        </w:numPr>
        <w:spacing w:line="360" w:lineRule="auto"/>
        <w:jc w:val="both"/>
        <w:rPr>
          <w:rFonts w:ascii="David" w:hAnsi="David"/>
        </w:rPr>
      </w:pPr>
      <w:hyperlink r:id="rId20" w:history="1">
        <w:r w:rsidRPr="00BC1C7E">
          <w:rPr>
            <w:rFonts w:ascii="David" w:hAnsi="David"/>
            <w:color w:val="0000FF"/>
            <w:u w:val="single"/>
            <w:rtl/>
          </w:rPr>
          <w:t>עפ"ג (מרכז) 76025-01-19</w:t>
        </w:r>
      </w:hyperlink>
      <w:r w:rsidR="009270B9" w:rsidRPr="002F22E0">
        <w:rPr>
          <w:rFonts w:ascii="David" w:hAnsi="David" w:hint="cs"/>
          <w:rtl/>
        </w:rPr>
        <w:t xml:space="preserve"> </w:t>
      </w:r>
      <w:r w:rsidR="009270B9" w:rsidRPr="002F22E0">
        <w:rPr>
          <w:rFonts w:ascii="David" w:hAnsi="David" w:hint="cs"/>
          <w:b/>
          <w:bCs/>
          <w:rtl/>
        </w:rPr>
        <w:t>שובל נ' מ"י</w:t>
      </w:r>
      <w:r w:rsidR="009270B9" w:rsidRPr="002F22E0">
        <w:rPr>
          <w:rFonts w:ascii="David" w:hAnsi="David" w:hint="cs"/>
          <w:rtl/>
        </w:rPr>
        <w:t xml:space="preserve"> (מיום 15.7.2019) </w:t>
      </w:r>
      <w:r w:rsidR="009270B9" w:rsidRPr="002F22E0">
        <w:rPr>
          <w:rFonts w:ascii="David" w:hAnsi="David"/>
          <w:rtl/>
        </w:rPr>
        <w:t>–</w:t>
      </w:r>
      <w:r w:rsidR="009270B9" w:rsidRPr="002F22E0">
        <w:rPr>
          <w:rFonts w:ascii="David" w:hAnsi="David" w:hint="cs"/>
          <w:rtl/>
        </w:rPr>
        <w:t xml:space="preserve"> אושר מתחם שבין 10 ל-24 חודשי מאסר בנסיבות של הקמת מעבדה בצוותא, גידול והחזקה של 10 ק"ג קנביס. אושר עונש של 10 חודשי מאסר.</w:t>
      </w:r>
    </w:p>
    <w:p w14:paraId="4595C9CB" w14:textId="77777777" w:rsidR="009270B9" w:rsidRDefault="009270B9" w:rsidP="009270B9">
      <w:pPr>
        <w:pStyle w:val="a9"/>
        <w:numPr>
          <w:ilvl w:val="0"/>
          <w:numId w:val="1"/>
        </w:numPr>
        <w:spacing w:line="360" w:lineRule="auto"/>
        <w:jc w:val="both"/>
        <w:rPr>
          <w:rFonts w:ascii="David" w:hAnsi="David"/>
        </w:rPr>
      </w:pPr>
      <w:r w:rsidRPr="002F22E0">
        <w:rPr>
          <w:rFonts w:ascii="David" w:hAnsi="David" w:hint="cs"/>
          <w:rtl/>
        </w:rPr>
        <w:t>עפ"ג (מרכז) 14767-04-19</w:t>
      </w:r>
      <w:r w:rsidRPr="002F22E0">
        <w:rPr>
          <w:rFonts w:ascii="David" w:hAnsi="David" w:hint="cs"/>
          <w:b/>
          <w:bCs/>
          <w:rtl/>
        </w:rPr>
        <w:t xml:space="preserve"> מ"י נ' אלקיים </w:t>
      </w:r>
      <w:r w:rsidRPr="002F22E0">
        <w:rPr>
          <w:rFonts w:ascii="David" w:hAnsi="David" w:hint="cs"/>
          <w:rtl/>
        </w:rPr>
        <w:t xml:space="preserve">(מיום 24.9.2019) </w:t>
      </w:r>
      <w:r w:rsidRPr="002F22E0">
        <w:rPr>
          <w:rFonts w:ascii="David" w:hAnsi="David"/>
          <w:rtl/>
        </w:rPr>
        <w:t>–</w:t>
      </w:r>
      <w:r w:rsidRPr="002F22E0">
        <w:rPr>
          <w:rFonts w:ascii="David" w:hAnsi="David" w:hint="cs"/>
          <w:rtl/>
        </w:rPr>
        <w:t xml:space="preserve"> אושר מתחם שבין 18 ל-36 חודשי מאסר בנסיבות של גידול כ-44 ק"ג קנביס, וכן אושר עונש של 9 חודשי מאסר בעבודות שירות במסגרת חריגה מטעמי שיקום. </w:t>
      </w:r>
    </w:p>
    <w:p w14:paraId="1E6B5228" w14:textId="77777777" w:rsidR="009270B9" w:rsidRPr="002F22E0" w:rsidRDefault="009270B9" w:rsidP="009270B9">
      <w:pPr>
        <w:pStyle w:val="a9"/>
        <w:spacing w:line="360" w:lineRule="auto"/>
        <w:jc w:val="both"/>
        <w:rPr>
          <w:rFonts w:ascii="David" w:hAnsi="David"/>
        </w:rPr>
      </w:pPr>
    </w:p>
    <w:p w14:paraId="163B811B" w14:textId="77777777" w:rsidR="009270B9" w:rsidRDefault="009270B9" w:rsidP="009270B9">
      <w:pPr>
        <w:pStyle w:val="a9"/>
        <w:numPr>
          <w:ilvl w:val="0"/>
          <w:numId w:val="2"/>
        </w:numPr>
        <w:spacing w:line="360" w:lineRule="auto"/>
        <w:jc w:val="both"/>
        <w:rPr>
          <w:rFonts w:ascii="David" w:hAnsi="David"/>
        </w:rPr>
      </w:pPr>
      <w:r w:rsidRPr="00513702">
        <w:rPr>
          <w:rFonts w:ascii="David" w:hAnsi="David" w:hint="cs"/>
          <w:b/>
          <w:bCs/>
          <w:rtl/>
        </w:rPr>
        <w:t>מתחם העונש ההולם</w:t>
      </w:r>
      <w:r>
        <w:rPr>
          <w:rFonts w:ascii="David" w:hAnsi="David" w:hint="cs"/>
          <w:rtl/>
        </w:rPr>
        <w:t xml:space="preserve"> </w:t>
      </w:r>
      <w:r>
        <w:rPr>
          <w:rFonts w:ascii="David" w:hAnsi="David"/>
          <w:rtl/>
        </w:rPr>
        <w:t>–</w:t>
      </w:r>
      <w:r>
        <w:rPr>
          <w:rFonts w:ascii="David" w:hAnsi="David" w:hint="cs"/>
          <w:rtl/>
        </w:rPr>
        <w:t xml:space="preserve"> סקירת הפסיקה שלעיל מלמדת כאמור על הכלל של מאסר ואף משמעותי בנסיבות דומות, ואולם סקירה זו מלמדת גם על יכולת בית המשפט לסטות מטעמי שיקום ממתחם העונש הראוי, ולהטיל הן עבודות שירות והן של"ץ בנסיבות המתאימות. מכל מקום, המתחם שאומץ בעניינו של נחמן, בין 10 ל-30 חודשים ראוי שיאומץ כאן, וכך אני קובע.</w:t>
      </w:r>
    </w:p>
    <w:p w14:paraId="03D4A19C" w14:textId="77777777" w:rsidR="009270B9" w:rsidRDefault="009270B9" w:rsidP="009270B9">
      <w:pPr>
        <w:spacing w:line="360" w:lineRule="auto"/>
        <w:jc w:val="both"/>
        <w:rPr>
          <w:rFonts w:ascii="David" w:hAnsi="David"/>
          <w:b/>
          <w:bCs/>
          <w:u w:val="single"/>
          <w:rtl/>
        </w:rPr>
      </w:pPr>
    </w:p>
    <w:p w14:paraId="0F488503" w14:textId="77777777" w:rsidR="009270B9" w:rsidRPr="00513702" w:rsidRDefault="009270B9" w:rsidP="009270B9">
      <w:pPr>
        <w:spacing w:line="360" w:lineRule="auto"/>
        <w:jc w:val="both"/>
        <w:rPr>
          <w:rFonts w:ascii="David" w:hAnsi="David"/>
          <w:b/>
          <w:bCs/>
          <w:u w:val="single"/>
        </w:rPr>
      </w:pPr>
      <w:r w:rsidRPr="00513702">
        <w:rPr>
          <w:rFonts w:ascii="David" w:hAnsi="David" w:hint="cs"/>
          <w:b/>
          <w:bCs/>
          <w:u w:val="single"/>
          <w:rtl/>
        </w:rPr>
        <w:t>נסיבותיו של הנאשם והחריגה מהמתחם מטעמי שיקום</w:t>
      </w:r>
    </w:p>
    <w:p w14:paraId="6C23856D" w14:textId="77777777" w:rsidR="009270B9" w:rsidRDefault="009270B9" w:rsidP="009270B9">
      <w:pPr>
        <w:pStyle w:val="a9"/>
        <w:numPr>
          <w:ilvl w:val="0"/>
          <w:numId w:val="2"/>
        </w:numPr>
        <w:spacing w:line="360" w:lineRule="auto"/>
        <w:jc w:val="both"/>
        <w:rPr>
          <w:rFonts w:ascii="David" w:hAnsi="David"/>
        </w:rPr>
      </w:pPr>
      <w:r>
        <w:rPr>
          <w:rFonts w:ascii="David" w:hAnsi="David" w:hint="cs"/>
          <w:rtl/>
        </w:rPr>
        <w:t xml:space="preserve">לא בכדי הרחבתי על אודות קורותיו של הנאשם וההליך, וזאת על-מנת להמחיש את כברת הדרך שעשה הנאשם לאורך השנים הארוכות שבהן מתנהל הליך זה. נכון הוא, שדרכו של הנאשם לא הייתה חפה מבעיות, ואולם היותו מתמודד עם תחלואה כפולה </w:t>
      </w:r>
      <w:r>
        <w:rPr>
          <w:rFonts w:ascii="David" w:hAnsi="David"/>
          <w:rtl/>
        </w:rPr>
        <w:t>–</w:t>
      </w:r>
      <w:r>
        <w:rPr>
          <w:rFonts w:ascii="David" w:hAnsi="David" w:hint="cs"/>
          <w:rtl/>
        </w:rPr>
        <w:t xml:space="preserve"> נפשית והתמכרותית לחומרים משני תודעה </w:t>
      </w:r>
      <w:r>
        <w:rPr>
          <w:rFonts w:ascii="David" w:hAnsi="David"/>
          <w:rtl/>
        </w:rPr>
        <w:t>–</w:t>
      </w:r>
      <w:r>
        <w:rPr>
          <w:rFonts w:ascii="David" w:hAnsi="David" w:hint="cs"/>
          <w:rtl/>
        </w:rPr>
        <w:t xml:space="preserve"> היא עובדה חשובה ומרכזית להבנת התמונה. בעת שבוחנים תהליך שיקומי ואת מידת רצינותו של המשתקם, יש לבחון את נקודת ההתחלה לעומת נקודת הזמן הנוכחית. ובכן, בעניינו של הנאשם, מצב הדברים הוא "שמיים וארץ". הנאשם היה מכור עשרות שנים ולא הצליח לשמור על ניקיון למשך תקופה ארוכה. והנה כאן לפניי, הוא מצליח לשמור על ניקיון מזה כשנה, הוא חזר לעבוד באופן מסודר, הוא מתמיד בטיפול במספר אפיקים מקבילים (פגישות ביחידת ההתמכרויות, מפגשי </w:t>
      </w:r>
      <w:r>
        <w:rPr>
          <w:rFonts w:ascii="David" w:hAnsi="David" w:hint="cs"/>
        </w:rPr>
        <w:t>NA</w:t>
      </w:r>
      <w:r>
        <w:rPr>
          <w:rFonts w:ascii="David" w:hAnsi="David" w:hint="cs"/>
          <w:rtl/>
        </w:rPr>
        <w:t xml:space="preserve">, מתן בדיקות שתן נקיות ברציפות והמשך טיפול ומעקב פסיכיאטריים, וכן שילוב בשירותי "סל שיקום"), ונראה שלראשונה הוא חווה חיים שגרתיים כאחד האדם. </w:t>
      </w:r>
      <w:r>
        <w:rPr>
          <w:rFonts w:ascii="David" w:hAnsi="David"/>
          <w:rtl/>
        </w:rPr>
        <w:br/>
      </w:r>
      <w:r>
        <w:rPr>
          <w:rFonts w:ascii="David" w:hAnsi="David" w:hint="cs"/>
          <w:rtl/>
        </w:rPr>
        <w:t>במו-עיניי ראיתי כיצד הנאשם הגיע לתחתית הבור, כשבאחד מהדיונים התייצב לפניי לבוש בבגדים בסגנון תנ"כי, כשהוא מדבר שלא לעניין, והיה קושי של ממש לתקשר אתו. לא בִּכְדִי, יום לאחר מכן כבר אושפז במצב פסיכוטי. וכיום, מצבו שונה בתכלית, ולא רק זאת, אלא שהוא מחזיק כעת בשאיפות להתקדם, ללמוד מקצוע ולשמור על הישגי השיקום. נדמה שזהו מצב דברים המלמד על שיקום מובהק. בהקשר זה, יש לקחת בחשבון את משך הזמן שבו מנוהל התיק ושבו ניתנה לי האפשרות לעקוב אחר מהלכיו של הנאשם, ועל-כן מדובר בטווח זמן ארוך המעניק נקודת מבט מעמיקה יותר בהקשר להערכת השיקום הפוטנציאלי וזה שבפועל.</w:t>
      </w:r>
    </w:p>
    <w:p w14:paraId="29C28F6D" w14:textId="77777777" w:rsidR="009270B9" w:rsidRDefault="009270B9" w:rsidP="009270B9">
      <w:pPr>
        <w:pStyle w:val="a9"/>
        <w:spacing w:line="360" w:lineRule="auto"/>
        <w:ind w:left="360"/>
        <w:jc w:val="both"/>
        <w:rPr>
          <w:rFonts w:ascii="David" w:hAnsi="David"/>
        </w:rPr>
      </w:pPr>
    </w:p>
    <w:p w14:paraId="28050092" w14:textId="77777777" w:rsidR="009270B9" w:rsidRDefault="009270B9" w:rsidP="009270B9">
      <w:pPr>
        <w:pStyle w:val="a9"/>
        <w:numPr>
          <w:ilvl w:val="0"/>
          <w:numId w:val="2"/>
        </w:numPr>
        <w:spacing w:line="360" w:lineRule="auto"/>
        <w:jc w:val="both"/>
        <w:rPr>
          <w:rFonts w:ascii="David" w:hAnsi="David"/>
        </w:rPr>
      </w:pPr>
      <w:r>
        <w:rPr>
          <w:rFonts w:ascii="David" w:hAnsi="David" w:hint="cs"/>
          <w:rtl/>
        </w:rPr>
        <w:t>ב</w:t>
      </w:r>
      <w:hyperlink r:id="rId21" w:history="1">
        <w:r w:rsidR="00BC1C7E" w:rsidRPr="00BC1C7E">
          <w:rPr>
            <w:rFonts w:ascii="David" w:hAnsi="David"/>
            <w:color w:val="0000FF"/>
            <w:u w:val="single"/>
            <w:rtl/>
          </w:rPr>
          <w:t>ע"פ 7353/18</w:t>
        </w:r>
      </w:hyperlink>
      <w:r>
        <w:rPr>
          <w:rFonts w:ascii="David" w:hAnsi="David" w:hint="cs"/>
          <w:rtl/>
        </w:rPr>
        <w:t xml:space="preserve"> </w:t>
      </w:r>
      <w:r w:rsidRPr="00A71C34">
        <w:rPr>
          <w:rFonts w:ascii="David" w:hAnsi="David" w:hint="cs"/>
          <w:b/>
          <w:bCs/>
          <w:rtl/>
        </w:rPr>
        <w:t>חדד נ' מ"י</w:t>
      </w:r>
      <w:r>
        <w:rPr>
          <w:rFonts w:ascii="David" w:hAnsi="David" w:hint="cs"/>
          <w:rtl/>
        </w:rPr>
        <w:t xml:space="preserve"> (מיום 1.5.2019) עמד בית המשפט העליון על נסיבות של חריגה משמעותית ממתחם העונש משיקולי שיקום ונאמר שם כך: </w:t>
      </w:r>
    </w:p>
    <w:p w14:paraId="62F3AED0" w14:textId="77777777" w:rsidR="009270B9" w:rsidRDefault="009270B9" w:rsidP="009270B9">
      <w:pPr>
        <w:pStyle w:val="a9"/>
        <w:ind w:left="680" w:right="680"/>
        <w:jc w:val="both"/>
        <w:rPr>
          <w:rFonts w:ascii="David" w:hAnsi="David"/>
          <w:rtl/>
        </w:rPr>
      </w:pPr>
      <w:r>
        <w:rPr>
          <w:rFonts w:ascii="David" w:hAnsi="David" w:hint="cs"/>
          <w:rtl/>
        </w:rPr>
        <w:t xml:space="preserve">מצב דברים שבו עבריין נרתם כולו לשיקום, עושה כל שלאל ידו כדי לחזור למוטב, ומצוי בעיצומה של חזרה לדרך הישר </w:t>
      </w:r>
      <w:r>
        <w:rPr>
          <w:rFonts w:ascii="David" w:hAnsi="David"/>
          <w:rtl/>
        </w:rPr>
        <w:t>–</w:t>
      </w:r>
      <w:r>
        <w:rPr>
          <w:rFonts w:ascii="David" w:hAnsi="David" w:hint="cs"/>
          <w:rtl/>
        </w:rPr>
        <w:t xml:space="preserve"> עשוי להצדיק הקלה בעונשו, או למצער התאמתו, כך שהעונש שבו יישא לא יפגום במאמצי השיקום, ובתוצאותיהם המוכחות. בכך יקודם אינטרס הציבור, בשובם של בני החברה שסטו מן הדרך לתפקוד חיובי ומיטיב. אכן, לא בכל המקרים יפה הבכורה להלימה ולהרתעה; לעתים ראוי לשיקולי השיקום לתפוס את הבכורה (</w:t>
      </w:r>
      <w:r w:rsidRPr="006555B0">
        <w:rPr>
          <w:rFonts w:ascii="David" w:hAnsi="David" w:hint="cs"/>
          <w:b/>
          <w:bCs/>
          <w:rtl/>
        </w:rPr>
        <w:t>שם</w:t>
      </w:r>
      <w:r>
        <w:rPr>
          <w:rFonts w:ascii="David" w:hAnsi="David" w:hint="cs"/>
          <w:rtl/>
        </w:rPr>
        <w:t xml:space="preserve"> בפסקה 10).</w:t>
      </w:r>
    </w:p>
    <w:p w14:paraId="3986503B" w14:textId="77777777" w:rsidR="009270B9" w:rsidRDefault="009270B9" w:rsidP="009270B9">
      <w:pPr>
        <w:pStyle w:val="a9"/>
        <w:ind w:left="680" w:right="680"/>
        <w:jc w:val="both"/>
        <w:rPr>
          <w:rFonts w:ascii="David" w:hAnsi="David"/>
          <w:rtl/>
        </w:rPr>
      </w:pPr>
    </w:p>
    <w:p w14:paraId="70C0CC22" w14:textId="77777777" w:rsidR="009270B9" w:rsidRDefault="009270B9" w:rsidP="009270B9">
      <w:pPr>
        <w:pStyle w:val="a9"/>
        <w:ind w:left="680" w:right="680"/>
        <w:jc w:val="both"/>
        <w:rPr>
          <w:rFonts w:ascii="David" w:hAnsi="David"/>
          <w:rtl/>
        </w:rPr>
      </w:pPr>
    </w:p>
    <w:p w14:paraId="2F64395A" w14:textId="77777777" w:rsidR="009270B9" w:rsidRDefault="009270B9" w:rsidP="009270B9">
      <w:pPr>
        <w:pStyle w:val="a9"/>
        <w:numPr>
          <w:ilvl w:val="0"/>
          <w:numId w:val="2"/>
        </w:numPr>
        <w:spacing w:line="360" w:lineRule="auto"/>
        <w:jc w:val="both"/>
        <w:rPr>
          <w:rFonts w:ascii="David" w:hAnsi="David"/>
        </w:rPr>
      </w:pPr>
      <w:r w:rsidRPr="00D10213">
        <w:rPr>
          <w:rFonts w:ascii="David" w:hAnsi="David" w:hint="cs"/>
          <w:rtl/>
        </w:rPr>
        <w:t xml:space="preserve">בענייננו, משהנאשם לא נמצא כשיר לעבודות שירות בשל מצבו הנפשי, אך לעומת זאת </w:t>
      </w:r>
      <w:r>
        <w:rPr>
          <w:rFonts w:ascii="David" w:hAnsi="David" w:hint="cs"/>
          <w:rtl/>
        </w:rPr>
        <w:t xml:space="preserve">נמצא </w:t>
      </w:r>
      <w:r w:rsidRPr="00D10213">
        <w:rPr>
          <w:rFonts w:ascii="David" w:hAnsi="David" w:hint="cs"/>
          <w:rtl/>
        </w:rPr>
        <w:t>כשיר לבצע של"ץ, לא סברתי שיש להטיל עליו מאסר בשל כך, שכן הדבר יהווה עני</w:t>
      </w:r>
      <w:r>
        <w:rPr>
          <w:rFonts w:ascii="David" w:hAnsi="David" w:hint="cs"/>
          <w:rtl/>
        </w:rPr>
        <w:t>שה שאינה מדתית בנסיבות העניין, ש</w:t>
      </w:r>
      <w:r w:rsidRPr="00D10213">
        <w:rPr>
          <w:rFonts w:ascii="David" w:hAnsi="David" w:hint="cs"/>
          <w:rtl/>
        </w:rPr>
        <w:t>תביא לדרדורו החד כיווני של הנאשם תוך הורדה לטימיון של הישגיו</w:t>
      </w:r>
      <w:r>
        <w:rPr>
          <w:rFonts w:ascii="David" w:hAnsi="David" w:hint="cs"/>
          <w:rtl/>
        </w:rPr>
        <w:t xml:space="preserve"> </w:t>
      </w:r>
      <w:r>
        <w:rPr>
          <w:rFonts w:ascii="David" w:hAnsi="David"/>
          <w:rtl/>
        </w:rPr>
        <w:t>–</w:t>
      </w:r>
      <w:r>
        <w:rPr>
          <w:rFonts w:ascii="David" w:hAnsi="David" w:hint="cs"/>
          <w:rtl/>
        </w:rPr>
        <w:t xml:space="preserve"> דבר שאינו עולה בקנה אחד הן עם האינטרס הפרטני והן עם זה הציבורי</w:t>
      </w:r>
      <w:r w:rsidRPr="00D10213">
        <w:rPr>
          <w:rFonts w:ascii="David" w:hAnsi="David" w:hint="cs"/>
          <w:rtl/>
        </w:rPr>
        <w:t xml:space="preserve">. </w:t>
      </w:r>
    </w:p>
    <w:p w14:paraId="32F8F50F" w14:textId="77777777" w:rsidR="009270B9" w:rsidRPr="00D10213" w:rsidRDefault="009270B9" w:rsidP="009270B9">
      <w:pPr>
        <w:pStyle w:val="a9"/>
        <w:spacing w:line="360" w:lineRule="auto"/>
        <w:ind w:left="360"/>
        <w:jc w:val="both"/>
        <w:rPr>
          <w:rFonts w:ascii="David" w:hAnsi="David"/>
        </w:rPr>
      </w:pPr>
    </w:p>
    <w:p w14:paraId="13DDFF3E" w14:textId="77777777" w:rsidR="009270B9" w:rsidRDefault="009270B9" w:rsidP="009270B9">
      <w:pPr>
        <w:pStyle w:val="a9"/>
        <w:numPr>
          <w:ilvl w:val="0"/>
          <w:numId w:val="2"/>
        </w:numPr>
        <w:spacing w:line="360" w:lineRule="auto"/>
        <w:jc w:val="both"/>
        <w:rPr>
          <w:rFonts w:ascii="David" w:hAnsi="David"/>
        </w:rPr>
      </w:pPr>
      <w:r>
        <w:rPr>
          <w:rFonts w:ascii="David" w:hAnsi="David" w:hint="cs"/>
          <w:rtl/>
        </w:rPr>
        <w:t>נתתי דעתי גם לעקרון אחידות הענישה לו טענה ב"כ המאשימה, ואולם כבר נקבע שאין זהו עקרון שיש לתת לו משקל בלעדי או מכריע, ויש לבחון כל מקרה לגופו בהתאם לעקרון הענישה האינדיבידואלי</w:t>
      </w:r>
      <w:r>
        <w:rPr>
          <w:rFonts w:ascii="David" w:hAnsi="David" w:hint="eastAsia"/>
          <w:rtl/>
        </w:rPr>
        <w:t>ת</w:t>
      </w:r>
      <w:r>
        <w:rPr>
          <w:rFonts w:ascii="David" w:hAnsi="David" w:hint="cs"/>
          <w:rtl/>
        </w:rPr>
        <w:t xml:space="preserve">. ראו בהקשר זה: </w:t>
      </w:r>
      <w:hyperlink r:id="rId22" w:history="1">
        <w:r w:rsidR="00BC1C7E" w:rsidRPr="00BC1C7E">
          <w:rPr>
            <w:rFonts w:ascii="David" w:hAnsi="David"/>
            <w:color w:val="0000FF"/>
            <w:u w:val="single"/>
            <w:rtl/>
          </w:rPr>
          <w:t>ע"פ 4293/21</w:t>
        </w:r>
      </w:hyperlink>
      <w:r>
        <w:rPr>
          <w:rFonts w:ascii="David" w:hAnsi="David" w:hint="cs"/>
          <w:rtl/>
        </w:rPr>
        <w:t xml:space="preserve"> </w:t>
      </w:r>
      <w:r w:rsidRPr="006555B0">
        <w:rPr>
          <w:rFonts w:ascii="David" w:hAnsi="David" w:hint="cs"/>
          <w:b/>
          <w:bCs/>
          <w:rtl/>
        </w:rPr>
        <w:t>ח'טיב נ' מ"י</w:t>
      </w:r>
      <w:r>
        <w:rPr>
          <w:rFonts w:ascii="David" w:hAnsi="David" w:hint="cs"/>
          <w:rtl/>
        </w:rPr>
        <w:t xml:space="preserve"> (מיום 12.4.2022) בפסקה 5, וכן </w:t>
      </w:r>
      <w:hyperlink r:id="rId23" w:history="1">
        <w:r w:rsidR="00BC1C7E" w:rsidRPr="00BC1C7E">
          <w:rPr>
            <w:rFonts w:ascii="David" w:hAnsi="David"/>
            <w:color w:val="0000FF"/>
            <w:u w:val="single"/>
            <w:rtl/>
          </w:rPr>
          <w:t>ע"פ 1964/20</w:t>
        </w:r>
      </w:hyperlink>
      <w:r>
        <w:rPr>
          <w:rFonts w:ascii="David" w:hAnsi="David" w:hint="cs"/>
          <w:rtl/>
        </w:rPr>
        <w:t xml:space="preserve"> </w:t>
      </w:r>
      <w:r w:rsidRPr="0007163F">
        <w:rPr>
          <w:rFonts w:ascii="David" w:hAnsi="David" w:hint="cs"/>
          <w:b/>
          <w:bCs/>
          <w:rtl/>
        </w:rPr>
        <w:t>אספה נ' מ"י</w:t>
      </w:r>
      <w:r>
        <w:rPr>
          <w:rFonts w:ascii="David" w:hAnsi="David" w:hint="cs"/>
          <w:rtl/>
        </w:rPr>
        <w:t xml:space="preserve"> (מיום 12.8.2020) בפסקה 14. בענייננו, נכון שלנאשם שלפניי עבר פלילי ואולם הוא אינו מכביד, לעומת היעדר עבר אצל נחמן. ואולם אין להשוות את עומק התהליך שעבר הנאשם בהתחשב בנקודת ההתחלה ועומק התמכרותו לאורך שנים, לבין מצבו היום, ומכאן גם ההישג המשמעותי שלו, כנגד כל הסיכויים, למצבו של נחמן. נתונים אלה אינם מתקיימים בעניינו של נחמן, ולכן ההשוואה בהקשר זה אינה רלבנטית.</w:t>
      </w:r>
    </w:p>
    <w:p w14:paraId="4695A93E" w14:textId="77777777" w:rsidR="009270B9" w:rsidRPr="00A300FE" w:rsidRDefault="009270B9" w:rsidP="009270B9">
      <w:pPr>
        <w:pStyle w:val="a9"/>
        <w:rPr>
          <w:rFonts w:ascii="David" w:hAnsi="David"/>
          <w:rtl/>
        </w:rPr>
      </w:pPr>
    </w:p>
    <w:p w14:paraId="768A8071" w14:textId="77777777" w:rsidR="009270B9" w:rsidRDefault="009270B9" w:rsidP="009270B9">
      <w:pPr>
        <w:pStyle w:val="a9"/>
        <w:numPr>
          <w:ilvl w:val="0"/>
          <w:numId w:val="2"/>
        </w:numPr>
        <w:spacing w:line="360" w:lineRule="auto"/>
        <w:jc w:val="both"/>
        <w:rPr>
          <w:rFonts w:ascii="David" w:hAnsi="David"/>
        </w:rPr>
      </w:pPr>
      <w:r>
        <w:rPr>
          <w:rFonts w:ascii="David" w:hAnsi="David" w:hint="cs"/>
          <w:rtl/>
        </w:rPr>
        <w:t>נוכח כל האמור, וכן נוכח דוגמאות הפסיקה שהבאתי, מצאתי לחרוג ממתחם העונש מטעמי שיקום, ולהטיל על הנאשם עונש בדמות של"ץ, מאסר מותנה, קנס, התחייבות ומבחן.</w:t>
      </w:r>
    </w:p>
    <w:p w14:paraId="3A6E75D9" w14:textId="77777777" w:rsidR="009270B9" w:rsidRPr="00A300FE" w:rsidRDefault="009270B9" w:rsidP="009270B9">
      <w:pPr>
        <w:spacing w:line="360" w:lineRule="auto"/>
        <w:jc w:val="both"/>
        <w:rPr>
          <w:rFonts w:ascii="David" w:hAnsi="David"/>
          <w:b/>
          <w:bCs/>
          <w:u w:val="single"/>
          <w:rtl/>
        </w:rPr>
      </w:pPr>
    </w:p>
    <w:p w14:paraId="3AABD6FB" w14:textId="77777777" w:rsidR="009270B9" w:rsidRPr="0007163F" w:rsidRDefault="009270B9" w:rsidP="009270B9">
      <w:pPr>
        <w:spacing w:line="360" w:lineRule="auto"/>
        <w:jc w:val="both"/>
        <w:rPr>
          <w:rFonts w:ascii="David" w:hAnsi="David"/>
          <w:b/>
          <w:bCs/>
          <w:u w:val="single"/>
        </w:rPr>
      </w:pPr>
      <w:r w:rsidRPr="0007163F">
        <w:rPr>
          <w:rFonts w:ascii="David" w:hAnsi="David" w:hint="cs"/>
          <w:b/>
          <w:bCs/>
          <w:u w:val="single"/>
          <w:rtl/>
        </w:rPr>
        <w:t>גזירת הדין</w:t>
      </w:r>
    </w:p>
    <w:p w14:paraId="6D632A28" w14:textId="77777777" w:rsidR="009270B9" w:rsidRPr="0007163F" w:rsidRDefault="009270B9" w:rsidP="009270B9">
      <w:pPr>
        <w:pStyle w:val="a9"/>
        <w:numPr>
          <w:ilvl w:val="0"/>
          <w:numId w:val="2"/>
        </w:numPr>
        <w:spacing w:line="360" w:lineRule="auto"/>
        <w:jc w:val="both"/>
        <w:rPr>
          <w:rFonts w:ascii="Arial" w:hAnsi="Arial"/>
        </w:rPr>
      </w:pPr>
      <w:r w:rsidRPr="0007163F">
        <w:rPr>
          <w:rFonts w:ascii="Arial" w:hAnsi="Arial"/>
          <w:rtl/>
        </w:rPr>
        <w:t>נוכח כל האמור, גוזר על הנאשם את העונשים הבאים:</w:t>
      </w:r>
    </w:p>
    <w:p w14:paraId="10552B9B" w14:textId="77777777" w:rsidR="009270B9" w:rsidRPr="0007163F" w:rsidRDefault="009270B9" w:rsidP="009270B9">
      <w:pPr>
        <w:pStyle w:val="a9"/>
        <w:numPr>
          <w:ilvl w:val="0"/>
          <w:numId w:val="4"/>
        </w:numPr>
        <w:spacing w:line="360" w:lineRule="auto"/>
        <w:jc w:val="both"/>
        <w:rPr>
          <w:rFonts w:ascii="Arial" w:hAnsi="Arial"/>
        </w:rPr>
      </w:pPr>
      <w:r w:rsidRPr="0007163F">
        <w:rPr>
          <w:rFonts w:ascii="Arial" w:hAnsi="Arial"/>
          <w:rtl/>
        </w:rPr>
        <w:t>של"ץ בהיקף</w:t>
      </w:r>
      <w:r>
        <w:rPr>
          <w:rFonts w:ascii="Arial" w:hAnsi="Arial" w:hint="cs"/>
          <w:rtl/>
        </w:rPr>
        <w:t xml:space="preserve"> 400 </w:t>
      </w:r>
      <w:r w:rsidRPr="0007163F">
        <w:rPr>
          <w:rFonts w:ascii="Arial" w:hAnsi="Arial"/>
          <w:rtl/>
        </w:rPr>
        <w:t xml:space="preserve">שעות שיבוצע בפיקוח שירות המבחן על-פי תוכנית שתוכן על-ידו ותוגש לבית המשפט בתוך </w:t>
      </w:r>
      <w:r>
        <w:rPr>
          <w:rFonts w:ascii="Arial" w:hAnsi="Arial" w:hint="cs"/>
          <w:rtl/>
        </w:rPr>
        <w:t xml:space="preserve">60 </w:t>
      </w:r>
      <w:r w:rsidRPr="0007163F">
        <w:rPr>
          <w:rFonts w:ascii="Arial" w:hAnsi="Arial"/>
          <w:rtl/>
        </w:rPr>
        <w:t xml:space="preserve">יום </w:t>
      </w:r>
      <w:r>
        <w:rPr>
          <w:rFonts w:ascii="Arial" w:hAnsi="Arial" w:hint="cs"/>
          <w:rtl/>
        </w:rPr>
        <w:t>מהיום</w:t>
      </w:r>
      <w:r w:rsidRPr="0007163F">
        <w:rPr>
          <w:rFonts w:ascii="Arial" w:hAnsi="Arial"/>
          <w:rtl/>
        </w:rPr>
        <w:t>;</w:t>
      </w:r>
    </w:p>
    <w:p w14:paraId="2E76A284" w14:textId="77777777" w:rsidR="009270B9" w:rsidRDefault="009270B9" w:rsidP="009270B9">
      <w:pPr>
        <w:pStyle w:val="a9"/>
        <w:numPr>
          <w:ilvl w:val="0"/>
          <w:numId w:val="4"/>
        </w:numPr>
        <w:spacing w:line="360" w:lineRule="auto"/>
        <w:jc w:val="both"/>
        <w:rPr>
          <w:rFonts w:ascii="Arial" w:hAnsi="Arial"/>
        </w:rPr>
      </w:pPr>
      <w:r w:rsidRPr="0007163F">
        <w:rPr>
          <w:rFonts w:ascii="Arial" w:hAnsi="Arial"/>
          <w:rtl/>
        </w:rPr>
        <w:t xml:space="preserve">מאסר על תנאי של </w:t>
      </w:r>
      <w:r>
        <w:rPr>
          <w:rFonts w:ascii="Arial" w:hAnsi="Arial" w:hint="cs"/>
          <w:rtl/>
        </w:rPr>
        <w:t xml:space="preserve">6 </w:t>
      </w:r>
      <w:r w:rsidRPr="0007163F">
        <w:rPr>
          <w:rFonts w:ascii="Arial" w:hAnsi="Arial"/>
          <w:rtl/>
        </w:rPr>
        <w:t xml:space="preserve">חודשים, שלא </w:t>
      </w:r>
      <w:r>
        <w:rPr>
          <w:rFonts w:ascii="Arial" w:hAnsi="Arial" w:hint="cs"/>
          <w:rtl/>
        </w:rPr>
        <w:t>יעבור הנאשם</w:t>
      </w:r>
      <w:r w:rsidRPr="0007163F">
        <w:rPr>
          <w:rFonts w:ascii="Arial" w:hAnsi="Arial"/>
          <w:rtl/>
        </w:rPr>
        <w:t xml:space="preserve"> </w:t>
      </w:r>
      <w:r>
        <w:rPr>
          <w:rFonts w:ascii="Arial" w:hAnsi="Arial" w:hint="cs"/>
          <w:rtl/>
        </w:rPr>
        <w:t>כל עבירת סמים מסוג פשע, בתוך 3 שנים מהיום;</w:t>
      </w:r>
    </w:p>
    <w:p w14:paraId="18456731" w14:textId="77777777" w:rsidR="009270B9" w:rsidRPr="0007163F" w:rsidRDefault="009270B9" w:rsidP="009270B9">
      <w:pPr>
        <w:pStyle w:val="a9"/>
        <w:numPr>
          <w:ilvl w:val="0"/>
          <w:numId w:val="4"/>
        </w:numPr>
        <w:spacing w:line="360" w:lineRule="auto"/>
        <w:jc w:val="both"/>
        <w:rPr>
          <w:rFonts w:ascii="Arial" w:hAnsi="Arial"/>
        </w:rPr>
      </w:pPr>
      <w:r w:rsidRPr="0007163F">
        <w:rPr>
          <w:rFonts w:ascii="Arial" w:hAnsi="Arial"/>
          <w:rtl/>
        </w:rPr>
        <w:t xml:space="preserve">קנס בסך </w:t>
      </w:r>
      <w:r>
        <w:rPr>
          <w:rFonts w:ascii="Arial" w:hAnsi="Arial" w:hint="cs"/>
          <w:rtl/>
        </w:rPr>
        <w:t xml:space="preserve">5,000 </w:t>
      </w:r>
      <w:r w:rsidRPr="0007163F">
        <w:rPr>
          <w:rFonts w:ascii="Arial" w:hAnsi="Arial"/>
          <w:rtl/>
        </w:rPr>
        <w:t xml:space="preserve">₪ או </w:t>
      </w:r>
      <w:r>
        <w:rPr>
          <w:rFonts w:ascii="Arial" w:hAnsi="Arial" w:hint="cs"/>
          <w:rtl/>
        </w:rPr>
        <w:t xml:space="preserve">20 </w:t>
      </w:r>
      <w:r w:rsidRPr="0007163F">
        <w:rPr>
          <w:rFonts w:ascii="Arial" w:hAnsi="Arial"/>
          <w:rtl/>
        </w:rPr>
        <w:t>ימי מאסר תמורתו אם לא ישולם. הקנס ישולם ב-</w:t>
      </w:r>
      <w:r>
        <w:rPr>
          <w:rFonts w:ascii="Arial" w:hAnsi="Arial" w:hint="cs"/>
          <w:rtl/>
        </w:rPr>
        <w:t xml:space="preserve">10 </w:t>
      </w:r>
      <w:r w:rsidRPr="0007163F">
        <w:rPr>
          <w:rFonts w:ascii="Arial" w:hAnsi="Arial"/>
          <w:rtl/>
        </w:rPr>
        <w:t xml:space="preserve">תשלומים שווים ורצופים החל מיום </w:t>
      </w:r>
      <w:r>
        <w:rPr>
          <w:rFonts w:ascii="Arial" w:hAnsi="Arial" w:hint="cs"/>
          <w:rtl/>
        </w:rPr>
        <w:t xml:space="preserve">1.7.2023 </w:t>
      </w:r>
      <w:r w:rsidRPr="0007163F">
        <w:rPr>
          <w:rFonts w:ascii="Arial" w:hAnsi="Arial"/>
          <w:rtl/>
        </w:rPr>
        <w:t>ובכל ראשון לחודש רציף ועוקב. לא ישולם מי מהתשלומים במועד, יועמד הקנס לפירעון מיידי;</w:t>
      </w:r>
    </w:p>
    <w:p w14:paraId="39946FFC" w14:textId="77777777" w:rsidR="009270B9" w:rsidRDefault="009270B9" w:rsidP="009270B9">
      <w:pPr>
        <w:pStyle w:val="a9"/>
        <w:numPr>
          <w:ilvl w:val="0"/>
          <w:numId w:val="4"/>
        </w:numPr>
        <w:spacing w:line="360" w:lineRule="auto"/>
        <w:jc w:val="both"/>
        <w:rPr>
          <w:rFonts w:ascii="Arial" w:hAnsi="Arial"/>
        </w:rPr>
      </w:pPr>
      <w:r w:rsidRPr="0007163F">
        <w:rPr>
          <w:rFonts w:ascii="Arial" w:hAnsi="Arial"/>
          <w:rtl/>
        </w:rPr>
        <w:t xml:space="preserve">התחייבות בסך </w:t>
      </w:r>
      <w:r>
        <w:rPr>
          <w:rFonts w:ascii="Arial" w:hAnsi="Arial" w:hint="cs"/>
          <w:rtl/>
        </w:rPr>
        <w:t xml:space="preserve">10,000 </w:t>
      </w:r>
      <w:r w:rsidRPr="0007163F">
        <w:rPr>
          <w:rFonts w:ascii="Arial" w:hAnsi="Arial"/>
          <w:rtl/>
        </w:rPr>
        <w:t xml:space="preserve">₪ שלא לעבור </w:t>
      </w:r>
      <w:r>
        <w:rPr>
          <w:rFonts w:ascii="Arial" w:hAnsi="Arial" w:hint="cs"/>
          <w:rtl/>
        </w:rPr>
        <w:t>כל עבירת סמים מסוג פשע, בתוך שנתיים מהיום;</w:t>
      </w:r>
    </w:p>
    <w:p w14:paraId="0E98DE55" w14:textId="77777777" w:rsidR="009270B9" w:rsidRPr="0007163F" w:rsidRDefault="009270B9" w:rsidP="009270B9">
      <w:pPr>
        <w:pStyle w:val="a9"/>
        <w:numPr>
          <w:ilvl w:val="0"/>
          <w:numId w:val="4"/>
        </w:numPr>
        <w:spacing w:line="360" w:lineRule="auto"/>
        <w:jc w:val="both"/>
        <w:rPr>
          <w:rFonts w:ascii="Arial" w:hAnsi="Arial"/>
        </w:rPr>
      </w:pPr>
      <w:r w:rsidRPr="0007163F">
        <w:rPr>
          <w:rFonts w:ascii="Arial" w:hAnsi="Arial"/>
          <w:rtl/>
        </w:rPr>
        <w:t xml:space="preserve">צו מבחן לתקופה של </w:t>
      </w:r>
      <w:r>
        <w:rPr>
          <w:rFonts w:ascii="Arial" w:hAnsi="Arial" w:hint="cs"/>
          <w:rtl/>
        </w:rPr>
        <w:t xml:space="preserve">18 </w:t>
      </w:r>
      <w:r w:rsidRPr="0007163F">
        <w:rPr>
          <w:rFonts w:ascii="Arial" w:hAnsi="Arial"/>
          <w:rtl/>
        </w:rPr>
        <w:t>חודשים</w:t>
      </w:r>
      <w:r>
        <w:rPr>
          <w:rFonts w:ascii="Arial" w:hAnsi="Arial" w:hint="cs"/>
          <w:rtl/>
        </w:rPr>
        <w:t xml:space="preserve"> מהיום</w:t>
      </w:r>
      <w:r w:rsidRPr="0007163F">
        <w:rPr>
          <w:rFonts w:ascii="Arial" w:hAnsi="Arial"/>
          <w:rtl/>
        </w:rPr>
        <w:t>, בפיקוח שירות המבחן.</w:t>
      </w:r>
    </w:p>
    <w:p w14:paraId="199616CF" w14:textId="77777777" w:rsidR="009270B9" w:rsidRPr="0007163F" w:rsidRDefault="009270B9" w:rsidP="009270B9">
      <w:pPr>
        <w:spacing w:line="360" w:lineRule="auto"/>
        <w:jc w:val="both"/>
        <w:rPr>
          <w:rFonts w:ascii="Arial" w:hAnsi="Arial"/>
        </w:rPr>
      </w:pPr>
    </w:p>
    <w:p w14:paraId="2DF5B1F5" w14:textId="77777777" w:rsidR="009270B9" w:rsidRPr="0007163F" w:rsidRDefault="009270B9" w:rsidP="009270B9">
      <w:pPr>
        <w:spacing w:line="360" w:lineRule="auto"/>
        <w:jc w:val="both"/>
        <w:rPr>
          <w:rFonts w:ascii="Arial" w:hAnsi="Arial"/>
          <w:b/>
          <w:bCs/>
        </w:rPr>
      </w:pPr>
      <w:r w:rsidRPr="0007163F">
        <w:rPr>
          <w:rFonts w:ascii="Arial" w:hAnsi="Arial"/>
          <w:b/>
          <w:bCs/>
          <w:rtl/>
        </w:rPr>
        <w:t xml:space="preserve">תשומת לב לכך שאי ביצוע צו המבחן או צו השל"ץ עלול להוביל להפקעתם ולגזירת העונש מחדש, לרבות הטלת מאסר בפועל. </w:t>
      </w:r>
    </w:p>
    <w:p w14:paraId="45B8C4AB" w14:textId="77777777" w:rsidR="009270B9" w:rsidRPr="0007163F" w:rsidRDefault="009270B9" w:rsidP="009270B9">
      <w:pPr>
        <w:spacing w:line="360" w:lineRule="auto"/>
        <w:jc w:val="both"/>
        <w:rPr>
          <w:rFonts w:ascii="David" w:hAnsi="David"/>
          <w:b/>
          <w:bCs/>
        </w:rPr>
      </w:pPr>
    </w:p>
    <w:p w14:paraId="5C5DA498" w14:textId="77777777" w:rsidR="009270B9" w:rsidRPr="0007163F" w:rsidRDefault="009270B9" w:rsidP="009270B9">
      <w:pPr>
        <w:spacing w:line="360" w:lineRule="auto"/>
        <w:jc w:val="both"/>
        <w:rPr>
          <w:rFonts w:ascii="David" w:hAnsi="David"/>
          <w:b/>
          <w:bCs/>
        </w:rPr>
      </w:pPr>
      <w:r w:rsidRPr="0007163F">
        <w:rPr>
          <w:rFonts w:ascii="David" w:hAnsi="David"/>
          <w:b/>
          <w:bCs/>
          <w:rtl/>
        </w:rPr>
        <w:t>קנסות ופיצויים ניתן לשלם כעבור 3 ימים מיום מתן גזר הדין בחשבון המרכז לגביית קנסות בדרכים הבאות:</w:t>
      </w:r>
    </w:p>
    <w:p w14:paraId="0F803835" w14:textId="77777777" w:rsidR="009270B9" w:rsidRPr="0007163F" w:rsidRDefault="009270B9" w:rsidP="009270B9">
      <w:pPr>
        <w:pStyle w:val="a9"/>
        <w:numPr>
          <w:ilvl w:val="0"/>
          <w:numId w:val="5"/>
        </w:numPr>
        <w:spacing w:line="360" w:lineRule="auto"/>
        <w:jc w:val="both"/>
        <w:rPr>
          <w:rFonts w:ascii="David" w:hAnsi="David"/>
          <w:b/>
          <w:bCs/>
          <w:rtl/>
          <w:lang w:bidi="ar-JO"/>
        </w:rPr>
      </w:pPr>
      <w:r w:rsidRPr="0007163F">
        <w:rPr>
          <w:rFonts w:ascii="David" w:hAnsi="David"/>
          <w:b/>
          <w:bCs/>
          <w:rtl/>
        </w:rPr>
        <w:t xml:space="preserve">בכרטיס אשראי באתר </w:t>
      </w:r>
      <w:hyperlink r:id="rId24" w:history="1">
        <w:r w:rsidRPr="0007163F">
          <w:rPr>
            <w:rStyle w:val="Hyperlink"/>
            <w:rFonts w:ascii="David" w:hAnsi="David"/>
            <w:b/>
            <w:bCs/>
            <w:lang w:bidi="ar-JO"/>
          </w:rPr>
          <w:t>www.eca.gov.il</w:t>
        </w:r>
      </w:hyperlink>
      <w:r w:rsidRPr="0007163F">
        <w:rPr>
          <w:rFonts w:ascii="David" w:hAnsi="David"/>
          <w:b/>
          <w:bCs/>
          <w:lang w:bidi="ar-JO"/>
        </w:rPr>
        <w:t xml:space="preserve"> </w:t>
      </w:r>
    </w:p>
    <w:p w14:paraId="44F90CB0" w14:textId="77777777" w:rsidR="009270B9" w:rsidRPr="0007163F" w:rsidRDefault="009270B9" w:rsidP="009270B9">
      <w:pPr>
        <w:pStyle w:val="a9"/>
        <w:numPr>
          <w:ilvl w:val="0"/>
          <w:numId w:val="5"/>
        </w:numPr>
        <w:spacing w:line="360" w:lineRule="auto"/>
        <w:jc w:val="both"/>
        <w:rPr>
          <w:rFonts w:ascii="David" w:hAnsi="David"/>
          <w:b/>
          <w:bCs/>
          <w:rtl/>
        </w:rPr>
      </w:pPr>
      <w:r w:rsidRPr="0007163F">
        <w:rPr>
          <w:rFonts w:ascii="David" w:hAnsi="David"/>
          <w:b/>
          <w:bCs/>
          <w:rtl/>
        </w:rPr>
        <w:t>בטלפון: 35592* או 073-2055000</w:t>
      </w:r>
    </w:p>
    <w:p w14:paraId="2168A810" w14:textId="77777777" w:rsidR="009270B9" w:rsidRPr="0007163F" w:rsidRDefault="009270B9" w:rsidP="009270B9">
      <w:pPr>
        <w:pStyle w:val="a9"/>
        <w:numPr>
          <w:ilvl w:val="0"/>
          <w:numId w:val="5"/>
        </w:numPr>
        <w:spacing w:line="360" w:lineRule="auto"/>
        <w:jc w:val="both"/>
        <w:rPr>
          <w:rFonts w:ascii="David" w:hAnsi="David"/>
          <w:b/>
          <w:bCs/>
          <w:rtl/>
        </w:rPr>
      </w:pPr>
      <w:r w:rsidRPr="0007163F">
        <w:rPr>
          <w:rFonts w:ascii="David" w:hAnsi="David"/>
          <w:b/>
          <w:bCs/>
          <w:rtl/>
        </w:rPr>
        <w:t>במזומן בכל סניף של בנק הדואר בהצגת תעודת זהות בלבד</w:t>
      </w:r>
    </w:p>
    <w:p w14:paraId="47042569" w14:textId="77777777" w:rsidR="009270B9" w:rsidRPr="0007163F" w:rsidRDefault="009270B9" w:rsidP="009270B9">
      <w:pPr>
        <w:spacing w:line="360" w:lineRule="auto"/>
        <w:jc w:val="both"/>
        <w:rPr>
          <w:rFonts w:ascii="David" w:hAnsi="David"/>
          <w:b/>
          <w:bCs/>
        </w:rPr>
      </w:pPr>
      <w:r w:rsidRPr="0007163F">
        <w:rPr>
          <w:rFonts w:ascii="David" w:hAnsi="David"/>
          <w:b/>
          <w:bCs/>
          <w:rtl/>
        </w:rPr>
        <w:t>לא יונפקו שוברי תשלום.</w:t>
      </w:r>
    </w:p>
    <w:p w14:paraId="051BFE72" w14:textId="77777777" w:rsidR="009270B9" w:rsidRPr="0007163F" w:rsidRDefault="009270B9" w:rsidP="009270B9">
      <w:pPr>
        <w:spacing w:line="360" w:lineRule="auto"/>
        <w:rPr>
          <w:b/>
          <w:bCs/>
          <w:rtl/>
        </w:rPr>
      </w:pPr>
      <w:r w:rsidRPr="0007163F">
        <w:rPr>
          <w:b/>
          <w:bCs/>
          <w:rtl/>
        </w:rPr>
        <w:t>תשלומים ניתן לקזז מכל הפקדה שבתיק או בתיק קשור על אף הודעת עיקול, וככל שקיימת יתרת זכות ולא קיים עיקול, ניתן להשיב ההפקדה למפקידים.</w:t>
      </w:r>
    </w:p>
    <w:p w14:paraId="1DFD11F7" w14:textId="77777777" w:rsidR="009270B9" w:rsidRPr="0007163F" w:rsidRDefault="009270B9" w:rsidP="009270B9"/>
    <w:p w14:paraId="10A6ED33" w14:textId="77777777" w:rsidR="009270B9" w:rsidRDefault="009270B9" w:rsidP="009270B9">
      <w:pPr>
        <w:rPr>
          <w:b/>
          <w:bCs/>
          <w:rtl/>
        </w:rPr>
      </w:pPr>
      <w:r w:rsidRPr="0007163F">
        <w:rPr>
          <w:b/>
          <w:bCs/>
          <w:rtl/>
        </w:rPr>
        <w:t>יש לשלוח לשירות המבחן</w:t>
      </w:r>
      <w:r>
        <w:rPr>
          <w:rFonts w:hint="cs"/>
          <w:b/>
          <w:bCs/>
          <w:rtl/>
        </w:rPr>
        <w:t xml:space="preserve"> ולממונה על עבודות השירות</w:t>
      </w:r>
      <w:r w:rsidRPr="0007163F">
        <w:rPr>
          <w:b/>
          <w:bCs/>
          <w:rtl/>
        </w:rPr>
        <w:t>.</w:t>
      </w:r>
    </w:p>
    <w:p w14:paraId="6EE68767" w14:textId="77777777" w:rsidR="009270B9" w:rsidRDefault="009270B9" w:rsidP="009270B9">
      <w:pPr>
        <w:rPr>
          <w:b/>
          <w:bCs/>
          <w:rtl/>
        </w:rPr>
      </w:pPr>
    </w:p>
    <w:p w14:paraId="1CE57E5F" w14:textId="77777777" w:rsidR="009270B9" w:rsidRPr="0007163F" w:rsidRDefault="009270B9" w:rsidP="009270B9">
      <w:pPr>
        <w:rPr>
          <w:b/>
          <w:bCs/>
          <w:rtl/>
        </w:rPr>
      </w:pPr>
      <w:r>
        <w:rPr>
          <w:rFonts w:hint="cs"/>
          <w:b/>
          <w:bCs/>
          <w:rtl/>
        </w:rPr>
        <w:t>מורה על השמדת הסמים וחילוט המוצגים.</w:t>
      </w:r>
    </w:p>
    <w:p w14:paraId="2B2DB10B" w14:textId="77777777" w:rsidR="009270B9" w:rsidRPr="0007163F" w:rsidRDefault="009270B9" w:rsidP="009270B9">
      <w:pPr>
        <w:rPr>
          <w:b/>
          <w:bCs/>
          <w:rtl/>
        </w:rPr>
      </w:pPr>
    </w:p>
    <w:p w14:paraId="12EDC51F" w14:textId="77777777" w:rsidR="009270B9" w:rsidRPr="0007163F" w:rsidRDefault="00BC1C7E" w:rsidP="009270B9">
      <w:pPr>
        <w:rPr>
          <w:b/>
          <w:bCs/>
          <w:rtl/>
        </w:rPr>
      </w:pPr>
      <w:r w:rsidRPr="00BC1C7E">
        <w:rPr>
          <w:b/>
          <w:bCs/>
          <w:color w:val="FFFFFF"/>
          <w:sz w:val="2"/>
          <w:szCs w:val="2"/>
          <w:rtl/>
        </w:rPr>
        <w:t>5129371</w:t>
      </w:r>
      <w:r w:rsidR="009270B9" w:rsidRPr="0007163F">
        <w:rPr>
          <w:b/>
          <w:bCs/>
          <w:rtl/>
        </w:rPr>
        <w:t>זכות ערעור כחוק.</w:t>
      </w:r>
    </w:p>
    <w:p w14:paraId="46AFECBC" w14:textId="77777777" w:rsidR="009270B9" w:rsidRPr="00BC1C7E" w:rsidRDefault="00BC1C7E" w:rsidP="009270B9">
      <w:pPr>
        <w:rPr>
          <w:color w:val="FFFFFF"/>
          <w:sz w:val="2"/>
          <w:szCs w:val="2"/>
        </w:rPr>
      </w:pPr>
      <w:r w:rsidRPr="00BC1C7E">
        <w:rPr>
          <w:color w:val="FFFFFF"/>
          <w:sz w:val="2"/>
          <w:szCs w:val="2"/>
          <w:rtl/>
        </w:rPr>
        <w:t>54678313</w:t>
      </w:r>
    </w:p>
    <w:p w14:paraId="6619C428" w14:textId="77777777" w:rsidR="009270B9" w:rsidRPr="0007163F" w:rsidRDefault="009270B9" w:rsidP="009270B9">
      <w:pPr>
        <w:spacing w:line="360" w:lineRule="auto"/>
        <w:jc w:val="both"/>
        <w:rPr>
          <w:rFonts w:ascii="David" w:hAnsi="David"/>
          <w:rtl/>
        </w:rPr>
      </w:pPr>
    </w:p>
    <w:p w14:paraId="058726E6" w14:textId="77777777" w:rsidR="009270B9" w:rsidRPr="002F22E0" w:rsidRDefault="00BC1C7E" w:rsidP="009270B9">
      <w:pPr>
        <w:rPr>
          <w:rFonts w:ascii="David" w:hAnsi="David"/>
          <w:rtl/>
        </w:rPr>
      </w:pPr>
      <w:bookmarkStart w:id="8" w:name="Nitan"/>
      <w:r>
        <w:rPr>
          <w:rFonts w:ascii="David" w:hAnsi="David"/>
          <w:rtl/>
        </w:rPr>
        <w:t xml:space="preserve">ניתן היום,  כ"ט ניסן תשפ"ג, 20 אפריל 2023, במעמד הצדדים. </w:t>
      </w:r>
      <w:bookmarkEnd w:id="8"/>
    </w:p>
    <w:p w14:paraId="2CEBFC67" w14:textId="77777777" w:rsidR="009270B9" w:rsidRPr="002B7D23" w:rsidRDefault="009270B9" w:rsidP="00BC1C7E">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43ED3C1" w14:textId="77777777" w:rsidR="009270B9" w:rsidRPr="009B3F05" w:rsidRDefault="009B3F05" w:rsidP="009270B9">
      <w:pPr>
        <w:jc w:val="center"/>
        <w:rPr>
          <w:rFonts w:ascii="David" w:hAnsi="David"/>
          <w:color w:val="FFFFFF"/>
          <w:sz w:val="2"/>
          <w:szCs w:val="2"/>
          <w:rtl/>
        </w:rPr>
      </w:pPr>
      <w:r w:rsidRPr="009B3F05">
        <w:rPr>
          <w:rFonts w:ascii="David" w:hAnsi="David"/>
          <w:color w:val="FFFFFF"/>
          <w:sz w:val="2"/>
          <w:szCs w:val="2"/>
          <w:rtl/>
        </w:rPr>
        <w:t>5129371</w:t>
      </w:r>
    </w:p>
    <w:p w14:paraId="294E993D" w14:textId="77777777" w:rsidR="00A95DA1" w:rsidRPr="009B3F05" w:rsidRDefault="009B3F05" w:rsidP="00BC1C7E">
      <w:pPr>
        <w:keepNext/>
        <w:rPr>
          <w:rFonts w:ascii="David" w:hAnsi="David"/>
          <w:color w:val="FFFFFF"/>
          <w:sz w:val="2"/>
          <w:szCs w:val="2"/>
          <w:rtl/>
        </w:rPr>
      </w:pPr>
      <w:r w:rsidRPr="009B3F05">
        <w:rPr>
          <w:rFonts w:ascii="David" w:hAnsi="David"/>
          <w:color w:val="FFFFFF"/>
          <w:sz w:val="2"/>
          <w:szCs w:val="2"/>
          <w:rtl/>
        </w:rPr>
        <w:t>54678313</w:t>
      </w:r>
    </w:p>
    <w:p w14:paraId="47597208" w14:textId="77777777" w:rsidR="00BC1C7E" w:rsidRDefault="00BC1C7E" w:rsidP="00BC1C7E">
      <w:pPr>
        <w:rPr>
          <w:rtl/>
        </w:rPr>
      </w:pPr>
    </w:p>
    <w:p w14:paraId="4D787193" w14:textId="77777777" w:rsidR="00BC1C7E" w:rsidRDefault="00BC1C7E" w:rsidP="00BC1C7E">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0A9F7FC" w14:textId="77777777" w:rsidR="009B3F05" w:rsidRPr="009B3F05" w:rsidRDefault="009B3F05" w:rsidP="009B3F05">
      <w:pPr>
        <w:keepNext/>
        <w:rPr>
          <w:rFonts w:ascii="David" w:hAnsi="David"/>
          <w:color w:val="000000"/>
          <w:sz w:val="22"/>
          <w:szCs w:val="22"/>
          <w:rtl/>
        </w:rPr>
      </w:pPr>
    </w:p>
    <w:p w14:paraId="339B4162" w14:textId="77777777" w:rsidR="009B3F05" w:rsidRPr="009B3F05" w:rsidRDefault="009B3F05" w:rsidP="009B3F05">
      <w:pPr>
        <w:keepNext/>
        <w:rPr>
          <w:rFonts w:ascii="David" w:hAnsi="David"/>
          <w:color w:val="000000"/>
          <w:sz w:val="22"/>
          <w:szCs w:val="22"/>
          <w:rtl/>
        </w:rPr>
      </w:pPr>
      <w:r w:rsidRPr="009B3F05">
        <w:rPr>
          <w:rFonts w:ascii="David" w:hAnsi="David"/>
          <w:color w:val="000000"/>
          <w:sz w:val="22"/>
          <w:szCs w:val="22"/>
          <w:rtl/>
        </w:rPr>
        <w:t>דוד שאול גבאי ריכטר 54678313-/</w:t>
      </w:r>
    </w:p>
    <w:p w14:paraId="66282756" w14:textId="77777777" w:rsidR="00BC1C7E" w:rsidRPr="00BC1C7E" w:rsidRDefault="009B3F05" w:rsidP="009B3F05">
      <w:pPr>
        <w:rPr>
          <w:color w:val="0000FF"/>
          <w:u w:val="single"/>
        </w:rPr>
      </w:pPr>
      <w:r w:rsidRPr="009B3F05">
        <w:rPr>
          <w:color w:val="000000"/>
          <w:u w:val="single"/>
          <w:rtl/>
        </w:rPr>
        <w:t>נוסח מסמך זה כפוף לשינויי ניסוח ועריכה</w:t>
      </w:r>
    </w:p>
    <w:sectPr w:rsidR="00BC1C7E" w:rsidRPr="00BC1C7E" w:rsidSect="009B3F05">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89B23" w14:textId="77777777" w:rsidR="00205C6A" w:rsidRDefault="00205C6A" w:rsidP="00910B44">
      <w:r>
        <w:separator/>
      </w:r>
    </w:p>
  </w:endnote>
  <w:endnote w:type="continuationSeparator" w:id="0">
    <w:p w14:paraId="3E5E0F11" w14:textId="77777777" w:rsidR="00205C6A" w:rsidRDefault="00205C6A" w:rsidP="0091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32B6A" w14:textId="77777777" w:rsidR="009B3F05" w:rsidRDefault="009B3F05" w:rsidP="009B3F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D555CE" w14:textId="77777777" w:rsidR="00D458E7" w:rsidRPr="009B3F05" w:rsidRDefault="009B3F05" w:rsidP="009B3F05">
    <w:pPr>
      <w:pStyle w:val="a5"/>
      <w:pBdr>
        <w:top w:val="single" w:sz="4" w:space="1" w:color="auto"/>
        <w:between w:val="single" w:sz="4" w:space="0" w:color="auto"/>
      </w:pBdr>
      <w:spacing w:after="60"/>
      <w:jc w:val="center"/>
      <w:rPr>
        <w:rFonts w:ascii="FrankRuehl" w:hAnsi="FrankRuehl" w:cs="FrankRuehl"/>
        <w:color w:val="000000"/>
      </w:rPr>
    </w:pPr>
    <w:r w:rsidRPr="009B3F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65ED9" w14:textId="77777777" w:rsidR="009B3F05" w:rsidRDefault="009B3F05" w:rsidP="009B3F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3F6B">
      <w:rPr>
        <w:rFonts w:ascii="FrankRuehl" w:hAnsi="FrankRuehl" w:cs="FrankRuehl"/>
        <w:noProof/>
        <w:rtl/>
      </w:rPr>
      <w:t>1</w:t>
    </w:r>
    <w:r>
      <w:rPr>
        <w:rFonts w:ascii="FrankRuehl" w:hAnsi="FrankRuehl" w:cs="FrankRuehl"/>
        <w:rtl/>
      </w:rPr>
      <w:fldChar w:fldCharType="end"/>
    </w:r>
  </w:p>
  <w:p w14:paraId="18015D56" w14:textId="77777777" w:rsidR="00D458E7" w:rsidRPr="009B3F05" w:rsidRDefault="009B3F05" w:rsidP="009B3F05">
    <w:pPr>
      <w:pStyle w:val="a5"/>
      <w:pBdr>
        <w:top w:val="single" w:sz="4" w:space="1" w:color="auto"/>
        <w:between w:val="single" w:sz="4" w:space="0" w:color="auto"/>
      </w:pBdr>
      <w:spacing w:after="60"/>
      <w:jc w:val="center"/>
      <w:rPr>
        <w:rFonts w:ascii="FrankRuehl" w:hAnsi="FrankRuehl" w:cs="FrankRuehl"/>
        <w:color w:val="000000"/>
      </w:rPr>
    </w:pPr>
    <w:r w:rsidRPr="009B3F05">
      <w:rPr>
        <w:rFonts w:ascii="FrankRuehl" w:hAnsi="FrankRuehl" w:cs="FrankRuehl"/>
        <w:color w:val="000000"/>
      </w:rPr>
      <w:pict w14:anchorId="27913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81F49" w14:textId="77777777" w:rsidR="00205C6A" w:rsidRDefault="00205C6A" w:rsidP="00910B44">
      <w:r>
        <w:separator/>
      </w:r>
    </w:p>
  </w:footnote>
  <w:footnote w:type="continuationSeparator" w:id="0">
    <w:p w14:paraId="1CBD4062" w14:textId="77777777" w:rsidR="00205C6A" w:rsidRDefault="00205C6A" w:rsidP="0091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B5E21" w14:textId="77777777" w:rsidR="00BC1C7E" w:rsidRPr="009B3F05" w:rsidRDefault="009B3F05" w:rsidP="009B3F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7349-01-19</w:t>
    </w:r>
    <w:r>
      <w:rPr>
        <w:rFonts w:ascii="David" w:hAnsi="David"/>
        <w:color w:val="000000"/>
        <w:sz w:val="22"/>
        <w:szCs w:val="22"/>
        <w:rtl/>
      </w:rPr>
      <w:tab/>
      <w:t xml:space="preserve"> מדינת ישראל נ' נתנאל אילוז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3E9A3" w14:textId="77777777" w:rsidR="00BC1C7E" w:rsidRPr="009B3F05" w:rsidRDefault="009B3F05" w:rsidP="009B3F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7349-01-19</w:t>
    </w:r>
    <w:r>
      <w:rPr>
        <w:rFonts w:ascii="David" w:hAnsi="David"/>
        <w:color w:val="000000"/>
        <w:sz w:val="22"/>
        <w:szCs w:val="22"/>
        <w:rtl/>
      </w:rPr>
      <w:tab/>
      <w:t xml:space="preserve"> מדינת ישראל נ' נתנאל אילוז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772BD"/>
    <w:multiLevelType w:val="hybridMultilevel"/>
    <w:tmpl w:val="DA081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8B07D6"/>
    <w:multiLevelType w:val="hybridMultilevel"/>
    <w:tmpl w:val="B89A77C8"/>
    <w:lvl w:ilvl="0" w:tplc="4EF0BD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A599A"/>
    <w:multiLevelType w:val="hybridMultilevel"/>
    <w:tmpl w:val="8D4E5C88"/>
    <w:lvl w:ilvl="0" w:tplc="0A1E8E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1671">
    <w:abstractNumId w:val="3"/>
  </w:num>
  <w:num w:numId="2" w16cid:durableId="415175261">
    <w:abstractNumId w:val="1"/>
  </w:num>
  <w:num w:numId="3" w16cid:durableId="507407698">
    <w:abstractNumId w:val="4"/>
  </w:num>
  <w:num w:numId="4" w16cid:durableId="1104611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134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70B9"/>
    <w:rsid w:val="001B5A3B"/>
    <w:rsid w:val="00205C6A"/>
    <w:rsid w:val="004E3F6B"/>
    <w:rsid w:val="005150DD"/>
    <w:rsid w:val="00624572"/>
    <w:rsid w:val="00715E04"/>
    <w:rsid w:val="0082605E"/>
    <w:rsid w:val="00844041"/>
    <w:rsid w:val="0086727A"/>
    <w:rsid w:val="00910B44"/>
    <w:rsid w:val="009270B9"/>
    <w:rsid w:val="009B3F05"/>
    <w:rsid w:val="00A95DA1"/>
    <w:rsid w:val="00BC1C7E"/>
    <w:rsid w:val="00BE1AF9"/>
    <w:rsid w:val="00D458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ECD05A"/>
  <w15:chartTrackingRefBased/>
  <w15:docId w15:val="{85BE225C-B571-44D2-A55E-36FB604F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70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70B9"/>
    <w:pPr>
      <w:tabs>
        <w:tab w:val="center" w:pos="4153"/>
        <w:tab w:val="right" w:pos="8306"/>
      </w:tabs>
    </w:pPr>
  </w:style>
  <w:style w:type="character" w:customStyle="1" w:styleId="a4">
    <w:name w:val="כותרת עליונה תו"/>
    <w:link w:val="a3"/>
    <w:rsid w:val="009270B9"/>
    <w:rPr>
      <w:rFonts w:ascii="Times New Roman" w:eastAsia="Times New Roman" w:hAnsi="Times New Roman" w:cs="David"/>
      <w:sz w:val="24"/>
      <w:szCs w:val="24"/>
    </w:rPr>
  </w:style>
  <w:style w:type="paragraph" w:styleId="a5">
    <w:name w:val="footer"/>
    <w:basedOn w:val="a"/>
    <w:link w:val="a6"/>
    <w:rsid w:val="009270B9"/>
    <w:pPr>
      <w:tabs>
        <w:tab w:val="center" w:pos="4153"/>
        <w:tab w:val="right" w:pos="8306"/>
      </w:tabs>
    </w:pPr>
  </w:style>
  <w:style w:type="character" w:customStyle="1" w:styleId="a6">
    <w:name w:val="כותרת תחתונה תו"/>
    <w:link w:val="a5"/>
    <w:rsid w:val="009270B9"/>
    <w:rPr>
      <w:rFonts w:ascii="Times New Roman" w:eastAsia="Times New Roman" w:hAnsi="Times New Roman" w:cs="David"/>
      <w:sz w:val="24"/>
      <w:szCs w:val="24"/>
    </w:rPr>
  </w:style>
  <w:style w:type="table" w:styleId="a7">
    <w:name w:val="Table Grid"/>
    <w:basedOn w:val="a1"/>
    <w:rsid w:val="009270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70B9"/>
  </w:style>
  <w:style w:type="paragraph" w:styleId="a9">
    <w:name w:val="List Paragraph"/>
    <w:basedOn w:val="a"/>
    <w:qFormat/>
    <w:rsid w:val="009270B9"/>
    <w:pPr>
      <w:ind w:left="720"/>
      <w:contextualSpacing/>
    </w:pPr>
  </w:style>
  <w:style w:type="character" w:styleId="Hyperlink">
    <w:name w:val="Hyperlink"/>
    <w:rsid w:val="00927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1017469" TargetMode="External"/><Relationship Id="rId18" Type="http://schemas.openxmlformats.org/officeDocument/2006/relationships/hyperlink" Target="http://www.nevo.co.il/case/2818017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5067043" TargetMode="External"/><Relationship Id="rId7" Type="http://schemas.openxmlformats.org/officeDocument/2006/relationships/hyperlink" Target="http://www.nevo.co.il/law/4216" TargetMode="External"/><Relationship Id="rId12" Type="http://schemas.openxmlformats.org/officeDocument/2006/relationships/hyperlink" Target="http://www.nevo.co.il/case/26893105" TargetMode="External"/><Relationship Id="rId17" Type="http://schemas.openxmlformats.org/officeDocument/2006/relationships/hyperlink" Target="http://www.nevo.co.il/case/27615803"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7313460" TargetMode="External"/><Relationship Id="rId20" Type="http://schemas.openxmlformats.org/officeDocument/2006/relationships/hyperlink" Target="http://www.nevo.co.il/case/2540832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case/27151873" TargetMode="External"/><Relationship Id="rId23" Type="http://schemas.openxmlformats.org/officeDocument/2006/relationships/hyperlink" Target="http://www.nevo.co.il/case/26538238" TargetMode="External"/><Relationship Id="rId28"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2063205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685141" TargetMode="External"/><Relationship Id="rId22" Type="http://schemas.openxmlformats.org/officeDocument/2006/relationships/hyperlink" Target="http://www.nevo.co.il/case/27716387"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2574</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15416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7864368</vt:i4>
      </vt:variant>
      <vt:variant>
        <vt:i4>51</vt:i4>
      </vt:variant>
      <vt:variant>
        <vt:i4>0</vt:i4>
      </vt:variant>
      <vt:variant>
        <vt:i4>5</vt:i4>
      </vt:variant>
      <vt:variant>
        <vt:lpwstr>http://www.eca.gov.il/</vt:lpwstr>
      </vt:variant>
      <vt:variant>
        <vt:lpwstr/>
      </vt:variant>
      <vt:variant>
        <vt:i4>3932275</vt:i4>
      </vt:variant>
      <vt:variant>
        <vt:i4>48</vt:i4>
      </vt:variant>
      <vt:variant>
        <vt:i4>0</vt:i4>
      </vt:variant>
      <vt:variant>
        <vt:i4>5</vt:i4>
      </vt:variant>
      <vt:variant>
        <vt:lpwstr>http://www.nevo.co.il/case/26538238</vt:lpwstr>
      </vt:variant>
      <vt:variant>
        <vt:lpwstr/>
      </vt:variant>
      <vt:variant>
        <vt:i4>3866737</vt:i4>
      </vt:variant>
      <vt:variant>
        <vt:i4>45</vt:i4>
      </vt:variant>
      <vt:variant>
        <vt:i4>0</vt:i4>
      </vt:variant>
      <vt:variant>
        <vt:i4>5</vt:i4>
      </vt:variant>
      <vt:variant>
        <vt:lpwstr>http://www.nevo.co.il/case/27716387</vt:lpwstr>
      </vt:variant>
      <vt:variant>
        <vt:lpwstr/>
      </vt:variant>
      <vt:variant>
        <vt:i4>3211383</vt:i4>
      </vt:variant>
      <vt:variant>
        <vt:i4>42</vt:i4>
      </vt:variant>
      <vt:variant>
        <vt:i4>0</vt:i4>
      </vt:variant>
      <vt:variant>
        <vt:i4>5</vt:i4>
      </vt:variant>
      <vt:variant>
        <vt:lpwstr>http://www.nevo.co.il/case/25067043</vt:lpwstr>
      </vt:variant>
      <vt:variant>
        <vt:lpwstr/>
      </vt:variant>
      <vt:variant>
        <vt:i4>3932274</vt:i4>
      </vt:variant>
      <vt:variant>
        <vt:i4>39</vt:i4>
      </vt:variant>
      <vt:variant>
        <vt:i4>0</vt:i4>
      </vt:variant>
      <vt:variant>
        <vt:i4>5</vt:i4>
      </vt:variant>
      <vt:variant>
        <vt:lpwstr>http://www.nevo.co.il/case/25408321</vt:lpwstr>
      </vt:variant>
      <vt:variant>
        <vt:lpwstr/>
      </vt:variant>
      <vt:variant>
        <vt:i4>3342455</vt:i4>
      </vt:variant>
      <vt:variant>
        <vt:i4>36</vt:i4>
      </vt:variant>
      <vt:variant>
        <vt:i4>0</vt:i4>
      </vt:variant>
      <vt:variant>
        <vt:i4>5</vt:i4>
      </vt:variant>
      <vt:variant>
        <vt:lpwstr>http://www.nevo.co.il/case/20632055</vt:lpwstr>
      </vt:variant>
      <vt:variant>
        <vt:lpwstr/>
      </vt:variant>
      <vt:variant>
        <vt:i4>3407989</vt:i4>
      </vt:variant>
      <vt:variant>
        <vt:i4>33</vt:i4>
      </vt:variant>
      <vt:variant>
        <vt:i4>0</vt:i4>
      </vt:variant>
      <vt:variant>
        <vt:i4>5</vt:i4>
      </vt:variant>
      <vt:variant>
        <vt:lpwstr>http://www.nevo.co.il/case/28180177</vt:lpwstr>
      </vt:variant>
      <vt:variant>
        <vt:lpwstr/>
      </vt:variant>
      <vt:variant>
        <vt:i4>3211386</vt:i4>
      </vt:variant>
      <vt:variant>
        <vt:i4>30</vt:i4>
      </vt:variant>
      <vt:variant>
        <vt:i4>0</vt:i4>
      </vt:variant>
      <vt:variant>
        <vt:i4>5</vt:i4>
      </vt:variant>
      <vt:variant>
        <vt:lpwstr>http://www.nevo.co.il/case/27615803</vt:lpwstr>
      </vt:variant>
      <vt:variant>
        <vt:lpwstr/>
      </vt:variant>
      <vt:variant>
        <vt:i4>3407990</vt:i4>
      </vt:variant>
      <vt:variant>
        <vt:i4>27</vt:i4>
      </vt:variant>
      <vt:variant>
        <vt:i4>0</vt:i4>
      </vt:variant>
      <vt:variant>
        <vt:i4>5</vt:i4>
      </vt:variant>
      <vt:variant>
        <vt:lpwstr>http://www.nevo.co.il/case/27313460</vt:lpwstr>
      </vt:variant>
      <vt:variant>
        <vt:lpwstr/>
      </vt:variant>
      <vt:variant>
        <vt:i4>3473534</vt:i4>
      </vt:variant>
      <vt:variant>
        <vt:i4>24</vt:i4>
      </vt:variant>
      <vt:variant>
        <vt:i4>0</vt:i4>
      </vt:variant>
      <vt:variant>
        <vt:i4>5</vt:i4>
      </vt:variant>
      <vt:variant>
        <vt:lpwstr>http://www.nevo.co.il/case/27151873</vt:lpwstr>
      </vt:variant>
      <vt:variant>
        <vt:lpwstr/>
      </vt:variant>
      <vt:variant>
        <vt:i4>3473533</vt:i4>
      </vt:variant>
      <vt:variant>
        <vt:i4>21</vt:i4>
      </vt:variant>
      <vt:variant>
        <vt:i4>0</vt:i4>
      </vt:variant>
      <vt:variant>
        <vt:i4>5</vt:i4>
      </vt:variant>
      <vt:variant>
        <vt:lpwstr>http://www.nevo.co.il/case/20685141</vt:lpwstr>
      </vt:variant>
      <vt:variant>
        <vt:lpwstr/>
      </vt:variant>
      <vt:variant>
        <vt:i4>3342448</vt:i4>
      </vt:variant>
      <vt:variant>
        <vt:i4>18</vt:i4>
      </vt:variant>
      <vt:variant>
        <vt:i4>0</vt:i4>
      </vt:variant>
      <vt:variant>
        <vt:i4>5</vt:i4>
      </vt:variant>
      <vt:variant>
        <vt:lpwstr>http://www.nevo.co.il/case/21017469</vt:lpwstr>
      </vt:variant>
      <vt:variant>
        <vt:lpwstr/>
      </vt:variant>
      <vt:variant>
        <vt:i4>3735674</vt:i4>
      </vt:variant>
      <vt:variant>
        <vt:i4>15</vt:i4>
      </vt:variant>
      <vt:variant>
        <vt:i4>0</vt:i4>
      </vt:variant>
      <vt:variant>
        <vt:i4>5</vt:i4>
      </vt:variant>
      <vt:variant>
        <vt:lpwstr>http://www.nevo.co.il/case/26893105</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7349</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נתנאל אילוז</vt:lpwstr>
  </property>
  <property fmtid="{D5CDD505-2E9C-101B-9397-08002B2CF9AE}" pid="10" name="LAWYER">
    <vt:lpwstr>אילה גלברד יעקב;מיכאל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20230420</vt:lpwstr>
  </property>
  <property fmtid="{D5CDD505-2E9C-101B-9397-08002B2CF9AE}" pid="14" name="TYPE_N_DATE">
    <vt:lpwstr>38020230420</vt:lpwstr>
  </property>
  <property fmtid="{D5CDD505-2E9C-101B-9397-08002B2CF9AE}" pid="15" name="WORDNUMPAGES">
    <vt:lpwstr>8</vt:lpwstr>
  </property>
  <property fmtid="{D5CDD505-2E9C-101B-9397-08002B2CF9AE}" pid="16" name="TYPE_ABS_DATE">
    <vt:lpwstr>380020230420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26893105;21017469;20685141;27151873;27313460;27615803;28180177;20632055;25408321;25067043;27716387;26538238</vt:lpwstr>
  </property>
  <property fmtid="{D5CDD505-2E9C-101B-9397-08002B2CF9AE}" pid="36" name="LAWLISTTMP1">
    <vt:lpwstr>4216/007.a;007.c</vt:lpwstr>
  </property>
</Properties>
</file>