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B4E" w14:textId="77777777" w:rsidR="00BC002A" w:rsidRDefault="00BC002A" w:rsidP="00BC002A">
      <w:pPr>
        <w:pStyle w:val="a3"/>
        <w:jc w:val="center"/>
        <w:rPr>
          <w:rFonts w:cs="FrankRuehl" w:hint="cs"/>
          <w:sz w:val="28"/>
          <w:szCs w:val="28"/>
          <w:rtl/>
        </w:rPr>
      </w:pPr>
      <w:bookmarkStart w:id="0" w:name="LastJudge"/>
    </w:p>
    <w:tbl>
      <w:tblPr>
        <w:bidiVisual/>
        <w:tblW w:w="0" w:type="auto"/>
        <w:jc w:val="center"/>
        <w:tblLook w:val="0000" w:firstRow="0" w:lastRow="0" w:firstColumn="0" w:lastColumn="0" w:noHBand="0" w:noVBand="0"/>
      </w:tblPr>
      <w:tblGrid>
        <w:gridCol w:w="4945"/>
        <w:gridCol w:w="3578"/>
      </w:tblGrid>
      <w:tr w:rsidR="00BC002A" w:rsidRPr="005A741A" w14:paraId="7567CE8D" w14:textId="77777777" w:rsidTr="009C7FD7">
        <w:trPr>
          <w:trHeight w:hRule="exact" w:val="418"/>
          <w:jc w:val="center"/>
        </w:trPr>
        <w:tc>
          <w:tcPr>
            <w:tcW w:w="8523" w:type="dxa"/>
            <w:gridSpan w:val="2"/>
          </w:tcPr>
          <w:p w14:paraId="0145FF82" w14:textId="77777777" w:rsidR="00BC002A" w:rsidRPr="005A741A" w:rsidRDefault="00BC002A" w:rsidP="00AC4B41">
            <w:pPr>
              <w:pStyle w:val="a3"/>
              <w:jc w:val="center"/>
              <w:rPr>
                <w:rFonts w:ascii="Tahoma" w:hAnsi="Tahoma" w:cs="Tahoma"/>
                <w:color w:val="000080"/>
                <w:rtl/>
              </w:rPr>
            </w:pPr>
            <w:r w:rsidRPr="005A741A">
              <w:rPr>
                <w:rFonts w:ascii="Tahoma" w:hAnsi="Tahoma" w:cs="Tahoma"/>
                <w:b/>
                <w:bCs/>
                <w:color w:val="000080"/>
                <w:rtl/>
              </w:rPr>
              <w:t>בית משפט השלום בירושלים</w:t>
            </w:r>
          </w:p>
        </w:tc>
      </w:tr>
      <w:tr w:rsidR="00BC002A" w:rsidRPr="005A741A" w14:paraId="7B9A77AE" w14:textId="77777777" w:rsidTr="009C7FD7">
        <w:trPr>
          <w:trHeight w:val="850"/>
          <w:jc w:val="center"/>
        </w:trPr>
        <w:tc>
          <w:tcPr>
            <w:tcW w:w="4945" w:type="dxa"/>
          </w:tcPr>
          <w:p w14:paraId="2A6BFD7F" w14:textId="77777777" w:rsidR="00BC002A" w:rsidRPr="005A741A" w:rsidRDefault="00BC002A" w:rsidP="00AC4B41">
            <w:pPr>
              <w:rPr>
                <w:sz w:val="26"/>
                <w:szCs w:val="26"/>
                <w:rtl/>
              </w:rPr>
            </w:pPr>
            <w:r w:rsidRPr="005A741A">
              <w:rPr>
                <w:sz w:val="26"/>
                <w:szCs w:val="26"/>
                <w:rtl/>
              </w:rPr>
              <w:t>ת"פ</w:t>
            </w:r>
            <w:r w:rsidRPr="005A741A">
              <w:rPr>
                <w:rFonts w:hint="cs"/>
                <w:sz w:val="26"/>
                <w:szCs w:val="26"/>
                <w:rtl/>
              </w:rPr>
              <w:t xml:space="preserve"> </w:t>
            </w:r>
            <w:r w:rsidRPr="005A741A">
              <w:rPr>
                <w:sz w:val="26"/>
                <w:szCs w:val="26"/>
                <w:rtl/>
              </w:rPr>
              <w:t>75278-01-19</w:t>
            </w:r>
            <w:r w:rsidRPr="005A741A">
              <w:rPr>
                <w:rFonts w:hint="cs"/>
                <w:sz w:val="26"/>
                <w:szCs w:val="26"/>
                <w:rtl/>
              </w:rPr>
              <w:t xml:space="preserve"> </w:t>
            </w:r>
            <w:r w:rsidRPr="005A741A">
              <w:rPr>
                <w:sz w:val="26"/>
                <w:szCs w:val="26"/>
                <w:rtl/>
              </w:rPr>
              <w:t>מדינת ישראל נ' פיירמן</w:t>
            </w:r>
          </w:p>
        </w:tc>
        <w:tc>
          <w:tcPr>
            <w:tcW w:w="3578" w:type="dxa"/>
          </w:tcPr>
          <w:p w14:paraId="0BE8C356" w14:textId="77777777" w:rsidR="00BC002A" w:rsidRPr="005A741A" w:rsidRDefault="00BC002A" w:rsidP="00AC4B41">
            <w:pPr>
              <w:pStyle w:val="a3"/>
              <w:jc w:val="right"/>
              <w:rPr>
                <w:sz w:val="26"/>
                <w:szCs w:val="26"/>
                <w:rtl/>
              </w:rPr>
            </w:pPr>
          </w:p>
        </w:tc>
      </w:tr>
    </w:tbl>
    <w:p w14:paraId="6FEE4C50" w14:textId="77777777" w:rsidR="00BC002A" w:rsidRPr="005A741A" w:rsidRDefault="00BC002A" w:rsidP="00BC002A">
      <w:pPr>
        <w:pStyle w:val="a3"/>
        <w:rPr>
          <w:rtl/>
        </w:rPr>
      </w:pPr>
    </w:p>
    <w:p w14:paraId="23F28DE1" w14:textId="77777777" w:rsidR="00BC002A" w:rsidRPr="005A741A" w:rsidRDefault="00BC002A" w:rsidP="00BC00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BC002A" w:rsidRPr="005A741A" w14:paraId="0DAA2500" w14:textId="77777777" w:rsidTr="00BC002A">
        <w:trPr>
          <w:trHeight w:val="295"/>
          <w:jc w:val="center"/>
        </w:trPr>
        <w:tc>
          <w:tcPr>
            <w:tcW w:w="8820" w:type="dxa"/>
            <w:gridSpan w:val="3"/>
            <w:tcBorders>
              <w:top w:val="nil"/>
              <w:left w:val="nil"/>
              <w:bottom w:val="nil"/>
              <w:right w:val="nil"/>
            </w:tcBorders>
            <w:shd w:val="clear" w:color="auto" w:fill="auto"/>
          </w:tcPr>
          <w:p w14:paraId="2B39AB1C" w14:textId="77777777" w:rsidR="00BC002A" w:rsidRPr="005A741A" w:rsidRDefault="00BC002A" w:rsidP="00BC002A">
            <w:pPr>
              <w:jc w:val="both"/>
              <w:rPr>
                <w:rFonts w:ascii="Arial" w:hAnsi="Arial"/>
                <w:b/>
                <w:bCs/>
                <w:sz w:val="26"/>
                <w:szCs w:val="26"/>
                <w:rtl/>
              </w:rPr>
            </w:pPr>
            <w:r w:rsidRPr="005A741A">
              <w:rPr>
                <w:rFonts w:ascii="Arial" w:hAnsi="Arial" w:hint="cs"/>
                <w:b/>
                <w:bCs/>
                <w:sz w:val="26"/>
                <w:szCs w:val="26"/>
                <w:rtl/>
              </w:rPr>
              <w:t>ל</w:t>
            </w:r>
            <w:r w:rsidRPr="005A741A">
              <w:rPr>
                <w:rFonts w:ascii="Arial" w:hAnsi="Arial"/>
                <w:b/>
                <w:bCs/>
                <w:sz w:val="26"/>
                <w:szCs w:val="26"/>
                <w:rtl/>
              </w:rPr>
              <w:t xml:space="preserve">פני </w:t>
            </w:r>
            <w:r w:rsidRPr="005A741A">
              <w:rPr>
                <w:rFonts w:ascii="Arial" w:hAnsi="Arial" w:hint="cs"/>
                <w:b/>
                <w:bCs/>
                <w:sz w:val="26"/>
                <w:szCs w:val="26"/>
                <w:rtl/>
              </w:rPr>
              <w:t>כבוד ה</w:t>
            </w:r>
            <w:r w:rsidRPr="005A741A">
              <w:rPr>
                <w:rFonts w:ascii="Arial" w:hAnsi="Arial"/>
                <w:b/>
                <w:bCs/>
                <w:sz w:val="26"/>
                <w:szCs w:val="26"/>
                <w:rtl/>
              </w:rPr>
              <w:t>שופט</w:t>
            </w:r>
            <w:r w:rsidRPr="005A741A">
              <w:rPr>
                <w:rFonts w:ascii="Arial" w:hAnsi="Arial" w:hint="cs"/>
                <w:b/>
                <w:bCs/>
                <w:sz w:val="26"/>
                <w:szCs w:val="26"/>
                <w:rtl/>
              </w:rPr>
              <w:t xml:space="preserve">  </w:t>
            </w:r>
            <w:r w:rsidRPr="005A741A">
              <w:rPr>
                <w:rFonts w:ascii="Arial" w:hAnsi="Arial"/>
                <w:b/>
                <w:bCs/>
                <w:sz w:val="26"/>
                <w:szCs w:val="26"/>
                <w:rtl/>
              </w:rPr>
              <w:t>אביחי דורון</w:t>
            </w:r>
          </w:p>
          <w:p w14:paraId="5E6617C1" w14:textId="77777777" w:rsidR="00BC002A" w:rsidRPr="005A741A" w:rsidRDefault="00BC002A" w:rsidP="00BC002A">
            <w:pPr>
              <w:jc w:val="both"/>
              <w:rPr>
                <w:rFonts w:ascii="Arial" w:hAnsi="Arial"/>
                <w:sz w:val="26"/>
                <w:szCs w:val="26"/>
              </w:rPr>
            </w:pPr>
          </w:p>
        </w:tc>
      </w:tr>
      <w:tr w:rsidR="00BC002A" w:rsidRPr="005A741A" w14:paraId="19E8CFD4" w14:textId="77777777" w:rsidTr="00BC002A">
        <w:trPr>
          <w:trHeight w:val="355"/>
          <w:jc w:val="center"/>
        </w:trPr>
        <w:tc>
          <w:tcPr>
            <w:tcW w:w="923" w:type="dxa"/>
            <w:tcBorders>
              <w:top w:val="nil"/>
              <w:left w:val="nil"/>
              <w:bottom w:val="nil"/>
              <w:right w:val="nil"/>
            </w:tcBorders>
            <w:shd w:val="clear" w:color="auto" w:fill="auto"/>
          </w:tcPr>
          <w:p w14:paraId="535A3B54" w14:textId="77777777" w:rsidR="00BC002A" w:rsidRPr="005A741A" w:rsidRDefault="00BC002A" w:rsidP="00BC002A">
            <w:pPr>
              <w:jc w:val="both"/>
              <w:rPr>
                <w:rFonts w:ascii="Arial" w:hAnsi="Arial"/>
                <w:b/>
                <w:bCs/>
                <w:sz w:val="26"/>
                <w:szCs w:val="26"/>
              </w:rPr>
            </w:pPr>
            <w:bookmarkStart w:id="1" w:name="FirstAppellant"/>
            <w:r w:rsidRPr="005A741A">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47A2E68C" w14:textId="77777777" w:rsidR="00BC002A" w:rsidRPr="005A741A" w:rsidRDefault="00BC002A" w:rsidP="00AC4B41">
            <w:pPr>
              <w:rPr>
                <w:sz w:val="26"/>
                <w:szCs w:val="26"/>
              </w:rPr>
            </w:pPr>
            <w:r w:rsidRPr="005A741A">
              <w:rPr>
                <w:rFonts w:ascii="Arial" w:hAnsi="Arial"/>
                <w:sz w:val="26"/>
                <w:szCs w:val="26"/>
                <w:rtl/>
              </w:rPr>
              <w:t>מדינת ישראל</w:t>
            </w:r>
          </w:p>
        </w:tc>
        <w:tc>
          <w:tcPr>
            <w:tcW w:w="4820" w:type="dxa"/>
            <w:tcBorders>
              <w:top w:val="nil"/>
              <w:left w:val="nil"/>
              <w:bottom w:val="nil"/>
              <w:right w:val="nil"/>
            </w:tcBorders>
            <w:shd w:val="clear" w:color="auto" w:fill="auto"/>
          </w:tcPr>
          <w:p w14:paraId="4F736B51" w14:textId="77777777" w:rsidR="00BC002A" w:rsidRPr="005A741A" w:rsidRDefault="00BC002A" w:rsidP="00BC002A">
            <w:pPr>
              <w:jc w:val="both"/>
              <w:rPr>
                <w:rFonts w:ascii="Arial" w:hAnsi="Arial"/>
                <w:sz w:val="26"/>
                <w:szCs w:val="26"/>
              </w:rPr>
            </w:pPr>
          </w:p>
        </w:tc>
      </w:tr>
      <w:bookmarkEnd w:id="1"/>
      <w:tr w:rsidR="00BC002A" w:rsidRPr="005A741A" w14:paraId="3643D6F6" w14:textId="77777777" w:rsidTr="00BC002A">
        <w:trPr>
          <w:trHeight w:val="355"/>
          <w:jc w:val="center"/>
        </w:trPr>
        <w:tc>
          <w:tcPr>
            <w:tcW w:w="923" w:type="dxa"/>
            <w:tcBorders>
              <w:top w:val="nil"/>
              <w:left w:val="nil"/>
              <w:bottom w:val="nil"/>
              <w:right w:val="nil"/>
            </w:tcBorders>
            <w:shd w:val="clear" w:color="auto" w:fill="auto"/>
          </w:tcPr>
          <w:p w14:paraId="1379C3D9" w14:textId="77777777" w:rsidR="00BC002A" w:rsidRPr="005A741A" w:rsidRDefault="00BC002A" w:rsidP="00BC002A">
            <w:pPr>
              <w:jc w:val="both"/>
              <w:rPr>
                <w:rFonts w:ascii="Arial" w:hAnsi="Arial"/>
                <w:sz w:val="26"/>
                <w:szCs w:val="26"/>
                <w:rtl/>
              </w:rPr>
            </w:pPr>
          </w:p>
        </w:tc>
        <w:tc>
          <w:tcPr>
            <w:tcW w:w="3077" w:type="dxa"/>
            <w:tcBorders>
              <w:top w:val="nil"/>
              <w:left w:val="nil"/>
              <w:bottom w:val="nil"/>
              <w:right w:val="nil"/>
            </w:tcBorders>
            <w:shd w:val="clear" w:color="auto" w:fill="auto"/>
          </w:tcPr>
          <w:p w14:paraId="415B086A" w14:textId="77777777" w:rsidR="00BC002A" w:rsidRPr="005A741A" w:rsidRDefault="00BC002A" w:rsidP="00BC002A">
            <w:pPr>
              <w:jc w:val="both"/>
              <w:rPr>
                <w:sz w:val="26"/>
                <w:szCs w:val="26"/>
                <w:rtl/>
              </w:rPr>
            </w:pPr>
          </w:p>
        </w:tc>
        <w:tc>
          <w:tcPr>
            <w:tcW w:w="4820" w:type="dxa"/>
            <w:tcBorders>
              <w:top w:val="nil"/>
              <w:left w:val="nil"/>
              <w:bottom w:val="nil"/>
              <w:right w:val="nil"/>
            </w:tcBorders>
            <w:shd w:val="clear" w:color="auto" w:fill="auto"/>
          </w:tcPr>
          <w:p w14:paraId="5C5EA745" w14:textId="77777777" w:rsidR="00BC002A" w:rsidRPr="005A741A" w:rsidRDefault="00BC002A" w:rsidP="00BC002A">
            <w:pPr>
              <w:jc w:val="right"/>
              <w:rPr>
                <w:rFonts w:ascii="Arial" w:hAnsi="Arial"/>
                <w:sz w:val="26"/>
                <w:szCs w:val="26"/>
                <w:rtl/>
              </w:rPr>
            </w:pPr>
            <w:r w:rsidRPr="005A741A">
              <w:rPr>
                <w:rFonts w:ascii="Arial" w:hAnsi="Arial" w:hint="cs"/>
                <w:sz w:val="26"/>
                <w:szCs w:val="26"/>
                <w:rtl/>
              </w:rPr>
              <w:t>ה</w:t>
            </w:r>
            <w:r w:rsidRPr="005A741A">
              <w:rPr>
                <w:rFonts w:ascii="Arial" w:hAnsi="Arial"/>
                <w:sz w:val="26"/>
                <w:szCs w:val="26"/>
                <w:rtl/>
              </w:rPr>
              <w:t>מאשימה</w:t>
            </w:r>
          </w:p>
        </w:tc>
      </w:tr>
      <w:tr w:rsidR="00BC002A" w:rsidRPr="005A741A" w14:paraId="24FFAAF6" w14:textId="77777777" w:rsidTr="00BC002A">
        <w:trPr>
          <w:trHeight w:val="355"/>
          <w:jc w:val="center"/>
        </w:trPr>
        <w:tc>
          <w:tcPr>
            <w:tcW w:w="923" w:type="dxa"/>
            <w:tcBorders>
              <w:top w:val="nil"/>
              <w:left w:val="nil"/>
              <w:bottom w:val="nil"/>
              <w:right w:val="nil"/>
            </w:tcBorders>
            <w:shd w:val="clear" w:color="auto" w:fill="auto"/>
          </w:tcPr>
          <w:p w14:paraId="639A6D7D" w14:textId="77777777" w:rsidR="00BC002A" w:rsidRPr="005A741A" w:rsidRDefault="00BC002A" w:rsidP="00BC002A">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3667313F" w14:textId="77777777" w:rsidR="00BC002A" w:rsidRPr="005A741A" w:rsidRDefault="00BC002A" w:rsidP="00BC002A">
            <w:pPr>
              <w:jc w:val="center"/>
              <w:rPr>
                <w:rFonts w:ascii="Arial" w:hAnsi="Arial"/>
                <w:b/>
                <w:bCs/>
                <w:sz w:val="26"/>
                <w:szCs w:val="26"/>
                <w:rtl/>
              </w:rPr>
            </w:pPr>
          </w:p>
          <w:p w14:paraId="2FD919C0" w14:textId="77777777" w:rsidR="00BC002A" w:rsidRPr="005A741A" w:rsidRDefault="00BC002A" w:rsidP="00BC002A">
            <w:pPr>
              <w:jc w:val="center"/>
              <w:rPr>
                <w:rFonts w:ascii="Arial" w:hAnsi="Arial"/>
                <w:b/>
                <w:bCs/>
                <w:sz w:val="26"/>
                <w:szCs w:val="26"/>
                <w:rtl/>
              </w:rPr>
            </w:pPr>
            <w:r w:rsidRPr="005A741A">
              <w:rPr>
                <w:rFonts w:ascii="Arial" w:hAnsi="Arial"/>
                <w:b/>
                <w:bCs/>
                <w:sz w:val="26"/>
                <w:szCs w:val="26"/>
                <w:rtl/>
              </w:rPr>
              <w:t>נגד</w:t>
            </w:r>
          </w:p>
          <w:p w14:paraId="36BDA8C0" w14:textId="77777777" w:rsidR="00BC002A" w:rsidRPr="005A741A" w:rsidRDefault="00BC002A" w:rsidP="00BC002A">
            <w:pPr>
              <w:jc w:val="both"/>
              <w:rPr>
                <w:rFonts w:ascii="Arial" w:hAnsi="Arial"/>
                <w:sz w:val="26"/>
                <w:szCs w:val="26"/>
              </w:rPr>
            </w:pPr>
          </w:p>
        </w:tc>
      </w:tr>
      <w:tr w:rsidR="00BC002A" w:rsidRPr="005A741A" w14:paraId="42257D53" w14:textId="77777777" w:rsidTr="00BC002A">
        <w:trPr>
          <w:trHeight w:val="355"/>
          <w:jc w:val="center"/>
        </w:trPr>
        <w:tc>
          <w:tcPr>
            <w:tcW w:w="923" w:type="dxa"/>
            <w:tcBorders>
              <w:top w:val="nil"/>
              <w:left w:val="nil"/>
              <w:bottom w:val="nil"/>
              <w:right w:val="nil"/>
            </w:tcBorders>
            <w:shd w:val="clear" w:color="auto" w:fill="auto"/>
          </w:tcPr>
          <w:p w14:paraId="7F4E77B4" w14:textId="77777777" w:rsidR="00BC002A" w:rsidRPr="005A741A" w:rsidRDefault="00BC002A" w:rsidP="00AC4B41">
            <w:pPr>
              <w:rPr>
                <w:rFonts w:ascii="Arial" w:hAnsi="Arial"/>
                <w:sz w:val="26"/>
                <w:szCs w:val="26"/>
                <w:rtl/>
              </w:rPr>
            </w:pPr>
          </w:p>
        </w:tc>
        <w:tc>
          <w:tcPr>
            <w:tcW w:w="3077" w:type="dxa"/>
            <w:tcBorders>
              <w:top w:val="nil"/>
              <w:left w:val="nil"/>
              <w:bottom w:val="nil"/>
              <w:right w:val="nil"/>
            </w:tcBorders>
            <w:shd w:val="clear" w:color="auto" w:fill="auto"/>
          </w:tcPr>
          <w:p w14:paraId="00533A84" w14:textId="77777777" w:rsidR="00BC002A" w:rsidRPr="005A741A" w:rsidRDefault="00BC002A" w:rsidP="00AC4B41">
            <w:pPr>
              <w:rPr>
                <w:sz w:val="26"/>
                <w:szCs w:val="26"/>
                <w:rtl/>
              </w:rPr>
            </w:pPr>
            <w:r w:rsidRPr="005A741A">
              <w:rPr>
                <w:rFonts w:ascii="Arial" w:hAnsi="Arial"/>
                <w:sz w:val="26"/>
                <w:szCs w:val="26"/>
                <w:rtl/>
              </w:rPr>
              <w:t>פנחס ישראל פיירמן</w:t>
            </w:r>
          </w:p>
        </w:tc>
        <w:tc>
          <w:tcPr>
            <w:tcW w:w="4820" w:type="dxa"/>
            <w:tcBorders>
              <w:top w:val="nil"/>
              <w:left w:val="nil"/>
              <w:bottom w:val="nil"/>
              <w:right w:val="nil"/>
            </w:tcBorders>
            <w:shd w:val="clear" w:color="auto" w:fill="auto"/>
          </w:tcPr>
          <w:p w14:paraId="13F892D4" w14:textId="77777777" w:rsidR="00BC002A" w:rsidRPr="005A741A" w:rsidRDefault="00BC002A" w:rsidP="00BC002A">
            <w:pPr>
              <w:jc w:val="right"/>
              <w:rPr>
                <w:rFonts w:ascii="Arial" w:hAnsi="Arial"/>
                <w:sz w:val="26"/>
                <w:szCs w:val="26"/>
              </w:rPr>
            </w:pPr>
          </w:p>
        </w:tc>
      </w:tr>
      <w:tr w:rsidR="00BC002A" w:rsidRPr="005A741A" w14:paraId="41D52A75" w14:textId="77777777" w:rsidTr="00BC002A">
        <w:trPr>
          <w:trHeight w:val="355"/>
          <w:jc w:val="center"/>
        </w:trPr>
        <w:tc>
          <w:tcPr>
            <w:tcW w:w="923" w:type="dxa"/>
            <w:tcBorders>
              <w:top w:val="nil"/>
              <w:left w:val="nil"/>
              <w:bottom w:val="nil"/>
              <w:right w:val="nil"/>
            </w:tcBorders>
            <w:shd w:val="clear" w:color="auto" w:fill="auto"/>
          </w:tcPr>
          <w:p w14:paraId="3345A4BD" w14:textId="77777777" w:rsidR="00BC002A" w:rsidRPr="005A741A" w:rsidRDefault="00BC002A" w:rsidP="00BC002A">
            <w:pPr>
              <w:jc w:val="both"/>
              <w:rPr>
                <w:rFonts w:ascii="Arial" w:hAnsi="Arial"/>
                <w:sz w:val="26"/>
                <w:szCs w:val="26"/>
                <w:rtl/>
              </w:rPr>
            </w:pPr>
          </w:p>
        </w:tc>
        <w:tc>
          <w:tcPr>
            <w:tcW w:w="3077" w:type="dxa"/>
            <w:tcBorders>
              <w:top w:val="nil"/>
              <w:left w:val="nil"/>
              <w:bottom w:val="nil"/>
              <w:right w:val="nil"/>
            </w:tcBorders>
            <w:shd w:val="clear" w:color="auto" w:fill="auto"/>
          </w:tcPr>
          <w:p w14:paraId="11CDAC92" w14:textId="77777777" w:rsidR="00BC002A" w:rsidRPr="005A741A" w:rsidRDefault="00BC002A" w:rsidP="00BC002A">
            <w:pPr>
              <w:jc w:val="both"/>
              <w:rPr>
                <w:sz w:val="26"/>
                <w:szCs w:val="26"/>
                <w:rtl/>
              </w:rPr>
            </w:pPr>
          </w:p>
        </w:tc>
        <w:tc>
          <w:tcPr>
            <w:tcW w:w="4820" w:type="dxa"/>
            <w:tcBorders>
              <w:top w:val="nil"/>
              <w:left w:val="nil"/>
              <w:bottom w:val="nil"/>
              <w:right w:val="nil"/>
            </w:tcBorders>
            <w:shd w:val="clear" w:color="auto" w:fill="auto"/>
          </w:tcPr>
          <w:p w14:paraId="1A622293" w14:textId="77777777" w:rsidR="00BC002A" w:rsidRPr="005A741A" w:rsidRDefault="00BC002A" w:rsidP="00BC002A">
            <w:pPr>
              <w:jc w:val="right"/>
              <w:rPr>
                <w:rFonts w:ascii="Arial" w:hAnsi="Arial"/>
                <w:sz w:val="26"/>
                <w:szCs w:val="26"/>
              </w:rPr>
            </w:pPr>
            <w:r w:rsidRPr="005A741A">
              <w:rPr>
                <w:rFonts w:ascii="Arial" w:hAnsi="Arial" w:hint="cs"/>
                <w:sz w:val="26"/>
                <w:szCs w:val="26"/>
                <w:rtl/>
              </w:rPr>
              <w:t>ה</w:t>
            </w:r>
            <w:r w:rsidRPr="005A741A">
              <w:rPr>
                <w:rFonts w:ascii="Arial" w:hAnsi="Arial"/>
                <w:sz w:val="26"/>
                <w:szCs w:val="26"/>
                <w:rtl/>
              </w:rPr>
              <w:t>נאשמים</w:t>
            </w:r>
          </w:p>
        </w:tc>
      </w:tr>
    </w:tbl>
    <w:p w14:paraId="29CAA82A" w14:textId="77777777" w:rsidR="005A741A" w:rsidRPr="005A741A" w:rsidRDefault="005A741A" w:rsidP="005A741A">
      <w:pPr>
        <w:spacing w:before="120" w:after="120" w:line="240" w:lineRule="exact"/>
        <w:ind w:left="283" w:hanging="283"/>
        <w:jc w:val="both"/>
        <w:rPr>
          <w:rFonts w:ascii="FrankRuehl" w:hAnsi="FrankRuehl" w:cs="FrankRuehl"/>
          <w:rtl/>
        </w:rPr>
      </w:pPr>
    </w:p>
    <w:p w14:paraId="5EA22F0B" w14:textId="77777777" w:rsidR="005A741A" w:rsidRPr="005A741A" w:rsidRDefault="005A741A" w:rsidP="005A741A">
      <w:pPr>
        <w:spacing w:before="120" w:after="120" w:line="240" w:lineRule="exact"/>
        <w:ind w:left="283" w:hanging="283"/>
        <w:jc w:val="both"/>
        <w:rPr>
          <w:rFonts w:ascii="FrankRuehl" w:hAnsi="FrankRuehl" w:cs="FrankRuehl"/>
          <w:rtl/>
        </w:rPr>
      </w:pPr>
    </w:p>
    <w:p w14:paraId="0EF3A665" w14:textId="77777777" w:rsidR="002926F3" w:rsidRPr="002926F3" w:rsidRDefault="002926F3" w:rsidP="002926F3">
      <w:pPr>
        <w:spacing w:before="120" w:after="120" w:line="240" w:lineRule="exact"/>
        <w:ind w:left="283" w:hanging="283"/>
        <w:jc w:val="both"/>
        <w:rPr>
          <w:rFonts w:ascii="FrankRuehl" w:hAnsi="FrankRuehl" w:cs="FrankRuehl"/>
          <w:rtl/>
        </w:rPr>
      </w:pPr>
    </w:p>
    <w:p w14:paraId="34432BA9" w14:textId="77777777" w:rsidR="00A61437" w:rsidRDefault="00A61437" w:rsidP="00A61437">
      <w:pPr>
        <w:rPr>
          <w:rtl/>
        </w:rPr>
      </w:pPr>
      <w:bookmarkStart w:id="2" w:name="LawTable"/>
      <w:bookmarkEnd w:id="2"/>
    </w:p>
    <w:p w14:paraId="0FEECA5D" w14:textId="77777777" w:rsidR="00A61437" w:rsidRPr="00A61437" w:rsidRDefault="00A61437" w:rsidP="00A61437">
      <w:pPr>
        <w:spacing w:before="120" w:after="120" w:line="240" w:lineRule="exact"/>
        <w:ind w:left="283" w:hanging="283"/>
        <w:jc w:val="both"/>
        <w:rPr>
          <w:rFonts w:ascii="FrankRuehl" w:hAnsi="FrankRuehl" w:cs="FrankRuehl"/>
          <w:rtl/>
        </w:rPr>
      </w:pPr>
    </w:p>
    <w:p w14:paraId="56D60EB3" w14:textId="77777777" w:rsidR="00A61437" w:rsidRPr="00A61437" w:rsidRDefault="00A61437" w:rsidP="00A61437">
      <w:pPr>
        <w:spacing w:before="120" w:after="120" w:line="240" w:lineRule="exact"/>
        <w:ind w:left="283" w:hanging="283"/>
        <w:jc w:val="both"/>
        <w:rPr>
          <w:rFonts w:ascii="FrankRuehl" w:hAnsi="FrankRuehl" w:cs="FrankRuehl"/>
          <w:rtl/>
        </w:rPr>
      </w:pPr>
    </w:p>
    <w:p w14:paraId="6CFEDCB7" w14:textId="77777777" w:rsidR="00A61437" w:rsidRPr="00A61437" w:rsidRDefault="00A61437" w:rsidP="00A61437">
      <w:pPr>
        <w:spacing w:before="120" w:after="120" w:line="240" w:lineRule="exact"/>
        <w:ind w:left="283" w:hanging="283"/>
        <w:jc w:val="both"/>
        <w:rPr>
          <w:rFonts w:ascii="FrankRuehl" w:hAnsi="FrankRuehl" w:cs="FrankRuehl"/>
          <w:rtl/>
        </w:rPr>
      </w:pPr>
      <w:r w:rsidRPr="00A61437">
        <w:rPr>
          <w:rFonts w:ascii="FrankRuehl" w:hAnsi="FrankRuehl" w:cs="FrankRuehl"/>
          <w:rtl/>
        </w:rPr>
        <w:t xml:space="preserve">חקיקה שאוזכרה: </w:t>
      </w:r>
    </w:p>
    <w:p w14:paraId="086643B5" w14:textId="77777777" w:rsidR="00A61437" w:rsidRPr="00A61437" w:rsidRDefault="00A61437" w:rsidP="00A61437">
      <w:pPr>
        <w:spacing w:before="120" w:after="120" w:line="240" w:lineRule="exact"/>
        <w:ind w:left="283" w:hanging="283"/>
        <w:jc w:val="both"/>
        <w:rPr>
          <w:rFonts w:ascii="FrankRuehl" w:hAnsi="FrankRuehl" w:cs="FrankRuehl"/>
          <w:rtl/>
        </w:rPr>
      </w:pPr>
      <w:hyperlink r:id="rId7" w:history="1">
        <w:r w:rsidRPr="00A61437">
          <w:rPr>
            <w:rFonts w:ascii="FrankRuehl" w:hAnsi="FrankRuehl" w:cs="FrankRuehl"/>
            <w:color w:val="0000FF"/>
            <w:rtl/>
          </w:rPr>
          <w:t>פקודת הסמים המסוכנים [נוסח חדש], תשל"ג-1973</w:t>
        </w:r>
      </w:hyperlink>
    </w:p>
    <w:p w14:paraId="56402788" w14:textId="77777777" w:rsidR="00A61437" w:rsidRPr="00A61437" w:rsidRDefault="00A61437" w:rsidP="00A61437">
      <w:pPr>
        <w:rPr>
          <w:rtl/>
        </w:rPr>
      </w:pPr>
      <w:bookmarkStart w:id="3" w:name="LawTable_End"/>
      <w:bookmarkEnd w:id="3"/>
    </w:p>
    <w:p w14:paraId="76396FC2" w14:textId="77777777" w:rsidR="00BC002A" w:rsidRPr="002926F3" w:rsidRDefault="00BC002A" w:rsidP="002926F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002A" w14:paraId="59F91C74" w14:textId="77777777" w:rsidTr="00BC002A">
        <w:trPr>
          <w:trHeight w:val="355"/>
          <w:jc w:val="center"/>
        </w:trPr>
        <w:tc>
          <w:tcPr>
            <w:tcW w:w="8820" w:type="dxa"/>
            <w:tcBorders>
              <w:top w:val="nil"/>
              <w:left w:val="nil"/>
              <w:bottom w:val="nil"/>
              <w:right w:val="nil"/>
            </w:tcBorders>
            <w:shd w:val="clear" w:color="auto" w:fill="auto"/>
          </w:tcPr>
          <w:p w14:paraId="14816023" w14:textId="77777777" w:rsidR="005A741A" w:rsidRPr="005A741A" w:rsidRDefault="005A741A" w:rsidP="005A741A">
            <w:pPr>
              <w:jc w:val="center"/>
              <w:rPr>
                <w:rFonts w:ascii="Arial" w:hAnsi="Arial"/>
                <w:b/>
                <w:bCs/>
                <w:sz w:val="28"/>
                <w:szCs w:val="28"/>
                <w:u w:val="single"/>
                <w:rtl/>
              </w:rPr>
            </w:pPr>
            <w:bookmarkStart w:id="4" w:name="PsakDin" w:colFirst="0" w:colLast="0"/>
            <w:bookmarkEnd w:id="0"/>
            <w:r w:rsidRPr="005A741A">
              <w:rPr>
                <w:rFonts w:ascii="Arial" w:hAnsi="Arial"/>
                <w:b/>
                <w:bCs/>
                <w:sz w:val="28"/>
                <w:szCs w:val="28"/>
                <w:u w:val="single"/>
                <w:rtl/>
              </w:rPr>
              <w:t>גזר דין</w:t>
            </w:r>
          </w:p>
          <w:p w14:paraId="4251DF87" w14:textId="77777777" w:rsidR="00BC002A" w:rsidRPr="005A741A" w:rsidRDefault="00BC002A" w:rsidP="005A741A">
            <w:pPr>
              <w:jc w:val="center"/>
              <w:rPr>
                <w:rFonts w:ascii="Arial" w:hAnsi="Arial"/>
                <w:bCs/>
                <w:sz w:val="28"/>
                <w:szCs w:val="28"/>
                <w:u w:val="single"/>
                <w:rtl/>
              </w:rPr>
            </w:pPr>
          </w:p>
        </w:tc>
      </w:tr>
      <w:bookmarkEnd w:id="4"/>
    </w:tbl>
    <w:p w14:paraId="44C562E2" w14:textId="77777777" w:rsidR="00BC002A" w:rsidRDefault="00BC002A" w:rsidP="00BC002A">
      <w:pPr>
        <w:rPr>
          <w:rFonts w:ascii="Arial" w:hAnsi="Arial"/>
          <w:rtl/>
        </w:rPr>
      </w:pPr>
    </w:p>
    <w:tbl>
      <w:tblPr>
        <w:bidiVisual/>
        <w:tblW w:w="8820" w:type="dxa"/>
        <w:jc w:val="center"/>
        <w:tblCellMar>
          <w:left w:w="0" w:type="dxa"/>
          <w:right w:w="0" w:type="dxa"/>
        </w:tblCellMar>
        <w:tblLook w:val="04A0" w:firstRow="1" w:lastRow="0" w:firstColumn="1" w:lastColumn="0" w:noHBand="0" w:noVBand="1"/>
      </w:tblPr>
      <w:tblGrid>
        <w:gridCol w:w="8820"/>
      </w:tblGrid>
      <w:tr w:rsidR="00BC002A" w:rsidRPr="000051C5" w14:paraId="43285F62" w14:textId="77777777" w:rsidTr="00AC4B41">
        <w:trPr>
          <w:trHeight w:val="355"/>
          <w:jc w:val="center"/>
        </w:trPr>
        <w:tc>
          <w:tcPr>
            <w:tcW w:w="8820" w:type="dxa"/>
            <w:tcBorders>
              <w:top w:val="nil"/>
              <w:left w:val="nil"/>
              <w:bottom w:val="nil"/>
              <w:right w:val="nil"/>
            </w:tcBorders>
            <w:tcMar>
              <w:top w:w="0" w:type="dxa"/>
              <w:left w:w="108" w:type="dxa"/>
              <w:bottom w:w="0" w:type="dxa"/>
              <w:right w:w="108" w:type="dxa"/>
            </w:tcMar>
          </w:tcPr>
          <w:p w14:paraId="636F62A6" w14:textId="77777777" w:rsidR="00BC002A" w:rsidRPr="000051C5" w:rsidRDefault="00BC002A" w:rsidP="00AC4B41">
            <w:pPr>
              <w:rPr>
                <w:rFonts w:ascii="Calibri" w:hAnsi="Calibri" w:cs="Calibri"/>
                <w:sz w:val="22"/>
                <w:szCs w:val="22"/>
                <w:rtl/>
              </w:rPr>
            </w:pPr>
            <w:r w:rsidRPr="000051C5">
              <w:rPr>
                <w:rFonts w:ascii="Arial" w:hAnsi="Arial" w:cs="Arial"/>
                <w:b/>
                <w:bCs/>
                <w:sz w:val="22"/>
                <w:szCs w:val="22"/>
                <w:u w:val="single"/>
                <w:rtl/>
              </w:rPr>
              <w:t>גזר דין</w:t>
            </w:r>
          </w:p>
        </w:tc>
      </w:tr>
    </w:tbl>
    <w:p w14:paraId="7EE00DB6"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הנאשם הודה והורשע בכתב אישום מתוקן, במסגרת הסדר טיעון, ביום 17.6.20, בעבירה של גידול סם מסוכן, ובארבע עבירות של החזקת כלים להכנת סם מסוכן.</w:t>
      </w:r>
    </w:p>
    <w:p w14:paraId="747AFA85"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2CE9C6D0"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 xml:space="preserve">על פי כתב האישום המתוקן גידל הנאשם סם מסוג פצילופין (פטריות) במשקל של כ- 106.5.ג', החזיק סם מסוג הארמין במשקל כ – 10 ג' נטו, וכן החזיק סם מסוג </w:t>
      </w:r>
      <w:r w:rsidRPr="000051C5">
        <w:rPr>
          <w:rFonts w:ascii="Calibri" w:hAnsi="Calibri" w:cs="Calibri"/>
          <w:sz w:val="22"/>
          <w:szCs w:val="22"/>
        </w:rPr>
        <w:t xml:space="preserve">DELTA 9- THC </w:t>
      </w:r>
      <w:r w:rsidR="005A741A">
        <w:rPr>
          <w:rFonts w:ascii="Arial" w:hAnsi="Arial" w:cs="Arial"/>
          <w:sz w:val="22"/>
          <w:szCs w:val="22"/>
          <w:rtl/>
        </w:rPr>
        <w:t xml:space="preserve"> </w:t>
      </w:r>
      <w:r w:rsidRPr="000051C5">
        <w:rPr>
          <w:rFonts w:ascii="Arial" w:hAnsi="Arial" w:cs="Arial"/>
          <w:sz w:val="22"/>
          <w:szCs w:val="22"/>
          <w:rtl/>
        </w:rPr>
        <w:t xml:space="preserve">במשקל של כ- 1 ג'. </w:t>
      </w:r>
    </w:p>
    <w:p w14:paraId="1F7CF534"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על אף כל אלה נמחקה עבירת החזקת סם שלא לצריכה עצמית מכתב האישום במסגרת הסדר הטיעון והנאשם לא הורשע בגינה.</w:t>
      </w:r>
    </w:p>
    <w:p w14:paraId="17D784FD"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4215A11F"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הנאשם החזיק גם כלים להכנת הסם ו/ או גידולו כמפורט בסעיפים 9,10,12, 13 לכתב האישום.</w:t>
      </w:r>
    </w:p>
    <w:p w14:paraId="52D2F97A"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02B9A7A6"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עבירות אלה ביצע הנאשם ביום 12.7.2016, והיה עצור בגינן עד יום 17.7.2016.</w:t>
      </w:r>
    </w:p>
    <w:p w14:paraId="2761351E"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כתב האישום הוגש ביום 29.1.2019, דהיינו כשנתיים וחצי לאחר מעצרו.</w:t>
      </w:r>
    </w:p>
    <w:p w14:paraId="573F8103"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3A453B03"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lastRenderedPageBreak/>
        <w:t>על פי הסדר הטיעון נשלח הנאשם לשירות המבחן לקבלת תסקיר, היה והתסקיר יגלה קבלת אחריות, שיתוף פעולה, הליך טיפולי ואי פתיחת תיקים חדשים הסכימה המאשימה להגביל עצמה לעונש של ששה חודשי מאסר בעבודות שירות בתוספת ענישה נלווית בעוד הסניגור חופשי בטיעוניו.</w:t>
      </w:r>
    </w:p>
    <w:p w14:paraId="0CF5C3A6"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4B5F7DD0"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מתסקירי שירות המבחן שהוגשו עלה כי לנאשם עבר פלילי בסחר בסם מסוכן משנת 2009 בגינו ריצה, בין היתר, עונש של 6 חודשי מאסר בעבודות שירות.</w:t>
      </w:r>
    </w:p>
    <w:p w14:paraId="296A6B7B"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72AA1C21"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התסקירים פירטו את קורות חייו של הנאשם, ובסיכום התסקירים הגיע שירות המבחן למספר מסקנות:</w:t>
      </w:r>
    </w:p>
    <w:p w14:paraId="03062503" w14:textId="77777777" w:rsidR="00BC002A" w:rsidRPr="000051C5" w:rsidRDefault="00BC002A" w:rsidP="00BC002A">
      <w:pPr>
        <w:numPr>
          <w:ilvl w:val="0"/>
          <w:numId w:val="1"/>
        </w:numPr>
        <w:rPr>
          <w:rFonts w:ascii="Calibri" w:hAnsi="Calibri" w:cs="Calibri"/>
          <w:sz w:val="22"/>
          <w:szCs w:val="22"/>
          <w:rtl/>
        </w:rPr>
      </w:pPr>
      <w:r w:rsidRPr="000051C5">
        <w:rPr>
          <w:rFonts w:ascii="Arial" w:hAnsi="Arial" w:cs="Arial"/>
          <w:sz w:val="22"/>
          <w:szCs w:val="22"/>
          <w:rtl/>
        </w:rPr>
        <w:t>הנאשם נקי מסמי רחוב.</w:t>
      </w:r>
    </w:p>
    <w:p w14:paraId="1DC6A3DB" w14:textId="77777777" w:rsidR="00BC002A" w:rsidRPr="000051C5" w:rsidRDefault="00BC002A" w:rsidP="00BC002A">
      <w:pPr>
        <w:numPr>
          <w:ilvl w:val="0"/>
          <w:numId w:val="1"/>
        </w:numPr>
        <w:rPr>
          <w:rFonts w:ascii="Calibri" w:hAnsi="Calibri" w:cs="Calibri"/>
          <w:sz w:val="22"/>
          <w:szCs w:val="22"/>
          <w:rtl/>
        </w:rPr>
      </w:pPr>
      <w:r w:rsidRPr="000051C5">
        <w:rPr>
          <w:rFonts w:ascii="Arial" w:hAnsi="Arial" w:cs="Arial"/>
          <w:sz w:val="22"/>
          <w:szCs w:val="22"/>
          <w:rtl/>
        </w:rPr>
        <w:t>לנאשם לא נפתחו תיקים חדשים.</w:t>
      </w:r>
    </w:p>
    <w:p w14:paraId="6888D223" w14:textId="77777777" w:rsidR="00BC002A" w:rsidRPr="000051C5" w:rsidRDefault="00BC002A" w:rsidP="00BC002A">
      <w:pPr>
        <w:numPr>
          <w:ilvl w:val="0"/>
          <w:numId w:val="1"/>
        </w:numPr>
        <w:rPr>
          <w:rFonts w:ascii="Calibri" w:hAnsi="Calibri" w:cs="Calibri"/>
          <w:sz w:val="22"/>
          <w:szCs w:val="22"/>
          <w:rtl/>
        </w:rPr>
      </w:pPr>
      <w:r w:rsidRPr="000051C5">
        <w:rPr>
          <w:rFonts w:ascii="Arial" w:hAnsi="Arial" w:cs="Arial"/>
          <w:sz w:val="22"/>
          <w:szCs w:val="22"/>
          <w:rtl/>
        </w:rPr>
        <w:t>אף שהוצעה לנאשם אופציה טיפולית, הנאשם אינו מעוניין בקשר טיפולי עם השירות.</w:t>
      </w:r>
    </w:p>
    <w:p w14:paraId="63F287CB" w14:textId="77777777" w:rsidR="00BC002A" w:rsidRPr="000051C5" w:rsidRDefault="00BC002A" w:rsidP="00BC002A">
      <w:pPr>
        <w:numPr>
          <w:ilvl w:val="0"/>
          <w:numId w:val="1"/>
        </w:numPr>
        <w:rPr>
          <w:rFonts w:ascii="Calibri" w:hAnsi="Calibri" w:cs="Calibri"/>
          <w:sz w:val="22"/>
          <w:szCs w:val="22"/>
          <w:rtl/>
        </w:rPr>
      </w:pPr>
      <w:r w:rsidRPr="000051C5">
        <w:rPr>
          <w:rFonts w:ascii="Arial" w:hAnsi="Arial" w:cs="Arial"/>
          <w:sz w:val="22"/>
          <w:szCs w:val="22"/>
          <w:rtl/>
        </w:rPr>
        <w:t>בעקבות מעצרו בשנת 2009 עבר הנאשם הליך טיפולי מקיף, שינוי ולקיחת אחריות על חייו.</w:t>
      </w:r>
    </w:p>
    <w:p w14:paraId="6A5052FB" w14:textId="77777777" w:rsidR="00BC002A" w:rsidRPr="000051C5" w:rsidRDefault="00BC002A" w:rsidP="00BC002A">
      <w:pPr>
        <w:numPr>
          <w:ilvl w:val="0"/>
          <w:numId w:val="1"/>
        </w:numPr>
        <w:rPr>
          <w:rFonts w:ascii="Calibri" w:hAnsi="Calibri" w:cs="Calibri"/>
          <w:sz w:val="22"/>
          <w:szCs w:val="22"/>
          <w:rtl/>
        </w:rPr>
      </w:pPr>
      <w:r w:rsidRPr="000051C5">
        <w:rPr>
          <w:rFonts w:ascii="Arial" w:hAnsi="Arial" w:cs="Arial"/>
          <w:sz w:val="22"/>
          <w:szCs w:val="22"/>
          <w:rtl/>
        </w:rPr>
        <w:t>הנאשם שומר זה מספר שנים על יציבות בהיבטים השונים של חייו ובהם זוגיות, עבודה, נמנע מביצוע עבירות ושואף לחיים נורמטיביים.</w:t>
      </w:r>
    </w:p>
    <w:p w14:paraId="268C5807" w14:textId="77777777" w:rsidR="00BC002A" w:rsidRPr="000051C5" w:rsidRDefault="005A741A" w:rsidP="00BC002A">
      <w:pPr>
        <w:rPr>
          <w:rFonts w:ascii="Calibri" w:hAnsi="Calibri" w:cs="Calibri"/>
          <w:sz w:val="22"/>
          <w:szCs w:val="22"/>
          <w:rtl/>
        </w:rPr>
      </w:pPr>
      <w:r>
        <w:rPr>
          <w:rFonts w:ascii="Calibri" w:hAnsi="Calibri" w:cs="Calibri"/>
          <w:sz w:val="22"/>
          <w:szCs w:val="22"/>
        </w:rPr>
        <w:t xml:space="preserve"> </w:t>
      </w:r>
    </w:p>
    <w:p w14:paraId="7119CD25"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בסיכומו של יום לא בא השירות בהמלצה טיפולית אך המליץ להטיל על הנאשם מאסר מותנה, התחייבות וקנס כספי.</w:t>
      </w:r>
    </w:p>
    <w:p w14:paraId="05E00506"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7E2D5EF7"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2DA114E1"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17AACBFD" w14:textId="77777777" w:rsidR="00BC002A" w:rsidRPr="000051C5" w:rsidRDefault="00BC002A" w:rsidP="00BC002A">
      <w:pPr>
        <w:rPr>
          <w:rFonts w:ascii="Calibri" w:hAnsi="Calibri" w:cs="Calibri"/>
          <w:sz w:val="22"/>
          <w:szCs w:val="22"/>
          <w:rtl/>
        </w:rPr>
      </w:pPr>
      <w:r w:rsidRPr="000051C5">
        <w:rPr>
          <w:rFonts w:ascii="Arial" w:hAnsi="Arial" w:cs="Arial"/>
          <w:b/>
          <w:bCs/>
          <w:sz w:val="22"/>
          <w:szCs w:val="22"/>
          <w:rtl/>
        </w:rPr>
        <w:t>טיעוני הצדדים</w:t>
      </w:r>
      <w:r w:rsidRPr="000051C5">
        <w:rPr>
          <w:rFonts w:ascii="Arial" w:hAnsi="Arial" w:cs="Arial"/>
          <w:sz w:val="22"/>
          <w:szCs w:val="22"/>
          <w:rtl/>
        </w:rPr>
        <w:t>:</w:t>
      </w:r>
    </w:p>
    <w:p w14:paraId="0E6070FF"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24DB9013" w14:textId="77777777" w:rsidR="00BC002A" w:rsidRPr="000051C5" w:rsidRDefault="00BC002A" w:rsidP="00BC002A">
      <w:pPr>
        <w:rPr>
          <w:rFonts w:ascii="Calibri" w:hAnsi="Calibri" w:cs="Calibri"/>
          <w:sz w:val="22"/>
          <w:szCs w:val="22"/>
          <w:rtl/>
        </w:rPr>
      </w:pPr>
      <w:r w:rsidRPr="000051C5">
        <w:rPr>
          <w:rFonts w:ascii="Arial" w:hAnsi="Arial" w:cs="Arial"/>
          <w:b/>
          <w:bCs/>
          <w:sz w:val="22"/>
          <w:szCs w:val="22"/>
          <w:rtl/>
        </w:rPr>
        <w:t>המאשימה</w:t>
      </w:r>
      <w:r w:rsidRPr="000051C5">
        <w:rPr>
          <w:rFonts w:ascii="Arial" w:hAnsi="Arial" w:cs="Arial"/>
          <w:sz w:val="22"/>
          <w:szCs w:val="22"/>
          <w:rtl/>
        </w:rPr>
        <w:t xml:space="preserve"> זיהתה את הערכים המוגן הנפגע כפגיעה בשלום הציבור והסנגור לא חלק עליה.</w:t>
      </w:r>
    </w:p>
    <w:p w14:paraId="1632ED8A"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3ACF894C"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המאשימה הדגישה את הכמות הרבה של הסם שהחזיק הנאשם שלא לשימושו העצמי וכן את "חזרתו לסורו" לאחר עבירת הסחר בסם בה הורשע בשנת 2009.</w:t>
      </w:r>
    </w:p>
    <w:p w14:paraId="46D2EAFF"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248E0FEE"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לאור זאת, ובהיעדר טיפול (שהיווה אחד התנאים להגבלות בהסדר) ראתה עצמה המאשימה משוחררת מהסכמותיה וביקשה לקבוע מתחם ענישה הנע בין 6 – 12 חודשי מאסר בפועל תוך עתירה לעונש בן 9 חודשי מאסר, מאסר מותנה, התחייבות, קנס, פסילה בפועל ועל תנאי.</w:t>
      </w:r>
    </w:p>
    <w:p w14:paraId="7905E863"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72B11061" w14:textId="77777777" w:rsidR="00BC002A" w:rsidRPr="000051C5" w:rsidRDefault="00BC002A" w:rsidP="00BC002A">
      <w:pPr>
        <w:rPr>
          <w:rFonts w:ascii="Calibri" w:hAnsi="Calibri" w:cs="Calibri"/>
          <w:sz w:val="22"/>
          <w:szCs w:val="22"/>
          <w:rtl/>
        </w:rPr>
      </w:pPr>
      <w:r w:rsidRPr="000051C5">
        <w:rPr>
          <w:rFonts w:ascii="Arial" w:hAnsi="Arial" w:cs="Arial"/>
          <w:b/>
          <w:bCs/>
          <w:sz w:val="22"/>
          <w:szCs w:val="22"/>
          <w:rtl/>
        </w:rPr>
        <w:t>הסנגור</w:t>
      </w:r>
      <w:r w:rsidRPr="000051C5">
        <w:rPr>
          <w:rFonts w:ascii="Arial" w:hAnsi="Arial" w:cs="Arial"/>
          <w:sz w:val="22"/>
          <w:szCs w:val="22"/>
          <w:rtl/>
        </w:rPr>
        <w:t xml:space="preserve"> הדגיש את הזמן הרב שחלף מאז ביצוע העבירה, את השינוי הרב שחל בחייו של הנאשם מאז, כאשר בשנים האחרונות הנאשם עובד כמנהל בכיר בחברת פיננסים בינלאומית, האחריות הרבה שיש לו כלפי עשרות העובדים תחתיו והתסקירים שהוגשו – אשר הסנגור עתר לראותם כחיוביים.</w:t>
      </w:r>
    </w:p>
    <w:p w14:paraId="0DCE412B"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בסיכום עתר הסנגור להימנע משליחת הנאשם למאסר בעבודות שירות, בהיותם עלולים להיות הרסניים לעבודתו של הנאשם ולמהלך חייו היציב בשנים האחרונות, ביקש לאמץ את המלצת שירות המבחן ולכל היותר להטיל על הנאשם בנוסף עונש חינוכי של של"צ.</w:t>
      </w:r>
    </w:p>
    <w:p w14:paraId="3CA6BFB3"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64150EE4" w14:textId="77777777" w:rsidR="00BC002A" w:rsidRPr="000051C5" w:rsidRDefault="00BC002A" w:rsidP="00BC002A">
      <w:pPr>
        <w:rPr>
          <w:rFonts w:ascii="Calibri" w:hAnsi="Calibri" w:cs="Calibri"/>
          <w:sz w:val="22"/>
          <w:szCs w:val="22"/>
          <w:rtl/>
        </w:rPr>
      </w:pPr>
      <w:r w:rsidRPr="000051C5">
        <w:rPr>
          <w:rFonts w:ascii="Arial" w:hAnsi="Arial" w:cs="Arial"/>
          <w:b/>
          <w:bCs/>
          <w:sz w:val="22"/>
          <w:szCs w:val="22"/>
          <w:rtl/>
        </w:rPr>
        <w:t>הנאשם</w:t>
      </w:r>
      <w:r w:rsidRPr="000051C5">
        <w:rPr>
          <w:rFonts w:ascii="Arial" w:hAnsi="Arial" w:cs="Arial"/>
          <w:sz w:val="22"/>
          <w:szCs w:val="22"/>
          <w:rtl/>
        </w:rPr>
        <w:t xml:space="preserve"> סיפר שהוא כלל לא נמצא באותו מקום כיום, היה ילד – התבגר והשתנה מקצה לקצה, יש לו זוגיות ועבודה קבועה, עשה במהלך השנים תואר ראשון, מנהל משרד ועובד שעות ארוכות כל יום.</w:t>
      </w:r>
    </w:p>
    <w:p w14:paraId="16E92B01"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0A23879A"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1015E84E" w14:textId="77777777" w:rsidR="00BC002A" w:rsidRPr="000051C5" w:rsidRDefault="00BC002A" w:rsidP="00BC002A">
      <w:pPr>
        <w:rPr>
          <w:rFonts w:ascii="Calibri" w:hAnsi="Calibri" w:cs="Calibri"/>
          <w:sz w:val="22"/>
          <w:szCs w:val="22"/>
          <w:rtl/>
        </w:rPr>
      </w:pPr>
      <w:r w:rsidRPr="000051C5">
        <w:rPr>
          <w:rFonts w:ascii="Arial" w:hAnsi="Arial" w:cs="Arial"/>
          <w:b/>
          <w:bCs/>
          <w:sz w:val="22"/>
          <w:szCs w:val="22"/>
          <w:rtl/>
        </w:rPr>
        <w:t>דיון והכרעה</w:t>
      </w:r>
      <w:r w:rsidRPr="000051C5">
        <w:rPr>
          <w:rFonts w:ascii="Arial" w:hAnsi="Arial" w:cs="Arial"/>
          <w:sz w:val="22"/>
          <w:szCs w:val="22"/>
          <w:rtl/>
        </w:rPr>
        <w:t>:</w:t>
      </w:r>
    </w:p>
    <w:p w14:paraId="337DA525"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763547BE"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אני מקבל את זיהוי הערך המוגן שנפגע כפי שטענה המאשימה.</w:t>
      </w:r>
    </w:p>
    <w:p w14:paraId="750E32EA"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3CC4349E"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מעבר לכך, מצאתי קושי לא מבוטל בטיעוני המאשימה:</w:t>
      </w:r>
    </w:p>
    <w:p w14:paraId="4E2363BE"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3EB661C4"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 xml:space="preserve">המאשימה לא התייחסה כלל למועד ביצוע העבירה, לזמן שחלף מאז ביצועה ועד להגשת כתב האישום (יותר משנתיים וחצי), לזמן שחלף מאז ביצוע העבירה ועד היום (למעלה מחמש וחצי שנים) </w:t>
      </w:r>
      <w:r w:rsidRPr="000051C5">
        <w:rPr>
          <w:rFonts w:ascii="Arial" w:hAnsi="Arial" w:cs="Arial"/>
          <w:sz w:val="22"/>
          <w:szCs w:val="22"/>
          <w:rtl/>
        </w:rPr>
        <w:lastRenderedPageBreak/>
        <w:t>וטענה לחומרה הרבה בהחזקת כמויות סם שלא לצריכה עצמית אף שעבירה זו נמחקה מכתב האישום והנאשם לא הורשע בה.</w:t>
      </w:r>
    </w:p>
    <w:p w14:paraId="75D16BB3"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7E1DA783"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 xml:space="preserve">העבירות בהן הורשע הנאשם, בכל הנוגע לעקרון ההלימה, במיוחד על רקע כמות הסם הגדולה שגידל הנאשם, </w:t>
      </w:r>
      <w:r w:rsidR="005A741A">
        <w:rPr>
          <w:rFonts w:ascii="Arial" w:hAnsi="Arial" w:cs="Arial"/>
          <w:sz w:val="22"/>
          <w:szCs w:val="22"/>
          <w:rtl/>
        </w:rPr>
        <w:t xml:space="preserve"> </w:t>
      </w:r>
      <w:r w:rsidRPr="000051C5">
        <w:rPr>
          <w:rFonts w:ascii="Arial" w:hAnsi="Arial" w:cs="Arial"/>
          <w:sz w:val="22"/>
          <w:szCs w:val="22"/>
          <w:rtl/>
        </w:rPr>
        <w:t xml:space="preserve">מצדיקות מתחם ענישה הנע בין מאסר קצר בעבודות שירות לבין 5 חודשי מאסר. </w:t>
      </w:r>
    </w:p>
    <w:p w14:paraId="52B04599"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4F6AE5E8"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יש לזכור כי הנאשם גידל את הסמים, ככל הנראה, לשימושו העצמי, והכלים שהחזיק שימשו אותו לצורך אותו גידול.</w:t>
      </w:r>
    </w:p>
    <w:p w14:paraId="5302E1A0"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3096A9FE"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דהיינו – נזקה של העבירה מוגבל יחסית לפגיעה בשלטון החוק, למלחמה בנגע הסמים בכלל ולנזק לנאשם וסביבתו, ואין הוא חורג לכיוונים של פגיעה רבתי בציבור או הפצת סם הפוגעת בו.</w:t>
      </w:r>
    </w:p>
    <w:p w14:paraId="1F043A36"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0039E14B"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בשקלול הנתונים ניתן לומר כי הפגיעה בערך המוגן, במקרה לפניי, היא בינונית נמוכה.</w:t>
      </w:r>
    </w:p>
    <w:p w14:paraId="4784AC26"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47CD0699"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כשאני שוקל שיקולים נוספים אני מגיע למסקנות הבאות:</w:t>
      </w:r>
    </w:p>
    <w:p w14:paraId="1F82E6D0"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7BDD7B1F"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אין ספק שהזמן הרב שעבר מאז ביצוע העבירה ועד היום מדגיש את חשיבות הקשר המיידי בין החטא לעונשו, ואת השלכות חלוף הזמן על הענישה.</w:t>
      </w:r>
    </w:p>
    <w:p w14:paraId="7AC951FD"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185B4F53"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 xml:space="preserve">חלוף הזמן, ודאי במקרה לפניי, מאפשר לבית המשפט לקבוע כי מאז ביצוע העבירה ועד היום הנאשם השתקם, בין היתר לאור מסקנות שירות המבחן על חייו בשנים האחרונות, וללא קשר לשיקום ה"קלאסי" של טיפול במוקד העבירה והרקע לה. משמע – בית המשפט יכול לקבוע כי שיקום הושג גם כשלא היה כרוך בהיענות להתערבות טיפולית, אף ששיקום כזה מוגבל למקרים המיוחדים </w:t>
      </w:r>
      <w:r w:rsidR="005A741A">
        <w:rPr>
          <w:rFonts w:ascii="Arial" w:hAnsi="Arial" w:cs="Arial"/>
          <w:sz w:val="22"/>
          <w:szCs w:val="22"/>
          <w:rtl/>
        </w:rPr>
        <w:t xml:space="preserve"> </w:t>
      </w:r>
      <w:r w:rsidRPr="000051C5">
        <w:rPr>
          <w:rFonts w:ascii="Arial" w:hAnsi="Arial" w:cs="Arial"/>
          <w:sz w:val="22"/>
          <w:szCs w:val="22"/>
          <w:rtl/>
        </w:rPr>
        <w:t>בהם חלוף הזמן וההתרשמות העובדתית מורים כי אדם שינה דרכיו וחייו והשתקם מהמקום ומהנסיבות אשר עמדו ברקע לביצוע העבירות בהן הורשע.</w:t>
      </w:r>
    </w:p>
    <w:p w14:paraId="01FED2BC"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27E736E3"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בהינתן שיקומו של הנאשם כאמור, אני קובע כי ניתן ודרוש להחריגו ממתחם הענישה שקבעתי, ולפיכך אני גוזר עליו את העונשים הבאים:</w:t>
      </w:r>
    </w:p>
    <w:p w14:paraId="6C316BF8"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3F080134" w14:textId="77777777" w:rsidR="00BC002A" w:rsidRPr="000051C5" w:rsidRDefault="00BC002A" w:rsidP="00BC002A">
      <w:pPr>
        <w:numPr>
          <w:ilvl w:val="0"/>
          <w:numId w:val="2"/>
        </w:numPr>
        <w:rPr>
          <w:rFonts w:ascii="Calibri" w:hAnsi="Calibri" w:cs="Calibri"/>
          <w:sz w:val="22"/>
          <w:szCs w:val="22"/>
          <w:rtl/>
        </w:rPr>
      </w:pPr>
      <w:r w:rsidRPr="000051C5">
        <w:rPr>
          <w:rFonts w:ascii="Arial" w:hAnsi="Arial" w:cs="Arial"/>
          <w:sz w:val="22"/>
          <w:szCs w:val="22"/>
          <w:rtl/>
        </w:rPr>
        <w:t>של"צ למשך 150 שעות לפי תכנית שיגיש שירות המבחן ותועבר לאישור בית המשפט בתוך 45 ימים מהיום.</w:t>
      </w:r>
    </w:p>
    <w:p w14:paraId="31230853" w14:textId="77777777" w:rsidR="00BC002A" w:rsidRPr="000051C5" w:rsidRDefault="005A741A" w:rsidP="00BC002A">
      <w:pPr>
        <w:numPr>
          <w:ilvl w:val="0"/>
          <w:numId w:val="2"/>
        </w:numPr>
        <w:rPr>
          <w:rFonts w:ascii="Calibri" w:hAnsi="Calibri" w:cs="Calibri"/>
          <w:sz w:val="22"/>
          <w:szCs w:val="22"/>
          <w:rtl/>
        </w:rPr>
      </w:pPr>
      <w:bookmarkStart w:id="5" w:name="Nitan"/>
      <w:r>
        <w:rPr>
          <w:rFonts w:ascii="Arial" w:hAnsi="Arial" w:cs="Arial"/>
          <w:sz w:val="22"/>
          <w:szCs w:val="22"/>
          <w:rtl/>
        </w:rPr>
        <w:t xml:space="preserve">מאסר למשך 7 חודשים אותו לא ירצה הנאשם אלא אם יעבור תוך 3 שנים מהיום כל עבירה </w:t>
      </w:r>
      <w:bookmarkEnd w:id="5"/>
      <w:r w:rsidR="00BC002A" w:rsidRPr="000051C5">
        <w:rPr>
          <w:rFonts w:ascii="Arial" w:hAnsi="Arial" w:cs="Arial"/>
          <w:sz w:val="22"/>
          <w:szCs w:val="22"/>
          <w:rtl/>
        </w:rPr>
        <w:t xml:space="preserve">מסוג פשע לפי </w:t>
      </w:r>
      <w:hyperlink r:id="rId8" w:history="1">
        <w:r w:rsidRPr="005A741A">
          <w:rPr>
            <w:rStyle w:val="Hyperlink"/>
            <w:rFonts w:ascii="Arial" w:hAnsi="Arial" w:cs="Arial"/>
            <w:sz w:val="22"/>
            <w:szCs w:val="22"/>
            <w:rtl/>
          </w:rPr>
          <w:t>פקודת הסמים המסוכנים</w:t>
        </w:r>
      </w:hyperlink>
      <w:r w:rsidR="00BC002A" w:rsidRPr="000051C5">
        <w:rPr>
          <w:rFonts w:ascii="Arial" w:hAnsi="Arial" w:cs="Arial"/>
          <w:sz w:val="22"/>
          <w:szCs w:val="22"/>
          <w:rtl/>
        </w:rPr>
        <w:t>.</w:t>
      </w:r>
    </w:p>
    <w:p w14:paraId="2803293A" w14:textId="77777777" w:rsidR="00BC002A" w:rsidRPr="000051C5" w:rsidRDefault="005A741A" w:rsidP="00BC002A">
      <w:pPr>
        <w:numPr>
          <w:ilvl w:val="0"/>
          <w:numId w:val="2"/>
        </w:numPr>
        <w:rPr>
          <w:rFonts w:ascii="Calibri" w:hAnsi="Calibri" w:cs="Calibri"/>
          <w:sz w:val="22"/>
          <w:szCs w:val="22"/>
          <w:rtl/>
        </w:rPr>
      </w:pPr>
      <w:r>
        <w:rPr>
          <w:rFonts w:ascii="Arial" w:hAnsi="Arial" w:cs="Arial"/>
          <w:sz w:val="22"/>
          <w:szCs w:val="22"/>
          <w:rtl/>
        </w:rPr>
        <w:t xml:space="preserve">מאסר למשך 3 חודשים אותו לא ירצה הנאשם אלא אם יעבור תוך 3 שנים מהיום כל עבירה </w:t>
      </w:r>
      <w:r w:rsidR="00BC002A" w:rsidRPr="000051C5">
        <w:rPr>
          <w:rFonts w:ascii="Arial" w:hAnsi="Arial" w:cs="Arial"/>
          <w:sz w:val="22"/>
          <w:szCs w:val="22"/>
          <w:rtl/>
        </w:rPr>
        <w:t xml:space="preserve">מסוג עוון לפי </w:t>
      </w:r>
      <w:hyperlink r:id="rId9" w:history="1">
        <w:r w:rsidRPr="005A741A">
          <w:rPr>
            <w:rStyle w:val="Hyperlink"/>
            <w:rFonts w:ascii="Arial" w:hAnsi="Arial" w:cs="Arial"/>
            <w:sz w:val="22"/>
            <w:szCs w:val="22"/>
            <w:rtl/>
          </w:rPr>
          <w:t>פקודת הסמים המסוכנים</w:t>
        </w:r>
      </w:hyperlink>
      <w:r w:rsidR="00BC002A" w:rsidRPr="000051C5">
        <w:rPr>
          <w:rFonts w:ascii="Arial" w:hAnsi="Arial" w:cs="Arial"/>
          <w:sz w:val="22"/>
          <w:szCs w:val="22"/>
          <w:rtl/>
        </w:rPr>
        <w:t>.</w:t>
      </w:r>
    </w:p>
    <w:p w14:paraId="1C515E14" w14:textId="77777777" w:rsidR="00BC002A" w:rsidRPr="000051C5" w:rsidRDefault="00BC002A" w:rsidP="00BC002A">
      <w:pPr>
        <w:numPr>
          <w:ilvl w:val="0"/>
          <w:numId w:val="2"/>
        </w:numPr>
        <w:rPr>
          <w:rFonts w:ascii="Calibri" w:hAnsi="Calibri" w:cs="Calibri"/>
          <w:sz w:val="22"/>
          <w:szCs w:val="22"/>
          <w:rtl/>
        </w:rPr>
      </w:pPr>
      <w:r w:rsidRPr="000051C5">
        <w:rPr>
          <w:rFonts w:ascii="Arial" w:hAnsi="Arial" w:cs="Arial"/>
          <w:sz w:val="22"/>
          <w:szCs w:val="22"/>
          <w:rtl/>
        </w:rPr>
        <w:t>קנס בסך 2500 ₪ או 20 ימי מאסר תמורתו. הקנס יקוזז כנגד הפקדה שהפקיד הנאשם ויתרתה – ככל שקיימת – תוחזר לידיו. ככל שאין הפקדה הניתנת לקיזוז, ישולם הקנס עד יום 1.6.22.</w:t>
      </w:r>
    </w:p>
    <w:p w14:paraId="7892EE18"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 xml:space="preserve">פסילה למשך 3 חודשים מהחזקת רישיון נהיגה ואולם הנאשם לא ירצה עונש זה אלא אם </w:t>
      </w:r>
      <w:r w:rsidR="005A741A">
        <w:rPr>
          <w:rFonts w:ascii="Arial" w:hAnsi="Arial" w:cs="Arial"/>
          <w:sz w:val="22"/>
          <w:szCs w:val="22"/>
          <w:rtl/>
        </w:rPr>
        <w:t xml:space="preserve">יעבור אחת מעבירות התנאי בתוך שנתיים מהיום. </w:t>
      </w:r>
      <w:r w:rsidR="005A741A">
        <w:rPr>
          <w:rFonts w:ascii="Calibri" w:hAnsi="Calibri" w:cs="Calibri"/>
          <w:sz w:val="22"/>
          <w:szCs w:val="22"/>
        </w:rPr>
        <w:t xml:space="preserve"> </w:t>
      </w:r>
    </w:p>
    <w:p w14:paraId="37C4FDD7"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1B4AE2F8"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מורה על השמדת המוצגים.</w:t>
      </w:r>
    </w:p>
    <w:p w14:paraId="22F210F9"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3B81E1DF" w14:textId="77777777" w:rsidR="00BC002A" w:rsidRPr="000051C5" w:rsidRDefault="00BC002A" w:rsidP="00BC002A">
      <w:pPr>
        <w:rPr>
          <w:rFonts w:ascii="Calibri" w:hAnsi="Calibri" w:cs="Calibri"/>
          <w:sz w:val="22"/>
          <w:szCs w:val="22"/>
          <w:rtl/>
        </w:rPr>
      </w:pPr>
      <w:r w:rsidRPr="000051C5">
        <w:rPr>
          <w:rFonts w:ascii="Arial" w:hAnsi="Arial" w:cs="Arial"/>
          <w:sz w:val="22"/>
          <w:szCs w:val="22"/>
          <w:rtl/>
        </w:rPr>
        <w:t>המזכירות תעביר העתק גזר הדין לשירות המבחן.</w:t>
      </w:r>
    </w:p>
    <w:p w14:paraId="00C2F172"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51B55630"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זכות ערעור לבית המשפט המחוזי תוך 45 ימים מהיום.  </w:t>
      </w:r>
    </w:p>
    <w:p w14:paraId="34B85CFC"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1FD403EB"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23A71614"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5C06D096"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0C7CE3BC"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2E396396"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6AAE457C"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3AAC97A4"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0A423025"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283DAC72"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610D634F" w14:textId="77777777" w:rsidR="00BC002A" w:rsidRPr="005A741A" w:rsidRDefault="005A741A" w:rsidP="00BC002A">
      <w:pPr>
        <w:rPr>
          <w:rFonts w:ascii="Calibri" w:hAnsi="Calibri" w:cs="Calibri"/>
          <w:color w:val="FFFFFF"/>
          <w:sz w:val="2"/>
          <w:szCs w:val="2"/>
          <w:rtl/>
        </w:rPr>
      </w:pPr>
      <w:r w:rsidRPr="005A741A">
        <w:rPr>
          <w:rFonts w:ascii="Arial" w:hAnsi="Arial" w:cs="Arial"/>
          <w:color w:val="FFFFFF"/>
          <w:sz w:val="2"/>
          <w:szCs w:val="2"/>
          <w:rtl/>
        </w:rPr>
        <w:t xml:space="preserve">5129371 </w:t>
      </w:r>
    </w:p>
    <w:p w14:paraId="59A7BBFE" w14:textId="77777777" w:rsidR="00BC002A" w:rsidRPr="005A741A" w:rsidRDefault="005A741A" w:rsidP="00BC002A">
      <w:pPr>
        <w:rPr>
          <w:rFonts w:ascii="Calibri" w:hAnsi="Calibri" w:cs="Calibri"/>
          <w:color w:val="FFFFFF"/>
          <w:sz w:val="2"/>
          <w:szCs w:val="2"/>
          <w:rtl/>
        </w:rPr>
      </w:pPr>
      <w:r w:rsidRPr="005A741A">
        <w:rPr>
          <w:rFonts w:ascii="Arial" w:hAnsi="Arial" w:cs="Arial"/>
          <w:color w:val="FFFFFF"/>
          <w:sz w:val="2"/>
          <w:szCs w:val="2"/>
          <w:rtl/>
        </w:rPr>
        <w:t xml:space="preserve">54678313 </w:t>
      </w:r>
    </w:p>
    <w:p w14:paraId="12E3E780"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4C34E660" w14:textId="77777777" w:rsidR="00BC002A" w:rsidRPr="000051C5" w:rsidRDefault="005A741A" w:rsidP="00BC002A">
      <w:pPr>
        <w:rPr>
          <w:rFonts w:ascii="Calibri" w:hAnsi="Calibri" w:cs="Calibri"/>
          <w:sz w:val="22"/>
          <w:szCs w:val="22"/>
          <w:rtl/>
        </w:rPr>
      </w:pPr>
      <w:r>
        <w:rPr>
          <w:rFonts w:ascii="Arial" w:hAnsi="Arial" w:cs="Arial"/>
          <w:sz w:val="22"/>
          <w:szCs w:val="22"/>
          <w:rtl/>
        </w:rPr>
        <w:t xml:space="preserve"> </w:t>
      </w:r>
    </w:p>
    <w:p w14:paraId="2476D8A7" w14:textId="77777777" w:rsidR="00BC002A" w:rsidRDefault="005A741A" w:rsidP="00BC002A">
      <w:pPr>
        <w:rPr>
          <w:rFonts w:cs="FrankRuehl"/>
          <w:sz w:val="28"/>
          <w:szCs w:val="28"/>
          <w:rtl/>
        </w:rPr>
      </w:pPr>
      <w:r>
        <w:rPr>
          <w:rFonts w:ascii="Arial" w:hAnsi="Arial" w:cs="Arial"/>
          <w:sz w:val="22"/>
          <w:szCs w:val="22"/>
          <w:rtl/>
        </w:rPr>
        <w:t xml:space="preserve"> </w:t>
      </w:r>
    </w:p>
    <w:p w14:paraId="7E624818" w14:textId="77777777" w:rsidR="00BC002A" w:rsidRDefault="00BC002A" w:rsidP="00BC002A">
      <w:pPr>
        <w:pStyle w:val="a3"/>
        <w:jc w:val="center"/>
        <w:rPr>
          <w:rtl/>
        </w:rPr>
      </w:pPr>
    </w:p>
    <w:p w14:paraId="1B74C139" w14:textId="77777777" w:rsidR="0057557A" w:rsidRPr="005A741A" w:rsidRDefault="0057557A" w:rsidP="005A741A">
      <w:pPr>
        <w:keepNext/>
        <w:rPr>
          <w:rFonts w:ascii="David" w:hAnsi="David"/>
          <w:color w:val="000000"/>
          <w:sz w:val="22"/>
          <w:szCs w:val="22"/>
          <w:rtl/>
        </w:rPr>
      </w:pPr>
    </w:p>
    <w:p w14:paraId="69256EF6" w14:textId="77777777" w:rsidR="005A741A" w:rsidRPr="005A741A" w:rsidRDefault="005A741A" w:rsidP="005A741A">
      <w:pPr>
        <w:keepNext/>
        <w:rPr>
          <w:rFonts w:ascii="David" w:hAnsi="David"/>
          <w:color w:val="000000"/>
          <w:sz w:val="22"/>
          <w:szCs w:val="22"/>
          <w:rtl/>
        </w:rPr>
      </w:pPr>
      <w:r w:rsidRPr="005A741A">
        <w:rPr>
          <w:rFonts w:ascii="David" w:hAnsi="David"/>
          <w:color w:val="000000"/>
          <w:sz w:val="22"/>
          <w:szCs w:val="22"/>
          <w:rtl/>
        </w:rPr>
        <w:t>אביחי דורון 54678313</w:t>
      </w:r>
    </w:p>
    <w:p w14:paraId="5C1EC99A" w14:textId="77777777" w:rsidR="005A741A" w:rsidRDefault="005A741A" w:rsidP="005A741A">
      <w:r w:rsidRPr="005A741A">
        <w:rPr>
          <w:color w:val="000000"/>
          <w:rtl/>
        </w:rPr>
        <w:t>נוסח מסמך זה כפוף לשינויי ניסוח ועריכה</w:t>
      </w:r>
    </w:p>
    <w:p w14:paraId="24290AEA" w14:textId="77777777" w:rsidR="005A741A" w:rsidRDefault="005A741A" w:rsidP="005A741A">
      <w:pPr>
        <w:rPr>
          <w:rtl/>
        </w:rPr>
      </w:pPr>
    </w:p>
    <w:p w14:paraId="5594710C" w14:textId="77777777" w:rsidR="005A741A" w:rsidRDefault="005A741A" w:rsidP="005A741A">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3AC1C27C" w14:textId="77777777" w:rsidR="005A741A" w:rsidRPr="005A741A" w:rsidRDefault="005A741A" w:rsidP="005A741A">
      <w:pPr>
        <w:jc w:val="center"/>
        <w:rPr>
          <w:color w:val="0000FF"/>
          <w:u w:val="single"/>
        </w:rPr>
      </w:pPr>
    </w:p>
    <w:sectPr w:rsidR="005A741A" w:rsidRPr="005A741A" w:rsidSect="005A741A">
      <w:headerReference w:type="even" r:id="rId11"/>
      <w:headerReference w:type="default" r:id="rId12"/>
      <w:footerReference w:type="even" r:id="rId13"/>
      <w:footerReference w:type="default" r:id="rId1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F17BD" w14:textId="77777777" w:rsidR="00CA0F44" w:rsidRDefault="00CA0F44" w:rsidP="00C25263">
      <w:r>
        <w:separator/>
      </w:r>
    </w:p>
  </w:endnote>
  <w:endnote w:type="continuationSeparator" w:id="0">
    <w:p w14:paraId="34D47E21" w14:textId="77777777" w:rsidR="00CA0F44" w:rsidRDefault="00CA0F44" w:rsidP="00C25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81119" w14:textId="77777777" w:rsidR="005A741A" w:rsidRDefault="005A741A" w:rsidP="005A74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649FC8" w14:textId="77777777" w:rsidR="00AC4B41" w:rsidRPr="005A741A" w:rsidRDefault="005A741A" w:rsidP="005A74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6A4D3" w14:textId="77777777" w:rsidR="005A741A" w:rsidRDefault="005A741A" w:rsidP="005A74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4B2D">
      <w:rPr>
        <w:rFonts w:ascii="FrankRuehl" w:hAnsi="FrankRuehl" w:cs="FrankRuehl"/>
        <w:noProof/>
        <w:rtl/>
      </w:rPr>
      <w:t>1</w:t>
    </w:r>
    <w:r>
      <w:rPr>
        <w:rFonts w:ascii="FrankRuehl" w:hAnsi="FrankRuehl" w:cs="FrankRuehl"/>
        <w:rtl/>
      </w:rPr>
      <w:fldChar w:fldCharType="end"/>
    </w:r>
  </w:p>
  <w:p w14:paraId="278E0201" w14:textId="77777777" w:rsidR="00AC4B41" w:rsidRPr="005A741A" w:rsidRDefault="005A741A" w:rsidP="005A74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D40D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0489E" w14:textId="77777777" w:rsidR="00CA0F44" w:rsidRDefault="00CA0F44" w:rsidP="00C25263">
      <w:r>
        <w:separator/>
      </w:r>
    </w:p>
  </w:footnote>
  <w:footnote w:type="continuationSeparator" w:id="0">
    <w:p w14:paraId="179CBF9D" w14:textId="77777777" w:rsidR="00CA0F44" w:rsidRDefault="00CA0F44" w:rsidP="00C25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E7135" w14:textId="77777777" w:rsidR="005A741A" w:rsidRPr="005A741A" w:rsidRDefault="005A741A" w:rsidP="005A74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75278-01-19</w:t>
    </w:r>
    <w:r>
      <w:rPr>
        <w:rFonts w:ascii="David" w:hAnsi="David"/>
        <w:color w:val="000000"/>
        <w:sz w:val="22"/>
        <w:szCs w:val="22"/>
        <w:rtl/>
      </w:rPr>
      <w:tab/>
      <w:t xml:space="preserve"> מדינת ישראל נ' פנחס ישראל פיירמן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E6D72" w14:textId="77777777" w:rsidR="005A741A" w:rsidRPr="005A741A" w:rsidRDefault="005A741A" w:rsidP="005A74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75278-01-19</w:t>
    </w:r>
    <w:r>
      <w:rPr>
        <w:rFonts w:ascii="David" w:hAnsi="David"/>
        <w:color w:val="000000"/>
        <w:sz w:val="22"/>
        <w:szCs w:val="22"/>
        <w:rtl/>
      </w:rPr>
      <w:tab/>
      <w:t xml:space="preserve"> מדינת ישראל נ' פנחס ישראל פיירמן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C4CB2"/>
    <w:multiLevelType w:val="hybridMultilevel"/>
    <w:tmpl w:val="AE2C45B4"/>
    <w:lvl w:ilvl="0" w:tplc="5FE2CC7E">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FB2D76"/>
    <w:multiLevelType w:val="hybridMultilevel"/>
    <w:tmpl w:val="8056F9C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3643262">
    <w:abstractNumId w:val="0"/>
  </w:num>
  <w:num w:numId="2" w16cid:durableId="4478982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002A"/>
    <w:rsid w:val="001B5A3B"/>
    <w:rsid w:val="002926F3"/>
    <w:rsid w:val="0033171A"/>
    <w:rsid w:val="004D744A"/>
    <w:rsid w:val="005340ED"/>
    <w:rsid w:val="00544B2D"/>
    <w:rsid w:val="0057557A"/>
    <w:rsid w:val="005A741A"/>
    <w:rsid w:val="006D4055"/>
    <w:rsid w:val="009C7FD7"/>
    <w:rsid w:val="00A61437"/>
    <w:rsid w:val="00AC4B41"/>
    <w:rsid w:val="00BB0E59"/>
    <w:rsid w:val="00BC002A"/>
    <w:rsid w:val="00BE39D5"/>
    <w:rsid w:val="00C25263"/>
    <w:rsid w:val="00CA0F44"/>
    <w:rsid w:val="00CD6077"/>
    <w:rsid w:val="00D37F79"/>
    <w:rsid w:val="00DB22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176D4"/>
  <w15:chartTrackingRefBased/>
  <w15:docId w15:val="{44F0EAB0-837D-4166-B15C-F3DD973F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00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002A"/>
    <w:pPr>
      <w:tabs>
        <w:tab w:val="center" w:pos="4153"/>
        <w:tab w:val="right" w:pos="8306"/>
      </w:tabs>
    </w:pPr>
  </w:style>
  <w:style w:type="character" w:customStyle="1" w:styleId="a4">
    <w:name w:val="כותרת עליונה תו"/>
    <w:link w:val="a3"/>
    <w:rsid w:val="00BC002A"/>
    <w:rPr>
      <w:rFonts w:ascii="Times New Roman" w:eastAsia="Times New Roman" w:hAnsi="Times New Roman" w:cs="David"/>
      <w:sz w:val="24"/>
      <w:szCs w:val="24"/>
    </w:rPr>
  </w:style>
  <w:style w:type="paragraph" w:styleId="a5">
    <w:name w:val="footer"/>
    <w:basedOn w:val="a"/>
    <w:link w:val="a6"/>
    <w:rsid w:val="00BC002A"/>
    <w:pPr>
      <w:tabs>
        <w:tab w:val="center" w:pos="4153"/>
        <w:tab w:val="right" w:pos="8306"/>
      </w:tabs>
    </w:pPr>
  </w:style>
  <w:style w:type="character" w:customStyle="1" w:styleId="a6">
    <w:name w:val="כותרת תחתונה תו"/>
    <w:link w:val="a5"/>
    <w:rsid w:val="00BC002A"/>
    <w:rPr>
      <w:rFonts w:ascii="Times New Roman" w:eastAsia="Times New Roman" w:hAnsi="Times New Roman" w:cs="David"/>
      <w:sz w:val="24"/>
      <w:szCs w:val="24"/>
    </w:rPr>
  </w:style>
  <w:style w:type="table" w:styleId="a7">
    <w:name w:val="Table Grid"/>
    <w:basedOn w:val="a1"/>
    <w:rsid w:val="00BC00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002A"/>
  </w:style>
  <w:style w:type="character" w:styleId="Hyperlink">
    <w:name w:val="Hyperlink"/>
    <w:rsid w:val="005A7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948</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5682</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2025-04-23T00:03:00Z</dcterms:created>
  <dcterms:modified xsi:type="dcterms:W3CDTF">2025-04-23T00:03:00Z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75278</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פנחס ישראל פיירמן</vt:lpwstr>
  </property>
  <property fmtid="{D5CDD505-2E9C-101B-9397-08002B2CF9AE}" pid="10" name="JUDGE">
    <vt:lpwstr>אביחי דורון</vt:lpwstr>
  </property>
  <property fmtid="{D5CDD505-2E9C-101B-9397-08002B2CF9AE}" pid="11" name="CITY">
    <vt:lpwstr>י-ם</vt:lpwstr>
  </property>
  <property fmtid="{D5CDD505-2E9C-101B-9397-08002B2CF9AE}" pid="12" name="TYPE_N_DATE">
    <vt:lpwstr>38020220317</vt:lpwstr>
  </property>
  <property fmtid="{D5CDD505-2E9C-101B-9397-08002B2CF9AE}" pid="13" name="WORDNUMPAGES">
    <vt:lpwstr>4</vt:lpwstr>
  </property>
  <property fmtid="{D5CDD505-2E9C-101B-9397-08002B2CF9AE}" pid="14" name="LAWYER">
    <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20220317</vt:lpwstr>
  </property>
  <property fmtid="{D5CDD505-2E9C-101B-9397-08002B2CF9AE}" pid="33" name="TYPE_ABS_DATE">
    <vt:lpwstr>380020220317</vt:lpwstr>
  </property>
  <property fmtid="{D5CDD505-2E9C-101B-9397-08002B2CF9AE}" pid="34" name="LAWLISTTMP1">
    <vt:lpwstr>4216:2</vt:lpwstr>
  </property>
</Properties>
</file>